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p>
      <w:pPr>
        <w:spacing w:line="1765" w:lineRule="exact"/>
        <w:ind w:left="377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4"/>
          <w:sz w:val="20"/>
          <w:szCs w:val="20"/>
        </w:rPr>
        <w:drawing>
          <wp:inline distT="0" distB="0" distL="0" distR="0">
            <wp:extent cx="1519525" cy="1121282"/>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519525" cy="1121282"/>
                    </a:xfrm>
                    <a:prstGeom prst="rect">
                      <a:avLst/>
                    </a:prstGeom>
                  </pic:spPr>
                </pic:pic>
              </a:graphicData>
            </a:graphic>
          </wp:inline>
        </w:drawing>
      </w:r>
      <w:r>
        <w:rPr>
          <w:rFonts w:ascii="Times New Roman" w:hAnsi="Times New Roman" w:cs="Times New Roman" w:eastAsia="Times New Roman" w:hint="default"/>
          <w:position w:val="-34"/>
          <w:sz w:val="20"/>
          <w:szCs w:val="20"/>
        </w:rPr>
      </w:r>
    </w:p>
    <w:p>
      <w:pPr>
        <w:spacing w:line="240" w:lineRule="auto" w:before="11"/>
        <w:rPr>
          <w:rFonts w:ascii="Times New Roman" w:hAnsi="Times New Roman" w:cs="Times New Roman" w:eastAsia="Times New Roman" w:hint="default"/>
          <w:sz w:val="13"/>
          <w:szCs w:val="13"/>
        </w:rPr>
      </w:pPr>
    </w:p>
    <w:p>
      <w:pPr>
        <w:spacing w:line="460" w:lineRule="exact" w:before="0"/>
        <w:ind w:left="2241" w:right="2244" w:firstLine="0"/>
        <w:jc w:val="center"/>
        <w:rPr>
          <w:rFonts w:ascii="宋体" w:hAnsi="宋体" w:cs="宋体" w:eastAsia="宋体" w:hint="default"/>
          <w:sz w:val="36"/>
          <w:szCs w:val="36"/>
        </w:rPr>
      </w:pPr>
      <w:r>
        <w:rPr>
          <w:rFonts w:ascii="宋体" w:hAnsi="宋体" w:cs="宋体" w:eastAsia="宋体" w:hint="default"/>
          <w:b/>
          <w:bCs/>
          <w:sz w:val="36"/>
          <w:szCs w:val="36"/>
        </w:rPr>
        <w:t>江苏双星彩塑新材料股份有限公司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241" w:right="224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3"/>
        <w:rPr>
          <w:rFonts w:ascii="宋体" w:hAnsi="宋体" w:cs="宋体" w:eastAsia="宋体" w:hint="default"/>
          <w:b/>
          <w:bCs/>
          <w:sz w:val="48"/>
          <w:szCs w:val="48"/>
        </w:rPr>
      </w:pPr>
    </w:p>
    <w:p>
      <w:pPr>
        <w:spacing w:before="0"/>
        <w:ind w:left="2241" w:right="224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80" w:top="1060" w:bottom="1160" w:left="980" w:right="98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2" w:right="153"/>
        <w:jc w:val="left"/>
        <w:rPr>
          <w:b w:val="0"/>
          <w:bCs w:val="0"/>
        </w:rPr>
      </w:pPr>
      <w:r>
        <w:rPr/>
        <w:t>第一节</w:t>
      </w:r>
      <w:r>
        <w:rPr>
          <w:spacing w:val="-5"/>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56"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w w:val="99"/>
          <w:sz w:val="28"/>
          <w:szCs w:val="28"/>
        </w:rPr>
        <w:t> </w:t>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2"/>
        <w:ind w:left="152" w:right="15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公司负责人吴培服、主管会计工作负责人周海燕及会计机构负责人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邹雪梅声明：保证年度报告中财务报告的真实、准确、完整。</w:t>
      </w:r>
      <w:r>
        <w:rPr>
          <w:rFonts w:ascii="宋体" w:hAnsi="宋体" w:cs="宋体" w:eastAsia="宋体" w:hint="default"/>
          <w:sz w:val="28"/>
          <w:szCs w:val="28"/>
        </w:rPr>
      </w:r>
    </w:p>
    <w:p>
      <w:pPr>
        <w:spacing w:line="472" w:lineRule="auto" w:before="148"/>
        <w:ind w:left="714" w:right="153"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本年度报告所涉及的公司发展战略及计划等前瞻性陈述，不构成公司对投</w:t>
      </w:r>
      <w:r>
        <w:rPr>
          <w:rFonts w:ascii="宋体" w:hAnsi="宋体" w:cs="宋体" w:eastAsia="宋体" w:hint="default"/>
          <w:spacing w:val="2"/>
          <w:sz w:val="28"/>
          <w:szCs w:val="28"/>
        </w:rPr>
      </w:r>
    </w:p>
    <w:p>
      <w:pPr>
        <w:spacing w:line="475" w:lineRule="auto" w:before="0"/>
        <w:ind w:left="714" w:right="142" w:hanging="563"/>
        <w:jc w:val="left"/>
        <w:rPr>
          <w:rFonts w:ascii="宋体" w:hAnsi="宋体" w:cs="宋体" w:eastAsia="宋体" w:hint="default"/>
          <w:sz w:val="28"/>
          <w:szCs w:val="28"/>
        </w:rPr>
      </w:pPr>
      <w:r>
        <w:rPr>
          <w:rFonts w:ascii="宋体" w:hAnsi="宋体" w:cs="宋体" w:eastAsia="宋体" w:hint="default"/>
          <w:b/>
          <w:bCs/>
          <w:sz w:val="28"/>
          <w:szCs w:val="28"/>
        </w:rPr>
        <w:t>资者实质性的承诺，敬请投资者注意投资风险。</w:t>
      </w:r>
      <w:r>
        <w:rPr>
          <w:rFonts w:ascii="宋体" w:hAnsi="宋体" w:cs="宋体" w:eastAsia="宋体" w:hint="default"/>
          <w:b/>
          <w:bCs/>
          <w:w w:val="99"/>
          <w:sz w:val="28"/>
          <w:szCs w:val="28"/>
        </w:rPr>
        <w:t> </w:t>
      </w: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65"/>
          <w:sz w:val="28"/>
          <w:szCs w:val="28"/>
        </w:rPr>
        <w:t> </w:t>
      </w:r>
      <w:r>
        <w:rPr>
          <w:rFonts w:ascii="Times New Roman" w:hAnsi="Times New Roman" w:cs="Times New Roman" w:eastAsia="Times New Roman" w:hint="default"/>
          <w:b/>
          <w:bCs/>
          <w:sz w:val="28"/>
          <w:szCs w:val="28"/>
        </w:rPr>
        <w:t>1,156,278,085</w:t>
      </w:r>
      <w:r>
        <w:rPr>
          <w:rFonts w:ascii="Times New Roman" w:hAnsi="Times New Roman" w:cs="Times New Roman" w:eastAsia="Times New Roman" w:hint="default"/>
          <w:b/>
          <w:bCs/>
          <w:spacing w:val="5"/>
          <w:sz w:val="28"/>
          <w:szCs w:val="28"/>
        </w:rPr>
        <w:t> </w:t>
      </w:r>
      <w:r>
        <w:rPr>
          <w:rFonts w:ascii="宋体" w:hAnsi="宋体" w:cs="宋体" w:eastAsia="宋体" w:hint="default"/>
          <w:b/>
          <w:bCs/>
          <w:sz w:val="28"/>
          <w:szCs w:val="28"/>
        </w:rPr>
        <w:t>为基数，</w:t>
      </w:r>
      <w:r>
        <w:rPr>
          <w:rFonts w:ascii="宋体" w:hAnsi="宋体" w:cs="宋体" w:eastAsia="宋体" w:hint="default"/>
          <w:sz w:val="28"/>
          <w:szCs w:val="28"/>
        </w:rPr>
      </w:r>
    </w:p>
    <w:p>
      <w:pPr>
        <w:spacing w:line="320" w:lineRule="exact" w:before="0"/>
        <w:ind w:left="152" w:right="0" w:firstLine="0"/>
        <w:jc w:val="left"/>
        <w:rPr>
          <w:rFonts w:ascii="宋体" w:hAnsi="宋体" w:cs="宋体" w:eastAsia="宋体" w:hint="default"/>
          <w:sz w:val="28"/>
          <w:szCs w:val="28"/>
        </w:rPr>
      </w:pPr>
      <w:r>
        <w:rPr>
          <w:rFonts w:ascii="宋体" w:hAnsi="宋体" w:cs="宋体" w:eastAsia="宋体" w:hint="default"/>
          <w:b/>
          <w:bCs/>
          <w:w w:val="99"/>
          <w:sz w:val="28"/>
          <w:szCs w:val="28"/>
        </w:rPr>
        <w:t>向全</w:t>
      </w:r>
      <w:r>
        <w:rPr>
          <w:rFonts w:ascii="宋体" w:hAnsi="宋体" w:cs="宋体" w:eastAsia="宋体" w:hint="default"/>
          <w:b/>
          <w:bCs/>
          <w:spacing w:val="2"/>
          <w:w w:val="99"/>
          <w:sz w:val="28"/>
          <w:szCs w:val="28"/>
        </w:rPr>
        <w:t>体</w:t>
      </w:r>
      <w:r>
        <w:rPr>
          <w:rFonts w:ascii="宋体" w:hAnsi="宋体" w:cs="宋体" w:eastAsia="宋体" w:hint="default"/>
          <w:b/>
          <w:bCs/>
          <w:w w:val="99"/>
          <w:sz w:val="28"/>
          <w:szCs w:val="28"/>
        </w:rPr>
        <w:t>股东每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w w:val="99"/>
          <w:sz w:val="28"/>
          <w:szCs w:val="28"/>
        </w:rPr>
        <w:t>股派发</w:t>
      </w:r>
      <w:r>
        <w:rPr>
          <w:rFonts w:ascii="宋体" w:hAnsi="宋体" w:cs="宋体" w:eastAsia="宋体" w:hint="default"/>
          <w:b/>
          <w:bCs/>
          <w:spacing w:val="2"/>
          <w:w w:val="99"/>
          <w:sz w:val="28"/>
          <w:szCs w:val="28"/>
        </w:rPr>
        <w:t>现</w:t>
      </w:r>
      <w:r>
        <w:rPr>
          <w:rFonts w:ascii="宋体" w:hAnsi="宋体" w:cs="宋体" w:eastAsia="宋体" w:hint="default"/>
          <w:b/>
          <w:bCs/>
          <w:w w:val="99"/>
          <w:sz w:val="28"/>
          <w:szCs w:val="28"/>
        </w:rPr>
        <w:t>金红利</w:t>
      </w:r>
      <w:r>
        <w:rPr>
          <w:rFonts w:ascii="宋体" w:hAnsi="宋体" w:cs="宋体" w:eastAsia="宋体" w:hint="default"/>
          <w:b/>
          <w:bCs/>
          <w:spacing w:val="-71"/>
          <w:sz w:val="28"/>
          <w:szCs w:val="28"/>
        </w:rPr>
        <w:t> </w:t>
      </w:r>
      <w:r>
        <w:rPr>
          <w:rFonts w:ascii="Times New Roman" w:hAnsi="Times New Roman" w:cs="Times New Roman" w:eastAsia="Times New Roman" w:hint="default"/>
          <w:b/>
          <w:bCs/>
          <w:w w:val="100"/>
          <w:sz w:val="28"/>
          <w:szCs w:val="28"/>
        </w:rPr>
        <w:t>0.10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2"/>
          <w:w w:val="99"/>
          <w:sz w:val="28"/>
          <w:szCs w:val="28"/>
        </w:rPr>
        <w:t>元</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32"/>
          <w:w w:val="99"/>
          <w:sz w:val="28"/>
          <w:szCs w:val="28"/>
        </w:rPr>
        <w:t>，</w:t>
      </w:r>
      <w:r>
        <w:rPr>
          <w:rFonts w:ascii="宋体" w:hAnsi="宋体" w:cs="宋体" w:eastAsia="宋体" w:hint="default"/>
          <w:b/>
          <w:bCs/>
          <w:w w:val="99"/>
          <w:sz w:val="28"/>
          <w:szCs w:val="28"/>
        </w:rPr>
        <w:t>送</w:t>
      </w:r>
      <w:r>
        <w:rPr>
          <w:rFonts w:ascii="宋体" w:hAnsi="宋体" w:cs="宋体" w:eastAsia="宋体" w:hint="default"/>
          <w:b/>
          <w:bCs/>
          <w:spacing w:val="2"/>
          <w:w w:val="99"/>
          <w:sz w:val="28"/>
          <w:szCs w:val="28"/>
        </w:rPr>
        <w:t>红</w:t>
      </w:r>
      <w:r>
        <w:rPr>
          <w:rFonts w:ascii="宋体" w:hAnsi="宋体" w:cs="宋体" w:eastAsia="宋体" w:hint="default"/>
          <w:b/>
          <w:bCs/>
          <w:w w:val="99"/>
          <w:sz w:val="28"/>
          <w:szCs w:val="28"/>
        </w:rPr>
        <w:t>股</w:t>
      </w:r>
      <w:r>
        <w:rPr>
          <w:rFonts w:ascii="宋体" w:hAnsi="宋体" w:cs="宋体" w:eastAsia="宋体" w:hint="default"/>
          <w:b/>
          <w:bCs/>
          <w:spacing w:val="-71"/>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z w:val="28"/>
          <w:szCs w:val="28"/>
        </w:rPr>
        <w:t> </w:t>
      </w:r>
      <w:r>
        <w:rPr>
          <w:rFonts w:ascii="宋体" w:hAnsi="宋体" w:cs="宋体" w:eastAsia="宋体" w:hint="default"/>
          <w:b/>
          <w:bCs/>
          <w:spacing w:val="-32"/>
          <w:w w:val="99"/>
          <w:sz w:val="28"/>
          <w:szCs w:val="28"/>
        </w:rPr>
        <w:t>股</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32"/>
          <w:w w:val="99"/>
          <w:sz w:val="28"/>
          <w:szCs w:val="28"/>
        </w:rPr>
        <w:t>，</w:t>
      </w:r>
      <w:r>
        <w:rPr>
          <w:rFonts w:ascii="宋体" w:hAnsi="宋体" w:cs="宋体" w:eastAsia="宋体" w:hint="default"/>
          <w:b/>
          <w:bCs/>
          <w:w w:val="99"/>
          <w:sz w:val="28"/>
          <w:szCs w:val="28"/>
        </w:rPr>
        <w:t>不以公</w:t>
      </w:r>
      <w:r>
        <w:rPr>
          <w:rFonts w:ascii="宋体" w:hAnsi="宋体" w:cs="宋体" w:eastAsia="宋体" w:hint="default"/>
          <w:sz w:val="28"/>
          <w:szCs w:val="28"/>
        </w:rPr>
      </w:r>
    </w:p>
    <w:p>
      <w:pPr>
        <w:spacing w:before="237"/>
        <w:ind w:left="152" w:right="153" w:firstLine="0"/>
        <w:jc w:val="left"/>
        <w:rPr>
          <w:rFonts w:ascii="宋体" w:hAnsi="宋体" w:cs="宋体" w:eastAsia="宋体" w:hint="default"/>
          <w:sz w:val="28"/>
          <w:szCs w:val="28"/>
        </w:rPr>
      </w:pPr>
      <w:r>
        <w:rPr>
          <w:rFonts w:ascii="宋体" w:hAnsi="宋体" w:cs="宋体" w:eastAsia="宋体" w:hint="default"/>
          <w:b/>
          <w:bCs/>
          <w:sz w:val="28"/>
          <w:szCs w:val="28"/>
        </w:rPr>
        <w:t>积金转增股本。</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80" w:header="745" w:top="1060" w:bottom="1160" w:left="980" w:right="98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2241" w:right="2241"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2"/>
        <w:rPr>
          <w:rFonts w:ascii="宋体" w:hAnsi="宋体" w:cs="宋体" w:eastAsia="宋体" w:hint="default"/>
          <w:b/>
          <w:bCs/>
          <w:sz w:val="41"/>
          <w:szCs w:val="41"/>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18"/>
              </w:rPr>
              <w:t> </w:t>
            </w:r>
            <w:r>
              <w:rPr/>
              <w:t>重要提示、目录和释义</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8"/>
              </w:rPr>
              <w:t> </w:t>
            </w:r>
            <w:r>
              <w:rPr/>
              <w:t>公司简介和主要财务指标</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83"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2">
            <w:r>
              <w:rPr/>
              <w:t>第三节</w:t>
            </w:r>
            <w:r>
              <w:rPr>
                <w:spacing w:val="-18"/>
              </w:rPr>
              <w:t> </w:t>
            </w:r>
            <w:r>
              <w:rPr/>
              <w:t>公司业务概要</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8"/>
              </w:rPr>
              <w:t> </w:t>
            </w:r>
            <w:r>
              <w:rPr/>
              <w:t>经营情况讨论与分析</w:t>
            </w:r>
            <w:r>
              <w:rPr>
                <w:rFonts w:ascii="Times New Roman" w:hAnsi="Times New Roman" w:cs="Times New Roman" w:eastAsia="Times New Roman" w:hint="default"/>
              </w:rPr>
              <w:tab/>
              <w:t>29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8"/>
              </w:rPr>
              <w:t> </w:t>
            </w:r>
            <w:r>
              <w:rPr/>
              <w:t>重要事项</w:t>
            </w:r>
            <w:r>
              <w:rPr>
                <w:rFonts w:ascii="Times New Roman" w:hAnsi="Times New Roman" w:cs="Times New Roman" w:eastAsia="Times New Roman" w:hint="default"/>
              </w:rPr>
              <w:tab/>
              <w:t>36</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8"/>
              </w:rPr>
              <w:t> </w:t>
            </w:r>
            <w:r>
              <w:rPr/>
              <w:t>股份变动及股东情况</w:t>
            </w:r>
            <w:r>
              <w:rPr>
                <w:rFonts w:ascii="Times New Roman" w:hAnsi="Times New Roman" w:cs="Times New Roman" w:eastAsia="Times New Roman" w:hint="default"/>
              </w:rPr>
              <w:tab/>
              <w:t>42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r>
            <w:r>
              <w:rPr>
                <w:spacing w:val="-18"/>
              </w:rPr>
              <w:t> </w:t>
            </w:r>
            <w:r>
              <w:rPr/>
              <w:t>优先股相关情况</w:t>
            </w:r>
            <w:r>
              <w:rPr>
                <w:rFonts w:ascii="Times New Roman" w:hAnsi="Times New Roman" w:cs="Times New Roman" w:eastAsia="Times New Roman" w:hint="default"/>
              </w:rPr>
              <w:tab/>
              <w:t>42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第八节</w:t>
            </w:r>
            <w:r>
              <w:rPr>
                <w:spacing w:val="-18"/>
              </w:rPr>
              <w:t> </w:t>
            </w:r>
            <w:r>
              <w:rPr/>
              <w:t>董事、监事、高级管理人员和员工情况</w:t>
            </w:r>
            <w:r>
              <w:rPr>
                <w:rFonts w:ascii="Times New Roman" w:hAnsi="Times New Roman" w:cs="Times New Roman" w:eastAsia="Times New Roman" w:hint="default"/>
              </w:rPr>
              <w:tab/>
              <w:t>43</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第九节</w:t>
            </w:r>
            <w:r>
              <w:rPr>
                <w:spacing w:val="-18"/>
              </w:rPr>
              <w:t> </w:t>
            </w:r>
            <w:r>
              <w:rPr/>
              <w:t>公司治理</w:t>
            </w:r>
            <w:r>
              <w:rPr>
                <w:rFonts w:ascii="Times New Roman" w:hAnsi="Times New Roman" w:cs="Times New Roman" w:eastAsia="Times New Roman" w:hint="default"/>
              </w:rPr>
              <w:tab/>
              <w:t>48</w:t>
            </w:r>
            <w:r>
              <w:rPr>
                <w:rFonts w:ascii="Times New Roman" w:hAnsi="Times New Roman" w:cs="Times New Roman" w:eastAsia="Times New Roman" w:hint="default"/>
                <w:b w:val="0"/>
                <w:bCs w:val="0"/>
              </w:rPr>
            </w:r>
          </w:hyperlink>
        </w:p>
        <w:p>
          <w:pPr>
            <w:pStyle w:val="TOC1"/>
            <w:tabs>
              <w:tab w:pos="9783"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8">
            <w:r>
              <w:rPr/>
              <w:t>第十节</w:t>
            </w:r>
            <w:r>
              <w:rPr>
                <w:spacing w:val="-18"/>
              </w:rPr>
              <w:t> </w:t>
            </w:r>
            <w:r>
              <w:rPr/>
              <w:t>公司债券相关情况</w:t>
            </w:r>
            <w:r>
              <w:rPr>
                <w:rFonts w:ascii="Times New Roman" w:hAnsi="Times New Roman" w:cs="Times New Roman" w:eastAsia="Times New Roman" w:hint="default"/>
              </w:rPr>
              <w:tab/>
              <w:t>53</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第十一节</w:t>
            </w:r>
            <w:r>
              <w:rPr>
                <w:spacing w:val="-17"/>
              </w:rPr>
              <w:t> </w:t>
            </w:r>
            <w:r>
              <w:rPr/>
              <w:t>财务报告</w:t>
            </w:r>
            <w:r>
              <w:rPr>
                <w:rFonts w:ascii="Times New Roman" w:hAnsi="Times New Roman" w:cs="Times New Roman" w:eastAsia="Times New Roman" w:hint="default"/>
              </w:rPr>
              <w:tab/>
              <w:t>56</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第十二节</w:t>
            </w:r>
            <w:r>
              <w:rPr>
                <w:spacing w:val="-18"/>
              </w:rPr>
              <w:t> </w:t>
            </w:r>
            <w:r>
              <w:rPr/>
              <w:t>备查文件目录</w:t>
            </w:r>
            <w:r>
              <w:rPr>
                <w:rFonts w:ascii="Times New Roman" w:hAnsi="Times New Roman" w:cs="Times New Roman" w:eastAsia="Times New Roman" w:hint="default"/>
              </w:rPr>
              <w:tab/>
              <w:t>154</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5" w:footer="980" w:top="1060" w:bottom="1160" w:left="980" w:right="980"/>
        </w:sectPr>
      </w:pPr>
    </w:p>
    <w:p>
      <w:pPr>
        <w:spacing w:before="945"/>
        <w:ind w:left="2241" w:right="2241"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6"/>
        <w:gridCol w:w="599"/>
        <w:gridCol w:w="5436"/>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公司、本公司、双星新材</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江苏双星彩塑新材料股份有限公司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迪智成投资</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宿迁市迪智成投资咨询有限公司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启恒投资</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宿迁市启恒投资有限公司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江西科为</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江西科为薄膜新型材料有限公司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沃盈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号资产管理计划</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平安大华基金－平安银行－平安大华沃盈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号资产管理计划</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《江苏双星彩塑新材料股份有限公司章程》</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会计师</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众华会计师事务所（特殊普通合伙）</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聚酯薄膜</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49"/>
              <w:ind w:left="28" w:right="20"/>
              <w:jc w:val="left"/>
              <w:rPr>
                <w:rFonts w:ascii="宋体" w:hAnsi="宋体" w:cs="宋体" w:eastAsia="宋体" w:hint="default"/>
                <w:sz w:val="18"/>
                <w:szCs w:val="18"/>
              </w:rPr>
            </w:pPr>
            <w:r>
              <w:rPr>
                <w:rFonts w:ascii="宋体" w:hAnsi="宋体" w:cs="宋体" w:eastAsia="宋体" w:hint="default"/>
                <w:spacing w:val="-2"/>
                <w:sz w:val="18"/>
                <w:szCs w:val="18"/>
              </w:rPr>
              <w:t>以聚酯切片为主要原料，采用先进的工艺配方，经过干燥、熔融、挤</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出、铸片和拉伸制成的薄膜，具有优良的工业特性</w:t>
            </w:r>
          </w:p>
        </w:tc>
      </w:tr>
      <w:tr>
        <w:trPr>
          <w:trHeight w:val="394"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聚酯切片</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49"/>
              <w:ind w:left="28" w:right="50"/>
              <w:jc w:val="both"/>
              <w:rPr>
                <w:rFonts w:ascii="宋体" w:hAnsi="宋体" w:cs="宋体" w:eastAsia="宋体" w:hint="default"/>
                <w:sz w:val="18"/>
                <w:szCs w:val="18"/>
              </w:rPr>
            </w:pPr>
            <w:r>
              <w:rPr>
                <w:rFonts w:ascii="宋体" w:hAnsi="宋体" w:cs="宋体" w:eastAsia="宋体" w:hint="default"/>
                <w:sz w:val="18"/>
                <w:szCs w:val="18"/>
              </w:rPr>
              <w:t>由聚酯经物理加工制成的切片，目前主要用于瓶级聚酯</w:t>
            </w:r>
            <w:r>
              <w:rPr>
                <w:rFonts w:ascii="Times New Roman" w:hAnsi="Times New Roman" w:cs="Times New Roman" w:eastAsia="Times New Roman" w:hint="default"/>
                <w:sz w:val="18"/>
                <w:szCs w:val="18"/>
              </w:rPr>
              <w:t>(</w:t>
            </w:r>
            <w:r>
              <w:rPr>
                <w:rFonts w:ascii="宋体" w:hAnsi="宋体" w:cs="宋体" w:eastAsia="宋体" w:hint="default"/>
                <w:sz w:val="18"/>
                <w:szCs w:val="18"/>
              </w:rPr>
              <w:t>广泛用于各 种饮料尤其是碳酸饮料的包装</w:t>
            </w:r>
            <w:r>
              <w:rPr>
                <w:rFonts w:ascii="Times New Roman" w:hAnsi="Times New Roman" w:cs="Times New Roman" w:eastAsia="Times New Roman" w:hint="default"/>
                <w:sz w:val="18"/>
                <w:szCs w:val="18"/>
              </w:rPr>
              <w:t>)</w:t>
            </w:r>
            <w:r>
              <w:rPr>
                <w:rFonts w:ascii="宋体" w:hAnsi="宋体" w:cs="宋体" w:eastAsia="宋体" w:hint="default"/>
                <w:sz w:val="18"/>
                <w:szCs w:val="18"/>
              </w:rPr>
              <w:t>、聚酯薄膜</w:t>
            </w:r>
            <w:r>
              <w:rPr>
                <w:rFonts w:ascii="Times New Roman" w:hAnsi="Times New Roman" w:cs="Times New Roman" w:eastAsia="Times New Roman" w:hint="default"/>
                <w:sz w:val="18"/>
                <w:szCs w:val="18"/>
              </w:rPr>
              <w:t>(</w:t>
            </w:r>
            <w:r>
              <w:rPr>
                <w:rFonts w:ascii="宋体" w:hAnsi="宋体" w:cs="宋体" w:eastAsia="宋体" w:hint="default"/>
                <w:sz w:val="18"/>
                <w:szCs w:val="18"/>
              </w:rPr>
              <w:t>主要用于包装材料、胶片 和磁带等</w:t>
            </w:r>
            <w:r>
              <w:rPr>
                <w:rFonts w:ascii="Times New Roman" w:hAnsi="Times New Roman" w:cs="Times New Roman" w:eastAsia="Times New Roman" w:hint="default"/>
                <w:sz w:val="18"/>
                <w:szCs w:val="18"/>
              </w:rPr>
              <w:t>)</w:t>
            </w:r>
            <w:r>
              <w:rPr>
                <w:rFonts w:ascii="宋体" w:hAnsi="宋体" w:cs="宋体" w:eastAsia="宋体" w:hint="default"/>
                <w:sz w:val="18"/>
                <w:szCs w:val="18"/>
              </w:rPr>
              <w:t>以及化纤用涤纶</w:t>
            </w:r>
          </w:p>
        </w:tc>
      </w:tr>
      <w:tr>
        <w:trPr>
          <w:trHeight w:val="392"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pacing w:val="-5"/>
                <w:sz w:val="18"/>
              </w:rPr>
              <w:t>PTA</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49"/>
              <w:ind w:left="28" w:right="46"/>
              <w:jc w:val="left"/>
              <w:rPr>
                <w:rFonts w:ascii="宋体" w:hAnsi="宋体" w:cs="宋体" w:eastAsia="宋体" w:hint="default"/>
                <w:sz w:val="18"/>
                <w:szCs w:val="18"/>
              </w:rPr>
            </w:pPr>
            <w:r>
              <w:rPr>
                <w:rFonts w:ascii="宋体" w:hAnsi="宋体" w:cs="宋体" w:eastAsia="宋体" w:hint="default"/>
                <w:w w:val="99"/>
                <w:sz w:val="18"/>
                <w:szCs w:val="18"/>
              </w:rPr>
              <w:t>精对苯二甲酸（</w:t>
            </w:r>
            <w:r>
              <w:rPr>
                <w:rFonts w:ascii="Times New Roman" w:hAnsi="Times New Roman" w:cs="Times New Roman" w:eastAsia="Times New Roman" w:hint="default"/>
                <w:w w:val="99"/>
                <w:sz w:val="18"/>
                <w:szCs w:val="18"/>
              </w:rPr>
              <w:t>Pure </w:t>
            </w:r>
            <w:r>
              <w:rPr>
                <w:rFonts w:ascii="Times New Roman" w:hAnsi="Times New Roman" w:cs="Times New Roman" w:eastAsia="Times New Roman" w:hint="default"/>
                <w:spacing w:val="-2"/>
                <w:sz w:val="18"/>
                <w:szCs w:val="18"/>
              </w:rPr>
              <w:t>Terephthalic</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6"/>
                <w:w w:val="99"/>
                <w:sz w:val="18"/>
                <w:szCs w:val="18"/>
              </w:rPr>
              <w:t>Acid</w:t>
            </w:r>
            <w:r>
              <w:rPr>
                <w:rFonts w:ascii="宋体" w:hAnsi="宋体" w:cs="宋体" w:eastAsia="宋体" w:hint="default"/>
                <w:spacing w:val="-6"/>
                <w:w w:val="99"/>
                <w:sz w:val="18"/>
                <w:szCs w:val="18"/>
              </w:rPr>
              <w:t>），一种化工原料，聚酯切片的</w:t>
            </w:r>
            <w:r>
              <w:rPr>
                <w:rFonts w:ascii="宋体" w:hAnsi="宋体" w:cs="宋体" w:eastAsia="宋体" w:hint="default"/>
                <w:spacing w:val="-80"/>
                <w:w w:val="99"/>
                <w:sz w:val="18"/>
                <w:szCs w:val="18"/>
              </w:rPr>
              <w:t> </w:t>
            </w:r>
            <w:r>
              <w:rPr>
                <w:rFonts w:ascii="宋体" w:hAnsi="宋体" w:cs="宋体" w:eastAsia="宋体" w:hint="default"/>
                <w:spacing w:val="-80"/>
                <w:w w:val="99"/>
                <w:sz w:val="18"/>
                <w:szCs w:val="18"/>
              </w:rPr>
            </w:r>
            <w:r>
              <w:rPr>
                <w:rFonts w:ascii="宋体" w:hAnsi="宋体" w:cs="宋体" w:eastAsia="宋体" w:hint="default"/>
                <w:sz w:val="18"/>
                <w:szCs w:val="18"/>
              </w:rPr>
              <w:t>主要原料之一</w:t>
            </w:r>
          </w:p>
        </w:tc>
      </w:tr>
      <w:tr>
        <w:trPr>
          <w:trHeight w:val="394"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MEG</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49"/>
              <w:ind w:left="28" w:right="49"/>
              <w:jc w:val="left"/>
              <w:rPr>
                <w:rFonts w:ascii="宋体" w:hAnsi="宋体" w:cs="宋体" w:eastAsia="宋体" w:hint="default"/>
                <w:sz w:val="18"/>
                <w:szCs w:val="18"/>
              </w:rPr>
            </w:pPr>
            <w:r>
              <w:rPr>
                <w:rFonts w:ascii="宋体" w:hAnsi="宋体" w:cs="宋体" w:eastAsia="宋体" w:hint="default"/>
                <w:spacing w:val="-1"/>
                <w:w w:val="99"/>
                <w:sz w:val="18"/>
                <w:szCs w:val="18"/>
              </w:rPr>
              <w:t>乙二醇（</w:t>
            </w:r>
            <w:r>
              <w:rPr>
                <w:rFonts w:ascii="Times New Roman" w:hAnsi="Times New Roman" w:cs="Times New Roman" w:eastAsia="Times New Roman" w:hint="default"/>
                <w:spacing w:val="-1"/>
                <w:w w:val="99"/>
                <w:sz w:val="18"/>
                <w:szCs w:val="18"/>
              </w:rPr>
              <w:t>Mono</w:t>
            </w:r>
            <w:r>
              <w:rPr>
                <w:rFonts w:ascii="Times New Roman" w:hAnsi="Times New Roman" w:cs="Times New Roman" w:eastAsia="Times New Roman" w:hint="default"/>
                <w:spacing w:val="5"/>
                <w:w w:val="99"/>
                <w:sz w:val="18"/>
                <w:szCs w:val="18"/>
              </w:rPr>
              <w:t> </w:t>
            </w:r>
            <w:r>
              <w:rPr>
                <w:rFonts w:ascii="Times New Roman" w:hAnsi="Times New Roman" w:cs="Times New Roman" w:eastAsia="Times New Roman" w:hint="default"/>
                <w:spacing w:val="-1"/>
                <w:sz w:val="18"/>
                <w:szCs w:val="18"/>
              </w:rPr>
              <w:t>Ethylene</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pacing w:val="-4"/>
                <w:w w:val="99"/>
                <w:sz w:val="18"/>
                <w:szCs w:val="18"/>
              </w:rPr>
              <w:t>Glycol</w:t>
            </w:r>
            <w:r>
              <w:rPr>
                <w:rFonts w:ascii="宋体" w:hAnsi="宋体" w:cs="宋体" w:eastAsia="宋体" w:hint="default"/>
                <w:spacing w:val="-4"/>
                <w:w w:val="99"/>
                <w:sz w:val="18"/>
                <w:szCs w:val="18"/>
              </w:rPr>
              <w:t>），一种化工原料，聚酯切片的主要原</w:t>
            </w:r>
            <w:r>
              <w:rPr>
                <w:rFonts w:ascii="宋体" w:hAnsi="宋体" w:cs="宋体" w:eastAsia="宋体" w:hint="default"/>
                <w:spacing w:val="-88"/>
                <w:w w:val="99"/>
                <w:sz w:val="18"/>
                <w:szCs w:val="18"/>
              </w:rPr>
              <w:t> </w:t>
            </w:r>
            <w:r>
              <w:rPr>
                <w:rFonts w:ascii="宋体" w:hAnsi="宋体" w:cs="宋体" w:eastAsia="宋体" w:hint="default"/>
                <w:spacing w:val="-88"/>
                <w:w w:val="99"/>
                <w:sz w:val="18"/>
                <w:szCs w:val="18"/>
              </w:rPr>
            </w:r>
            <w:r>
              <w:rPr>
                <w:rFonts w:ascii="宋体" w:hAnsi="宋体" w:cs="宋体" w:eastAsia="宋体" w:hint="default"/>
                <w:sz w:val="18"/>
                <w:szCs w:val="18"/>
              </w:rPr>
              <w:t>料之一</w:t>
            </w:r>
          </w:p>
        </w:tc>
      </w:tr>
      <w:tr>
        <w:trPr>
          <w:trHeight w:val="391"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hAnsi="Times New Roman"/>
                <w:sz w:val="18"/>
              </w:rPr>
              <w:t>μm</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微米，</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微米相当于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米的一百万分之一</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b/>
          <w:bCs/>
          <w:sz w:val="20"/>
          <w:szCs w:val="20"/>
        </w:rPr>
      </w:pPr>
      <w:r>
        <w:rPr/>
        <w:pict>
          <v:group style="position:absolute;margin-left:172.339996pt;margin-top:272.78598pt;width:361.55pt;height:19.6pt;mso-position-horizontal-relative:page;mso-position-vertical-relative:page;z-index:-758080" coordorigin="3447,5456" coordsize="7231,392">
            <v:shape style="position:absolute;left:3447;top:5456;width:7231;height:392" coordorigin="3447,5456" coordsize="7231,392" path="m3447,5847l10677,5847,10677,5456,3447,5456,3447,5847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2642" w:right="153"/>
        <w:jc w:val="left"/>
        <w:rPr>
          <w:b w:val="0"/>
          <w:bCs w:val="0"/>
        </w:rPr>
      </w:pPr>
      <w:bookmarkStart w:name="_bookmark0" w:id="1"/>
      <w:bookmarkEnd w:id="1"/>
      <w:r>
        <w:rPr>
          <w:b w:val="0"/>
          <w:bCs w:val="0"/>
        </w:rPr>
      </w:r>
      <w:r>
        <w:rPr/>
        <w:t>第二节</w:t>
      </w:r>
      <w:r>
        <w:rPr>
          <w:spacing w:val="-5"/>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53"/>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77"/>
        <w:gridCol w:w="2132"/>
        <w:gridCol w:w="2188"/>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7"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双星新材</w:t>
            </w:r>
          </w:p>
        </w:tc>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002585</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江苏双星彩塑新材料股份有限公司</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双星新材</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Jiangsu Shuangxing Color Plastic New Materials Co.,</w:t>
            </w:r>
            <w:r>
              <w:rPr>
                <w:rFonts w:ascii="Times New Roman"/>
                <w:spacing w:val="-22"/>
                <w:sz w:val="18"/>
              </w:rPr>
              <w:t> </w:t>
            </w:r>
            <w:r>
              <w:rPr>
                <w:rFonts w:ascii="Times New Roman"/>
                <w:sz w:val="18"/>
              </w:rPr>
              <w:t>Ltd.</w:t>
            </w:r>
          </w:p>
        </w:tc>
      </w:tr>
      <w:tr>
        <w:trPr>
          <w:trHeight w:val="401" w:hRule="exact"/>
        </w:trPr>
        <w:tc>
          <w:tcPr>
            <w:tcW w:w="22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8"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SXXC</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吴培服</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宿迁市彩塑工业园区井头街</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223808</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宿迁市彩塑工业园区井头街</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223808</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http://www.shuangxingcaisu.com</w:t>
              </w:r>
            </w:hyperlink>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wudi@shuangxingcaisu.com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53"/>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吴迪</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花蕾</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宿迁市彩塑工业园区井头街</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宿迁市彩塑工业园区井头街</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0527-84252088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0527-84252088</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0527-84253042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0527-84253042</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wudi@shuangxingcaisu.com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002585@shuangxingcaisu.com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53"/>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4"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《证券日报》</w:t>
            </w:r>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董事会秘书办公室</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8"/>
        <w:rPr>
          <w:rFonts w:ascii="宋体" w:hAnsi="宋体" w:cs="宋体" w:eastAsia="宋体" w:hint="default"/>
          <w:b/>
          <w:bCs/>
          <w:sz w:val="23"/>
          <w:szCs w:val="23"/>
        </w:rPr>
      </w:pPr>
    </w:p>
    <w:p>
      <w:pPr>
        <w:pStyle w:val="Heading2"/>
        <w:spacing w:line="240" w:lineRule="auto" w:before="26"/>
        <w:ind w:right="153"/>
        <w:jc w:val="left"/>
        <w:rPr>
          <w:b w:val="0"/>
          <w:bCs w:val="0"/>
        </w:rPr>
      </w:pPr>
      <w:r>
        <w:rPr/>
        <w:t>四、注册变更情况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638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14232894-1</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1"/>
        <w:rPr>
          <w:rFonts w:ascii="宋体" w:hAnsi="宋体" w:cs="宋体" w:eastAsia="宋体" w:hint="default"/>
          <w:b/>
          <w:bCs/>
          <w:sz w:val="18"/>
          <w:szCs w:val="18"/>
        </w:rPr>
      </w:pPr>
    </w:p>
    <w:p>
      <w:pPr>
        <w:pStyle w:val="Heading2"/>
        <w:spacing w:line="240" w:lineRule="auto" w:before="26"/>
        <w:ind w:right="153"/>
        <w:jc w:val="left"/>
        <w:rPr>
          <w:b w:val="0"/>
          <w:bCs w:val="0"/>
        </w:rPr>
      </w:pPr>
      <w:r>
        <w:rPr/>
        <w:t>五、其他有关资料</w:t>
      </w:r>
      <w:r>
        <w:rPr>
          <w:b w:val="0"/>
          <w:bCs w:val="0"/>
        </w:rPr>
      </w:r>
    </w:p>
    <w:p>
      <w:pPr>
        <w:spacing w:line="240" w:lineRule="auto" w:before="6"/>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众华会计师事务所（特殊普通合伙）</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上海市黄浦区中山南路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号金外滩国际广场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6F</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莫旭巍、李明</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line="340" w:lineRule="auto" w:before="115"/>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公司聘请的报告期内履行持续督导职责的财务顾问</w:t>
      </w:r>
    </w:p>
    <w:p>
      <w:pPr>
        <w:spacing w:before="41"/>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53"/>
        <w:jc w:val="left"/>
        <w:rPr>
          <w:b w:val="0"/>
          <w:bCs w:val="0"/>
        </w:rPr>
      </w:pPr>
      <w:r>
        <w:rPr/>
        <w:t>六、主要会计数据和财务指标</w:t>
      </w:r>
      <w:r>
        <w:rPr>
          <w:b w:val="0"/>
          <w:bCs w:val="0"/>
        </w:rPr>
      </w:r>
    </w:p>
    <w:p>
      <w:pPr>
        <w:spacing w:line="240" w:lineRule="auto" w:before="6"/>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before="117"/>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49"/>
        <w:gridCol w:w="1738"/>
        <w:gridCol w:w="1738"/>
        <w:gridCol w:w="1735"/>
      </w:tblGrid>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3,022,955,177.10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2,552,739,886.66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2,380,537,380.43</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74,651,154.25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133,022,735.34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-43.88%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120,507,729.98</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2,343,619.30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109,175,055.55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-97.85%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75,930,122.24</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13,017,412.35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124,260,814.76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-89.52%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12,931,648.01</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0.0678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0.1426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-52.45%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0.1292</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0.0678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0.1426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-52.45%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0.1292</w:t>
            </w:r>
          </w:p>
        </w:tc>
      </w:tr>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-1.43%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2.33%</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9,050,240,080.19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6,687,825,837.86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35.32%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5,811,622,102.50</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7,391,426,840.28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5,346,807,252.26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38.24%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5,228,131,069.75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153"/>
        <w:jc w:val="left"/>
        <w:rPr>
          <w:b w:val="0"/>
          <w:bCs w:val="0"/>
        </w:rPr>
      </w:pP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53"/>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147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3"/>
        <w:rPr>
          <w:rFonts w:ascii="宋体" w:hAnsi="宋体" w:cs="宋体" w:eastAsia="宋体" w:hint="default"/>
          <w:sz w:val="21"/>
          <w:szCs w:val="21"/>
        </w:rPr>
      </w:pPr>
    </w:p>
    <w:p>
      <w:pPr>
        <w:pStyle w:val="Heading4"/>
        <w:spacing w:line="240" w:lineRule="auto"/>
        <w:ind w:right="153"/>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16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153"/>
        <w:jc w:val="left"/>
        <w:rPr>
          <w:b w:val="0"/>
          <w:bCs w:val="0"/>
        </w:rPr>
      </w:pPr>
      <w:r>
        <w:rPr/>
        <w:t>八、分季度主要财务指标</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40"/>
        <w:gridCol w:w="1738"/>
        <w:gridCol w:w="1730"/>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602,781,495.42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727,129,748.83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736,099,284.22</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956,944,648.63</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43,204,980.51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48,082,715.29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36,253,505.78</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-52,890,047.33</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32,951,666.24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52,011,212.35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25,563,921.70</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-108,183,180.99</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-181,155,473.09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263,015,830.53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47,872,213.91</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-116,715,159.00</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5"/>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4"/>
          <w:szCs w:val="24"/>
        </w:rPr>
      </w:pPr>
    </w:p>
    <w:p>
      <w:pPr>
        <w:pStyle w:val="Heading2"/>
        <w:spacing w:line="240" w:lineRule="auto"/>
        <w:ind w:right="153"/>
        <w:jc w:val="left"/>
        <w:rPr>
          <w:b w:val="0"/>
          <w:bCs w:val="0"/>
        </w:rPr>
      </w:pPr>
      <w:r>
        <w:rPr/>
        <w:t>九、非经常性损益项目及金额</w:t>
      </w:r>
      <w:r>
        <w:rPr>
          <w:b w:val="0"/>
          <w:bCs w:val="0"/>
        </w:rPr>
      </w:r>
    </w:p>
    <w:p>
      <w:pPr>
        <w:spacing w:line="240" w:lineRule="auto" w:before="1"/>
        <w:rPr>
          <w:rFonts w:ascii="宋体" w:hAnsi="宋体" w:cs="宋体" w:eastAsia="宋体" w:hint="default"/>
          <w:b/>
          <w:bCs/>
          <w:sz w:val="23"/>
          <w:szCs w:val="23"/>
        </w:rPr>
      </w:pPr>
    </w:p>
    <w:p>
      <w:pPr>
        <w:spacing w:before="44"/>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-104,246.94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-75,034.30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21,260.00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28,079,360.00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27,001,458.00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46,139,395.16</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29,333,698.63</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6,249,698.63</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27,758,876.49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1,129,670.17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33,890.61</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12,760,153.23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4,208,414.08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7,866,636.66</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72,307,534.95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23,847,679.79</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44,577,607.74</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before="60"/>
        <w:ind w:left="152" w:right="0"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3"/>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spacing w:before="44"/>
        <w:ind w:left="152" w:right="153" w:firstLine="0"/>
        <w:jc w:val="left"/>
        <w:rPr>
          <w:rFonts w:ascii="宋体" w:hAnsi="宋体" w:cs="宋体" w:eastAsia="宋体" w:hint="default"/>
          <w:sz w:val="18"/>
          <w:szCs w:val="18"/>
        </w:rPr>
      </w:pPr>
      <w:r>
        <w:rPr>
          <w:rFonts w:ascii="宋体" w:hAnsi="宋体" w:cs="宋体" w:eastAsia="宋体" w:hint="default"/>
          <w:sz w:val="18"/>
          <w:szCs w:val="18"/>
        </w:rPr>
        <w:t>说明原因</w:t>
      </w:r>
    </w:p>
    <w:p>
      <w:pPr>
        <w:spacing w:before="117"/>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300" w:lineRule="auto" w:before="101"/>
        <w:ind w:left="152" w:right="136"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429" w:right="3490"/>
        <w:jc w:val="center"/>
        <w:rPr>
          <w:b w:val="0"/>
          <w:bCs w:val="0"/>
        </w:rPr>
      </w:pPr>
      <w:bookmarkStart w:name="_bookmark1" w:id="2"/>
      <w:bookmarkEnd w:id="2"/>
      <w:r>
        <w:rPr>
          <w:b w:val="0"/>
          <w:bCs w:val="0"/>
        </w:rPr>
      </w:r>
      <w:r>
        <w:rPr/>
        <w:t>第三节</w:t>
      </w:r>
      <w:r>
        <w:rPr>
          <w:spacing w:val="-6"/>
        </w:rPr>
        <w:t> </w:t>
      </w:r>
      <w:r>
        <w:rPr/>
        <w:t>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01"/>
        <w:jc w:val="left"/>
        <w:rPr>
          <w:b w:val="0"/>
          <w:bCs w:val="0"/>
        </w:rPr>
      </w:pP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spacing w:line="360" w:lineRule="auto" w:before="0"/>
        <w:ind w:left="152" w:right="677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307" w:lineRule="auto" w:before="4"/>
        <w:ind w:left="573" w:right="101" w:firstLine="2"/>
        <w:jc w:val="left"/>
      </w:pPr>
      <w:r>
        <w:rPr>
          <w:rFonts w:ascii="宋体" w:hAnsi="宋体" w:cs="宋体" w:eastAsia="宋体" w:hint="default"/>
          <w:b/>
          <w:bCs/>
        </w:rPr>
        <w:t>（一）主营业务</w:t>
      </w:r>
      <w:r>
        <w:rPr>
          <w:rFonts w:ascii="宋体" w:hAnsi="宋体" w:cs="宋体" w:eastAsia="宋体" w:hint="default"/>
          <w:b/>
          <w:bCs/>
          <w:w w:val="100"/>
        </w:rPr>
        <w:t> </w:t>
      </w:r>
      <w:r>
        <w:rPr>
          <w:spacing w:val="-5"/>
        </w:rPr>
        <w:t>公司主要从事先进高分子复合材料、光电新材料、光学膜、太阳能电池背板、聚酯电容膜、信息材料、</w:t>
      </w:r>
    </w:p>
    <w:p>
      <w:pPr>
        <w:pStyle w:val="BodyText"/>
        <w:spacing w:line="269" w:lineRule="exact"/>
        <w:ind w:right="101"/>
        <w:jc w:val="left"/>
      </w:pPr>
      <w:r>
        <w:rPr>
          <w:spacing w:val="-4"/>
        </w:rPr>
        <w:t>热收缩材料等聚酯薄膜的研发、生产和销售。公司统筹推进</w:t>
      </w:r>
      <w:r>
        <w:rPr>
          <w:rFonts w:ascii="Times New Roman" w:hAnsi="Times New Roman" w:cs="Times New Roman" w:eastAsia="Times New Roman" w:hint="default"/>
          <w:spacing w:val="-4"/>
        </w:rPr>
        <w:t>“</w:t>
      </w:r>
      <w:r>
        <w:rPr>
          <w:spacing w:val="-4"/>
        </w:rPr>
        <w:t>五大板块</w:t>
      </w:r>
      <w:r>
        <w:rPr>
          <w:rFonts w:ascii="Times New Roman" w:hAnsi="Times New Roman" w:cs="Times New Roman" w:eastAsia="Times New Roman" w:hint="default"/>
          <w:spacing w:val="-4"/>
        </w:rPr>
        <w:t>”</w:t>
      </w:r>
      <w:r>
        <w:rPr>
          <w:spacing w:val="-4"/>
        </w:rPr>
        <w:t>总体布局，产品已逐步向液晶显示、</w:t>
      </w:r>
    </w:p>
    <w:p>
      <w:pPr>
        <w:pStyle w:val="BodyText"/>
        <w:spacing w:line="273" w:lineRule="auto" w:before="21"/>
        <w:ind w:right="101"/>
        <w:jc w:val="left"/>
      </w:pPr>
      <w:r>
        <w:rPr>
          <w:spacing w:val="-2"/>
        </w:rPr>
        <w:t>智能手机、触摸面板、汽车、建筑节能玻璃、光伏新能源等领域全面升级，尤其在聚酯功能膜材料、光学</w:t>
      </w:r>
      <w:r>
        <w:rPr>
          <w:spacing w:val="-41"/>
        </w:rPr>
        <w:t> </w:t>
      </w:r>
      <w:r>
        <w:rPr>
          <w:spacing w:val="-41"/>
        </w:rPr>
      </w:r>
      <w:r>
        <w:rPr/>
        <w:t>材料、节能窗膜、信息材料、新能源材料等方面战略推进，服务于新兴产业更多领域。</w:t>
      </w:r>
    </w:p>
    <w:p>
      <w:pPr>
        <w:pStyle w:val="BodyText"/>
        <w:spacing w:line="256" w:lineRule="auto" w:before="48"/>
        <w:ind w:right="101" w:firstLine="420"/>
        <w:jc w:val="left"/>
      </w:pPr>
      <w:r>
        <w:rPr>
          <w:rFonts w:ascii="Times New Roman" w:hAnsi="Times New Roman" w:cs="Times New Roman" w:eastAsia="Times New Roman" w:hint="default"/>
          <w:spacing w:val="-2"/>
        </w:rPr>
        <w:t>1</w:t>
      </w:r>
      <w:r>
        <w:rPr>
          <w:spacing w:val="-2"/>
        </w:rPr>
        <w:t>、坚持创新发展，总量突破，夯实品牌经营，形成了以特色产品、功能性产品、高性能产品三大类</w:t>
      </w:r>
      <w:r>
        <w:rPr>
          <w:w w:val="100"/>
        </w:rPr>
        <w:t> </w:t>
      </w:r>
      <w:r>
        <w:rPr/>
        <w:t>产品为主的发展格局，市场迅速成长。</w:t>
      </w:r>
    </w:p>
    <w:p>
      <w:pPr>
        <w:pStyle w:val="BodyText"/>
        <w:spacing w:line="240" w:lineRule="auto" w:before="61"/>
        <w:ind w:left="573" w:right="101"/>
        <w:jc w:val="left"/>
      </w:pPr>
      <w:r>
        <w:rPr>
          <w:rFonts w:ascii="Times New Roman" w:hAnsi="Times New Roman" w:cs="Times New Roman" w:eastAsia="Times New Roman" w:hint="default"/>
        </w:rPr>
        <w:t>2</w:t>
      </w:r>
      <w:r>
        <w:rPr/>
        <w:t>、依靠创新驱动，统筹推进五大板块拓展。</w:t>
      </w:r>
    </w:p>
    <w:p>
      <w:pPr>
        <w:pStyle w:val="BodyText"/>
        <w:spacing w:line="256" w:lineRule="auto" w:before="62"/>
        <w:ind w:right="101" w:firstLine="422"/>
        <w:jc w:val="left"/>
      </w:pPr>
      <w:r>
        <w:rPr>
          <w:rFonts w:ascii="宋体" w:hAnsi="宋体" w:cs="宋体" w:eastAsia="宋体" w:hint="default"/>
          <w:b/>
          <w:bCs/>
          <w:spacing w:val="-2"/>
        </w:rPr>
        <w:t>（</w:t>
      </w:r>
      <w:r>
        <w:rPr>
          <w:rFonts w:ascii="Times New Roman" w:hAnsi="Times New Roman" w:cs="Times New Roman" w:eastAsia="Times New Roman" w:hint="default"/>
          <w:b/>
          <w:bCs/>
          <w:spacing w:val="-2"/>
        </w:rPr>
        <w:t>1</w:t>
      </w:r>
      <w:r>
        <w:rPr>
          <w:rFonts w:ascii="宋体" w:hAnsi="宋体" w:cs="宋体" w:eastAsia="宋体" w:hint="default"/>
          <w:b/>
          <w:bCs/>
          <w:spacing w:val="-2"/>
        </w:rPr>
        <w:t>）光学材料：</w:t>
      </w:r>
      <w:r>
        <w:rPr>
          <w:spacing w:val="-2"/>
        </w:rPr>
        <w:t>主要包括扩散膜、增亮膜、复合增亮膜、微透膜、光学级</w:t>
      </w:r>
      <w:r>
        <w:rPr>
          <w:rFonts w:ascii="Times New Roman" w:hAnsi="Times New Roman" w:cs="Times New Roman" w:eastAsia="Times New Roman" w:hint="default"/>
          <w:spacing w:val="-2"/>
        </w:rPr>
        <w:t>PET</w:t>
      </w:r>
      <w:r>
        <w:rPr>
          <w:spacing w:val="-2"/>
        </w:rPr>
        <w:t>基膜、复合膜（</w:t>
      </w:r>
      <w:r>
        <w:rPr>
          <w:rFonts w:ascii="Times New Roman" w:hAnsi="Times New Roman" w:cs="Times New Roman" w:eastAsia="Times New Roman" w:hint="default"/>
          <w:spacing w:val="-2"/>
        </w:rPr>
        <w:t>MOP</w:t>
      </w:r>
      <w:r>
        <w:rPr>
          <w:spacing w:val="-2"/>
        </w:rPr>
        <w:t>、</w:t>
      </w:r>
      <w:r>
        <w:rPr>
          <w:w w:val="100"/>
        </w:rPr>
        <w:t> </w:t>
      </w:r>
      <w:r>
        <w:rPr>
          <w:rFonts w:ascii="Times New Roman" w:hAnsi="Times New Roman" w:cs="Times New Roman" w:eastAsia="Times New Roman" w:hint="default"/>
        </w:rPr>
        <w:t>POP</w:t>
      </w:r>
      <w:r>
        <w:rPr/>
        <w:t>、</w:t>
      </w:r>
      <w:r>
        <w:rPr>
          <w:rFonts w:ascii="Times New Roman" w:hAnsi="Times New Roman" w:cs="Times New Roman" w:eastAsia="Times New Roman" w:hint="default"/>
        </w:rPr>
        <w:t>DOP</w:t>
      </w:r>
      <w:r>
        <w:rPr/>
        <w:t>、</w:t>
      </w:r>
      <w:r>
        <w:rPr>
          <w:rFonts w:ascii="Times New Roman" w:hAnsi="Times New Roman" w:cs="Times New Roman" w:eastAsia="Times New Roman" w:hint="default"/>
        </w:rPr>
        <w:t>DPL</w:t>
      </w:r>
      <w:r>
        <w:rPr/>
        <w:t>）、多色域量子点膜、背涂膜等光学膜产品，目前公司光学模组产品已进入国际一流品</w:t>
      </w:r>
      <w:r>
        <w:rPr>
          <w:spacing w:val="-78"/>
        </w:rPr>
        <w:t> </w:t>
      </w:r>
      <w:r>
        <w:rPr>
          <w:spacing w:val="-78"/>
        </w:rPr>
      </w:r>
      <w:r>
        <w:rPr>
          <w:spacing w:val="-2"/>
        </w:rPr>
        <w:t>牌、国内一线品牌，主要用于超高清电视市场、</w:t>
      </w:r>
      <w:r>
        <w:rPr>
          <w:rFonts w:ascii="Times New Roman" w:hAnsi="Times New Roman" w:cs="Times New Roman" w:eastAsia="Times New Roman" w:hint="default"/>
          <w:spacing w:val="-2"/>
        </w:rPr>
        <w:t>OLED</w:t>
      </w:r>
      <w:r>
        <w:rPr>
          <w:spacing w:val="-2"/>
        </w:rPr>
        <w:t>电视、曲面</w:t>
      </w:r>
      <w:r>
        <w:rPr>
          <w:rFonts w:ascii="Times New Roman" w:hAnsi="Times New Roman" w:cs="Times New Roman" w:eastAsia="Times New Roman" w:hint="default"/>
          <w:spacing w:val="-2"/>
        </w:rPr>
        <w:t>TV</w:t>
      </w:r>
      <w:r>
        <w:rPr>
          <w:spacing w:val="-2"/>
        </w:rPr>
        <w:t>、触摸屏、智能手机等全尺寸产品系</w:t>
      </w:r>
      <w:r>
        <w:rPr>
          <w:spacing w:val="-41"/>
        </w:rPr>
        <w:t> </w:t>
      </w:r>
      <w:r>
        <w:rPr>
          <w:spacing w:val="-41"/>
        </w:rPr>
      </w:r>
      <w:r>
        <w:rPr>
          <w:spacing w:val="-4"/>
        </w:rPr>
        <w:t>列，通过不同渠道为三星、京东方、</w:t>
      </w:r>
      <w:r>
        <w:rPr>
          <w:rFonts w:ascii="Times New Roman" w:hAnsi="Times New Roman" w:cs="Times New Roman" w:eastAsia="Times New Roman" w:hint="default"/>
          <w:spacing w:val="-4"/>
        </w:rPr>
        <w:t>TCL</w:t>
      </w:r>
      <w:r>
        <w:rPr>
          <w:spacing w:val="-4"/>
        </w:rPr>
        <w:t>海、信、创维、长虹、康佳、小米、华为等国内外品牌企业供货。</w:t>
      </w:r>
    </w:p>
    <w:p>
      <w:pPr>
        <w:pStyle w:val="BodyText"/>
        <w:spacing w:line="261" w:lineRule="auto" w:before="46"/>
        <w:ind w:right="207" w:firstLine="422"/>
        <w:jc w:val="both"/>
      </w:pPr>
      <w:r>
        <w:rPr>
          <w:rFonts w:ascii="宋体" w:hAnsi="宋体" w:cs="宋体" w:eastAsia="宋体" w:hint="default"/>
          <w:b/>
          <w:bCs/>
          <w:spacing w:val="2"/>
        </w:rPr>
        <w:t>（</w:t>
      </w:r>
      <w:r>
        <w:rPr>
          <w:rFonts w:ascii="Times New Roman" w:hAnsi="Times New Roman" w:cs="Times New Roman" w:eastAsia="Times New Roman" w:hint="default"/>
          <w:b/>
          <w:bCs/>
          <w:spacing w:val="2"/>
        </w:rPr>
        <w:t>2</w:t>
      </w:r>
      <w:r>
        <w:rPr>
          <w:rFonts w:ascii="宋体" w:hAnsi="宋体" w:cs="宋体" w:eastAsia="宋体" w:hint="default"/>
          <w:b/>
          <w:bCs/>
          <w:spacing w:val="2"/>
        </w:rPr>
        <w:t>）节能窗膜：</w:t>
      </w:r>
      <w:r>
        <w:rPr>
          <w:spacing w:val="2"/>
        </w:rPr>
        <w:t>致力于高端窗膜研发生产，推出双银高隔热膜系列、</w:t>
      </w:r>
      <w:r>
        <w:rPr>
          <w:rFonts w:ascii="Times New Roman" w:hAnsi="Times New Roman" w:cs="Times New Roman" w:eastAsia="Times New Roman" w:hint="default"/>
          <w:spacing w:val="2"/>
        </w:rPr>
        <w:t>IR</w:t>
      </w:r>
      <w:r>
        <w:rPr>
          <w:spacing w:val="2"/>
        </w:rPr>
        <w:t>纳米高隔热系列、</w:t>
      </w:r>
      <w:r>
        <w:rPr>
          <w:rFonts w:ascii="Times New Roman" w:hAnsi="Times New Roman" w:cs="Times New Roman" w:eastAsia="Times New Roman" w:hint="default"/>
          <w:spacing w:val="2"/>
        </w:rPr>
        <w:t>OEM</w:t>
      </w:r>
      <w:r>
        <w:rPr>
          <w:spacing w:val="2"/>
        </w:rPr>
        <w:t>膜</w:t>
      </w:r>
      <w:r>
        <w:rPr>
          <w:rFonts w:ascii="Times New Roman" w:hAnsi="Times New Roman" w:cs="Times New Roman" w:eastAsia="Times New Roman" w:hint="default"/>
          <w:spacing w:val="2"/>
        </w:rPr>
        <w:t>/</w:t>
      </w:r>
      <w:r>
        <w:rPr>
          <w:rFonts w:ascii="Times New Roman" w:hAnsi="Times New Roman" w:cs="Times New Roman" w:eastAsia="Times New Roman" w:hint="default"/>
          <w:w w:val="100"/>
        </w:rPr>
        <w:t> </w:t>
      </w:r>
      <w:r>
        <w:rPr>
          <w:spacing w:val="-2"/>
        </w:rPr>
        <w:t>原色膜、磁控溅射薄膜、纳米级高端智能窗膜、高红外反射隔热膜、高性能隔热防爆膜、紫外线高阻隔窗</w:t>
      </w:r>
      <w:r>
        <w:rPr>
          <w:spacing w:val="-43"/>
        </w:rPr>
        <w:t> </w:t>
      </w:r>
      <w:r>
        <w:rPr>
          <w:spacing w:val="-43"/>
        </w:rPr>
      </w:r>
      <w:r>
        <w:rPr>
          <w:spacing w:val="-3"/>
        </w:rPr>
        <w:t>膜、</w:t>
      </w:r>
      <w:r>
        <w:rPr>
          <w:rFonts w:ascii="Times New Roman" w:hAnsi="Times New Roman" w:cs="Times New Roman" w:eastAsia="Times New Roman" w:hint="default"/>
          <w:spacing w:val="-3"/>
        </w:rPr>
        <w:t>D</w:t>
      </w:r>
      <w:r>
        <w:rPr>
          <w:spacing w:val="-3"/>
        </w:rPr>
        <w:t>系列前挡、</w:t>
      </w:r>
      <w:r>
        <w:rPr>
          <w:rFonts w:ascii="Times New Roman" w:hAnsi="Times New Roman" w:cs="Times New Roman" w:eastAsia="Times New Roman" w:hint="default"/>
          <w:spacing w:val="-3"/>
        </w:rPr>
        <w:t>N</w:t>
      </w:r>
      <w:r>
        <w:rPr>
          <w:spacing w:val="-3"/>
        </w:rPr>
        <w:t>系列侧窗、</w:t>
      </w:r>
      <w:r>
        <w:rPr>
          <w:rFonts w:ascii="Times New Roman" w:hAnsi="Times New Roman" w:cs="Times New Roman" w:eastAsia="Times New Roman" w:hint="default"/>
          <w:spacing w:val="-3"/>
        </w:rPr>
        <w:t>E</w:t>
      </w:r>
      <w:r>
        <w:rPr>
          <w:spacing w:val="-3"/>
        </w:rPr>
        <w:t>系列磁控膜侧窗、</w:t>
      </w:r>
      <w:r>
        <w:rPr>
          <w:rFonts w:ascii="Times New Roman" w:hAnsi="Times New Roman" w:cs="Times New Roman" w:eastAsia="Times New Roman" w:hint="default"/>
          <w:spacing w:val="-3"/>
        </w:rPr>
        <w:t>SP</w:t>
      </w:r>
      <w:r>
        <w:rPr>
          <w:spacing w:val="-3"/>
        </w:rPr>
        <w:t>原色磁控系列、纳米高档窗膜、智能调光玻璃膜（智</w:t>
      </w:r>
      <w:r>
        <w:rPr>
          <w:spacing w:val="-33"/>
        </w:rPr>
        <w:t> </w:t>
      </w:r>
      <w:r>
        <w:rPr>
          <w:spacing w:val="-33"/>
        </w:rPr>
      </w:r>
      <w:r>
        <w:rPr>
          <w:spacing w:val="-2"/>
        </w:rPr>
        <w:t>能电控液晶膜）、高清膜等系列产品，市场占有率稳步增长；</w:t>
      </w:r>
      <w:r>
        <w:rPr>
          <w:rFonts w:ascii="Times New Roman" w:hAnsi="Times New Roman" w:cs="Times New Roman" w:eastAsia="Times New Roman" w:hint="default"/>
          <w:spacing w:val="-2"/>
        </w:rPr>
        <w:t>2017</w:t>
      </w:r>
      <w:r>
        <w:rPr>
          <w:spacing w:val="-2"/>
        </w:rPr>
        <w:t>年公司的建筑高隔热膜经上海建筑研究</w:t>
      </w:r>
      <w:r>
        <w:rPr>
          <w:spacing w:val="-44"/>
        </w:rPr>
        <w:t> </w:t>
      </w:r>
      <w:r>
        <w:rPr>
          <w:spacing w:val="-44"/>
        </w:rPr>
      </w:r>
      <w:r>
        <w:rPr/>
        <w:t>院测试，夏季建筑节能效果达</w:t>
      </w:r>
      <w:r>
        <w:rPr>
          <w:rFonts w:ascii="Times New Roman" w:hAnsi="Times New Roman" w:cs="Times New Roman" w:eastAsia="Times New Roman" w:hint="default"/>
        </w:rPr>
        <w:t>27.8%</w:t>
      </w:r>
      <w:r>
        <w:rPr/>
        <w:t>，高端高隔热磁控双银膜、星膜范品牌推广加速。</w:t>
      </w:r>
    </w:p>
    <w:p>
      <w:pPr>
        <w:pStyle w:val="BodyText"/>
        <w:spacing w:line="256" w:lineRule="auto" w:before="38"/>
        <w:ind w:right="101" w:firstLine="422"/>
        <w:jc w:val="left"/>
      </w:pPr>
      <w:r>
        <w:rPr>
          <w:rFonts w:ascii="宋体" w:hAnsi="宋体" w:cs="宋体" w:eastAsia="宋体" w:hint="default"/>
          <w:b/>
          <w:bCs/>
          <w:spacing w:val="-4"/>
        </w:rPr>
        <w:t>（</w:t>
      </w:r>
      <w:r>
        <w:rPr>
          <w:rFonts w:ascii="Times New Roman" w:hAnsi="Times New Roman" w:cs="Times New Roman" w:eastAsia="Times New Roman" w:hint="default"/>
          <w:b/>
          <w:bCs/>
          <w:spacing w:val="-4"/>
        </w:rPr>
        <w:t>3</w:t>
      </w:r>
      <w:r>
        <w:rPr>
          <w:rFonts w:ascii="宋体" w:hAnsi="宋体" w:cs="宋体" w:eastAsia="宋体" w:hint="default"/>
          <w:b/>
          <w:bCs/>
          <w:spacing w:val="-4"/>
        </w:rPr>
        <w:t>）信息材料：</w:t>
      </w:r>
      <w:r>
        <w:rPr>
          <w:spacing w:val="-4"/>
        </w:rPr>
        <w:t>产品包括</w:t>
      </w:r>
      <w:r>
        <w:rPr>
          <w:rFonts w:ascii="Times New Roman" w:hAnsi="Times New Roman" w:cs="Times New Roman" w:eastAsia="Times New Roman" w:hint="default"/>
          <w:spacing w:val="-4"/>
        </w:rPr>
        <w:t>TTR</w:t>
      </w:r>
      <w:r>
        <w:rPr>
          <w:spacing w:val="-4"/>
        </w:rPr>
        <w:t>碳带膜、电阻式</w:t>
      </w:r>
      <w:r>
        <w:rPr>
          <w:rFonts w:ascii="Times New Roman" w:hAnsi="Times New Roman" w:cs="Times New Roman" w:eastAsia="Times New Roman" w:hint="default"/>
          <w:spacing w:val="-4"/>
        </w:rPr>
        <w:t>/</w:t>
      </w:r>
      <w:r>
        <w:rPr>
          <w:spacing w:val="-4"/>
        </w:rPr>
        <w:t>电容式</w:t>
      </w:r>
      <w:r>
        <w:rPr>
          <w:rFonts w:ascii="Times New Roman" w:hAnsi="Times New Roman" w:cs="Times New Roman" w:eastAsia="Times New Roman" w:hint="default"/>
          <w:spacing w:val="-4"/>
        </w:rPr>
        <w:t>/</w:t>
      </w:r>
      <w:r>
        <w:rPr>
          <w:spacing w:val="-4"/>
        </w:rPr>
        <w:t>调光玻璃用</w:t>
      </w:r>
      <w:r>
        <w:rPr>
          <w:rFonts w:ascii="Times New Roman" w:hAnsi="Times New Roman" w:cs="Times New Roman" w:eastAsia="Times New Roman" w:hint="default"/>
          <w:spacing w:val="-4"/>
        </w:rPr>
        <w:t>ITO</w:t>
      </w:r>
      <w:r>
        <w:rPr>
          <w:spacing w:val="-4"/>
        </w:rPr>
        <w:t>导电膜、</w:t>
      </w:r>
      <w:r>
        <w:rPr>
          <w:rFonts w:ascii="Times New Roman" w:hAnsi="Times New Roman" w:cs="Times New Roman" w:eastAsia="Times New Roman" w:hint="default"/>
          <w:spacing w:val="-4"/>
        </w:rPr>
        <w:t>IM</w:t>
      </w:r>
      <w:r>
        <w:rPr>
          <w:spacing w:val="-4"/>
        </w:rPr>
        <w:t>基膜、电致色变膜、</w:t>
      </w:r>
      <w:r>
        <w:rPr>
          <w:w w:val="100"/>
        </w:rPr>
        <w:t> </w:t>
      </w:r>
      <w:r>
        <w:rPr>
          <w:rFonts w:ascii="Times New Roman" w:hAnsi="Times New Roman" w:cs="Times New Roman" w:eastAsia="Times New Roman" w:hint="default"/>
        </w:rPr>
        <w:t>ITO</w:t>
      </w:r>
      <w:r>
        <w:rPr/>
        <w:t>硬化膜、柔性触摸导电膜等产品，满足了触摸面板、手机、打印色带、条形码、条幅等领域的迫切需</w:t>
      </w:r>
      <w:r>
        <w:rPr>
          <w:spacing w:val="-53"/>
        </w:rPr>
        <w:t> </w:t>
      </w:r>
      <w:r>
        <w:rPr/>
        <w:t>求，在行业内处于领先水平，为多家品牌制造公司全球供货。</w:t>
      </w:r>
    </w:p>
    <w:p>
      <w:pPr>
        <w:pStyle w:val="BodyText"/>
        <w:spacing w:line="264" w:lineRule="auto" w:before="63"/>
        <w:ind w:right="101" w:firstLine="422"/>
        <w:jc w:val="both"/>
      </w:pPr>
      <w:r>
        <w:rPr>
          <w:rFonts w:ascii="宋体" w:hAnsi="宋体" w:cs="宋体" w:eastAsia="宋体" w:hint="default"/>
          <w:b/>
          <w:bCs/>
          <w:spacing w:val="-2"/>
        </w:rPr>
        <w:t>（</w:t>
      </w:r>
      <w:r>
        <w:rPr>
          <w:rFonts w:ascii="Times New Roman" w:hAnsi="Times New Roman" w:cs="Times New Roman" w:eastAsia="Times New Roman" w:hint="default"/>
          <w:b/>
          <w:bCs/>
          <w:spacing w:val="-2"/>
        </w:rPr>
        <w:t>4</w:t>
      </w:r>
      <w:r>
        <w:rPr>
          <w:rFonts w:ascii="宋体" w:hAnsi="宋体" w:cs="宋体" w:eastAsia="宋体" w:hint="default"/>
          <w:b/>
          <w:bCs/>
          <w:spacing w:val="-2"/>
        </w:rPr>
        <w:t>）热收缩材料：</w:t>
      </w:r>
      <w:r>
        <w:rPr>
          <w:spacing w:val="-2"/>
        </w:rPr>
        <w:t>公司通过技术创新自主开发高端热收缩聚酯膜，建立标准体系，实现多品种发展，</w:t>
      </w:r>
      <w:r>
        <w:rPr>
          <w:w w:val="100"/>
        </w:rPr>
        <w:t> </w:t>
      </w:r>
      <w:r>
        <w:rPr>
          <w:spacing w:val="-5"/>
        </w:rPr>
        <w:t>种类齐全，涵盖高收缩率、中收缩率、低收缩力、低温收缩、较好收缩曲线，适用于各种标签、瓶用套装、</w:t>
      </w:r>
      <w:r>
        <w:rPr>
          <w:spacing w:val="-6"/>
        </w:rPr>
        <w:t> </w:t>
      </w:r>
      <w:r>
        <w:rPr>
          <w:spacing w:val="-6"/>
        </w:rPr>
      </w:r>
      <w:r>
        <w:rPr/>
        <w:t>异形容器外用收缩等要求，积极拓展国际市场，国内市场应用增长。</w:t>
      </w:r>
    </w:p>
    <w:p>
      <w:pPr>
        <w:pStyle w:val="BodyText"/>
        <w:spacing w:line="264" w:lineRule="auto" w:before="57"/>
        <w:ind w:right="101" w:firstLine="422"/>
        <w:jc w:val="left"/>
      </w:pPr>
      <w:r>
        <w:rPr>
          <w:rFonts w:ascii="宋体" w:hAnsi="宋体" w:cs="宋体" w:eastAsia="宋体" w:hint="default"/>
          <w:b/>
          <w:bCs/>
          <w:spacing w:val="-2"/>
        </w:rPr>
        <w:t>（</w:t>
      </w:r>
      <w:r>
        <w:rPr>
          <w:rFonts w:ascii="Times New Roman" w:hAnsi="Times New Roman" w:cs="Times New Roman" w:eastAsia="Times New Roman" w:hint="default"/>
          <w:b/>
          <w:bCs/>
          <w:spacing w:val="-2"/>
        </w:rPr>
        <w:t>5</w:t>
      </w:r>
      <w:r>
        <w:rPr>
          <w:rFonts w:ascii="宋体" w:hAnsi="宋体" w:cs="宋体" w:eastAsia="宋体" w:hint="default"/>
          <w:b/>
          <w:bCs/>
          <w:spacing w:val="-2"/>
        </w:rPr>
        <w:t>）新能源材料：</w:t>
      </w:r>
      <w:r>
        <w:rPr>
          <w:spacing w:val="-2"/>
        </w:rPr>
        <w:t>主要推出适应不同地区气候条件使用的太阳能电池背材基膜、太阳能电池背板膜、</w:t>
      </w:r>
      <w:r>
        <w:rPr>
          <w:w w:val="100"/>
        </w:rPr>
        <w:t> </w:t>
      </w:r>
      <w:r>
        <w:rPr>
          <w:spacing w:val="-2"/>
        </w:rPr>
        <w:t>锂电池铝塑包装基膜等系列产品，可满足太阳能电池封装、锂离子电池软包装外壳封装材料的需求，目前</w:t>
      </w:r>
      <w:r>
        <w:rPr>
          <w:spacing w:val="-42"/>
        </w:rPr>
        <w:t> </w:t>
      </w:r>
      <w:r>
        <w:rPr>
          <w:spacing w:val="-42"/>
        </w:rPr>
      </w:r>
      <w:r>
        <w:rPr/>
        <w:t>供应国内前五大主要太阳能电池背板生产商，同时开展了对外市场拓展合作。</w:t>
      </w:r>
    </w:p>
    <w:p>
      <w:pPr>
        <w:pStyle w:val="BodyText"/>
        <w:spacing w:line="256" w:lineRule="auto" w:before="54"/>
        <w:ind w:right="101" w:firstLine="413"/>
        <w:jc w:val="left"/>
      </w:pPr>
      <w:r>
        <w:rPr>
          <w:rFonts w:ascii="宋体" w:hAnsi="宋体" w:cs="宋体" w:eastAsia="宋体" w:hint="default"/>
          <w:b/>
          <w:bCs/>
        </w:rPr>
        <w:t>（</w:t>
      </w:r>
      <w:r>
        <w:rPr>
          <w:rFonts w:ascii="Times New Roman" w:hAnsi="Times New Roman" w:cs="Times New Roman" w:eastAsia="Times New Roman" w:hint="default"/>
          <w:b/>
          <w:bCs/>
        </w:rPr>
        <w:t>6</w:t>
      </w:r>
      <w:r>
        <w:rPr>
          <w:rFonts w:ascii="宋体" w:hAnsi="宋体" w:cs="宋体" w:eastAsia="宋体" w:hint="default"/>
          <w:b/>
          <w:bCs/>
        </w:rPr>
        <w:t>）新型包装材料：</w:t>
      </w:r>
      <w:r>
        <w:rPr/>
        <w:t>主要包括高阻隔材料、热封材料、易撕膜、预涂膜、超薄复合膜、高真空金属</w:t>
      </w:r>
      <w:r>
        <w:rPr>
          <w:w w:val="100"/>
        </w:rPr>
        <w:t> </w:t>
      </w:r>
      <w:r>
        <w:rPr>
          <w:spacing w:val="-2"/>
        </w:rPr>
        <w:t>化膜，广泛用于医药包装、无菌包装、烟酒、化妆品、日化包装、制袋、涂布、印刷、复合等市场领域。</w:t>
      </w:r>
    </w:p>
    <w:p>
      <w:pPr>
        <w:pStyle w:val="Heading4"/>
        <w:spacing w:line="240" w:lineRule="auto" w:before="64"/>
        <w:ind w:left="575" w:right="101"/>
        <w:jc w:val="left"/>
        <w:rPr>
          <w:b w:val="0"/>
          <w:bCs w:val="0"/>
        </w:rPr>
      </w:pPr>
      <w:r>
        <w:rPr/>
        <w:t>（二）商业模式解析</w:t>
      </w:r>
      <w:r>
        <w:rPr>
          <w:b w:val="0"/>
          <w:bCs w:val="0"/>
        </w:rPr>
      </w:r>
    </w:p>
    <w:p>
      <w:pPr>
        <w:pStyle w:val="BodyText"/>
        <w:spacing w:line="261" w:lineRule="auto" w:before="78"/>
        <w:ind w:right="101" w:firstLine="422"/>
        <w:jc w:val="left"/>
      </w:pPr>
      <w:r>
        <w:rPr>
          <w:rFonts w:ascii="Times New Roman" w:hAnsi="Times New Roman" w:cs="Times New Roman" w:eastAsia="Times New Roman" w:hint="default"/>
          <w:b/>
          <w:bCs/>
        </w:rPr>
        <w:t>1</w:t>
      </w:r>
      <w:r>
        <w:rPr>
          <w:rFonts w:ascii="宋体" w:hAnsi="宋体" w:cs="宋体" w:eastAsia="宋体" w:hint="default"/>
          <w:b/>
          <w:bCs/>
        </w:rPr>
        <w:t>、战略目标：</w:t>
      </w:r>
      <w:r>
        <w:rPr/>
        <w:t>公司目标成长为具有核心竞争力的先进高分子复合材料企业，推进企业向更高质量发</w:t>
      </w:r>
      <w:r>
        <w:rPr>
          <w:w w:val="100"/>
        </w:rPr>
        <w:t> </w:t>
      </w:r>
      <w:r>
        <w:rPr>
          <w:spacing w:val="-5"/>
        </w:rPr>
        <w:t>展。我国是高分子材料的产业大国，高分子材料作为重要工业支撑的材料，广泛应用于国民经济各个领域，</w:t>
      </w:r>
      <w:r>
        <w:rPr>
          <w:spacing w:val="-4"/>
        </w:rPr>
        <w:t> </w:t>
      </w:r>
      <w:r>
        <w:rPr>
          <w:spacing w:val="-4"/>
        </w:rPr>
      </w:r>
      <w:r>
        <w:rPr/>
        <w:t>其中重要分类是先进高分子材料，国家新材料产业</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规划明确提出，将先进高分子材料列入重点发</w:t>
      </w:r>
      <w:r>
        <w:rPr>
          <w:w w:val="100"/>
        </w:rPr>
        <w:t> </w:t>
      </w:r>
      <w:r>
        <w:rPr/>
        <w:t>展六大材料之一，预计未来</w:t>
      </w:r>
      <w:r>
        <w:rPr>
          <w:rFonts w:ascii="Times New Roman" w:hAnsi="Times New Roman" w:cs="Times New Roman" w:eastAsia="Times New Roman" w:hint="default"/>
        </w:rPr>
        <w:t>5-10</w:t>
      </w:r>
      <w:r>
        <w:rPr/>
        <w:t>年将有数万亿的市场规模空间，前景广阔。</w:t>
      </w:r>
    </w:p>
    <w:p>
      <w:pPr>
        <w:pStyle w:val="BodyText"/>
        <w:spacing w:line="240" w:lineRule="auto" w:before="38"/>
        <w:ind w:left="573" w:right="101"/>
        <w:jc w:val="left"/>
      </w:pPr>
      <w:r>
        <w:rPr/>
        <w:t>公司将继续通过科技创新，拓宽高分子材料领域发展路径，实现产品高端化、市场国际化，进而实现</w:t>
      </w:r>
    </w:p>
    <w:p>
      <w:pPr>
        <w:spacing w:after="0" w:line="240" w:lineRule="auto"/>
        <w:jc w:val="left"/>
        <w:sectPr>
          <w:pgSz w:w="11910" w:h="16840"/>
          <w:pgMar w:header="745" w:footer="980" w:top="1060" w:bottom="1160" w:left="980" w:right="920"/>
        </w:sectPr>
      </w:pPr>
    </w:p>
    <w:p>
      <w:pPr>
        <w:spacing w:line="240" w:lineRule="auto" w:before="10"/>
        <w:rPr>
          <w:rFonts w:ascii="宋体" w:hAnsi="宋体" w:cs="宋体" w:eastAsia="宋体" w:hint="default"/>
          <w:sz w:val="24"/>
          <w:szCs w:val="24"/>
        </w:rPr>
      </w:pPr>
    </w:p>
    <w:p>
      <w:pPr>
        <w:pStyle w:val="BodyText"/>
        <w:spacing w:line="240" w:lineRule="auto" w:before="36"/>
        <w:ind w:right="153"/>
        <w:jc w:val="left"/>
      </w:pPr>
      <w:r>
        <w:rPr/>
        <w:t>国产化替代，推进企业长远发展。</w:t>
      </w:r>
    </w:p>
    <w:p>
      <w:pPr>
        <w:pStyle w:val="BodyText"/>
        <w:spacing w:line="264" w:lineRule="auto" w:before="78"/>
        <w:ind w:right="125" w:firstLine="422"/>
        <w:jc w:val="both"/>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）技术创新：</w:t>
      </w:r>
      <w:r>
        <w:rPr/>
        <w:t>科技创新聚焦市场、立足需求，提升效益，项目同步推进，彰显科技创新支撑引领</w:t>
      </w:r>
      <w:r>
        <w:rPr>
          <w:w w:val="100"/>
        </w:rPr>
        <w:t> </w:t>
      </w:r>
      <w:r>
        <w:rPr>
          <w:spacing w:val="-2"/>
        </w:rPr>
        <w:t>作用，以技术创新增强核心竞争力，形成持续成长的新动力。着力加快培育发展新动力，加大科技研发，</w:t>
      </w:r>
      <w:r>
        <w:rPr>
          <w:spacing w:val="-21"/>
        </w:rPr>
        <w:t> </w:t>
      </w:r>
      <w:r>
        <w:rPr>
          <w:spacing w:val="-21"/>
        </w:rPr>
      </w:r>
      <w:r>
        <w:rPr>
          <w:spacing w:val="-1"/>
        </w:rPr>
        <w:t>布局</w:t>
      </w:r>
      <w:r>
        <w:rPr>
          <w:rFonts w:ascii="Times New Roman" w:hAnsi="Times New Roman" w:cs="Times New Roman" w:eastAsia="Times New Roman" w:hint="default"/>
          <w:spacing w:val="-1"/>
        </w:rPr>
        <w:t>“</w:t>
      </w:r>
      <w:r>
        <w:rPr>
          <w:spacing w:val="-1"/>
        </w:rPr>
        <w:t>一所两中心、</w:t>
      </w:r>
      <w:r>
        <w:rPr>
          <w:rFonts w:ascii="Times New Roman" w:hAnsi="Times New Roman" w:cs="Times New Roman" w:eastAsia="Times New Roman" w:hint="default"/>
          <w:spacing w:val="-1"/>
        </w:rPr>
        <w:t>4</w:t>
      </w:r>
      <w:r>
        <w:rPr>
          <w:spacing w:val="-1"/>
        </w:rPr>
        <w:t>大实验室、</w:t>
      </w:r>
      <w:r>
        <w:rPr>
          <w:rFonts w:ascii="Times New Roman" w:hAnsi="Times New Roman" w:cs="Times New Roman" w:eastAsia="Times New Roman" w:hint="default"/>
          <w:spacing w:val="-1"/>
        </w:rPr>
        <w:t>1</w:t>
      </w:r>
      <w:r>
        <w:rPr>
          <w:spacing w:val="-1"/>
        </w:rPr>
        <w:t>个科技孵化中心、</w:t>
      </w:r>
      <w:r>
        <w:rPr>
          <w:rFonts w:ascii="Times New Roman" w:hAnsi="Times New Roman" w:cs="Times New Roman" w:eastAsia="Times New Roman" w:hint="default"/>
          <w:spacing w:val="-1"/>
        </w:rPr>
        <w:t>1</w:t>
      </w:r>
      <w:r>
        <w:rPr>
          <w:spacing w:val="-1"/>
        </w:rPr>
        <w:t>个产业研究院</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“1</w:t>
      </w:r>
      <w:r>
        <w:rPr>
          <w:spacing w:val="-1"/>
        </w:rPr>
        <w:t>个千人计划工作站</w:t>
      </w:r>
      <w:r>
        <w:rPr>
          <w:rFonts w:ascii="Times New Roman" w:hAnsi="Times New Roman" w:cs="Times New Roman" w:eastAsia="Times New Roman" w:hint="default"/>
          <w:spacing w:val="-1"/>
        </w:rPr>
        <w:t>”</w:t>
      </w:r>
      <w:r>
        <w:rPr>
          <w:spacing w:val="-1"/>
        </w:rPr>
        <w:t>，深入实施创</w:t>
      </w:r>
      <w:r>
        <w:rPr>
          <w:spacing w:val="-41"/>
        </w:rPr>
        <w:t> </w:t>
      </w:r>
      <w:r>
        <w:rPr>
          <w:spacing w:val="-41"/>
        </w:rPr>
      </w:r>
      <w:r>
        <w:rPr>
          <w:spacing w:val="-2"/>
        </w:rPr>
        <w:t>新驱动发展战略，在光学材料、节能窗膜材料、新能源材料、信息材料、热收缩材料等技术领域，形成全</w:t>
      </w:r>
      <w:r>
        <w:rPr>
          <w:spacing w:val="-42"/>
        </w:rPr>
        <w:t> </w:t>
      </w:r>
      <w:r>
        <w:rPr>
          <w:spacing w:val="-42"/>
        </w:rPr>
      </w:r>
      <w:r>
        <w:rPr/>
        <w:t>面布局，逐步实现进口替代，占领市场制高点形成竞争优势。</w:t>
      </w:r>
    </w:p>
    <w:p>
      <w:pPr>
        <w:pStyle w:val="BodyText"/>
        <w:spacing w:line="264" w:lineRule="auto" w:before="54"/>
        <w:ind w:right="147" w:firstLine="422"/>
        <w:jc w:val="both"/>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）商业模式创新：</w:t>
      </w:r>
      <w:r>
        <w:rPr/>
        <w:t>通过创新实现膜材料领域向上拓展，通过产业延伸开展技术进步，资源整合，</w:t>
      </w:r>
      <w:r>
        <w:rPr>
          <w:w w:val="100"/>
        </w:rPr>
        <w:t> </w:t>
      </w:r>
      <w:r>
        <w:rPr>
          <w:spacing w:val="-2"/>
        </w:rPr>
        <w:t>向战略性新兴产业转化，全面推进技术、管理、营销创新，满足多元化需求，成长为具有核心竞争力的先</w:t>
      </w:r>
      <w:r>
        <w:rPr>
          <w:spacing w:val="-43"/>
        </w:rPr>
        <w:t> </w:t>
      </w:r>
      <w:r>
        <w:rPr>
          <w:spacing w:val="-43"/>
        </w:rPr>
      </w:r>
      <w:r>
        <w:rPr/>
        <w:t>进高分子复合材料企业。</w:t>
      </w:r>
    </w:p>
    <w:p>
      <w:pPr>
        <w:pStyle w:val="Heading4"/>
        <w:spacing w:line="240" w:lineRule="auto" w:before="57"/>
        <w:ind w:left="575" w:right="153"/>
        <w:jc w:val="left"/>
        <w:rPr>
          <w:b w:val="0"/>
          <w:bCs w:val="0"/>
        </w:rPr>
      </w:pPr>
      <w:r>
        <w:rPr>
          <w:rFonts w:ascii="Times New Roman" w:hAnsi="Times New Roman" w:cs="Times New Roman" w:eastAsia="Times New Roman" w:hint="default"/>
        </w:rPr>
        <w:t>2</w:t>
      </w:r>
      <w:r>
        <w:rPr/>
        <w:t>、公司未来三年的增长驱动要素</w:t>
      </w:r>
      <w:r>
        <w:rPr>
          <w:b w:val="0"/>
          <w:bCs w:val="0"/>
        </w:rPr>
      </w:r>
    </w:p>
    <w:p>
      <w:pPr>
        <w:pStyle w:val="BodyText"/>
        <w:spacing w:line="256" w:lineRule="auto" w:before="62"/>
        <w:ind w:right="154" w:firstLine="422"/>
        <w:jc w:val="both"/>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）产能增长因素：</w:t>
      </w:r>
      <w:r>
        <w:rPr/>
        <w:t>公司将通过光学膜一期项目的全面布局加大产能的满产达效和新建项目二亿平</w:t>
      </w:r>
      <w:r>
        <w:rPr>
          <w:w w:val="100"/>
        </w:rPr>
        <w:t> </w:t>
      </w:r>
      <w:r>
        <w:rPr/>
        <w:t>米光学膜项目陆续建成投产，在未来三年产销量将逐步提升，实现业绩稳健增长。</w:t>
      </w:r>
    </w:p>
    <w:p>
      <w:pPr>
        <w:spacing w:line="259" w:lineRule="auto" w:before="61"/>
        <w:ind w:left="152" w:right="149" w:firstLine="360"/>
        <w:jc w:val="both"/>
        <w:rPr>
          <w:rFonts w:ascii="宋体" w:hAnsi="宋体" w:cs="宋体" w:eastAsia="宋体" w:hint="default"/>
          <w:sz w:val="21"/>
          <w:szCs w:val="21"/>
        </w:rPr>
      </w:pPr>
      <w:r>
        <w:rPr>
          <w:rFonts w:ascii="宋体" w:hAnsi="宋体" w:cs="宋体" w:eastAsia="宋体" w:hint="default"/>
          <w:b/>
          <w:bCs/>
          <w:spacing w:val="-3"/>
          <w:sz w:val="21"/>
          <w:szCs w:val="21"/>
        </w:rPr>
        <w:t>（</w:t>
      </w:r>
      <w:r>
        <w:rPr>
          <w:rFonts w:ascii="Times New Roman" w:hAnsi="Times New Roman" w:cs="Times New Roman" w:eastAsia="Times New Roman" w:hint="default"/>
          <w:b/>
          <w:bCs/>
          <w:spacing w:val="-3"/>
          <w:sz w:val="21"/>
          <w:szCs w:val="21"/>
        </w:rPr>
        <w:t>2</w:t>
      </w:r>
      <w:r>
        <w:rPr>
          <w:rFonts w:ascii="宋体" w:hAnsi="宋体" w:cs="宋体" w:eastAsia="宋体" w:hint="default"/>
          <w:b/>
          <w:bCs/>
          <w:spacing w:val="-3"/>
          <w:sz w:val="21"/>
          <w:szCs w:val="21"/>
        </w:rPr>
        <w:t>）依靠创新推动动力转换和结构优化升级：</w:t>
      </w:r>
      <w:r>
        <w:rPr>
          <w:rFonts w:ascii="宋体" w:hAnsi="宋体" w:cs="宋体" w:eastAsia="宋体" w:hint="default"/>
          <w:spacing w:val="-3"/>
          <w:sz w:val="21"/>
          <w:szCs w:val="21"/>
        </w:rPr>
        <w:t>依靠科技创新，大力度推进创新发展，进一步加速人才</w:t>
      </w:r>
      <w:r>
        <w:rPr>
          <w:rFonts w:ascii="宋体" w:hAnsi="宋体" w:cs="宋体" w:eastAsia="宋体" w:hint="default"/>
          <w:w w:val="100"/>
          <w:sz w:val="21"/>
          <w:szCs w:val="21"/>
        </w:rPr>
        <w:t> </w:t>
      </w:r>
      <w:r>
        <w:rPr>
          <w:rFonts w:ascii="宋体" w:hAnsi="宋体" w:cs="宋体" w:eastAsia="宋体" w:hint="default"/>
          <w:sz w:val="21"/>
          <w:szCs w:val="21"/>
        </w:rPr>
        <w:t>集聚，加快五大板块拓展，加大产品结构的调整，持续向中高端迈进，形成全球竞争优势。</w:t>
      </w:r>
    </w:p>
    <w:p>
      <w:pPr>
        <w:spacing w:line="240" w:lineRule="auto" w:before="7"/>
        <w:rPr>
          <w:rFonts w:ascii="宋体" w:hAnsi="宋体" w:cs="宋体" w:eastAsia="宋体" w:hint="default"/>
          <w:sz w:val="22"/>
          <w:szCs w:val="22"/>
        </w:rPr>
      </w:pPr>
    </w:p>
    <w:p>
      <w:pPr>
        <w:pStyle w:val="Heading2"/>
        <w:spacing w:line="240" w:lineRule="auto"/>
        <w:ind w:right="153"/>
        <w:jc w:val="left"/>
        <w:rPr>
          <w:b w:val="0"/>
          <w:bCs w:val="0"/>
        </w:rPr>
      </w:pP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53"/>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835"/>
        <w:gridCol w:w="6735"/>
      </w:tblGrid>
      <w:tr>
        <w:trPr>
          <w:trHeight w:val="186" w:hRule="exact"/>
        </w:trPr>
        <w:tc>
          <w:tcPr>
            <w:tcW w:w="283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3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28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7" w:hRule="exact"/>
        </w:trPr>
        <w:tc>
          <w:tcPr>
            <w:tcW w:w="283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3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73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73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73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161" w:hRule="exact"/>
        </w:trPr>
        <w:tc>
          <w:tcPr>
            <w:tcW w:w="283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35" w:type="dxa"/>
            <w:vMerge w:val="restart"/>
            <w:tcBorders>
              <w:top w:val="single" w:sz="4" w:space="0" w:color="000000"/>
              <w:left w:val="single" w:sz="10" w:space="0" w:color="D2D2D2"/>
              <w:right w:val="single" w:sz="4" w:space="0" w:color="000000"/>
            </w:tcBorders>
          </w:tcPr>
          <w:p>
            <w:pPr>
              <w:pStyle w:val="TableParagraph"/>
              <w:spacing w:line="300" w:lineRule="auto" w:before="49"/>
              <w:ind w:left="16" w:right="22"/>
              <w:jc w:val="left"/>
              <w:rPr>
                <w:rFonts w:ascii="宋体" w:hAnsi="宋体" w:cs="宋体" w:eastAsia="宋体" w:hint="default"/>
                <w:sz w:val="18"/>
                <w:szCs w:val="18"/>
              </w:rPr>
            </w:pPr>
            <w:r>
              <w:rPr>
                <w:rFonts w:ascii="宋体" w:hAnsi="宋体" w:cs="宋体" w:eastAsia="宋体" w:hint="default"/>
                <w:sz w:val="18"/>
                <w:szCs w:val="18"/>
              </w:rPr>
              <w:t>期末余额为 </w:t>
            </w:r>
            <w:r>
              <w:rPr>
                <w:rFonts w:ascii="Times New Roman" w:hAnsi="Times New Roman" w:cs="Times New Roman" w:eastAsia="Times New Roman" w:hint="default"/>
                <w:sz w:val="18"/>
                <w:szCs w:val="18"/>
              </w:rPr>
              <w:t>911,445,567.90 </w:t>
            </w:r>
            <w:r>
              <w:rPr>
                <w:rFonts w:ascii="宋体" w:hAnsi="宋体" w:cs="宋体" w:eastAsia="宋体" w:hint="default"/>
                <w:spacing w:val="-4"/>
                <w:sz w:val="18"/>
                <w:szCs w:val="18"/>
              </w:rPr>
              <w:t>元，较年初增长</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165.03%</w:t>
            </w:r>
            <w:r>
              <w:rPr>
                <w:rFonts w:ascii="宋体" w:hAnsi="宋体" w:cs="宋体" w:eastAsia="宋体" w:hint="default"/>
                <w:sz w:val="18"/>
                <w:szCs w:val="18"/>
              </w:rPr>
              <w:t>，增长原因系公司二亿平光学膜 二期项目投资建设期所致</w:t>
            </w:r>
          </w:p>
        </w:tc>
      </w:tr>
      <w:tr>
        <w:trPr>
          <w:trHeight w:val="394" w:hRule="exact"/>
        </w:trPr>
        <w:tc>
          <w:tcPr>
            <w:tcW w:w="28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735" w:type="dxa"/>
            <w:vMerge/>
            <w:tcBorders>
              <w:left w:val="single" w:sz="10" w:space="0" w:color="D2D2D2"/>
              <w:right w:val="single" w:sz="4" w:space="0" w:color="000000"/>
            </w:tcBorders>
          </w:tcPr>
          <w:p>
            <w:pPr/>
          </w:p>
        </w:tc>
      </w:tr>
      <w:tr>
        <w:trPr>
          <w:trHeight w:val="161" w:hRule="exact"/>
        </w:trPr>
        <w:tc>
          <w:tcPr>
            <w:tcW w:w="283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35" w:type="dxa"/>
            <w:vMerge/>
            <w:tcBorders>
              <w:left w:val="single" w:sz="10" w:space="0" w:color="D2D2D2"/>
              <w:bottom w:val="single" w:sz="4" w:space="0" w:color="000000"/>
              <w:right w:val="single" w:sz="4" w:space="0" w:color="000000"/>
            </w:tcBorders>
          </w:tcPr>
          <w:p>
            <w:pPr/>
          </w:p>
        </w:tc>
      </w:tr>
      <w:tr>
        <w:trPr>
          <w:trHeight w:val="71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673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4"/>
              <w:jc w:val="left"/>
              <w:rPr>
                <w:rFonts w:ascii="宋体" w:hAnsi="宋体" w:cs="宋体" w:eastAsia="宋体" w:hint="default"/>
                <w:sz w:val="18"/>
                <w:szCs w:val="18"/>
              </w:rPr>
            </w:pPr>
            <w:r>
              <w:rPr>
                <w:rFonts w:ascii="宋体" w:hAnsi="宋体" w:cs="宋体" w:eastAsia="宋体" w:hint="default"/>
                <w:sz w:val="18"/>
                <w:szCs w:val="18"/>
              </w:rPr>
              <w:t>期末余额为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270,566,884.89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元，较年初增长</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36.06%</w:t>
            </w:r>
            <w:r>
              <w:rPr>
                <w:rFonts w:ascii="宋体" w:hAnsi="宋体" w:cs="宋体" w:eastAsia="宋体" w:hint="default"/>
                <w:sz w:val="18"/>
                <w:szCs w:val="18"/>
              </w:rPr>
              <w:t>，增长原因系公司销售增长相应以 应收票据结算方式同向增长所致</w:t>
            </w:r>
          </w:p>
        </w:tc>
      </w:tr>
      <w:tr>
        <w:trPr>
          <w:trHeight w:val="715"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73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4"/>
              <w:jc w:val="left"/>
              <w:rPr>
                <w:rFonts w:ascii="宋体" w:hAnsi="宋体" w:cs="宋体" w:eastAsia="宋体" w:hint="default"/>
                <w:sz w:val="18"/>
                <w:szCs w:val="18"/>
              </w:rPr>
            </w:pPr>
            <w:r>
              <w:rPr>
                <w:rFonts w:ascii="宋体" w:hAnsi="宋体" w:cs="宋体" w:eastAsia="宋体" w:hint="default"/>
                <w:sz w:val="18"/>
                <w:szCs w:val="18"/>
              </w:rPr>
              <w:t>期末余额为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908,896,334.12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元，较年初增长</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41.77%</w:t>
            </w:r>
            <w:r>
              <w:rPr>
                <w:rFonts w:ascii="宋体" w:hAnsi="宋体" w:cs="宋体" w:eastAsia="宋体" w:hint="default"/>
                <w:sz w:val="18"/>
                <w:szCs w:val="18"/>
              </w:rPr>
              <w:t>，增长原因系公司对客户授信赊销 形式结算货款比例较上年同期大幅增加所致</w:t>
            </w:r>
          </w:p>
        </w:tc>
      </w:tr>
      <w:tr>
        <w:trPr>
          <w:trHeight w:val="71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673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4"/>
              <w:jc w:val="left"/>
              <w:rPr>
                <w:rFonts w:ascii="宋体" w:hAnsi="宋体" w:cs="宋体" w:eastAsia="宋体" w:hint="default"/>
                <w:sz w:val="18"/>
                <w:szCs w:val="18"/>
              </w:rPr>
            </w:pPr>
            <w:r>
              <w:rPr>
                <w:rFonts w:ascii="宋体" w:hAnsi="宋体" w:cs="宋体" w:eastAsia="宋体" w:hint="default"/>
                <w:sz w:val="18"/>
                <w:szCs w:val="18"/>
              </w:rPr>
              <w:t>期末余额为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614,292,381.77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元，较年初增长</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33.63%</w:t>
            </w:r>
            <w:r>
              <w:rPr>
                <w:rFonts w:ascii="宋体" w:hAnsi="宋体" w:cs="宋体" w:eastAsia="宋体" w:hint="default"/>
                <w:sz w:val="18"/>
                <w:szCs w:val="18"/>
              </w:rPr>
              <w:t>，增长原因系公司材料预付款增加 所致</w:t>
            </w:r>
          </w:p>
        </w:tc>
      </w:tr>
      <w:tr>
        <w:trPr>
          <w:trHeight w:val="715"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673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期末余额为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11,931,218.36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元，较年初增长</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741.20%</w:t>
            </w:r>
            <w:r>
              <w:rPr>
                <w:rFonts w:ascii="宋体" w:hAnsi="宋体" w:cs="宋体" w:eastAsia="宋体" w:hint="default"/>
                <w:sz w:val="18"/>
                <w:szCs w:val="18"/>
              </w:rPr>
              <w:t>，增长原因系公司存款利息及理财 收益增长所致</w:t>
            </w:r>
          </w:p>
        </w:tc>
      </w:tr>
      <w:tr>
        <w:trPr>
          <w:trHeight w:val="71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73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68"/>
              <w:jc w:val="left"/>
              <w:rPr>
                <w:rFonts w:ascii="宋体" w:hAnsi="宋体" w:cs="宋体" w:eastAsia="宋体" w:hint="default"/>
                <w:sz w:val="18"/>
                <w:szCs w:val="18"/>
              </w:rPr>
            </w:pPr>
            <w:r>
              <w:rPr>
                <w:rFonts w:ascii="宋体" w:hAnsi="宋体" w:cs="宋体" w:eastAsia="宋体" w:hint="default"/>
                <w:sz w:val="18"/>
                <w:szCs w:val="18"/>
              </w:rPr>
              <w:t>期末余额为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1,305,262,301.08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元，较年初增长</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1282.45%</w:t>
            </w:r>
            <w:r>
              <w:rPr>
                <w:rFonts w:ascii="宋体" w:hAnsi="宋体" w:cs="宋体" w:eastAsia="宋体" w:hint="default"/>
                <w:sz w:val="18"/>
                <w:szCs w:val="18"/>
              </w:rPr>
              <w:t>，增长原因系公司新增理财产 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亿元所致</w:t>
            </w:r>
          </w:p>
        </w:tc>
      </w:tr>
      <w:tr>
        <w:trPr>
          <w:trHeight w:val="715"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673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4"/>
              <w:jc w:val="left"/>
              <w:rPr>
                <w:rFonts w:ascii="宋体" w:hAnsi="宋体" w:cs="宋体" w:eastAsia="宋体" w:hint="default"/>
                <w:sz w:val="18"/>
                <w:szCs w:val="18"/>
              </w:rPr>
            </w:pPr>
            <w:r>
              <w:rPr>
                <w:rFonts w:ascii="宋体" w:hAnsi="宋体" w:cs="宋体" w:eastAsia="宋体" w:hint="default"/>
                <w:sz w:val="18"/>
                <w:szCs w:val="18"/>
              </w:rPr>
              <w:t>期末余额为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403,194,200.00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元，较年初增长</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7662.39%</w:t>
            </w:r>
            <w:r>
              <w:rPr>
                <w:rFonts w:ascii="宋体" w:hAnsi="宋体" w:cs="宋体" w:eastAsia="宋体" w:hint="default"/>
                <w:sz w:val="18"/>
                <w:szCs w:val="18"/>
              </w:rPr>
              <w:t>，增长原因系公司本期新增苏宁 银行投资款所致</w:t>
            </w:r>
          </w:p>
        </w:tc>
      </w:tr>
      <w:tr>
        <w:trPr>
          <w:trHeight w:val="71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673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期末余额为</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20,000,000.00</w:t>
            </w:r>
            <w:r>
              <w:rPr>
                <w:rFonts w:ascii="Times New Roman" w:hAnsi="Times New Roman" w:cs="Times New Roman" w:eastAsia="Times New Roman" w:hint="default"/>
                <w:spacing w:val="7"/>
                <w:sz w:val="18"/>
                <w:szCs w:val="18"/>
              </w:rPr>
              <w:t> </w:t>
            </w:r>
            <w:r>
              <w:rPr>
                <w:rFonts w:ascii="宋体" w:hAnsi="宋体" w:cs="宋体" w:eastAsia="宋体" w:hint="default"/>
                <w:spacing w:val="-7"/>
                <w:sz w:val="18"/>
                <w:szCs w:val="18"/>
              </w:rPr>
              <w:t>元，较年初减少</w:t>
            </w:r>
            <w:r>
              <w:rPr>
                <w:rFonts w:ascii="宋体" w:hAnsi="宋体" w:cs="宋体" w:eastAsia="宋体" w:hint="default"/>
                <w:spacing w:val="-40"/>
                <w:sz w:val="18"/>
                <w:szCs w:val="18"/>
              </w:rPr>
              <w:t> </w:t>
            </w:r>
            <w:r>
              <w:rPr>
                <w:rFonts w:ascii="Times New Roman" w:hAnsi="Times New Roman" w:cs="Times New Roman" w:eastAsia="Times New Roman" w:hint="default"/>
                <w:spacing w:val="-3"/>
                <w:sz w:val="18"/>
                <w:szCs w:val="18"/>
              </w:rPr>
              <w:t>76.44%</w:t>
            </w:r>
            <w:r>
              <w:rPr>
                <w:rFonts w:ascii="宋体" w:hAnsi="宋体" w:cs="宋体" w:eastAsia="宋体" w:hint="default"/>
                <w:spacing w:val="-3"/>
                <w:sz w:val="18"/>
                <w:szCs w:val="18"/>
              </w:rPr>
              <w:t>，减少原因系公司本期计提商誉减值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准备所致</w:t>
            </w:r>
          </w:p>
        </w:tc>
      </w:tr>
    </w:tbl>
    <w:p>
      <w:pPr>
        <w:spacing w:after="0" w:line="30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2835"/>
        <w:gridCol w:w="6735"/>
      </w:tblGrid>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6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期末余额为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1,488,156.35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元，较年初减少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34.51%</w:t>
            </w:r>
            <w:r>
              <w:rPr>
                <w:rFonts w:ascii="宋体" w:hAnsi="宋体" w:cs="宋体" w:eastAsia="宋体" w:hint="default"/>
                <w:sz w:val="18"/>
                <w:szCs w:val="18"/>
              </w:rPr>
              <w:t>，减少原因系公司本期摊销费用所致</w:t>
            </w:r>
          </w:p>
        </w:tc>
      </w:tr>
      <w:tr>
        <w:trPr>
          <w:trHeight w:val="716"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673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24"/>
              <w:jc w:val="left"/>
              <w:rPr>
                <w:rFonts w:ascii="宋体" w:hAnsi="宋体" w:cs="宋体" w:eastAsia="宋体" w:hint="default"/>
                <w:sz w:val="18"/>
                <w:szCs w:val="18"/>
              </w:rPr>
            </w:pPr>
            <w:r>
              <w:rPr>
                <w:rFonts w:ascii="宋体" w:hAnsi="宋体" w:cs="宋体" w:eastAsia="宋体" w:hint="default"/>
                <w:sz w:val="18"/>
                <w:szCs w:val="18"/>
              </w:rPr>
              <w:t>期末余额为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9,529,648.03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元，较年初增长</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42.82%</w:t>
            </w:r>
            <w:r>
              <w:rPr>
                <w:rFonts w:ascii="宋体" w:hAnsi="宋体" w:cs="宋体" w:eastAsia="宋体" w:hint="default"/>
                <w:sz w:val="18"/>
                <w:szCs w:val="18"/>
              </w:rPr>
              <w:t>，增长原因系公司本期增加资产减值 准备而相应增加的可抵扣暂时性差异所致</w:t>
            </w:r>
          </w:p>
        </w:tc>
      </w:tr>
      <w:tr>
        <w:trPr>
          <w:trHeight w:val="71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673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4"/>
              <w:jc w:val="left"/>
              <w:rPr>
                <w:rFonts w:ascii="宋体" w:hAnsi="宋体" w:cs="宋体" w:eastAsia="宋体" w:hint="default"/>
                <w:sz w:val="18"/>
                <w:szCs w:val="18"/>
              </w:rPr>
            </w:pPr>
            <w:r>
              <w:rPr>
                <w:rFonts w:ascii="宋体" w:hAnsi="宋体" w:cs="宋体" w:eastAsia="宋体" w:hint="default"/>
                <w:sz w:val="18"/>
                <w:szCs w:val="18"/>
              </w:rPr>
              <w:t>期末余额为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422,264,680.00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元，较年初增长</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32.88%</w:t>
            </w:r>
            <w:r>
              <w:rPr>
                <w:rFonts w:ascii="宋体" w:hAnsi="宋体" w:cs="宋体" w:eastAsia="宋体" w:hint="default"/>
                <w:sz w:val="18"/>
                <w:szCs w:val="18"/>
              </w:rPr>
              <w:t>，增长原因系公司采购增长相应银 行承兑汇票结算增长所致</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6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期末余额为 </w:t>
            </w:r>
            <w:r>
              <w:rPr>
                <w:rFonts w:ascii="Times New Roman" w:hAnsi="Times New Roman" w:cs="Times New Roman" w:eastAsia="Times New Roman" w:hint="default"/>
                <w:sz w:val="18"/>
                <w:szCs w:val="18"/>
              </w:rPr>
              <w:t>27,968,348.32 </w:t>
            </w:r>
            <w:r>
              <w:rPr>
                <w:rFonts w:ascii="宋体" w:hAnsi="宋体" w:cs="宋体" w:eastAsia="宋体" w:hint="default"/>
                <w:spacing w:val="-7"/>
                <w:sz w:val="18"/>
                <w:szCs w:val="18"/>
              </w:rPr>
              <w:t>元，较年初增长</w:t>
            </w:r>
            <w:r>
              <w:rPr>
                <w:rFonts w:ascii="宋体" w:hAnsi="宋体" w:cs="宋体" w:eastAsia="宋体" w:hint="default"/>
                <w:spacing w:val="-69"/>
                <w:sz w:val="18"/>
                <w:szCs w:val="18"/>
              </w:rPr>
              <w:t> </w:t>
            </w:r>
            <w:r>
              <w:rPr>
                <w:rFonts w:ascii="Times New Roman" w:hAnsi="Times New Roman" w:cs="Times New Roman" w:eastAsia="Times New Roman" w:hint="default"/>
                <w:spacing w:val="-3"/>
                <w:sz w:val="18"/>
                <w:szCs w:val="18"/>
              </w:rPr>
              <w:t>40.82%</w:t>
            </w:r>
            <w:r>
              <w:rPr>
                <w:rFonts w:ascii="宋体" w:hAnsi="宋体" w:cs="宋体" w:eastAsia="宋体" w:hint="default"/>
                <w:spacing w:val="-3"/>
                <w:sz w:val="18"/>
                <w:szCs w:val="18"/>
              </w:rPr>
              <w:t>，增长原因系公司预收货款增长所致</w:t>
            </w:r>
          </w:p>
        </w:tc>
      </w:tr>
      <w:tr>
        <w:trPr>
          <w:trHeight w:val="71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673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期末余额为</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9,897,990.07</w:t>
            </w:r>
            <w:r>
              <w:rPr>
                <w:rFonts w:ascii="Times New Roman" w:hAnsi="Times New Roman" w:cs="Times New Roman" w:eastAsia="Times New Roman" w:hint="default"/>
                <w:spacing w:val="7"/>
                <w:sz w:val="18"/>
                <w:szCs w:val="18"/>
              </w:rPr>
              <w:t> </w:t>
            </w:r>
            <w:r>
              <w:rPr>
                <w:rFonts w:ascii="宋体" w:hAnsi="宋体" w:cs="宋体" w:eastAsia="宋体" w:hint="default"/>
                <w:spacing w:val="-7"/>
                <w:sz w:val="18"/>
                <w:szCs w:val="18"/>
              </w:rPr>
              <w:t>元，较年初增长</w:t>
            </w:r>
            <w:r>
              <w:rPr>
                <w:rFonts w:ascii="宋体" w:hAnsi="宋体" w:cs="宋体" w:eastAsia="宋体" w:hint="default"/>
                <w:spacing w:val="-41"/>
                <w:sz w:val="18"/>
                <w:szCs w:val="18"/>
              </w:rPr>
              <w:t> </w:t>
            </w:r>
            <w:r>
              <w:rPr>
                <w:rFonts w:ascii="Times New Roman" w:hAnsi="Times New Roman" w:cs="Times New Roman" w:eastAsia="Times New Roman" w:hint="default"/>
                <w:spacing w:val="-3"/>
                <w:sz w:val="18"/>
                <w:szCs w:val="18"/>
              </w:rPr>
              <w:t>726.55%</w:t>
            </w:r>
            <w:r>
              <w:rPr>
                <w:rFonts w:ascii="宋体" w:hAnsi="宋体" w:cs="宋体" w:eastAsia="宋体" w:hint="default"/>
                <w:spacing w:val="-3"/>
                <w:sz w:val="18"/>
                <w:szCs w:val="18"/>
              </w:rPr>
              <w:t>，增长原因系公司实现应交税费增长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所致</w:t>
            </w:r>
          </w:p>
        </w:tc>
      </w:tr>
      <w:tr>
        <w:trPr>
          <w:trHeight w:val="715"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673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期末余额为</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296,449,486.90</w:t>
            </w:r>
            <w:r>
              <w:rPr>
                <w:rFonts w:ascii="Times New Roman" w:hAnsi="Times New Roman" w:cs="Times New Roman" w:eastAsia="Times New Roman" w:hint="default"/>
                <w:spacing w:val="6"/>
                <w:sz w:val="18"/>
                <w:szCs w:val="18"/>
              </w:rPr>
              <w:t> </w:t>
            </w:r>
            <w:r>
              <w:rPr>
                <w:rFonts w:ascii="宋体" w:hAnsi="宋体" w:cs="宋体" w:eastAsia="宋体" w:hint="default"/>
                <w:spacing w:val="-7"/>
                <w:sz w:val="18"/>
                <w:szCs w:val="18"/>
              </w:rPr>
              <w:t>元，较年初增长</w:t>
            </w:r>
            <w:r>
              <w:rPr>
                <w:rFonts w:ascii="宋体" w:hAnsi="宋体" w:cs="宋体" w:eastAsia="宋体" w:hint="default"/>
                <w:spacing w:val="-42"/>
                <w:sz w:val="18"/>
                <w:szCs w:val="18"/>
              </w:rPr>
              <w:t> </w:t>
            </w:r>
            <w:r>
              <w:rPr>
                <w:rFonts w:ascii="Times New Roman" w:hAnsi="Times New Roman" w:cs="Times New Roman" w:eastAsia="Times New Roman" w:hint="default"/>
                <w:spacing w:val="-3"/>
                <w:sz w:val="18"/>
                <w:szCs w:val="18"/>
              </w:rPr>
              <w:t>174.45%</w:t>
            </w:r>
            <w:r>
              <w:rPr>
                <w:rFonts w:ascii="宋体" w:hAnsi="宋体" w:cs="宋体" w:eastAsia="宋体" w:hint="default"/>
                <w:spacing w:val="-3"/>
                <w:sz w:val="18"/>
                <w:szCs w:val="18"/>
              </w:rPr>
              <w:t>，增长原因系公司项目建设投资未</w:t>
            </w:r>
            <w:r>
              <w:rPr>
                <w:rFonts w:ascii="宋体" w:hAnsi="宋体" w:cs="宋体" w:eastAsia="宋体" w:hint="default"/>
                <w:sz w:val="18"/>
                <w:szCs w:val="18"/>
              </w:rPr>
              <w:t> 到约定付款期增长所致</w:t>
            </w:r>
          </w:p>
        </w:tc>
      </w:tr>
      <w:tr>
        <w:trPr>
          <w:trHeight w:val="71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673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68"/>
              <w:jc w:val="left"/>
              <w:rPr>
                <w:rFonts w:ascii="宋体" w:hAnsi="宋体" w:cs="宋体" w:eastAsia="宋体" w:hint="default"/>
                <w:sz w:val="18"/>
                <w:szCs w:val="18"/>
              </w:rPr>
            </w:pPr>
            <w:r>
              <w:rPr>
                <w:rFonts w:ascii="宋体" w:hAnsi="宋体" w:cs="宋体" w:eastAsia="宋体" w:hint="default"/>
                <w:sz w:val="18"/>
                <w:szCs w:val="18"/>
              </w:rPr>
              <w:t>期末余额为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1,156,278,085.00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元，较年初增长</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61.19%</w:t>
            </w:r>
            <w:r>
              <w:rPr>
                <w:rFonts w:ascii="宋体" w:hAnsi="宋体" w:cs="宋体" w:eastAsia="宋体" w:hint="default"/>
                <w:sz w:val="18"/>
                <w:szCs w:val="18"/>
              </w:rPr>
              <w:t>，增长原因系公司定向增发及资 本公积转增股本增长所致</w:t>
            </w:r>
          </w:p>
        </w:tc>
      </w:tr>
      <w:tr>
        <w:trPr>
          <w:trHeight w:val="715"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673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68"/>
              <w:jc w:val="left"/>
              <w:rPr>
                <w:rFonts w:ascii="宋体" w:hAnsi="宋体" w:cs="宋体" w:eastAsia="宋体" w:hint="default"/>
                <w:sz w:val="18"/>
                <w:szCs w:val="18"/>
              </w:rPr>
            </w:pPr>
            <w:r>
              <w:rPr>
                <w:rFonts w:ascii="宋体" w:hAnsi="宋体" w:cs="宋体" w:eastAsia="宋体" w:hint="default"/>
                <w:sz w:val="18"/>
                <w:szCs w:val="18"/>
              </w:rPr>
              <w:t>期末余额为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5,185,545,435.71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元，较年初增长</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42.59%</w:t>
            </w:r>
            <w:r>
              <w:rPr>
                <w:rFonts w:ascii="宋体" w:hAnsi="宋体" w:cs="宋体" w:eastAsia="宋体" w:hint="default"/>
                <w:sz w:val="18"/>
                <w:szCs w:val="18"/>
              </w:rPr>
              <w:t>，增长原因系公司定向增发募集 资金到账所致</w:t>
            </w:r>
          </w:p>
        </w:tc>
      </w:tr>
    </w:tbl>
    <w:p>
      <w:pPr>
        <w:spacing w:line="240" w:lineRule="auto" w:before="3"/>
        <w:rPr>
          <w:rFonts w:ascii="宋体" w:hAnsi="宋体" w:cs="宋体" w:eastAsia="宋体" w:hint="default"/>
          <w:b/>
          <w:bCs/>
          <w:sz w:val="19"/>
          <w:szCs w:val="19"/>
        </w:rPr>
      </w:pPr>
    </w:p>
    <w:p>
      <w:pPr>
        <w:pStyle w:val="Heading4"/>
        <w:spacing w:line="240" w:lineRule="auto" w:before="36"/>
        <w:ind w:right="101"/>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4"/>
        <w:rPr>
          <w:rFonts w:ascii="宋体" w:hAnsi="宋体" w:cs="宋体" w:eastAsia="宋体" w:hint="default"/>
          <w:b/>
          <w:bCs/>
          <w:sz w:val="26"/>
          <w:szCs w:val="26"/>
        </w:rPr>
      </w:pPr>
    </w:p>
    <w:p>
      <w:pPr>
        <w:spacing w:before="0"/>
        <w:ind w:left="152" w:right="10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01"/>
        <w:jc w:val="left"/>
        <w:rPr>
          <w:b w:val="0"/>
          <w:bCs w:val="0"/>
        </w:rPr>
      </w:pPr>
      <w:r>
        <w:rPr/>
        <w:t>三、核心竞争力分析</w:t>
      </w:r>
      <w:r>
        <w:rPr>
          <w:b w:val="0"/>
          <w:bCs w:val="0"/>
        </w:rPr>
      </w:r>
    </w:p>
    <w:p>
      <w:pPr>
        <w:spacing w:line="240" w:lineRule="auto" w:before="6"/>
        <w:rPr>
          <w:rFonts w:ascii="宋体" w:hAnsi="宋体" w:cs="宋体" w:eastAsia="宋体" w:hint="default"/>
          <w:b/>
          <w:bCs/>
          <w:sz w:val="26"/>
          <w:szCs w:val="26"/>
        </w:rPr>
      </w:pPr>
    </w:p>
    <w:p>
      <w:pPr>
        <w:spacing w:line="360" w:lineRule="auto" w:before="0"/>
        <w:ind w:left="152" w:right="677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spacing w:line="290" w:lineRule="auto" w:before="7"/>
        <w:ind w:left="573" w:right="101"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、自主创新，技术研发优势</w:t>
      </w:r>
      <w:r>
        <w:rPr>
          <w:rFonts w:ascii="宋体" w:hAnsi="宋体" w:cs="宋体" w:eastAsia="宋体" w:hint="default"/>
          <w:b/>
          <w:bCs/>
          <w:w w:val="100"/>
          <w:sz w:val="21"/>
          <w:szCs w:val="21"/>
        </w:rPr>
        <w:t> </w:t>
      </w:r>
      <w:r>
        <w:rPr>
          <w:rFonts w:ascii="宋体" w:hAnsi="宋体" w:cs="宋体" w:eastAsia="宋体" w:hint="default"/>
          <w:spacing w:val="-2"/>
          <w:sz w:val="21"/>
          <w:szCs w:val="21"/>
        </w:rPr>
        <w:t>公司注重自主创新和技术研发，拥有较为完善的技术创新体系，具备自主创新能力，增强先进高分子</w:t>
      </w:r>
    </w:p>
    <w:p>
      <w:pPr>
        <w:pStyle w:val="BodyText"/>
        <w:spacing w:line="273" w:lineRule="auto"/>
        <w:ind w:right="206"/>
        <w:jc w:val="both"/>
      </w:pPr>
      <w:r>
        <w:rPr>
          <w:spacing w:val="-2"/>
        </w:rPr>
        <w:t>复合材料领域的核心竞争力优势，突破传统模式发展，材料开发向核心材料技术延伸，实现高端智能膜材</w:t>
      </w:r>
      <w:r>
        <w:rPr>
          <w:spacing w:val="-43"/>
        </w:rPr>
        <w:t> </w:t>
      </w:r>
      <w:r>
        <w:rPr>
          <w:spacing w:val="-43"/>
        </w:rPr>
      </w:r>
      <w:r>
        <w:rPr>
          <w:spacing w:val="-2"/>
        </w:rPr>
        <w:t>全面升级，材料领域持续向高端发展，全球开展技术交流合作，通过人才培养和引进机制，技术技能人才</w:t>
      </w:r>
      <w:r>
        <w:rPr>
          <w:spacing w:val="-50"/>
        </w:rPr>
        <w:t> </w:t>
      </w:r>
      <w:r>
        <w:rPr>
          <w:spacing w:val="-50"/>
        </w:rPr>
      </w:r>
      <w:r>
        <w:rPr>
          <w:spacing w:val="-2"/>
        </w:rPr>
        <w:t>优势明显，拥有多个省级技术研究开发平台和科技孵化平台，以自主创新增强企业核心竞争力，形成持续</w:t>
      </w:r>
      <w:r>
        <w:rPr>
          <w:spacing w:val="-43"/>
        </w:rPr>
        <w:t> </w:t>
      </w:r>
      <w:r>
        <w:rPr>
          <w:spacing w:val="-43"/>
        </w:rPr>
      </w:r>
      <w:r>
        <w:rPr/>
        <w:t>成长的新动力，已成为膜材料行业发展领跑企业。</w:t>
      </w:r>
    </w:p>
    <w:p>
      <w:pPr>
        <w:pStyle w:val="BodyText"/>
        <w:spacing w:line="290" w:lineRule="auto" w:before="48"/>
        <w:ind w:left="575" w:right="101"/>
        <w:jc w:val="left"/>
      </w:pPr>
      <w:r>
        <w:rPr>
          <w:rFonts w:ascii="Times New Roman" w:hAnsi="Times New Roman" w:cs="Times New Roman" w:eastAsia="Times New Roman" w:hint="default"/>
          <w:b/>
          <w:bCs/>
        </w:rPr>
        <w:t>2</w:t>
      </w:r>
      <w:r>
        <w:rPr>
          <w:rFonts w:ascii="宋体" w:hAnsi="宋体" w:cs="宋体" w:eastAsia="宋体" w:hint="default"/>
          <w:b/>
          <w:bCs/>
        </w:rPr>
        <w:t>、全产业链优势</w:t>
      </w:r>
      <w:r>
        <w:rPr>
          <w:rFonts w:ascii="宋体" w:hAnsi="宋体" w:cs="宋体" w:eastAsia="宋体" w:hint="default"/>
          <w:b/>
          <w:bCs/>
          <w:spacing w:val="-103"/>
        </w:rPr>
        <w:t> </w:t>
      </w:r>
      <w:r>
        <w:rPr>
          <w:spacing w:val="-2"/>
        </w:rPr>
        <w:t>公司专注于面向新型平板显示、节能环保、新能源、电子信息等战略新兴产业核心技术延伸研究，聚</w:t>
      </w:r>
    </w:p>
    <w:p>
      <w:pPr>
        <w:pStyle w:val="BodyText"/>
        <w:spacing w:line="273" w:lineRule="auto"/>
        <w:ind w:right="209"/>
        <w:jc w:val="both"/>
      </w:pPr>
      <w:r>
        <w:rPr>
          <w:spacing w:val="-2"/>
        </w:rPr>
        <w:t>焦前沿，实现从原料开发、挤出拉伸、精密涂布、磁控溅射、微成型、电子光雕模具等全套工艺，覆盖了</w:t>
      </w:r>
      <w:r>
        <w:rPr>
          <w:spacing w:val="-47"/>
        </w:rPr>
        <w:t> </w:t>
      </w:r>
      <w:r>
        <w:rPr>
          <w:spacing w:val="-47"/>
        </w:rPr>
      </w:r>
      <w:r>
        <w:rPr>
          <w:spacing w:val="-2"/>
        </w:rPr>
        <w:t>镀、涂、压、拉、印的全产业链技术工艺布局，推动技术垂直整合，加速了公司中高端产品持续提升，形</w:t>
      </w:r>
      <w:r>
        <w:rPr>
          <w:spacing w:val="-47"/>
        </w:rPr>
        <w:t> </w:t>
      </w:r>
      <w:r>
        <w:rPr>
          <w:spacing w:val="-47"/>
        </w:rPr>
      </w:r>
      <w:r>
        <w:rPr/>
        <w:t>成全产业链发展。</w:t>
      </w:r>
    </w:p>
    <w:p>
      <w:pPr>
        <w:pStyle w:val="BodyText"/>
        <w:spacing w:line="290" w:lineRule="auto" w:before="46"/>
        <w:ind w:left="573" w:right="101" w:firstLine="2"/>
        <w:jc w:val="left"/>
      </w:pPr>
      <w:r>
        <w:rPr>
          <w:rFonts w:ascii="Times New Roman" w:hAnsi="Times New Roman" w:cs="Times New Roman" w:eastAsia="Times New Roman" w:hint="default"/>
          <w:b/>
          <w:bCs/>
        </w:rPr>
        <w:t>3</w:t>
      </w:r>
      <w:r>
        <w:rPr>
          <w:rFonts w:ascii="宋体" w:hAnsi="宋体" w:cs="宋体" w:eastAsia="宋体" w:hint="default"/>
          <w:b/>
          <w:bCs/>
        </w:rPr>
        <w:t>、品牌和渠道优势</w:t>
      </w:r>
      <w:r>
        <w:rPr>
          <w:rFonts w:ascii="宋体" w:hAnsi="宋体" w:cs="宋体" w:eastAsia="宋体" w:hint="default"/>
          <w:b/>
          <w:bCs/>
          <w:w w:val="100"/>
        </w:rPr>
        <w:t> </w:t>
      </w:r>
      <w:r>
        <w:rPr>
          <w:spacing w:val="-2"/>
        </w:rPr>
        <w:t>公司注重品牌建设，强化技术和市场的搭建互应，销售网络和客户结构持续优化，已履盖全国及拓展</w:t>
      </w:r>
      <w:r>
        <w:rPr/>
      </w:r>
    </w:p>
    <w:p>
      <w:pPr>
        <w:pStyle w:val="BodyText"/>
        <w:spacing w:line="256" w:lineRule="auto"/>
        <w:ind w:right="213"/>
        <w:jc w:val="both"/>
      </w:pPr>
      <w:r>
        <w:rPr/>
        <w:t>到世界</w:t>
      </w:r>
      <w:r>
        <w:rPr>
          <w:rFonts w:ascii="Times New Roman" w:hAnsi="Times New Roman" w:cs="Times New Roman" w:eastAsia="Times New Roman" w:hint="default"/>
        </w:rPr>
        <w:t>50</w:t>
      </w:r>
      <w:r>
        <w:rPr/>
        <w:t>多个国家和地区和终端客户群，具有一大批世界</w:t>
      </w:r>
      <w:r>
        <w:rPr>
          <w:rFonts w:ascii="Times New Roman" w:hAnsi="Times New Roman" w:cs="Times New Roman" w:eastAsia="Times New Roman" w:hint="default"/>
        </w:rPr>
        <w:t>500</w:t>
      </w:r>
      <w:r>
        <w:rPr/>
        <w:t>强客户以及一批具有专业需求客户，确立了</w:t>
      </w:r>
      <w:r>
        <w:rPr>
          <w:spacing w:val="-26"/>
        </w:rPr>
        <w:t> </w:t>
      </w:r>
      <w:r>
        <w:rPr>
          <w:spacing w:val="-26"/>
        </w:rPr>
      </w:r>
      <w:r>
        <w:rPr/>
        <w:t>有力的市场规模和资源渠道优势，充分满足需求。</w:t>
      </w:r>
    </w:p>
    <w:p>
      <w:pPr>
        <w:pStyle w:val="BodyText"/>
        <w:spacing w:line="273" w:lineRule="auto" w:before="63"/>
        <w:ind w:right="101" w:firstLine="420"/>
        <w:jc w:val="left"/>
      </w:pPr>
      <w:r>
        <w:rPr>
          <w:spacing w:val="-5"/>
        </w:rPr>
        <w:t>坚持以市场和客户需求为导向，探索营销新模式创新，全力推动新产品市场拓展，通过加强渠道建设，</w:t>
      </w:r>
      <w:r>
        <w:rPr>
          <w:w w:val="100"/>
        </w:rPr>
        <w:t> </w:t>
      </w:r>
      <w:r>
        <w:rPr>
          <w:spacing w:val="-2"/>
        </w:rPr>
        <w:t>营销网络布局，电商平台完善渠道布局，实现了线上销售持续提升，加速在行业形成较强的品牌优势，为</w:t>
      </w:r>
      <w:r>
        <w:rPr>
          <w:spacing w:val="-47"/>
        </w:rPr>
        <w:t> </w:t>
      </w:r>
      <w:r>
        <w:rPr>
          <w:spacing w:val="-47"/>
        </w:rPr>
      </w:r>
      <w:r>
        <w:rPr/>
        <w:t>更多新产品市场的拓展和品牌延伸夯实了基础。</w:t>
      </w:r>
    </w:p>
    <w:p>
      <w:pPr>
        <w:spacing w:after="0" w:line="273" w:lineRule="auto"/>
        <w:jc w:val="left"/>
        <w:sectPr>
          <w:pgSz w:w="11910" w:h="16840"/>
          <w:pgMar w:header="745" w:footer="980" w:top="1060" w:bottom="116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4" w:right="101"/>
        <w:jc w:val="left"/>
        <w:rPr>
          <w:b w:val="0"/>
          <w:bCs w:val="0"/>
        </w:rPr>
      </w:pPr>
      <w:bookmarkStart w:name="_bookmark2" w:id="3"/>
      <w:bookmarkEnd w:id="3"/>
      <w:r>
        <w:rPr>
          <w:b w:val="0"/>
          <w:bCs w:val="0"/>
        </w:rPr>
      </w:r>
      <w:r>
        <w:rPr/>
        <w:t>第四节</w:t>
      </w:r>
      <w:r>
        <w:rPr>
          <w:spacing w:val="-6"/>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01"/>
        <w:jc w:val="left"/>
        <w:rPr>
          <w:b w:val="0"/>
          <w:bCs w:val="0"/>
        </w:rPr>
      </w:pPr>
      <w:r>
        <w:rPr/>
        <w:t>一、概述</w:t>
      </w:r>
      <w:r>
        <w:rPr>
          <w:b w:val="0"/>
          <w:bCs w:val="0"/>
        </w:rPr>
      </w:r>
    </w:p>
    <w:p>
      <w:pPr>
        <w:spacing w:line="240" w:lineRule="auto" w:before="12"/>
        <w:rPr>
          <w:rFonts w:ascii="宋体" w:hAnsi="宋体" w:cs="宋体" w:eastAsia="宋体" w:hint="default"/>
          <w:b/>
          <w:bCs/>
          <w:sz w:val="24"/>
          <w:szCs w:val="24"/>
        </w:rPr>
      </w:pPr>
    </w:p>
    <w:p>
      <w:pPr>
        <w:pStyle w:val="BodyText"/>
        <w:spacing w:line="264" w:lineRule="auto"/>
        <w:ind w:right="101" w:firstLine="420"/>
        <w:jc w:val="left"/>
      </w:pPr>
      <w:r>
        <w:rPr>
          <w:rFonts w:ascii="Times New Roman" w:hAnsi="Times New Roman" w:cs="Times New Roman" w:eastAsia="Times New Roman" w:hint="default"/>
          <w:spacing w:val="-2"/>
        </w:rPr>
        <w:t>2017</w:t>
      </w:r>
      <w:r>
        <w:rPr>
          <w:spacing w:val="-2"/>
        </w:rPr>
        <w:t>年，全公司认真学习十九大精神，以习进平新时代中国特色社会主义思想为指导，深入贯彻落实</w:t>
      </w:r>
      <w:r>
        <w:rPr>
          <w:w w:val="100"/>
        </w:rPr>
        <w:t> </w:t>
      </w:r>
      <w:r>
        <w:rPr>
          <w:spacing w:val="-5"/>
        </w:rPr>
        <w:t>五大发展理念，紧紧围绕年度目标任务，坚持以质量效率为主题，以经济效益为中心，着力抓好创新驱动，</w:t>
      </w:r>
      <w:r>
        <w:rPr>
          <w:spacing w:val="-14"/>
        </w:rPr>
        <w:t> </w:t>
      </w:r>
      <w:r>
        <w:rPr>
          <w:spacing w:val="-14"/>
        </w:rPr>
      </w:r>
      <w:r>
        <w:rPr>
          <w:spacing w:val="-2"/>
        </w:rPr>
        <w:t>统筹推进五大板块总体布局，着力加快结构调整总量突破，深入实施六大战略全面落实，聚力创新，聚焦</w:t>
      </w:r>
      <w:r>
        <w:rPr>
          <w:spacing w:val="-47"/>
        </w:rPr>
        <w:t> </w:t>
      </w:r>
      <w:r>
        <w:rPr>
          <w:spacing w:val="-47"/>
        </w:rPr>
      </w:r>
      <w:r>
        <w:rPr/>
        <w:t>效益，抓落实，研新品，提质量，拓市场，各项工作扎实推进。公司</w:t>
      </w:r>
      <w:r>
        <w:rPr>
          <w:rFonts w:ascii="Times New Roman" w:hAnsi="Times New Roman" w:cs="Times New Roman" w:eastAsia="Times New Roman" w:hint="default"/>
        </w:rPr>
        <w:t>2017</w:t>
      </w:r>
      <w:r>
        <w:rPr/>
        <w:t>年度实现营业收入</w:t>
      </w:r>
      <w:r>
        <w:rPr>
          <w:rFonts w:ascii="Times New Roman" w:hAnsi="Times New Roman" w:cs="Times New Roman" w:eastAsia="Times New Roman" w:hint="default"/>
        </w:rPr>
        <w:t>302,295.52</w:t>
      </w:r>
      <w:r>
        <w:rPr/>
        <w:t>万</w:t>
      </w:r>
      <w:r>
        <w:rPr>
          <w:spacing w:val="-27"/>
        </w:rPr>
        <w:t> </w:t>
      </w:r>
      <w:r>
        <w:rPr/>
        <w:t>元，同比增长了</w:t>
      </w:r>
      <w:r>
        <w:rPr>
          <w:rFonts w:ascii="Times New Roman" w:hAnsi="Times New Roman" w:cs="Times New Roman" w:eastAsia="Times New Roman" w:hint="default"/>
        </w:rPr>
        <w:t>18.42%</w:t>
      </w:r>
      <w:r>
        <w:rPr/>
        <w:t>；</w:t>
      </w:r>
      <w:r>
        <w:rPr>
          <w:rFonts w:ascii="Times New Roman" w:hAnsi="Times New Roman" w:cs="Times New Roman" w:eastAsia="Times New Roman" w:hint="default"/>
        </w:rPr>
        <w:t>2017</w:t>
      </w:r>
      <w:r>
        <w:rPr/>
        <w:t>年度计提商誉减值</w:t>
      </w:r>
      <w:r>
        <w:rPr>
          <w:rFonts w:ascii="Times New Roman" w:hAnsi="Times New Roman" w:cs="Times New Roman" w:eastAsia="Times New Roman" w:hint="default"/>
        </w:rPr>
        <w:t>6489.9</w:t>
      </w:r>
      <w:r>
        <w:rPr/>
        <w:t>万元，实现归属于上市公司股东的净利润</w:t>
      </w:r>
      <w:r>
        <w:rPr>
          <w:rFonts w:ascii="Times New Roman" w:hAnsi="Times New Roman" w:cs="Times New Roman" w:eastAsia="Times New Roman" w:hint="default"/>
        </w:rPr>
        <w:t>7,465.12</w:t>
      </w:r>
      <w:r>
        <w:rPr>
          <w:rFonts w:ascii="Times New Roman" w:hAnsi="Times New Roman" w:cs="Times New Roman" w:eastAsia="Times New Roman" w:hint="default"/>
          <w:spacing w:val="8"/>
        </w:rPr>
        <w:t> </w:t>
      </w:r>
      <w:r>
        <w:rPr>
          <w:rFonts w:ascii="Times New Roman" w:hAnsi="Times New Roman" w:cs="Times New Roman" w:eastAsia="Times New Roman" w:hint="default"/>
          <w:spacing w:val="8"/>
        </w:rPr>
      </w:r>
      <w:r>
        <w:rPr/>
        <w:t>万元，同比减少了</w:t>
      </w:r>
      <w:r>
        <w:rPr>
          <w:rFonts w:ascii="Times New Roman" w:hAnsi="Times New Roman" w:cs="Times New Roman" w:eastAsia="Times New Roman" w:hint="default"/>
        </w:rPr>
        <w:t>43.88</w:t>
      </w:r>
      <w:r>
        <w:rPr>
          <w:rFonts w:ascii="Times New Roman" w:hAnsi="Times New Roman" w:cs="Times New Roman" w:eastAsia="Times New Roman" w:hint="default"/>
          <w:spacing w:val="-4"/>
        </w:rPr>
        <w:t> </w:t>
      </w:r>
      <w:r>
        <w:rPr>
          <w:rFonts w:ascii="Times New Roman" w:hAnsi="Times New Roman" w:cs="Times New Roman" w:eastAsia="Times New Roman" w:hint="default"/>
        </w:rPr>
        <w:t>%</w:t>
      </w:r>
      <w:r>
        <w:rPr/>
        <w:t>。主要取得如下经营业绩：</w:t>
      </w:r>
    </w:p>
    <w:p>
      <w:pPr>
        <w:spacing w:line="309" w:lineRule="auto" w:before="36"/>
        <w:ind w:left="573" w:right="101" w:firstLine="2"/>
        <w:jc w:val="left"/>
        <w:rPr>
          <w:rFonts w:ascii="宋体" w:hAnsi="宋体" w:cs="宋体" w:eastAsia="宋体" w:hint="default"/>
          <w:sz w:val="21"/>
          <w:szCs w:val="21"/>
        </w:rPr>
      </w:pPr>
      <w:r>
        <w:rPr>
          <w:rFonts w:ascii="宋体" w:hAnsi="宋体" w:cs="宋体" w:eastAsia="宋体" w:hint="default"/>
          <w:b/>
          <w:bCs/>
          <w:sz w:val="21"/>
          <w:szCs w:val="21"/>
        </w:rPr>
        <w:t>（一）依靠创新驱动，统筹推进五大板块拓展</w:t>
      </w:r>
      <w:r>
        <w:rPr>
          <w:rFonts w:ascii="宋体" w:hAnsi="宋体" w:cs="宋体" w:eastAsia="宋体" w:hint="default"/>
          <w:b/>
          <w:bCs/>
          <w:w w:val="100"/>
          <w:sz w:val="21"/>
          <w:szCs w:val="21"/>
        </w:rPr>
        <w:t> </w:t>
      </w:r>
      <w:r>
        <w:rPr>
          <w:rFonts w:ascii="宋体" w:hAnsi="宋体" w:cs="宋体" w:eastAsia="宋体" w:hint="default"/>
          <w:spacing w:val="-2"/>
          <w:sz w:val="21"/>
          <w:szCs w:val="21"/>
        </w:rPr>
        <w:t>聚焦前沿，加快新产品领域拓展，创新业务加快布局，不断拓展扩大市场，尤其在热缩材料、光学材</w:t>
      </w:r>
    </w:p>
    <w:p>
      <w:pPr>
        <w:pStyle w:val="BodyText"/>
        <w:spacing w:line="251" w:lineRule="exact"/>
        <w:ind w:right="101"/>
        <w:jc w:val="left"/>
      </w:pPr>
      <w:r>
        <w:rPr/>
        <w:t>料、节能窗膜、信息材料、新能源材料新品销售同比快速增长。</w:t>
      </w:r>
    </w:p>
    <w:p>
      <w:pPr>
        <w:spacing w:line="273" w:lineRule="auto" w:before="78"/>
        <w:ind w:left="573" w:right="101" w:firstLine="2"/>
        <w:jc w:val="left"/>
        <w:rPr>
          <w:rFonts w:ascii="宋体" w:hAnsi="宋体" w:cs="宋体" w:eastAsia="宋体" w:hint="default"/>
          <w:sz w:val="21"/>
          <w:szCs w:val="21"/>
        </w:rPr>
      </w:pPr>
      <w:r>
        <w:rPr>
          <w:rFonts w:ascii="宋体" w:hAnsi="宋体" w:cs="宋体" w:eastAsia="宋体" w:hint="default"/>
          <w:b/>
          <w:bCs/>
          <w:sz w:val="21"/>
          <w:szCs w:val="21"/>
        </w:rPr>
        <w:t>（二）加快创新步伐，着力结构调整总量突破发展</w:t>
      </w:r>
      <w:r>
        <w:rPr>
          <w:rFonts w:ascii="宋体" w:hAnsi="宋体" w:cs="宋体" w:eastAsia="宋体" w:hint="default"/>
          <w:b/>
          <w:bCs/>
          <w:w w:val="100"/>
          <w:sz w:val="21"/>
          <w:szCs w:val="21"/>
        </w:rPr>
        <w:t> </w:t>
      </w:r>
      <w:r>
        <w:rPr>
          <w:rFonts w:ascii="宋体" w:hAnsi="宋体" w:cs="宋体" w:eastAsia="宋体" w:hint="default"/>
          <w:spacing w:val="-2"/>
          <w:sz w:val="21"/>
          <w:szCs w:val="21"/>
        </w:rPr>
        <w:t>加大产品市场结构调整，提升市场占有率，坚定价值销售，强化优势新产品导入，深入重点客户、区</w:t>
      </w:r>
    </w:p>
    <w:p>
      <w:pPr>
        <w:pStyle w:val="BodyText"/>
        <w:spacing w:line="273" w:lineRule="auto" w:before="7"/>
        <w:ind w:right="101"/>
        <w:jc w:val="left"/>
      </w:pPr>
      <w:r>
        <w:rPr>
          <w:spacing w:val="-2"/>
        </w:rPr>
        <w:t>域市场、特色产品全面布局，通过网络、终端、渠道等方面的能力提升，实现重点细分市场突破、总量规</w:t>
      </w:r>
      <w:r>
        <w:rPr>
          <w:spacing w:val="-45"/>
        </w:rPr>
        <w:t> </w:t>
      </w:r>
      <w:r>
        <w:rPr>
          <w:spacing w:val="-45"/>
        </w:rPr>
      </w:r>
      <w:r>
        <w:rPr/>
        <w:t>模突破；加强外贸推进，开拓发展新空间，报告期外贸出口实现同比增长</w:t>
      </w:r>
      <w:r>
        <w:rPr>
          <w:rFonts w:ascii="Times New Roman" w:hAnsi="Times New Roman" w:cs="Times New Roman" w:eastAsia="Times New Roman" w:hint="default"/>
        </w:rPr>
        <w:t>70.83%</w:t>
      </w:r>
      <w:r>
        <w:rPr/>
        <w:t>。</w:t>
      </w:r>
    </w:p>
    <w:p>
      <w:pPr>
        <w:spacing w:line="273" w:lineRule="auto" w:before="0"/>
        <w:ind w:left="575" w:right="101" w:firstLine="0"/>
        <w:jc w:val="left"/>
        <w:rPr>
          <w:rFonts w:ascii="宋体" w:hAnsi="宋体" w:cs="宋体" w:eastAsia="宋体" w:hint="default"/>
          <w:sz w:val="21"/>
          <w:szCs w:val="21"/>
        </w:rPr>
      </w:pPr>
      <w:r>
        <w:rPr>
          <w:rFonts w:ascii="宋体" w:hAnsi="宋体" w:cs="宋体" w:eastAsia="宋体" w:hint="default"/>
          <w:b/>
          <w:bCs/>
          <w:sz w:val="21"/>
          <w:szCs w:val="21"/>
        </w:rPr>
        <w:t>（三）技术创新全面提升</w:t>
      </w:r>
      <w:r>
        <w:rPr>
          <w:rFonts w:ascii="宋体" w:hAnsi="宋体" w:cs="宋体" w:eastAsia="宋体" w:hint="default"/>
          <w:b/>
          <w:bCs/>
          <w:w w:val="100"/>
          <w:sz w:val="21"/>
          <w:szCs w:val="21"/>
        </w:rPr>
        <w:t> </w:t>
      </w:r>
      <w:r>
        <w:rPr>
          <w:rFonts w:ascii="宋体" w:hAnsi="宋体" w:cs="宋体" w:eastAsia="宋体" w:hint="default"/>
          <w:spacing w:val="-2"/>
          <w:sz w:val="21"/>
          <w:szCs w:val="21"/>
        </w:rPr>
        <w:t>科技创新聚焦市场，立足需求，提升效益，项目同步推进，彰显出科技创新支撑引领作用，以自主创</w:t>
      </w:r>
    </w:p>
    <w:p>
      <w:pPr>
        <w:pStyle w:val="BodyText"/>
        <w:spacing w:line="307" w:lineRule="auto" w:before="7"/>
        <w:ind w:left="573" w:right="101" w:hanging="421"/>
        <w:jc w:val="left"/>
      </w:pPr>
      <w:r>
        <w:rPr/>
        <w:t>新增强核心竞争力，形成持续成长的新动力，五大板块创新发展，领跑同行。</w:t>
      </w:r>
      <w:r>
        <w:rPr>
          <w:w w:val="100"/>
        </w:rPr>
        <w:t> </w:t>
      </w:r>
      <w:r>
        <w:rPr>
          <w:spacing w:val="-2"/>
        </w:rPr>
        <w:t>报告期内，公司深入实施创新驱动发展战略，形成以五大板块创新发展模式，加大研发经费投入，围</w:t>
      </w:r>
    </w:p>
    <w:p>
      <w:pPr>
        <w:pStyle w:val="BodyText"/>
        <w:spacing w:line="267" w:lineRule="exact"/>
        <w:ind w:right="101"/>
        <w:jc w:val="left"/>
      </w:pPr>
      <w:r>
        <w:rPr/>
        <w:t>绕</w:t>
      </w:r>
      <w:r>
        <w:rPr>
          <w:rFonts w:ascii="Times New Roman" w:hAnsi="Times New Roman" w:cs="Times New Roman" w:eastAsia="Times New Roman" w:hint="default"/>
        </w:rPr>
        <w:t>20</w:t>
      </w:r>
      <w:r>
        <w:rPr/>
        <w:t>项技术创新，落实新原料、新工艺、新产品开发，技术创新着力推进产品向高端化、差异化、多品种</w:t>
      </w:r>
    </w:p>
    <w:p>
      <w:pPr>
        <w:pStyle w:val="BodyText"/>
        <w:spacing w:line="256" w:lineRule="auto" w:before="21"/>
        <w:ind w:right="101"/>
        <w:jc w:val="left"/>
      </w:pPr>
      <w:r>
        <w:rPr/>
        <w:t>迈进，形成新的增长动力源泉。同时，加强知识产权保护，公司申请专利</w:t>
      </w:r>
      <w:r>
        <w:rPr>
          <w:rFonts w:ascii="Times New Roman" w:hAnsi="Times New Roman" w:cs="Times New Roman" w:eastAsia="Times New Roman" w:hint="default"/>
        </w:rPr>
        <w:t>11</w:t>
      </w:r>
      <w:r>
        <w:rPr/>
        <w:t>件，其中：发明专利</w:t>
      </w:r>
      <w:r>
        <w:rPr>
          <w:rFonts w:ascii="Times New Roman" w:hAnsi="Times New Roman" w:cs="Times New Roman" w:eastAsia="Times New Roman" w:hint="default"/>
        </w:rPr>
        <w:t>4</w:t>
      </w:r>
      <w:r>
        <w:rPr/>
        <w:t>件，实</w:t>
      </w:r>
      <w:r>
        <w:rPr>
          <w:spacing w:val="-21"/>
        </w:rPr>
        <w:t> </w:t>
      </w:r>
      <w:r>
        <w:rPr>
          <w:spacing w:val="-21"/>
        </w:rPr>
      </w:r>
      <w:r>
        <w:rPr/>
        <w:t>用新型专利</w:t>
      </w:r>
      <w:r>
        <w:rPr>
          <w:rFonts w:ascii="Times New Roman" w:hAnsi="Times New Roman" w:cs="Times New Roman" w:eastAsia="Times New Roman" w:hint="default"/>
        </w:rPr>
        <w:t>11</w:t>
      </w:r>
      <w:r>
        <w:rPr/>
        <w:t>件；授权专利</w:t>
      </w:r>
      <w:r>
        <w:rPr>
          <w:rFonts w:ascii="Times New Roman" w:hAnsi="Times New Roman" w:cs="Times New Roman" w:eastAsia="Times New Roman" w:hint="default"/>
        </w:rPr>
        <w:t>11</w:t>
      </w:r>
      <w:r>
        <w:rPr/>
        <w:t>件，其中：授权发明专利</w:t>
      </w:r>
      <w:r>
        <w:rPr>
          <w:rFonts w:ascii="Times New Roman" w:hAnsi="Times New Roman" w:cs="Times New Roman" w:eastAsia="Times New Roman" w:hint="default"/>
        </w:rPr>
        <w:t>5</w:t>
      </w:r>
      <w:r>
        <w:rPr/>
        <w:t>件。</w:t>
      </w:r>
    </w:p>
    <w:p>
      <w:pPr>
        <w:spacing w:line="273" w:lineRule="auto" w:before="46"/>
        <w:ind w:left="573" w:right="101" w:firstLine="2"/>
        <w:jc w:val="left"/>
        <w:rPr>
          <w:rFonts w:ascii="宋体" w:hAnsi="宋体" w:cs="宋体" w:eastAsia="宋体" w:hint="default"/>
          <w:sz w:val="21"/>
          <w:szCs w:val="21"/>
        </w:rPr>
      </w:pPr>
      <w:r>
        <w:rPr>
          <w:rFonts w:ascii="宋体" w:hAnsi="宋体" w:cs="宋体" w:eastAsia="宋体" w:hint="default"/>
          <w:b/>
          <w:bCs/>
          <w:sz w:val="21"/>
          <w:szCs w:val="21"/>
        </w:rPr>
        <w:t>（四）创新发展项目建设基础夯实</w:t>
      </w:r>
      <w:r>
        <w:rPr>
          <w:rFonts w:ascii="宋体" w:hAnsi="宋体" w:cs="宋体" w:eastAsia="宋体" w:hint="default"/>
          <w:b/>
          <w:bCs/>
          <w:w w:val="100"/>
          <w:sz w:val="21"/>
          <w:szCs w:val="21"/>
        </w:rPr>
        <w:t> </w:t>
      </w:r>
      <w:r>
        <w:rPr>
          <w:rFonts w:ascii="宋体" w:hAnsi="宋体" w:cs="宋体" w:eastAsia="宋体" w:hint="default"/>
          <w:spacing w:val="-3"/>
          <w:sz w:val="21"/>
          <w:szCs w:val="21"/>
        </w:rPr>
        <w:t>报告期内，按计划完成项目一期建设同时，加快二期建设。光学基膜实现自给，光学膜片市场开发陆</w:t>
      </w:r>
    </w:p>
    <w:p>
      <w:pPr>
        <w:pStyle w:val="BodyText"/>
        <w:spacing w:line="240" w:lineRule="auto" w:before="7"/>
        <w:ind w:right="101"/>
        <w:jc w:val="left"/>
      </w:pPr>
      <w:r>
        <w:rPr/>
        <w:t>续完成，量产供应，突出项目带动功能，夯实发展基础，为完成</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规划目标增加了新增长点。</w:t>
      </w:r>
    </w:p>
    <w:p>
      <w:pPr>
        <w:spacing w:line="273" w:lineRule="auto" w:before="21"/>
        <w:ind w:left="573" w:right="101" w:firstLine="2"/>
        <w:jc w:val="left"/>
        <w:rPr>
          <w:rFonts w:ascii="宋体" w:hAnsi="宋体" w:cs="宋体" w:eastAsia="宋体" w:hint="default"/>
          <w:sz w:val="21"/>
          <w:szCs w:val="21"/>
        </w:rPr>
      </w:pPr>
      <w:r>
        <w:rPr>
          <w:rFonts w:ascii="宋体" w:hAnsi="宋体" w:cs="宋体" w:eastAsia="宋体" w:hint="default"/>
          <w:b/>
          <w:bCs/>
          <w:sz w:val="21"/>
          <w:szCs w:val="21"/>
        </w:rPr>
        <w:t>（五）管理创新效率提升</w:t>
      </w:r>
      <w:r>
        <w:rPr>
          <w:rFonts w:ascii="宋体" w:hAnsi="宋体" w:cs="宋体" w:eastAsia="宋体" w:hint="default"/>
          <w:b/>
          <w:bCs/>
          <w:w w:val="100"/>
          <w:sz w:val="21"/>
          <w:szCs w:val="21"/>
        </w:rPr>
        <w:t> </w:t>
      </w:r>
      <w:r>
        <w:rPr>
          <w:rFonts w:ascii="宋体" w:hAnsi="宋体" w:cs="宋体" w:eastAsia="宋体" w:hint="default"/>
          <w:spacing w:val="-5"/>
          <w:sz w:val="21"/>
          <w:szCs w:val="21"/>
        </w:rPr>
        <w:t>报告期内，公司深化经营管理提升创效空间，项目增加值考核管理，落实经理责任制内务管理十六条，</w:t>
      </w:r>
    </w:p>
    <w:p>
      <w:pPr>
        <w:pStyle w:val="BodyText"/>
        <w:spacing w:line="273" w:lineRule="auto" w:before="7"/>
        <w:ind w:right="101"/>
        <w:jc w:val="left"/>
      </w:pPr>
      <w:r>
        <w:rPr>
          <w:spacing w:val="-2"/>
        </w:rPr>
        <w:t>围绕提升效率和激发活力，加快推进管理创新，强化执行力提升，夯实管理基础，以市场为导向，以客户</w:t>
      </w:r>
      <w:r>
        <w:rPr>
          <w:spacing w:val="-43"/>
        </w:rPr>
        <w:t> </w:t>
      </w:r>
      <w:r>
        <w:rPr>
          <w:spacing w:val="-43"/>
        </w:rPr>
      </w:r>
      <w:r>
        <w:rPr/>
        <w:t>为中心，整合资源，创造竞争新优势，提升企业运营能力。</w:t>
      </w:r>
    </w:p>
    <w:p>
      <w:pPr>
        <w:pStyle w:val="BodyText"/>
        <w:spacing w:line="256" w:lineRule="auto" w:before="7"/>
        <w:ind w:right="208" w:firstLine="420"/>
        <w:jc w:val="both"/>
      </w:pPr>
      <w:r>
        <w:rPr>
          <w:rFonts w:ascii="宋体" w:hAnsi="宋体" w:cs="宋体" w:eastAsia="宋体" w:hint="default"/>
          <w:b/>
          <w:bCs/>
          <w:spacing w:val="-2"/>
        </w:rPr>
        <w:t>（</w:t>
      </w:r>
      <w:r>
        <w:rPr>
          <w:rFonts w:ascii="Times New Roman" w:hAnsi="Times New Roman" w:cs="Times New Roman" w:eastAsia="Times New Roman" w:hint="default"/>
          <w:b/>
          <w:bCs/>
          <w:spacing w:val="-2"/>
        </w:rPr>
        <w:t>1</w:t>
      </w:r>
      <w:r>
        <w:rPr>
          <w:rFonts w:ascii="宋体" w:hAnsi="宋体" w:cs="宋体" w:eastAsia="宋体" w:hint="default"/>
          <w:b/>
          <w:bCs/>
          <w:spacing w:val="-2"/>
        </w:rPr>
        <w:t>）加强生产管理；</w:t>
      </w:r>
      <w:r>
        <w:rPr>
          <w:spacing w:val="-2"/>
        </w:rPr>
        <w:t>适时调整经营部署，强化项目增加值管理，以</w:t>
      </w:r>
      <w:r>
        <w:rPr>
          <w:rFonts w:ascii="Times New Roman" w:hAnsi="Times New Roman" w:cs="Times New Roman" w:eastAsia="Times New Roman" w:hint="default"/>
          <w:spacing w:val="-2"/>
        </w:rPr>
        <w:t>“</w:t>
      </w:r>
      <w:r>
        <w:rPr>
          <w:spacing w:val="-2"/>
        </w:rPr>
        <w:t>稳质量、降成本、提两率、降两</w:t>
      </w:r>
      <w:r>
        <w:rPr>
          <w:w w:val="100"/>
        </w:rPr>
        <w:t> </w:t>
      </w:r>
      <w:r>
        <w:rPr/>
        <w:t>耗、抓增销</w:t>
      </w:r>
      <w:r>
        <w:rPr>
          <w:rFonts w:ascii="Times New Roman" w:hAnsi="Times New Roman" w:cs="Times New Roman" w:eastAsia="Times New Roman" w:hint="default"/>
        </w:rPr>
        <w:t>”</w:t>
      </w:r>
      <w:r>
        <w:rPr/>
        <w:t>为着力点，强化现场管理，推进开源节流，降本增效，完善流程管控，加强供产销各环节控</w:t>
      </w:r>
      <w:r>
        <w:rPr>
          <w:spacing w:val="-17"/>
        </w:rPr>
        <w:t> </w:t>
      </w:r>
      <w:r>
        <w:rPr>
          <w:spacing w:val="-17"/>
        </w:rPr>
      </w:r>
      <w:r>
        <w:rPr/>
        <w:t>制，多措并举，创新挖潜增效，提高运营效率。</w:t>
      </w:r>
    </w:p>
    <w:p>
      <w:pPr>
        <w:pStyle w:val="BodyText"/>
        <w:spacing w:line="256" w:lineRule="auto" w:before="23"/>
        <w:ind w:right="214" w:firstLine="422"/>
        <w:jc w:val="both"/>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）加强财务管理；</w:t>
      </w:r>
      <w:r>
        <w:rPr/>
        <w:t>强化各项财务管理措施，突出以效益为中心，优化资源配置，提高企业资金周</w:t>
      </w:r>
      <w:r>
        <w:rPr>
          <w:w w:val="100"/>
        </w:rPr>
        <w:t> </w:t>
      </w:r>
      <w:r>
        <w:rPr/>
        <w:t>转和资金使用效率，强化财务预算管理，加强财务风险的防控，更好发挥财务职能作用。</w:t>
      </w:r>
    </w:p>
    <w:p>
      <w:pPr>
        <w:pStyle w:val="BodyText"/>
        <w:spacing w:line="264" w:lineRule="auto" w:before="63"/>
        <w:ind w:right="207" w:firstLine="355"/>
        <w:jc w:val="both"/>
      </w:pPr>
      <w:r>
        <w:rPr>
          <w:rFonts w:ascii="宋体" w:hAnsi="宋体" w:cs="宋体" w:eastAsia="宋体" w:hint="default"/>
          <w:b/>
          <w:bCs/>
          <w:spacing w:val="-3"/>
        </w:rPr>
        <w:t>（</w:t>
      </w:r>
      <w:r>
        <w:rPr>
          <w:rFonts w:ascii="Times New Roman" w:hAnsi="Times New Roman" w:cs="Times New Roman" w:eastAsia="Times New Roman" w:hint="default"/>
          <w:b/>
          <w:bCs/>
          <w:spacing w:val="-3"/>
        </w:rPr>
        <w:t>3</w:t>
      </w:r>
      <w:r>
        <w:rPr>
          <w:rFonts w:ascii="宋体" w:hAnsi="宋体" w:cs="宋体" w:eastAsia="宋体" w:hint="default"/>
          <w:b/>
          <w:bCs/>
          <w:spacing w:val="-3"/>
        </w:rPr>
        <w:t>）加强采供管理；</w:t>
      </w:r>
      <w:r>
        <w:rPr>
          <w:spacing w:val="-3"/>
        </w:rPr>
        <w:t>切实加强采供管理，提高有效供给能力，以落实标杆采购管理，采购性价比最优</w:t>
      </w:r>
      <w:r>
        <w:rPr>
          <w:w w:val="100"/>
        </w:rPr>
        <w:t> </w:t>
      </w:r>
      <w:r>
        <w:rPr>
          <w:spacing w:val="-2"/>
        </w:rPr>
        <w:t>的原则，加强市场比价，控制成本，增加财务复核环节，挖掘盈利潜力，合理调控原辅料库存，努力规避</w:t>
      </w:r>
      <w:r>
        <w:rPr>
          <w:spacing w:val="-42"/>
        </w:rPr>
        <w:t> </w:t>
      </w:r>
      <w:r>
        <w:rPr>
          <w:spacing w:val="-42"/>
        </w:rPr>
      </w:r>
      <w:r>
        <w:rPr/>
        <w:t>市场风险。</w:t>
      </w:r>
    </w:p>
    <w:p>
      <w:pPr>
        <w:spacing w:after="0" w:line="264" w:lineRule="auto"/>
        <w:jc w:val="both"/>
        <w:sectPr>
          <w:pgSz w:w="11910" w:h="16840"/>
          <w:pgMar w:header="745" w:footer="980" w:top="1060" w:bottom="1160" w:left="980" w:right="920"/>
        </w:sectPr>
      </w:pPr>
    </w:p>
    <w:p>
      <w:pPr>
        <w:spacing w:line="240" w:lineRule="auto" w:before="8"/>
        <w:rPr>
          <w:rFonts w:ascii="宋体" w:hAnsi="宋体" w:cs="宋体" w:eastAsia="宋体" w:hint="default"/>
          <w:sz w:val="23"/>
          <w:szCs w:val="23"/>
        </w:rPr>
      </w:pPr>
    </w:p>
    <w:p>
      <w:pPr>
        <w:pStyle w:val="Heading2"/>
        <w:spacing w:line="240" w:lineRule="auto" w:before="26"/>
        <w:ind w:right="153"/>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spacing w:line="544" w:lineRule="auto" w:before="0"/>
        <w:ind w:left="152" w:right="54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4"/>
        <w:spacing w:line="240" w:lineRule="auto" w:before="28"/>
        <w:ind w:right="153"/>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1"/>
        <w:gridCol w:w="1599"/>
        <w:gridCol w:w="1588"/>
        <w:gridCol w:w="1597"/>
      </w:tblGrid>
      <w:tr>
        <w:trPr>
          <w:trHeight w:val="206"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599" w:type="dxa"/>
            <w:vMerge w:val="restart"/>
            <w:tcBorders>
              <w:top w:val="nil" w:sz="6" w:space="0" w:color="auto"/>
              <w:left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3187" w:type="dxa"/>
            <w:gridSpan w:val="2"/>
            <w:vMerge/>
            <w:tcBorders>
              <w:left w:val="single" w:sz="4" w:space="0" w:color="000000"/>
              <w:bottom w:val="single" w:sz="4" w:space="0" w:color="000000"/>
              <w:right w:val="single" w:sz="4" w:space="0" w:color="000000"/>
            </w:tcBorders>
            <w:shd w:val="clear" w:color="auto" w:fill="D2D2D2"/>
          </w:tcPr>
          <w:p>
            <w:pPr/>
          </w:p>
        </w:tc>
        <w:tc>
          <w:tcPr>
            <w:tcW w:w="15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3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tcBorders>
              <w:left w:val="single" w:sz="4" w:space="0" w:color="000000"/>
              <w:bottom w:val="nil" w:sz="6" w:space="0" w:color="auto"/>
              <w:right w:val="single" w:sz="4" w:space="0" w:color="000000"/>
            </w:tcBorders>
            <w:shd w:val="clear" w:color="auto" w:fill="D2D2D2"/>
          </w:tcPr>
          <w:p>
            <w:pPr/>
          </w:p>
        </w:tc>
      </w:tr>
      <w:tr>
        <w:trPr>
          <w:trHeight w:val="207"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9"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6"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3,022,955,177.10</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599"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2,552,739,886.66</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100%</w:t>
            </w:r>
          </w:p>
        </w:tc>
        <w:tc>
          <w:tcPr>
            <w:tcW w:w="15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18.42%</w:t>
            </w:r>
          </w:p>
        </w:tc>
      </w:tr>
      <w:tr>
        <w:trPr>
          <w:trHeight w:val="398"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薄膜制造业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2,998,499,647.75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99.19%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2,527,855,822.02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99.03%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18.62%</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24,455,529.35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24,884,064.64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0.97%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-1.72%</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聚酯薄膜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2,826,521,197.82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93.50%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2,349,308,285.99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92.03%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20.31%</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镀铝膜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90,693,972.62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92,688,849.25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-2.15%</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PVC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功能膜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81,284,477.31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85,858,686.78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-5.33%</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24,455,529.35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24,884,064.64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0.97%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-1.72%</w:t>
            </w:r>
          </w:p>
        </w:tc>
      </w:tr>
      <w:tr>
        <w:trPr>
          <w:trHeight w:val="404"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2,553,269,408.49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84.46%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2,277,798,550.76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88.25%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12.09%</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469,685,768.61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15.54%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274,941,335.90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10.77%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70.83%</w:t>
            </w: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980"/>
        </w:sectPr>
      </w:pPr>
    </w:p>
    <w:p>
      <w:pPr>
        <w:spacing w:line="348" w:lineRule="auto" w:before="44"/>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8"/>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3213" w:space="5707"/>
            <w:col w:w="103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塑料薄膜制造业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2,998,499,647.75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2,659,409,214.28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18.62%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-0.67%</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聚酯薄膜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2,826,521,197.82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center"/>
              <w:rPr>
                <w:rFonts w:ascii="Times New Roman" w:hAnsi="Times New Roman" w:cs="Times New Roman" w:eastAsia="Times New Roman" w:hint="default"/>
                <w:sz w:val="18"/>
                <w:szCs w:val="18"/>
              </w:rPr>
            </w:pPr>
            <w:r>
              <w:rPr>
                <w:rFonts w:ascii="Times New Roman"/>
                <w:sz w:val="18"/>
              </w:rPr>
              <w:t>2,510,264,206.11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20.31%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21.13%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镀铝膜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90,693,972.62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82,875,145.73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-2.44%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0.27%</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PVC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功能膜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81,284,477.31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66,269,862.44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18.47%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-5.33%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-2.29%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-2.53%</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2,528,813,879.14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2,280,939,619.91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9.80%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12.25%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15.03%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-2.18%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469,685,768.61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378,469,594.37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70.83%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56.33%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7.48%</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年按报告期末口径调整后的主营业务数据</w:t>
      </w:r>
    </w:p>
    <w:p>
      <w:pPr>
        <w:spacing w:before="101"/>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153"/>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08"/>
        <w:gridCol w:w="1571"/>
        <w:gridCol w:w="1604"/>
        <w:gridCol w:w="1596"/>
        <w:gridCol w:w="1594"/>
        <w:gridCol w:w="1594"/>
      </w:tblGrid>
      <w:tr>
        <w:trPr>
          <w:trHeight w:val="404"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聚酯薄膜行业</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300,261.59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297,674.55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0.87%</w:t>
            </w:r>
          </w:p>
        </w:tc>
      </w:tr>
      <w:tr>
        <w:trPr>
          <w:trHeight w:val="403"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301,471.7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292,607.85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3.03%</w:t>
            </w:r>
          </w:p>
        </w:tc>
      </w:tr>
      <w:tr>
        <w:trPr>
          <w:trHeight w:val="401"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PVC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功能膜行业</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4,804.63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5,016.84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-4.23%</w:t>
            </w:r>
          </w:p>
        </w:tc>
      </w:tr>
      <w:tr>
        <w:trPr>
          <w:trHeight w:val="403"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4,819.21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5,296.22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-9.01%</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before="101"/>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153"/>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153"/>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980"/>
        </w:sectPr>
      </w:pPr>
    </w:p>
    <w:p>
      <w:pPr>
        <w:spacing w:line="360" w:lineRule="auto"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产品分类 产品分类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873" w:space="8047"/>
            <w:col w:w="103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聚酯薄膜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2,078,523,479.90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78.14%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1,728,735,127.42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77.62%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聚酯薄膜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32,910,298.36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30,108,595.63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-0.11%</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聚酯薄膜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能源动力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152,879,351.07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134,488,649.79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聚酯薄膜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245,951,076.78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178,877,517.21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PVC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功能膜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66,269,862.44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67,826,452.89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镀铝膜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82,875,145.73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84,945,068.22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711,807.51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2,269,074.30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-0.08%</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after="0"/>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12"/>
        <w:rPr>
          <w:rFonts w:ascii="宋体" w:hAnsi="宋体" w:cs="宋体" w:eastAsia="宋体" w:hint="default"/>
          <w:sz w:val="24"/>
          <w:szCs w:val="24"/>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before="16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pStyle w:val="Heading4"/>
        <w:spacing w:line="240" w:lineRule="auto"/>
        <w:ind w:right="153"/>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4"/>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153"/>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819"/>
        <w:gridCol w:w="4751"/>
      </w:tblGrid>
      <w:tr>
        <w:trPr>
          <w:trHeight w:val="401" w:hRule="exact"/>
        </w:trPr>
        <w:tc>
          <w:tcPr>
            <w:tcW w:w="4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4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1,064,329,330.83</w:t>
            </w:r>
          </w:p>
        </w:tc>
      </w:tr>
      <w:tr>
        <w:trPr>
          <w:trHeight w:val="403" w:hRule="exact"/>
        </w:trPr>
        <w:tc>
          <w:tcPr>
            <w:tcW w:w="4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4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35.21%</w:t>
            </w:r>
          </w:p>
        </w:tc>
      </w:tr>
      <w:tr>
        <w:trPr>
          <w:trHeight w:val="401" w:hRule="exact"/>
        </w:trPr>
        <w:tc>
          <w:tcPr>
            <w:tcW w:w="4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4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425,675,942.90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14.08%</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172,804,387.49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5.72%</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160,158,223.51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5.30%</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153,300,337.22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5.07%</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152,390,439.71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5.04%</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1,064,329,330.83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35.21%</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38" w:lineRule="auto" w:before="117"/>
        <w:ind w:left="152" w:right="81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公司主要供应商情况</w:t>
      </w:r>
    </w:p>
    <w:p>
      <w:pPr>
        <w:spacing w:line="240" w:lineRule="auto" w:before="9"/>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819"/>
        <w:gridCol w:w="4751"/>
      </w:tblGrid>
      <w:tr>
        <w:trPr>
          <w:trHeight w:val="403" w:hRule="exact"/>
        </w:trPr>
        <w:tc>
          <w:tcPr>
            <w:tcW w:w="4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4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1,367,777,706.16</w:t>
            </w:r>
          </w:p>
        </w:tc>
      </w:tr>
      <w:tr>
        <w:trPr>
          <w:trHeight w:val="401" w:hRule="exact"/>
        </w:trPr>
        <w:tc>
          <w:tcPr>
            <w:tcW w:w="4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4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58.79%</w:t>
            </w:r>
          </w:p>
        </w:tc>
      </w:tr>
      <w:tr>
        <w:trPr>
          <w:trHeight w:val="403" w:hRule="exact"/>
        </w:trPr>
        <w:tc>
          <w:tcPr>
            <w:tcW w:w="4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4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08"/>
        <w:gridCol w:w="3185"/>
        <w:gridCol w:w="2321"/>
        <w:gridCol w:w="3145"/>
      </w:tblGrid>
      <w:tr>
        <w:trPr>
          <w:trHeight w:val="403"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1"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1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680,405,666.68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29.25%</w:t>
            </w:r>
          </w:p>
        </w:tc>
      </w:tr>
      <w:tr>
        <w:trPr>
          <w:trHeight w:val="403"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1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223,644,581.20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9.61%</w:t>
            </w:r>
          </w:p>
        </w:tc>
      </w:tr>
      <w:tr>
        <w:trPr>
          <w:trHeight w:val="401"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1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180,699,252.14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7.77%</w:t>
            </w:r>
          </w:p>
        </w:tc>
      </w:tr>
      <w:tr>
        <w:trPr>
          <w:trHeight w:val="403"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1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157,465,171.97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6.77%</w:t>
            </w:r>
          </w:p>
        </w:tc>
      </w:tr>
      <w:tr>
        <w:trPr>
          <w:trHeight w:val="401"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1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125,563,034.19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5.40%</w:t>
            </w:r>
          </w:p>
        </w:tc>
      </w:tr>
      <w:tr>
        <w:trPr>
          <w:trHeight w:val="403"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1,367,777,706.16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58.79%</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5"/>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91"/>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spacing w:before="44"/>
        <w:ind w:left="0" w:right="5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60"/>
        <w:gridCol w:w="1361"/>
        <w:gridCol w:w="1474"/>
        <w:gridCol w:w="1419"/>
        <w:gridCol w:w="3826"/>
      </w:tblGrid>
      <w:tr>
        <w:trPr>
          <w:trHeight w:val="40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3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61" w:hRule="exact"/>
        </w:trPr>
        <w:tc>
          <w:tcPr>
            <w:tcW w:w="1560"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1"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3" w:right="0"/>
              <w:jc w:val="left"/>
              <w:rPr>
                <w:rFonts w:ascii="Times New Roman" w:hAnsi="Times New Roman" w:cs="Times New Roman" w:eastAsia="Times New Roman" w:hint="default"/>
                <w:sz w:val="18"/>
                <w:szCs w:val="18"/>
              </w:rPr>
            </w:pPr>
            <w:r>
              <w:rPr>
                <w:rFonts w:ascii="Times New Roman"/>
                <w:sz w:val="18"/>
              </w:rPr>
              <w:t>91,677,511.67</w:t>
            </w:r>
          </w:p>
        </w:tc>
        <w:tc>
          <w:tcPr>
            <w:tcW w:w="147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7" w:right="0"/>
              <w:jc w:val="left"/>
              <w:rPr>
                <w:rFonts w:ascii="Times New Roman" w:hAnsi="Times New Roman" w:cs="Times New Roman" w:eastAsia="Times New Roman" w:hint="default"/>
                <w:sz w:val="18"/>
                <w:szCs w:val="18"/>
              </w:rPr>
            </w:pPr>
            <w:r>
              <w:rPr>
                <w:rFonts w:ascii="Times New Roman"/>
                <w:sz w:val="18"/>
              </w:rPr>
              <w:t>66,885,487.45</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0" w:right="0"/>
              <w:jc w:val="left"/>
              <w:rPr>
                <w:rFonts w:ascii="Times New Roman" w:hAnsi="Times New Roman" w:cs="Times New Roman" w:eastAsia="Times New Roman" w:hint="default"/>
                <w:sz w:val="18"/>
                <w:szCs w:val="18"/>
              </w:rPr>
            </w:pPr>
            <w:r>
              <w:rPr>
                <w:rFonts w:ascii="Times New Roman"/>
                <w:sz w:val="18"/>
              </w:rPr>
              <w:t>37.07%</w:t>
            </w:r>
          </w:p>
        </w:tc>
        <w:tc>
          <w:tcPr>
            <w:tcW w:w="3826"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90"/>
              <w:jc w:val="left"/>
              <w:rPr>
                <w:rFonts w:ascii="宋体" w:hAnsi="宋体" w:cs="宋体" w:eastAsia="宋体" w:hint="default"/>
                <w:sz w:val="18"/>
                <w:szCs w:val="18"/>
              </w:rPr>
            </w:pPr>
            <w:r>
              <w:rPr>
                <w:rFonts w:ascii="宋体" w:hAnsi="宋体" w:cs="宋体" w:eastAsia="宋体" w:hint="default"/>
                <w:sz w:val="18"/>
                <w:szCs w:val="18"/>
              </w:rPr>
              <w:t>主要原因系公司为拓宽市场而相应增加了营销 投入及运费增加所致</w:t>
            </w:r>
          </w:p>
        </w:tc>
      </w:tr>
      <w:tr>
        <w:trPr>
          <w:trHeight w:val="391" w:hRule="exact"/>
        </w:trPr>
        <w:tc>
          <w:tcPr>
            <w:tcW w:w="15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361" w:type="dxa"/>
            <w:vMerge/>
            <w:tcBorders>
              <w:left w:val="single" w:sz="9" w:space="0" w:color="D2D2D2"/>
              <w:right w:val="single" w:sz="4" w:space="0" w:color="000000"/>
            </w:tcBorders>
          </w:tcPr>
          <w:p>
            <w:pPr/>
          </w:p>
        </w:tc>
        <w:tc>
          <w:tcPr>
            <w:tcW w:w="1474"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3826" w:type="dxa"/>
            <w:vMerge/>
            <w:tcBorders>
              <w:left w:val="single" w:sz="4" w:space="0" w:color="000000"/>
              <w:right w:val="single" w:sz="4" w:space="0" w:color="000000"/>
            </w:tcBorders>
          </w:tcPr>
          <w:p>
            <w:pPr/>
          </w:p>
        </w:tc>
      </w:tr>
      <w:tr>
        <w:trPr>
          <w:trHeight w:val="161" w:hRule="exact"/>
        </w:trPr>
        <w:tc>
          <w:tcPr>
            <w:tcW w:w="156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1" w:type="dxa"/>
            <w:vMerge/>
            <w:tcBorders>
              <w:left w:val="single" w:sz="9" w:space="0" w:color="D2D2D2"/>
              <w:bottom w:val="single" w:sz="4" w:space="0" w:color="000000"/>
              <w:right w:val="single" w:sz="4" w:space="0" w:color="000000"/>
            </w:tcBorders>
          </w:tcPr>
          <w:p>
            <w:pPr/>
          </w:p>
        </w:tc>
        <w:tc>
          <w:tcPr>
            <w:tcW w:w="1474"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3826" w:type="dxa"/>
            <w:vMerge/>
            <w:tcBorders>
              <w:left w:val="single" w:sz="4" w:space="0" w:color="000000"/>
              <w:bottom w:val="single" w:sz="4" w:space="0" w:color="000000"/>
              <w:right w:val="single" w:sz="4" w:space="0" w:color="000000"/>
            </w:tcBorders>
          </w:tcPr>
          <w:p>
            <w:pP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3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139,544,596.66</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118,853,631.21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17.41%</w:t>
            </w:r>
          </w:p>
        </w:tc>
        <w:tc>
          <w:tcPr>
            <w:tcW w:w="382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3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27,478,980.43</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238,829.80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11,405.67%</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增长原因系公司债券利息支出较上年增长所致</w:t>
            </w:r>
          </w:p>
        </w:tc>
      </w:tr>
    </w:tbl>
    <w:p>
      <w:pPr>
        <w:spacing w:line="240" w:lineRule="auto" w:before="3"/>
        <w:rPr>
          <w:rFonts w:ascii="宋体" w:hAnsi="宋体" w:cs="宋体" w:eastAsia="宋体" w:hint="default"/>
          <w:sz w:val="19"/>
          <w:szCs w:val="19"/>
        </w:rPr>
      </w:pPr>
    </w:p>
    <w:p>
      <w:pPr>
        <w:pStyle w:val="Heading4"/>
        <w:spacing w:line="240" w:lineRule="auto" w:before="36"/>
        <w:ind w:right="91"/>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4"/>
        <w:rPr>
          <w:rFonts w:ascii="宋体" w:hAnsi="宋体" w:cs="宋体" w:eastAsia="宋体" w:hint="default"/>
          <w:b/>
          <w:bCs/>
          <w:sz w:val="26"/>
          <w:szCs w:val="26"/>
        </w:rPr>
      </w:pPr>
    </w:p>
    <w:p>
      <w:pPr>
        <w:spacing w:line="321" w:lineRule="auto" w:before="0"/>
        <w:ind w:left="152" w:right="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w:t>
      </w:r>
      <w:r>
        <w:rPr>
          <w:rFonts w:ascii="宋体" w:hAnsi="宋体" w:cs="宋体" w:eastAsia="宋体" w:hint="default"/>
          <w:spacing w:val="-3"/>
          <w:sz w:val="18"/>
          <w:szCs w:val="18"/>
        </w:rPr>
        <w:t>深入实施创新驱动发展战略，形成以五大板块创新为支撑的发展模式，</w:t>
      </w:r>
      <w:r>
        <w:rPr>
          <w:rFonts w:ascii="Times New Roman" w:hAnsi="Times New Roman" w:cs="Times New Roman" w:eastAsia="Times New Roman" w:hint="default"/>
          <w:spacing w:val="-3"/>
          <w:sz w:val="18"/>
          <w:szCs w:val="18"/>
        </w:rPr>
        <w:t>2017</w:t>
      </w:r>
      <w:r>
        <w:rPr>
          <w:rFonts w:ascii="宋体" w:hAnsi="宋体" w:cs="宋体" w:eastAsia="宋体" w:hint="default"/>
          <w:spacing w:val="-3"/>
          <w:sz w:val="18"/>
          <w:szCs w:val="18"/>
        </w:rPr>
        <w:t>年度研发投入</w:t>
      </w:r>
      <w:r>
        <w:rPr>
          <w:rFonts w:ascii="Times New Roman" w:hAnsi="Times New Roman" w:cs="Times New Roman" w:eastAsia="Times New Roman" w:hint="default"/>
          <w:spacing w:val="-3"/>
          <w:sz w:val="18"/>
          <w:szCs w:val="18"/>
        </w:rPr>
        <w:t>9660</w:t>
      </w:r>
      <w:r>
        <w:rPr>
          <w:rFonts w:ascii="宋体" w:hAnsi="宋体" w:cs="宋体" w:eastAsia="宋体" w:hint="default"/>
          <w:spacing w:val="-3"/>
          <w:sz w:val="18"/>
          <w:szCs w:val="18"/>
        </w:rPr>
        <w:t>万元，新增先进检测设备仪器，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落实光学基材、纳米高档窗膜、智能调光膜、</w:t>
      </w:r>
      <w:r>
        <w:rPr>
          <w:rFonts w:ascii="Times New Roman" w:hAnsi="Times New Roman" w:cs="Times New Roman" w:eastAsia="Times New Roman" w:hint="default"/>
          <w:spacing w:val="-2"/>
          <w:sz w:val="18"/>
          <w:szCs w:val="18"/>
        </w:rPr>
        <w:t>DOP/POP/DPL</w:t>
      </w:r>
      <w:r>
        <w:rPr>
          <w:rFonts w:ascii="宋体" w:hAnsi="宋体" w:cs="宋体" w:eastAsia="宋体" w:hint="default"/>
          <w:spacing w:val="-2"/>
          <w:sz w:val="18"/>
          <w:szCs w:val="18"/>
        </w:rPr>
        <w:t>复合膜片、</w:t>
      </w:r>
      <w:r>
        <w:rPr>
          <w:rFonts w:ascii="Times New Roman" w:hAnsi="Times New Roman" w:cs="Times New Roman" w:eastAsia="Times New Roman" w:hint="default"/>
          <w:spacing w:val="-2"/>
          <w:sz w:val="18"/>
          <w:szCs w:val="18"/>
        </w:rPr>
        <w:t>IM</w:t>
      </w:r>
      <w:r>
        <w:rPr>
          <w:rFonts w:ascii="宋体" w:hAnsi="宋体" w:cs="宋体" w:eastAsia="宋体" w:hint="default"/>
          <w:spacing w:val="-2"/>
          <w:sz w:val="18"/>
          <w:szCs w:val="18"/>
        </w:rPr>
        <w:t>基材、高端离型膜基材等新产品</w:t>
      </w:r>
      <w:r>
        <w:rPr>
          <w:rFonts w:ascii="Times New Roman" w:hAnsi="Times New Roman" w:cs="Times New Roman" w:eastAsia="Times New Roman" w:hint="default"/>
          <w:spacing w:val="-2"/>
          <w:sz w:val="18"/>
          <w:szCs w:val="18"/>
        </w:rPr>
        <w:t>30</w:t>
      </w:r>
      <w:r>
        <w:rPr>
          <w:rFonts w:ascii="宋体" w:hAnsi="宋体" w:cs="宋体" w:eastAsia="宋体" w:hint="default"/>
          <w:spacing w:val="-2"/>
          <w:sz w:val="18"/>
          <w:szCs w:val="18"/>
        </w:rPr>
        <w:t>余项开发完成；</w:t>
      </w:r>
    </w:p>
    <w:p>
      <w:pPr>
        <w:spacing w:line="300" w:lineRule="auto" w:before="0"/>
        <w:ind w:left="152" w:right="91" w:firstLine="0"/>
        <w:jc w:val="left"/>
        <w:rPr>
          <w:rFonts w:ascii="宋体" w:hAnsi="宋体" w:cs="宋体" w:eastAsia="宋体" w:hint="default"/>
          <w:sz w:val="18"/>
          <w:szCs w:val="18"/>
        </w:rPr>
      </w:pPr>
      <w:r>
        <w:rPr>
          <w:rFonts w:ascii="宋体" w:hAnsi="宋体" w:cs="宋体" w:eastAsia="宋体" w:hint="default"/>
          <w:spacing w:val="-2"/>
          <w:sz w:val="18"/>
          <w:szCs w:val="18"/>
        </w:rPr>
        <w:t>全年申请专利</w:t>
      </w:r>
      <w:r>
        <w:rPr>
          <w:rFonts w:ascii="Times New Roman" w:hAnsi="Times New Roman" w:cs="Times New Roman" w:eastAsia="Times New Roman" w:hint="default"/>
          <w:spacing w:val="-2"/>
          <w:sz w:val="18"/>
          <w:szCs w:val="18"/>
        </w:rPr>
        <w:t>15</w:t>
      </w:r>
      <w:r>
        <w:rPr>
          <w:rFonts w:ascii="宋体" w:hAnsi="宋体" w:cs="宋体" w:eastAsia="宋体" w:hint="default"/>
          <w:spacing w:val="-2"/>
          <w:sz w:val="18"/>
          <w:szCs w:val="18"/>
        </w:rPr>
        <w:t>件，其中：发明专利</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件，实用新型专利</w:t>
      </w:r>
      <w:r>
        <w:rPr>
          <w:rFonts w:ascii="Times New Roman" w:hAnsi="Times New Roman" w:cs="Times New Roman" w:eastAsia="Times New Roman" w:hint="default"/>
          <w:spacing w:val="-2"/>
          <w:sz w:val="18"/>
          <w:szCs w:val="18"/>
        </w:rPr>
        <w:t>11</w:t>
      </w:r>
      <w:r>
        <w:rPr>
          <w:rFonts w:ascii="宋体" w:hAnsi="宋体" w:cs="宋体" w:eastAsia="宋体" w:hint="default"/>
          <w:spacing w:val="-2"/>
          <w:sz w:val="18"/>
          <w:szCs w:val="18"/>
        </w:rPr>
        <w:t>件；通过认定省级高新技术产品</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项，通过省市级新产品新技术鉴</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定</w:t>
      </w:r>
      <w:r>
        <w:rPr>
          <w:rFonts w:ascii="Times New Roman" w:hAnsi="Times New Roman" w:cs="Times New Roman" w:eastAsia="Times New Roman" w:hint="default"/>
          <w:sz w:val="18"/>
          <w:szCs w:val="18"/>
        </w:rPr>
        <w:t>5</w:t>
      </w:r>
      <w:r>
        <w:rPr>
          <w:rFonts w:ascii="宋体" w:hAnsi="宋体" w:cs="宋体" w:eastAsia="宋体" w:hint="default"/>
          <w:sz w:val="18"/>
          <w:szCs w:val="18"/>
        </w:rPr>
        <w:t>项，以技术创新增强核心竞争力，形成持续成长的新动力。</w:t>
      </w:r>
    </w:p>
    <w:p>
      <w:pPr>
        <w:spacing w:before="53"/>
        <w:ind w:left="152" w:right="91" w:firstLine="0"/>
        <w:jc w:val="left"/>
        <w:rPr>
          <w:rFonts w:ascii="宋体" w:hAnsi="宋体" w:cs="宋体" w:eastAsia="宋体" w:hint="default"/>
          <w:sz w:val="18"/>
          <w:szCs w:val="18"/>
        </w:rPr>
      </w:pPr>
      <w:r>
        <w:rPr>
          <w:rFonts w:ascii="宋体" w:hAnsi="宋体" w:cs="宋体" w:eastAsia="宋体" w:hint="default"/>
          <w:sz w:val="18"/>
          <w:szCs w:val="18"/>
        </w:rPr>
        <w:t>公司研发投入情况</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813"/>
        <w:gridCol w:w="2565"/>
        <w:gridCol w:w="2124"/>
        <w:gridCol w:w="2057"/>
      </w:tblGrid>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65" w:right="0"/>
              <w:jc w:val="left"/>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5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128</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122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4.92%</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5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10.51%</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10.50%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5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96,604,139.55</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80,133,544.05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20.55%</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5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0.06%</w:t>
            </w:r>
          </w:p>
        </w:tc>
      </w:tr>
      <w:tr>
        <w:trPr>
          <w:trHeight w:val="404"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5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资本化研发投入占研发投入的比例</w:t>
            </w:r>
          </w:p>
        </w:tc>
        <w:tc>
          <w:tcPr>
            <w:tcW w:w="25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2" w:right="91"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40" w:lineRule="auto" w:before="115"/>
        <w:ind w:left="152" w:right="58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研发投入资本化率大幅变动的原因及其合理性说明</w:t>
      </w:r>
    </w:p>
    <w:p>
      <w:pPr>
        <w:spacing w:before="39"/>
        <w:ind w:left="152" w:right="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91"/>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spacing w:before="44"/>
        <w:ind w:left="0" w:right="19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813"/>
        <w:gridCol w:w="2279"/>
        <w:gridCol w:w="2268"/>
        <w:gridCol w:w="2199"/>
      </w:tblGrid>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2,571,752,645.40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2,441,996,272.42</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5.31%</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2,558,735,233.05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2,317,735,457.66</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10.40%</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13,017,412.35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124,260,814.76</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-89.52%</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2,095,468,953.09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3,259,982.20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64,178.54%</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4,761,121,920.26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260,629,755.79</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1,726.78%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23"/>
        <w:gridCol w:w="2279"/>
        <w:gridCol w:w="2268"/>
        <w:gridCol w:w="2199"/>
      </w:tblGrid>
      <w:tr>
        <w:trPr>
          <w:trHeight w:val="401" w:hRule="exact"/>
        </w:trPr>
        <w:tc>
          <w:tcPr>
            <w:tcW w:w="2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-2,665,652,967.17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-257,369,773.59</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935.73%</w:t>
            </w:r>
          </w:p>
        </w:tc>
      </w:tr>
      <w:tr>
        <w:trPr>
          <w:trHeight w:val="404" w:hRule="exact"/>
        </w:trPr>
        <w:tc>
          <w:tcPr>
            <w:tcW w:w="2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1,969,306,649.81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796,981,132.07</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147.10%</w:t>
            </w:r>
          </w:p>
        </w:tc>
      </w:tr>
      <w:tr>
        <w:trPr>
          <w:trHeight w:val="401" w:hRule="exact"/>
        </w:trPr>
        <w:tc>
          <w:tcPr>
            <w:tcW w:w="2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50,513,319.96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19,271,982.71</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162.11%</w:t>
            </w:r>
          </w:p>
        </w:tc>
      </w:tr>
      <w:tr>
        <w:trPr>
          <w:trHeight w:val="403" w:hRule="exact"/>
        </w:trPr>
        <w:tc>
          <w:tcPr>
            <w:tcW w:w="2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1,918,793,329.85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777,709,149.36</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146.72%</w:t>
            </w:r>
          </w:p>
        </w:tc>
      </w:tr>
      <w:tr>
        <w:trPr>
          <w:trHeight w:val="403" w:hRule="exact"/>
        </w:trPr>
        <w:tc>
          <w:tcPr>
            <w:tcW w:w="2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-748,227,623.49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647,643,342.70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-215.53%</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before="115"/>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）公司经营活动产生的现金净流量同比减少</w:t>
      </w:r>
      <w:r>
        <w:rPr>
          <w:rFonts w:ascii="Times New Roman" w:hAnsi="Times New Roman" w:cs="Times New Roman" w:eastAsia="Times New Roman" w:hint="default"/>
          <w:sz w:val="18"/>
          <w:szCs w:val="18"/>
        </w:rPr>
        <w:t>89.52%</w:t>
      </w:r>
      <w:r>
        <w:rPr>
          <w:rFonts w:ascii="宋体" w:hAnsi="宋体" w:cs="宋体" w:eastAsia="宋体" w:hint="default"/>
          <w:sz w:val="18"/>
          <w:szCs w:val="18"/>
        </w:rPr>
        <w:t>，主要原因系报告期内公司购买商品支付的现金较上年同期增加所致；</w:t>
      </w:r>
    </w:p>
    <w:p>
      <w:pPr>
        <w:spacing w:before="63"/>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）投资活动现金流入同比增长了</w:t>
      </w:r>
      <w:r>
        <w:rPr>
          <w:rFonts w:ascii="Times New Roman" w:hAnsi="Times New Roman" w:cs="Times New Roman" w:eastAsia="Times New Roman" w:hint="default"/>
          <w:sz w:val="18"/>
          <w:szCs w:val="18"/>
        </w:rPr>
        <w:t>64178.54%</w:t>
      </w:r>
      <w:r>
        <w:rPr>
          <w:rFonts w:ascii="宋体" w:hAnsi="宋体" w:cs="宋体" w:eastAsia="宋体" w:hint="default"/>
          <w:sz w:val="18"/>
          <w:szCs w:val="18"/>
        </w:rPr>
        <w:t>，主要原因系报告期内公司购买理财产品到期资金到账所致；</w:t>
      </w:r>
    </w:p>
    <w:p>
      <w:pPr>
        <w:spacing w:line="307" w:lineRule="auto" w:before="63"/>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）投资活动现金流出同比增长了</w:t>
      </w:r>
      <w:r>
        <w:rPr>
          <w:rFonts w:ascii="Times New Roman" w:hAnsi="Times New Roman" w:cs="Times New Roman" w:eastAsia="Times New Roman" w:hint="default"/>
          <w:spacing w:val="-1"/>
          <w:sz w:val="18"/>
          <w:szCs w:val="18"/>
        </w:rPr>
        <w:t>1726.78%</w:t>
      </w:r>
      <w:r>
        <w:rPr>
          <w:rFonts w:ascii="宋体" w:hAnsi="宋体" w:cs="宋体" w:eastAsia="宋体" w:hint="default"/>
          <w:spacing w:val="-1"/>
          <w:sz w:val="18"/>
          <w:szCs w:val="18"/>
        </w:rPr>
        <w:t>，主要原因系报告期内公司新增苏宁银行投资款、二亿平米光学膜项目建设期投</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z w:val="18"/>
          <w:szCs w:val="18"/>
        </w:rPr>
        <w:t>资及购买理财产品等较上年同期增长所致； </w:t>
      </w:r>
      <w:r>
        <w:rPr>
          <w:rFonts w:ascii="Times New Roman" w:hAnsi="Times New Roman" w:cs="Times New Roman" w:eastAsia="Times New Roman" w:hint="default"/>
          <w:sz w:val="18"/>
          <w:szCs w:val="18"/>
        </w:rPr>
        <w:t>4</w:t>
      </w:r>
      <w:r>
        <w:rPr>
          <w:rFonts w:ascii="宋体" w:hAnsi="宋体" w:cs="宋体" w:eastAsia="宋体" w:hint="default"/>
          <w:sz w:val="18"/>
          <w:szCs w:val="18"/>
        </w:rPr>
        <w:t>）投资活动产生的现金流量净额同比增长</w:t>
      </w:r>
      <w:r>
        <w:rPr>
          <w:rFonts w:ascii="Times New Roman" w:hAnsi="Times New Roman" w:cs="Times New Roman" w:eastAsia="Times New Roman" w:hint="default"/>
          <w:sz w:val="18"/>
          <w:szCs w:val="18"/>
        </w:rPr>
        <w:t>935.73%</w:t>
      </w:r>
      <w:r>
        <w:rPr>
          <w:rFonts w:ascii="宋体" w:hAnsi="宋体" w:cs="宋体" w:eastAsia="宋体" w:hint="default"/>
          <w:sz w:val="18"/>
          <w:szCs w:val="18"/>
        </w:rPr>
        <w:t>，主要原因系公司募集资金定存、购买理财产品及项目建设投资较上年 同期增加所致；</w:t>
      </w:r>
    </w:p>
    <w:p>
      <w:pPr>
        <w:spacing w:before="26"/>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）筹资活动现金流入同比增长了</w:t>
      </w:r>
      <w:r>
        <w:rPr>
          <w:rFonts w:ascii="Times New Roman" w:hAnsi="Times New Roman" w:cs="Times New Roman" w:eastAsia="Times New Roman" w:hint="default"/>
          <w:sz w:val="18"/>
          <w:szCs w:val="18"/>
        </w:rPr>
        <w:t>147.10%</w:t>
      </w:r>
      <w:r>
        <w:rPr>
          <w:rFonts w:ascii="宋体" w:hAnsi="宋体" w:cs="宋体" w:eastAsia="宋体" w:hint="default"/>
          <w:sz w:val="18"/>
          <w:szCs w:val="18"/>
        </w:rPr>
        <w:t>，主要原因系告期内公司非公开发行股份资金到账所致所致；</w:t>
      </w:r>
    </w:p>
    <w:p>
      <w:pPr>
        <w:spacing w:before="63"/>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）筹资活动现金流出同比增长了</w:t>
      </w:r>
      <w:r>
        <w:rPr>
          <w:rFonts w:ascii="Times New Roman" w:hAnsi="Times New Roman" w:cs="Times New Roman" w:eastAsia="Times New Roman" w:hint="default"/>
          <w:sz w:val="18"/>
          <w:szCs w:val="18"/>
        </w:rPr>
        <w:t>162.11%</w:t>
      </w:r>
      <w:r>
        <w:rPr>
          <w:rFonts w:ascii="宋体" w:hAnsi="宋体" w:cs="宋体" w:eastAsia="宋体" w:hint="default"/>
          <w:sz w:val="18"/>
          <w:szCs w:val="18"/>
        </w:rPr>
        <w:t>，主要原因系报告期内支付公司债利息支出较上年同期增加所致；</w:t>
      </w:r>
    </w:p>
    <w:p>
      <w:pPr>
        <w:spacing w:line="338" w:lineRule="auto" w:before="63"/>
        <w:ind w:left="152" w:right="147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）筹资活动产生的现金净流量同比增长</w:t>
      </w:r>
      <w:r>
        <w:rPr>
          <w:rFonts w:ascii="Times New Roman" w:hAnsi="Times New Roman" w:cs="Times New Roman" w:eastAsia="Times New Roman" w:hint="default"/>
          <w:sz w:val="18"/>
          <w:szCs w:val="18"/>
        </w:rPr>
        <w:t>146.72%</w:t>
      </w:r>
      <w:r>
        <w:rPr>
          <w:rFonts w:ascii="宋体" w:hAnsi="宋体" w:cs="宋体" w:eastAsia="宋体" w:hint="default"/>
          <w:sz w:val="18"/>
          <w:szCs w:val="18"/>
        </w:rPr>
        <w:t>，主要原因系公司报告期非公开发行股份资金到账所致。 报告期内公司经营活动产生的现金净流量与本年度净利润存在重大差异的原因说明</w:t>
      </w:r>
    </w:p>
    <w:p>
      <w:pPr>
        <w:spacing w:before="43"/>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53"/>
        <w:jc w:val="left"/>
        <w:rPr>
          <w:b w:val="0"/>
          <w:bCs w:val="0"/>
        </w:rPr>
      </w:pPr>
      <w:r>
        <w:rPr/>
        <w:t>三、非主营业务分析</w:t>
      </w:r>
      <w:r>
        <w:rPr>
          <w:b w:val="0"/>
          <w:bCs w:val="0"/>
        </w:rPr>
      </w:r>
    </w:p>
    <w:p>
      <w:pPr>
        <w:spacing w:line="240" w:lineRule="auto" w:before="6"/>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4"/>
          <w:szCs w:val="24"/>
        </w:rPr>
      </w:pPr>
    </w:p>
    <w:p>
      <w:pPr>
        <w:pStyle w:val="Heading2"/>
        <w:spacing w:line="240" w:lineRule="auto"/>
        <w:ind w:right="153"/>
        <w:jc w:val="left"/>
        <w:rPr>
          <w:b w:val="0"/>
          <w:bCs w:val="0"/>
        </w:rPr>
      </w:pPr>
      <w:r>
        <w:rPr/>
        <w:t>四、资产及负债状况分析</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53"/>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328"/>
        <w:gridCol w:w="1274"/>
        <w:gridCol w:w="1419"/>
        <w:gridCol w:w="1133"/>
        <w:gridCol w:w="991"/>
        <w:gridCol w:w="2057"/>
      </w:tblGrid>
      <w:tr>
        <w:trPr>
          <w:trHeight w:val="403"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26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5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205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1"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3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4"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72" w:right="108"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31"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0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485"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3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2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4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3" w:type="dxa"/>
            <w:vMerge/>
            <w:tcBorders>
              <w:left w:val="single" w:sz="4" w:space="0" w:color="000000"/>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2057"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328" w:type="dxa"/>
            <w:vMerge/>
            <w:tcBorders>
              <w:left w:val="single" w:sz="4" w:space="0" w:color="000000"/>
              <w:bottom w:val="nil" w:sz="6" w:space="0" w:color="auto"/>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c>
          <w:tcPr>
            <w:tcW w:w="1133" w:type="dxa"/>
            <w:vMerge/>
            <w:tcBorders>
              <w:left w:val="single" w:sz="4" w:space="0" w:color="000000"/>
              <w:right w:val="single" w:sz="4" w:space="0" w:color="000000"/>
            </w:tcBorders>
            <w:shd w:val="clear" w:color="auto" w:fill="D2D2D2"/>
          </w:tcPr>
          <w:p>
            <w:pPr/>
          </w:p>
        </w:tc>
        <w:tc>
          <w:tcPr>
            <w:tcW w:w="991" w:type="dxa"/>
            <w:vMerge w:val="restart"/>
            <w:tcBorders>
              <w:top w:val="nil" w:sz="6" w:space="0" w:color="auto"/>
              <w:left w:val="single" w:sz="4" w:space="0" w:color="000000"/>
              <w:right w:val="single" w:sz="4" w:space="0" w:color="000000"/>
            </w:tcBorders>
            <w:shd w:val="clear" w:color="auto" w:fill="D2D2D2"/>
          </w:tcPr>
          <w:p>
            <w:pPr/>
          </w:p>
        </w:tc>
        <w:tc>
          <w:tcPr>
            <w:tcW w:w="2057"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6" w:type="dxa"/>
            <w:vMerge/>
            <w:tcBorders>
              <w:left w:val="single" w:sz="4" w:space="0" w:color="000000"/>
              <w:bottom w:val="single" w:sz="4" w:space="0" w:color="000000"/>
              <w:right w:val="single" w:sz="4" w:space="0" w:color="000000"/>
            </w:tcBorders>
            <w:shd w:val="clear" w:color="auto" w:fill="D2D2D2"/>
          </w:tcPr>
          <w:p>
            <w:pPr/>
          </w:p>
        </w:tc>
        <w:tc>
          <w:tcPr>
            <w:tcW w:w="132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205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2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2" w:right="0"/>
              <w:jc w:val="center"/>
              <w:rPr>
                <w:rFonts w:ascii="Times New Roman" w:hAnsi="Times New Roman" w:cs="Times New Roman" w:eastAsia="Times New Roman" w:hint="default"/>
                <w:sz w:val="18"/>
                <w:szCs w:val="18"/>
              </w:rPr>
            </w:pPr>
            <w:r>
              <w:rPr>
                <w:rFonts w:ascii="Times New Roman"/>
                <w:sz w:val="18"/>
              </w:rPr>
              <w:t>825,623,745.22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1,133,611,239.39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16.95%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-7.83%</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8"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908,896,334.12</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10.04%</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641,094,837.33</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6" w:right="0"/>
              <w:jc w:val="left"/>
              <w:rPr>
                <w:rFonts w:ascii="Times New Roman" w:hAnsi="Times New Roman" w:cs="Times New Roman" w:eastAsia="Times New Roman" w:hint="default"/>
                <w:sz w:val="18"/>
                <w:szCs w:val="18"/>
              </w:rPr>
            </w:pPr>
            <w:r>
              <w:rPr>
                <w:rFonts w:ascii="Times New Roman"/>
                <w:sz w:val="18"/>
              </w:rPr>
              <w:t>9.59%</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4" w:right="0"/>
              <w:jc w:val="left"/>
              <w:rPr>
                <w:rFonts w:ascii="Times New Roman" w:hAnsi="Times New Roman" w:cs="Times New Roman" w:eastAsia="Times New Roman" w:hint="default"/>
                <w:sz w:val="18"/>
                <w:szCs w:val="18"/>
              </w:rPr>
            </w:pPr>
            <w:r>
              <w:rPr>
                <w:rFonts w:ascii="Times New Roman"/>
                <w:sz w:val="18"/>
              </w:rPr>
              <w:t>0.45%</w:t>
            </w:r>
          </w:p>
        </w:tc>
        <w:tc>
          <w:tcPr>
            <w:tcW w:w="2057" w:type="dxa"/>
            <w:vMerge w:val="restart"/>
            <w:tcBorders>
              <w:top w:val="single" w:sz="4" w:space="0" w:color="000000"/>
              <w:left w:val="single" w:sz="4" w:space="0" w:color="000000"/>
              <w:right w:val="single" w:sz="4" w:space="0" w:color="000000"/>
            </w:tcBorders>
          </w:tcPr>
          <w:p>
            <w:pPr>
              <w:pStyle w:val="TableParagraph"/>
              <w:spacing w:line="316" w:lineRule="auto" w:before="49"/>
              <w:ind w:left="26" w:right="38"/>
              <w:jc w:val="left"/>
              <w:rPr>
                <w:rFonts w:ascii="宋体" w:hAnsi="宋体" w:cs="宋体" w:eastAsia="宋体" w:hint="default"/>
                <w:sz w:val="18"/>
                <w:szCs w:val="18"/>
              </w:rPr>
            </w:pPr>
            <w:r>
              <w:rPr>
                <w:rFonts w:ascii="宋体" w:hAnsi="宋体" w:cs="宋体" w:eastAsia="宋体" w:hint="default"/>
                <w:sz w:val="18"/>
                <w:szCs w:val="18"/>
              </w:rPr>
              <w:t>增加原因系主要增加产品 销售所致</w:t>
            </w: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28" w:type="dxa"/>
            <w:vMerge/>
            <w:tcBorders>
              <w:left w:val="single" w:sz="9" w:space="0" w:color="D2D2D2"/>
              <w:right w:val="single" w:sz="4" w:space="0" w:color="000000"/>
            </w:tcBorders>
          </w:tcPr>
          <w:p>
            <w:pPr/>
          </w:p>
        </w:tc>
        <w:tc>
          <w:tcPr>
            <w:tcW w:w="1274"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2057"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8" w:type="dxa"/>
            <w:vMerge/>
            <w:tcBorders>
              <w:left w:val="single" w:sz="9" w:space="0" w:color="D2D2D2"/>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2057" w:type="dxa"/>
            <w:vMerge/>
            <w:tcBorders>
              <w:left w:val="single" w:sz="4" w:space="0" w:color="000000"/>
              <w:bottom w:val="single" w:sz="4" w:space="0" w:color="000000"/>
              <w:right w:val="single" w:sz="4" w:space="0" w:color="000000"/>
            </w:tcBorders>
          </w:tcPr>
          <w:p>
            <w:pPr/>
          </w:p>
        </w:tc>
      </w:tr>
      <w:tr>
        <w:trPr>
          <w:trHeight w:val="40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2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1,088,932,800.92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12.03%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847,567,904.03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12.67%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-0.64%</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2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2,509,728,845.72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27.73%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2,708,581,473.14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40.50%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-12.77%</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8"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9" w:right="0"/>
              <w:jc w:val="left"/>
              <w:rPr>
                <w:rFonts w:ascii="Times New Roman" w:hAnsi="Times New Roman" w:cs="Times New Roman" w:eastAsia="Times New Roman" w:hint="default"/>
                <w:sz w:val="18"/>
                <w:szCs w:val="18"/>
              </w:rPr>
            </w:pPr>
            <w:r>
              <w:rPr>
                <w:rFonts w:ascii="Times New Roman"/>
                <w:sz w:val="18"/>
              </w:rPr>
              <w:t>911,445,567.90</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10.07%</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343,900,248.20</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6" w:right="0"/>
              <w:jc w:val="left"/>
              <w:rPr>
                <w:rFonts w:ascii="Times New Roman" w:hAnsi="Times New Roman" w:cs="Times New Roman" w:eastAsia="Times New Roman" w:hint="default"/>
                <w:sz w:val="18"/>
                <w:szCs w:val="18"/>
              </w:rPr>
            </w:pPr>
            <w:r>
              <w:rPr>
                <w:rFonts w:ascii="Times New Roman"/>
                <w:sz w:val="18"/>
              </w:rPr>
              <w:t>5.14%</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94" w:right="0"/>
              <w:jc w:val="left"/>
              <w:rPr>
                <w:rFonts w:ascii="Times New Roman" w:hAnsi="Times New Roman" w:cs="Times New Roman" w:eastAsia="Times New Roman" w:hint="default"/>
                <w:sz w:val="18"/>
                <w:szCs w:val="18"/>
              </w:rPr>
            </w:pPr>
            <w:r>
              <w:rPr>
                <w:rFonts w:ascii="Times New Roman"/>
                <w:sz w:val="18"/>
              </w:rPr>
              <w:t>4.93%</w:t>
            </w:r>
          </w:p>
        </w:tc>
        <w:tc>
          <w:tcPr>
            <w:tcW w:w="2057" w:type="dxa"/>
            <w:vMerge w:val="restart"/>
            <w:tcBorders>
              <w:top w:val="single" w:sz="4" w:space="0" w:color="000000"/>
              <w:left w:val="single" w:sz="4" w:space="0" w:color="000000"/>
              <w:right w:val="single" w:sz="4" w:space="0" w:color="000000"/>
            </w:tcBorders>
          </w:tcPr>
          <w:p>
            <w:pPr>
              <w:pStyle w:val="TableParagraph"/>
              <w:spacing w:line="316" w:lineRule="auto" w:before="49"/>
              <w:ind w:left="26" w:right="39"/>
              <w:jc w:val="both"/>
              <w:rPr>
                <w:rFonts w:ascii="宋体" w:hAnsi="宋体" w:cs="宋体" w:eastAsia="宋体" w:hint="default"/>
                <w:sz w:val="18"/>
                <w:szCs w:val="18"/>
              </w:rPr>
            </w:pPr>
            <w:r>
              <w:rPr>
                <w:rFonts w:ascii="宋体" w:hAnsi="宋体" w:cs="宋体" w:eastAsia="宋体" w:hint="default"/>
                <w:sz w:val="18"/>
                <w:szCs w:val="18"/>
              </w:rPr>
              <w:t>增长原因系公司二亿平米 光学膜项目建设期投资所 致</w:t>
            </w:r>
          </w:p>
        </w:tc>
      </w:tr>
      <w:tr>
        <w:trPr>
          <w:trHeight w:val="394"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28" w:type="dxa"/>
            <w:vMerge/>
            <w:tcBorders>
              <w:left w:val="single" w:sz="9" w:space="0" w:color="D2D2D2"/>
              <w:right w:val="single" w:sz="4" w:space="0" w:color="000000"/>
            </w:tcBorders>
          </w:tcPr>
          <w:p>
            <w:pPr/>
          </w:p>
        </w:tc>
        <w:tc>
          <w:tcPr>
            <w:tcW w:w="1274"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2057" w:type="dxa"/>
            <w:vMerge/>
            <w:tcBorders>
              <w:left w:val="single" w:sz="4" w:space="0" w:color="000000"/>
              <w:right w:val="single" w:sz="4" w:space="0" w:color="000000"/>
            </w:tcBorders>
          </w:tcPr>
          <w:p>
            <w:pPr/>
          </w:p>
        </w:tc>
      </w:tr>
      <w:tr>
        <w:trPr>
          <w:trHeight w:val="317"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8" w:type="dxa"/>
            <w:vMerge/>
            <w:tcBorders>
              <w:left w:val="single" w:sz="9" w:space="0" w:color="D2D2D2"/>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2057" w:type="dxa"/>
            <w:vMerge/>
            <w:tcBorders>
              <w:left w:val="single" w:sz="4" w:space="0" w:color="000000"/>
              <w:bottom w:val="single" w:sz="4" w:space="0" w:color="000000"/>
              <w:right w:val="single" w:sz="4" w:space="0" w:color="000000"/>
            </w:tcBorders>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center"/>
              <w:rPr>
                <w:rFonts w:ascii="Times New Roman" w:hAnsi="Times New Roman" w:cs="Times New Roman" w:eastAsia="Times New Roman" w:hint="default"/>
                <w:sz w:val="18"/>
                <w:szCs w:val="18"/>
              </w:rPr>
            </w:pPr>
            <w:r>
              <w:rPr>
                <w:rFonts w:ascii="Times New Roman"/>
                <w:sz w:val="18"/>
              </w:rPr>
              <w:t>270,566,884.89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198,864,016.00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w:t>
            </w:r>
          </w:p>
        </w:tc>
        <w:tc>
          <w:tcPr>
            <w:tcW w:w="205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28"/>
        <w:gridCol w:w="1274"/>
        <w:gridCol w:w="1419"/>
        <w:gridCol w:w="1133"/>
        <w:gridCol w:w="991"/>
        <w:gridCol w:w="2057"/>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614,292,381.77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459,688,202.28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39"/>
              <w:jc w:val="left"/>
              <w:rPr>
                <w:rFonts w:ascii="宋体" w:hAnsi="宋体" w:cs="宋体" w:eastAsia="宋体" w:hint="default"/>
                <w:sz w:val="18"/>
                <w:szCs w:val="18"/>
              </w:rPr>
            </w:pPr>
            <w:r>
              <w:rPr>
                <w:rFonts w:ascii="宋体" w:hAnsi="宋体" w:cs="宋体" w:eastAsia="宋体" w:hint="default"/>
                <w:sz w:val="18"/>
                <w:szCs w:val="18"/>
              </w:rPr>
              <w:t>增长原因系公司材料预付 款增加所致</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11,931,218.36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1,418,350.68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0.11%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39"/>
              <w:jc w:val="left"/>
              <w:rPr>
                <w:rFonts w:ascii="宋体" w:hAnsi="宋体" w:cs="宋体" w:eastAsia="宋体" w:hint="default"/>
                <w:sz w:val="18"/>
                <w:szCs w:val="18"/>
              </w:rPr>
            </w:pPr>
            <w:r>
              <w:rPr>
                <w:rFonts w:ascii="宋体" w:hAnsi="宋体" w:cs="宋体" w:eastAsia="宋体" w:hint="default"/>
                <w:sz w:val="18"/>
                <w:szCs w:val="18"/>
              </w:rPr>
              <w:t>增长原因系公司存款利息 及理财收益增长所致</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1,305,262,301.08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14.42%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94,416,490.80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13.01%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39"/>
              <w:jc w:val="left"/>
              <w:rPr>
                <w:rFonts w:ascii="宋体" w:hAnsi="宋体" w:cs="宋体" w:eastAsia="宋体" w:hint="default"/>
                <w:sz w:val="18"/>
                <w:szCs w:val="18"/>
              </w:rPr>
            </w:pPr>
            <w:r>
              <w:rPr>
                <w:rFonts w:ascii="宋体" w:hAnsi="宋体" w:cs="宋体" w:eastAsia="宋体" w:hint="default"/>
                <w:sz w:val="18"/>
                <w:szCs w:val="18"/>
              </w:rPr>
              <w:t>增长原因系公司新增理财 产品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亿元所致</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可供出售金融资 产</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403,194,200.00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5,194,200.00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39"/>
              <w:jc w:val="left"/>
              <w:rPr>
                <w:rFonts w:ascii="宋体" w:hAnsi="宋体" w:cs="宋体" w:eastAsia="宋体" w:hint="default"/>
                <w:sz w:val="18"/>
                <w:szCs w:val="18"/>
              </w:rPr>
            </w:pPr>
            <w:r>
              <w:rPr>
                <w:rFonts w:ascii="宋体" w:hAnsi="宋体" w:cs="宋体" w:eastAsia="宋体" w:hint="default"/>
                <w:sz w:val="18"/>
                <w:szCs w:val="18"/>
              </w:rPr>
              <w:t>增长原因系公司本期新增 苏宁银行投资款所致</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84,899,044.39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39"/>
              <w:jc w:val="left"/>
              <w:rPr>
                <w:rFonts w:ascii="宋体" w:hAnsi="宋体" w:cs="宋体" w:eastAsia="宋体" w:hint="default"/>
                <w:sz w:val="18"/>
                <w:szCs w:val="18"/>
              </w:rPr>
            </w:pPr>
            <w:r>
              <w:rPr>
                <w:rFonts w:ascii="宋体" w:hAnsi="宋体" w:cs="宋体" w:eastAsia="宋体" w:hint="default"/>
                <w:sz w:val="18"/>
                <w:szCs w:val="18"/>
              </w:rPr>
              <w:t>减少原因系公司本期计提 商誉减值准备所致</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1,488,156.35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2,272,368.92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39"/>
              <w:jc w:val="left"/>
              <w:rPr>
                <w:rFonts w:ascii="宋体" w:hAnsi="宋体" w:cs="宋体" w:eastAsia="宋体" w:hint="default"/>
                <w:sz w:val="18"/>
                <w:szCs w:val="18"/>
              </w:rPr>
            </w:pPr>
            <w:r>
              <w:rPr>
                <w:rFonts w:ascii="宋体" w:hAnsi="宋体" w:cs="宋体" w:eastAsia="宋体" w:hint="default"/>
                <w:sz w:val="18"/>
                <w:szCs w:val="18"/>
              </w:rPr>
              <w:t>减少原因系公司本期摊销 费用所致</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9,529,648.03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0.11%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6,672,450.24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39"/>
              <w:jc w:val="both"/>
              <w:rPr>
                <w:rFonts w:ascii="宋体" w:hAnsi="宋体" w:cs="宋体" w:eastAsia="宋体" w:hint="default"/>
                <w:sz w:val="18"/>
                <w:szCs w:val="18"/>
              </w:rPr>
            </w:pPr>
            <w:r>
              <w:rPr>
                <w:rFonts w:ascii="宋体" w:hAnsi="宋体" w:cs="宋体" w:eastAsia="宋体" w:hint="default"/>
                <w:sz w:val="18"/>
                <w:szCs w:val="18"/>
              </w:rPr>
              <w:t>增长原因系公司本期增加 资产减值准备而相应增加 的可抵扣暂时性差异所致</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422,264,680.00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317,768,632.00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39"/>
              <w:jc w:val="both"/>
              <w:rPr>
                <w:rFonts w:ascii="宋体" w:hAnsi="宋体" w:cs="宋体" w:eastAsia="宋体" w:hint="default"/>
                <w:sz w:val="18"/>
                <w:szCs w:val="18"/>
              </w:rPr>
            </w:pPr>
            <w:r>
              <w:rPr>
                <w:rFonts w:ascii="宋体" w:hAnsi="宋体" w:cs="宋体" w:eastAsia="宋体" w:hint="default"/>
                <w:sz w:val="18"/>
                <w:szCs w:val="18"/>
              </w:rPr>
              <w:t>增长原因系公司采购增长 相应银行承兑汇票结算增 长所致</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27,968,348.32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19,860,634.53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39"/>
              <w:jc w:val="left"/>
              <w:rPr>
                <w:rFonts w:ascii="宋体" w:hAnsi="宋体" w:cs="宋体" w:eastAsia="宋体" w:hint="default"/>
                <w:sz w:val="18"/>
                <w:szCs w:val="18"/>
              </w:rPr>
            </w:pPr>
            <w:r>
              <w:rPr>
                <w:rFonts w:ascii="宋体" w:hAnsi="宋体" w:cs="宋体" w:eastAsia="宋体" w:hint="default"/>
                <w:sz w:val="18"/>
                <w:szCs w:val="18"/>
              </w:rPr>
              <w:t>增长原因系公司预收货款 增长所致</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9,897,990.07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0.11%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3,579,115.98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39"/>
              <w:jc w:val="left"/>
              <w:rPr>
                <w:rFonts w:ascii="宋体" w:hAnsi="宋体" w:cs="宋体" w:eastAsia="宋体" w:hint="default"/>
                <w:sz w:val="18"/>
                <w:szCs w:val="18"/>
              </w:rPr>
            </w:pPr>
            <w:r>
              <w:rPr>
                <w:rFonts w:ascii="宋体" w:hAnsi="宋体" w:cs="宋体" w:eastAsia="宋体" w:hint="default"/>
                <w:sz w:val="18"/>
                <w:szCs w:val="18"/>
              </w:rPr>
              <w:t>增长原因系公司实现应交 税费增长所致</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296,449,486.90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108,015,644.36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39"/>
              <w:jc w:val="both"/>
              <w:rPr>
                <w:rFonts w:ascii="宋体" w:hAnsi="宋体" w:cs="宋体" w:eastAsia="宋体" w:hint="default"/>
                <w:sz w:val="18"/>
                <w:szCs w:val="18"/>
              </w:rPr>
            </w:pPr>
            <w:r>
              <w:rPr>
                <w:rFonts w:ascii="宋体" w:hAnsi="宋体" w:cs="宋体" w:eastAsia="宋体" w:hint="default"/>
                <w:sz w:val="18"/>
                <w:szCs w:val="18"/>
              </w:rPr>
              <w:t>增长原因系公司项目建设 投资未到约定付款期增长 所致</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1,156,278,085.00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12.78%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717,327,642.00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10.73%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39"/>
              <w:jc w:val="both"/>
              <w:rPr>
                <w:rFonts w:ascii="宋体" w:hAnsi="宋体" w:cs="宋体" w:eastAsia="宋体" w:hint="default"/>
                <w:sz w:val="18"/>
                <w:szCs w:val="18"/>
              </w:rPr>
            </w:pPr>
            <w:r>
              <w:rPr>
                <w:rFonts w:ascii="宋体" w:hAnsi="宋体" w:cs="宋体" w:eastAsia="宋体" w:hint="default"/>
                <w:sz w:val="18"/>
                <w:szCs w:val="18"/>
              </w:rPr>
              <w:t>增长原因系公司定向增发 及资本公积转增股本增长 所致</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5,185,545,435.71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57.30%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3,636,738,551.32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54.38%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39"/>
              <w:jc w:val="left"/>
              <w:rPr>
                <w:rFonts w:ascii="宋体" w:hAnsi="宋体" w:cs="宋体" w:eastAsia="宋体" w:hint="default"/>
                <w:sz w:val="18"/>
                <w:szCs w:val="18"/>
              </w:rPr>
            </w:pPr>
            <w:r>
              <w:rPr>
                <w:rFonts w:ascii="宋体" w:hAnsi="宋体" w:cs="宋体" w:eastAsia="宋体" w:hint="default"/>
                <w:sz w:val="18"/>
                <w:szCs w:val="18"/>
              </w:rPr>
              <w:t>增长原因系公司定向增发 募集资金到账所致</w:t>
            </w: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2"/>
        <w:rPr>
          <w:rFonts w:ascii="宋体" w:hAnsi="宋体" w:cs="宋体" w:eastAsia="宋体" w:hint="default"/>
          <w:b/>
          <w:bCs/>
          <w:sz w:val="26"/>
          <w:szCs w:val="26"/>
        </w:rPr>
      </w:pPr>
    </w:p>
    <w:p>
      <w:pPr>
        <w:spacing w:line="547" w:lineRule="auto" w:before="0"/>
        <w:ind w:left="152" w:right="61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pacing w:val="-1"/>
          <w:sz w:val="21"/>
          <w:szCs w:val="21"/>
        </w:rPr>
        <w:t>3</w:t>
      </w:r>
      <w:r>
        <w:rPr>
          <w:rFonts w:ascii="宋体" w:hAnsi="宋体" w:cs="宋体" w:eastAsia="宋体" w:hint="default"/>
          <w:b/>
          <w:bCs/>
          <w:spacing w:val="-1"/>
          <w:sz w:val="21"/>
          <w:szCs w:val="21"/>
        </w:rPr>
        <w:t>、截至报告期末的资产权利受限情况</w:t>
      </w:r>
      <w:r>
        <w:rPr>
          <w:rFonts w:ascii="宋体" w:hAnsi="宋体" w:cs="宋体" w:eastAsia="宋体" w:hint="default"/>
          <w:b/>
          <w:bCs/>
          <w:spacing w:val="-89"/>
          <w:sz w:val="21"/>
          <w:szCs w:val="21"/>
        </w:rPr>
        <w:t> </w:t>
      </w:r>
      <w:r>
        <w:rPr>
          <w:rFonts w:ascii="宋体" w:hAnsi="宋体" w:cs="宋体" w:eastAsia="宋体" w:hint="default"/>
          <w:b/>
          <w:bCs/>
          <w:spacing w:val="-89"/>
          <w:sz w:val="21"/>
          <w:szCs w:val="21"/>
        </w:rPr>
      </w:r>
      <w:r>
        <w:rPr>
          <w:rFonts w:ascii="宋体" w:hAnsi="宋体" w:cs="宋体" w:eastAsia="宋体" w:hint="default"/>
          <w:sz w:val="18"/>
          <w:szCs w:val="18"/>
        </w:rPr>
        <w:t>无</w:t>
      </w:r>
    </w:p>
    <w:p>
      <w:pPr>
        <w:spacing w:after="0" w:line="547"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153"/>
        <w:jc w:val="left"/>
        <w:rPr>
          <w:b w:val="0"/>
          <w:bCs w:val="0"/>
        </w:rPr>
      </w:pPr>
      <w:r>
        <w:rPr/>
        <w:t>五、投资状况分析</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53"/>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2"/>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153"/>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4"/>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153"/>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4"/>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6"/>
          <w:szCs w:val="26"/>
        </w:rPr>
      </w:pPr>
    </w:p>
    <w:p>
      <w:pPr>
        <w:pStyle w:val="Heading4"/>
        <w:spacing w:line="240" w:lineRule="auto"/>
        <w:ind w:right="153"/>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12"/>
        <w:rPr>
          <w:rFonts w:ascii="宋体" w:hAnsi="宋体" w:cs="宋体" w:eastAsia="宋体" w:hint="default"/>
          <w:b/>
          <w:bCs/>
          <w:sz w:val="22"/>
          <w:szCs w:val="22"/>
        </w:rPr>
      </w:pPr>
    </w:p>
    <w:p>
      <w:pPr>
        <w:spacing w:before="44"/>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88"/>
        <w:gridCol w:w="895"/>
        <w:gridCol w:w="1090"/>
        <w:gridCol w:w="1178"/>
        <w:gridCol w:w="1193"/>
        <w:gridCol w:w="958"/>
        <w:gridCol w:w="955"/>
        <w:gridCol w:w="956"/>
        <w:gridCol w:w="958"/>
      </w:tblGrid>
      <w:tr>
        <w:trPr>
          <w:trHeight w:val="1027"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29"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3" w:right="79" w:hanging="180"/>
              <w:jc w:val="left"/>
              <w:rPr>
                <w:rFonts w:ascii="宋体" w:hAnsi="宋体" w:cs="宋体" w:eastAsia="宋体" w:hint="default"/>
                <w:sz w:val="18"/>
                <w:szCs w:val="18"/>
              </w:rPr>
            </w:pPr>
            <w:r>
              <w:rPr>
                <w:rFonts w:ascii="宋体" w:hAnsi="宋体" w:cs="宋体" w:eastAsia="宋体" w:hint="default"/>
                <w:sz w:val="18"/>
                <w:szCs w:val="18"/>
              </w:rPr>
              <w:t>初始投资 成本</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8" w:right="89"/>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5" w:right="41"/>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12" w:right="48" w:hanging="360"/>
              <w:jc w:val="left"/>
              <w:rPr>
                <w:rFonts w:ascii="宋体" w:hAnsi="宋体" w:cs="宋体" w:eastAsia="宋体" w:hint="default"/>
                <w:sz w:val="18"/>
                <w:szCs w:val="18"/>
              </w:rPr>
            </w:pPr>
            <w:r>
              <w:rPr>
                <w:rFonts w:ascii="宋体" w:hAnsi="宋体" w:cs="宋体" w:eastAsia="宋体" w:hint="default"/>
                <w:sz w:val="18"/>
                <w:szCs w:val="18"/>
              </w:rPr>
              <w:t>报告期内购入 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03" w:right="23" w:hanging="180"/>
              <w:jc w:val="left"/>
              <w:rPr>
                <w:rFonts w:ascii="宋体" w:hAnsi="宋体" w:cs="宋体" w:eastAsia="宋体" w:hint="default"/>
                <w:sz w:val="18"/>
                <w:szCs w:val="18"/>
              </w:rPr>
            </w:pPr>
            <w:r>
              <w:rPr>
                <w:rFonts w:ascii="宋体" w:hAnsi="宋体" w:cs="宋体" w:eastAsia="宋体" w:hint="default"/>
                <w:sz w:val="18"/>
                <w:szCs w:val="18"/>
              </w:rPr>
              <w:t>报告期内售 出金额</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83" w:right="19" w:hanging="360"/>
              <w:jc w:val="left"/>
              <w:rPr>
                <w:rFonts w:ascii="宋体" w:hAnsi="宋体" w:cs="宋体" w:eastAsia="宋体" w:hint="default"/>
                <w:sz w:val="18"/>
                <w:szCs w:val="18"/>
              </w:rPr>
            </w:pPr>
            <w:r>
              <w:rPr>
                <w:rFonts w:ascii="宋体" w:hAnsi="宋体" w:cs="宋体" w:eastAsia="宋体" w:hint="default"/>
                <w:sz w:val="18"/>
                <w:szCs w:val="18"/>
              </w:rPr>
              <w:t>累计投资收 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3"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2"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713"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金融衍生工具</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1090"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4,994,758.2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5,194,200.0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自筹资金</w:t>
            </w:r>
          </w:p>
        </w:tc>
      </w:tr>
      <w:tr>
        <w:trPr>
          <w:trHeight w:val="716"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金融衍生工具</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398,000,00</w:t>
            </w:r>
          </w:p>
          <w:p>
            <w:pPr>
              <w:pStyle w:val="TableParagraph"/>
              <w:spacing w:line="240" w:lineRule="auto" w:before="105"/>
              <w:ind w:left="549" w:right="0"/>
              <w:jc w:val="left"/>
              <w:rPr>
                <w:rFonts w:ascii="Times New Roman" w:hAnsi="Times New Roman" w:cs="Times New Roman" w:eastAsia="Times New Roman" w:hint="default"/>
                <w:sz w:val="18"/>
                <w:szCs w:val="18"/>
              </w:rPr>
            </w:pPr>
            <w:r>
              <w:rPr>
                <w:rFonts w:ascii="Times New Roman"/>
                <w:sz w:val="18"/>
              </w:rPr>
              <w:t>0.00</w:t>
            </w:r>
          </w:p>
        </w:tc>
        <w:tc>
          <w:tcPr>
            <w:tcW w:w="1090"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398,000,000.00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自筹资金</w:t>
            </w:r>
          </w:p>
        </w:tc>
      </w:tr>
      <w:tr>
        <w:trPr>
          <w:trHeight w:val="713"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401,000,00</w:t>
            </w:r>
          </w:p>
          <w:p>
            <w:pPr>
              <w:pStyle w:val="TableParagraph"/>
              <w:spacing w:line="240" w:lineRule="auto" w:before="102"/>
              <w:ind w:left="549" w:right="0"/>
              <w:jc w:val="left"/>
              <w:rPr>
                <w:rFonts w:ascii="Times New Roman" w:hAnsi="Times New Roman" w:cs="Times New Roman" w:eastAsia="Times New Roman" w:hint="default"/>
                <w:sz w:val="18"/>
                <w:szCs w:val="18"/>
              </w:rPr>
            </w:pPr>
            <w:r>
              <w:rPr>
                <w:rFonts w:ascii="Times New Roman"/>
                <w:sz w:val="18"/>
              </w:rPr>
              <w:t>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398,000,000.00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9" w:right="0"/>
              <w:jc w:val="left"/>
              <w:rPr>
                <w:rFonts w:ascii="Times New Roman" w:hAnsi="Times New Roman" w:cs="Times New Roman" w:eastAsia="Times New Roman" w:hint="default"/>
                <w:sz w:val="18"/>
                <w:szCs w:val="18"/>
              </w:rPr>
            </w:pPr>
            <w:r>
              <w:rPr>
                <w:rFonts w:ascii="Times New Roman"/>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4,994,758.2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403,194,200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spacing w:before="44"/>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6"/>
        <w:gridCol w:w="862"/>
        <w:gridCol w:w="878"/>
        <w:gridCol w:w="869"/>
        <w:gridCol w:w="871"/>
        <w:gridCol w:w="869"/>
        <w:gridCol w:w="869"/>
        <w:gridCol w:w="871"/>
        <w:gridCol w:w="869"/>
        <w:gridCol w:w="871"/>
        <w:gridCol w:w="869"/>
      </w:tblGrid>
      <w:tr>
        <w:trPr>
          <w:trHeight w:val="1337"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56" w:right="71"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0"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9"/>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1" w:right="67"/>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67"/>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715"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270,660.97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2,245.12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275,999.15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4" w:right="0"/>
              <w:jc w:val="lef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1" w:right="0"/>
              <w:jc w:val="left"/>
              <w:rPr>
                <w:rFonts w:ascii="Times New Roman" w:hAnsi="Times New Roman" w:cs="Times New Roman" w:eastAsia="Times New Roman" w:hint="default"/>
                <w:sz w:val="18"/>
                <w:szCs w:val="18"/>
              </w:rPr>
            </w:pPr>
            <w:r>
              <w:rPr>
                <w:rFonts w:ascii="Times New Roman"/>
                <w:sz w:val="18"/>
              </w:rPr>
              <w:t>17.32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13"/>
              <w:jc w:val="left"/>
              <w:rPr>
                <w:rFonts w:ascii="宋体" w:hAnsi="宋体" w:cs="宋体" w:eastAsia="宋体" w:hint="default"/>
                <w:sz w:val="18"/>
                <w:szCs w:val="18"/>
              </w:rPr>
            </w:pPr>
            <w:r>
              <w:rPr>
                <w:rFonts w:ascii="宋体" w:hAnsi="宋体" w:cs="宋体" w:eastAsia="宋体" w:hint="default"/>
                <w:sz w:val="18"/>
                <w:szCs w:val="18"/>
              </w:rPr>
              <w:t>存放于募 集专户</w:t>
            </w:r>
          </w:p>
        </w:tc>
        <w:tc>
          <w:tcPr>
            <w:tcW w:w="8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spacing w:before="44"/>
        <w:ind w:left="0" w:right="160" w:firstLine="0"/>
        <w:jc w:val="right"/>
        <w:rPr>
          <w:rFonts w:ascii="宋体" w:hAnsi="宋体" w:cs="宋体" w:eastAsia="宋体" w:hint="default"/>
          <w:sz w:val="18"/>
          <w:szCs w:val="18"/>
        </w:rPr>
      </w:pPr>
      <w:r>
        <w:rPr/>
        <w:pict>
          <v:shape style="position:absolute;margin-left:56.400002pt;margin-top:-143.548309pt;width:479.05pt;height:225.9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7"/>
                    <w:gridCol w:w="862"/>
                    <w:gridCol w:w="878"/>
                    <w:gridCol w:w="869"/>
                    <w:gridCol w:w="871"/>
                    <w:gridCol w:w="869"/>
                    <w:gridCol w:w="869"/>
                    <w:gridCol w:w="871"/>
                    <w:gridCol w:w="869"/>
                    <w:gridCol w:w="871"/>
                    <w:gridCol w:w="869"/>
                  </w:tblGrid>
                  <w:tr>
                    <w:trPr>
                      <w:trHeight w:val="713"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2"/>
                          <w:jc w:val="center"/>
                          <w:rPr>
                            <w:rFonts w:ascii="宋体" w:hAnsi="宋体" w:cs="宋体" w:eastAsia="宋体" w:hint="default"/>
                            <w:sz w:val="18"/>
                            <w:szCs w:val="18"/>
                          </w:rPr>
                        </w:pPr>
                        <w:r>
                          <w:rPr>
                            <w:rFonts w:ascii="宋体" w:hAnsi="宋体" w:cs="宋体" w:eastAsia="宋体" w:hint="default"/>
                            <w:sz w:val="18"/>
                            <w:szCs w:val="18"/>
                          </w:rPr>
                          <w:t>定向增发</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136,793.94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5" w:right="0"/>
                          <w:jc w:val="center"/>
                          <w:rPr>
                            <w:rFonts w:ascii="Times New Roman" w:hAnsi="Times New Roman" w:cs="Times New Roman" w:eastAsia="Times New Roman" w:hint="default"/>
                            <w:sz w:val="18"/>
                            <w:szCs w:val="18"/>
                          </w:rPr>
                        </w:pPr>
                        <w:r>
                          <w:rPr>
                            <w:rFonts w:ascii="Times New Roman"/>
                            <w:sz w:val="18"/>
                          </w:rPr>
                          <w:t>7,050.07</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137,916.12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13.16%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2,223.43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113"/>
                          <w:jc w:val="left"/>
                          <w:rPr>
                            <w:rFonts w:ascii="宋体" w:hAnsi="宋体" w:cs="宋体" w:eastAsia="宋体" w:hint="default"/>
                            <w:sz w:val="18"/>
                            <w:szCs w:val="18"/>
                          </w:rPr>
                        </w:pPr>
                        <w:r>
                          <w:rPr>
                            <w:rFonts w:ascii="宋体" w:hAnsi="宋体" w:cs="宋体" w:eastAsia="宋体" w:hint="default"/>
                            <w:sz w:val="18"/>
                            <w:szCs w:val="18"/>
                          </w:rPr>
                          <w:t>存放于募 集专户</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82"/>
                          <w:jc w:val="center"/>
                          <w:rPr>
                            <w:rFonts w:ascii="宋体" w:hAnsi="宋体" w:cs="宋体" w:eastAsia="宋体" w:hint="default"/>
                            <w:sz w:val="18"/>
                            <w:szCs w:val="18"/>
                          </w:rPr>
                        </w:pPr>
                        <w:r>
                          <w:rPr>
                            <w:rFonts w:ascii="宋体" w:hAnsi="宋体" w:cs="宋体" w:eastAsia="宋体" w:hint="default"/>
                            <w:sz w:val="18"/>
                            <w:szCs w:val="18"/>
                          </w:rPr>
                          <w:t>定向增发</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196,757.29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42,205.08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42,205.08</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157,469.3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19"/>
                          <w:jc w:val="left"/>
                          <w:rPr>
                            <w:rFonts w:ascii="宋体" w:hAnsi="宋体" w:cs="宋体" w:eastAsia="宋体" w:hint="default"/>
                            <w:sz w:val="18"/>
                            <w:szCs w:val="18"/>
                          </w:rPr>
                        </w:pPr>
                        <w:r>
                          <w:rPr>
                            <w:rFonts w:ascii="宋体" w:hAnsi="宋体" w:cs="宋体" w:eastAsia="宋体" w:hint="default"/>
                            <w:spacing w:val="-18"/>
                            <w:sz w:val="18"/>
                            <w:szCs w:val="18"/>
                          </w:rPr>
                          <w:t>理财、定存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及存放于 募集专户</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7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604,212.2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center"/>
                          <w:rPr>
                            <w:rFonts w:ascii="Times New Roman" w:hAnsi="Times New Roman" w:cs="Times New Roman" w:eastAsia="Times New Roman" w:hint="default"/>
                            <w:sz w:val="18"/>
                            <w:szCs w:val="18"/>
                          </w:rPr>
                        </w:pPr>
                        <w:r>
                          <w:rPr>
                            <w:rFonts w:ascii="Times New Roman"/>
                            <w:sz w:val="18"/>
                          </w:rPr>
                          <w:t>51,500.27</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456,120.35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2.98%</w:t>
                        </w:r>
                      </w:p>
                    </w:tc>
                    <w:tc>
                      <w:tcPr>
                        <w:tcW w:w="869"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159,710.05</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964" w:hRule="exact"/>
                    </w:trPr>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、首次发行募集资金</w:t>
                        </w:r>
                        <w:r>
                          <w:rPr>
                            <w:rFonts w:ascii="宋体" w:hAnsi="宋体" w:cs="宋体" w:eastAsia="宋体" w:hint="default"/>
                            <w:spacing w:val="-4"/>
                            <w:sz w:val="18"/>
                            <w:szCs w:val="18"/>
                          </w:rPr>
                          <w:t> </w:t>
                        </w:r>
                        <w:r>
                          <w:rPr>
                            <w:rFonts w:ascii="宋体" w:hAnsi="宋体" w:cs="宋体" w:eastAsia="宋体" w:hint="default"/>
                            <w:sz w:val="18"/>
                            <w:szCs w:val="18"/>
                          </w:rPr>
                          <w:t>公司实际募集资金净额为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270,660.97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万元，实际募集资金净额超过计划募集资金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204,497.97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日，公司募集资金承诺投资项目已累计投入资金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66,192.00</w:t>
                        </w:r>
                        <w:r>
                          <w:rPr>
                            <w:rFonts w:ascii="Times New Roman" w:hAnsi="Times New Roman" w:cs="Times New Roman" w:eastAsia="Times New Roman" w:hint="default"/>
                            <w:spacing w:val="3"/>
                            <w:sz w:val="18"/>
                            <w:szCs w:val="18"/>
                          </w:rPr>
                          <w:t> </w:t>
                        </w:r>
                        <w:r>
                          <w:rPr>
                            <w:rFonts w:ascii="宋体" w:hAnsi="宋体" w:cs="宋体" w:eastAsia="宋体" w:hint="default"/>
                            <w:spacing w:val="-10"/>
                            <w:sz w:val="18"/>
                            <w:szCs w:val="18"/>
                          </w:rPr>
                          <w:t>万元，超募资金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209,807.15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万元投入使用</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募集资金累计使用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275,999.15</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万元。</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2014</w:t>
                        </w:r>
                        <w:r>
                          <w:rPr>
                            <w:rFonts w:ascii="Times New Roman" w:hAnsi="Times New Roman" w:cs="Times New Roman" w:eastAsia="Times New Roman" w:hint="default"/>
                            <w:sz w:val="18"/>
                            <w:szCs w:val="18"/>
                          </w:rPr>
                          <w:t> </w:t>
                        </w:r>
                        <w:r>
                          <w:rPr>
                            <w:rFonts w:ascii="宋体" w:hAnsi="宋体" w:cs="宋体" w:eastAsia="宋体" w:hint="default"/>
                            <w:sz w:val="18"/>
                            <w:szCs w:val="18"/>
                          </w:rPr>
                          <w:t>年非公开发行募集资金</w:t>
                        </w:r>
                        <w:r>
                          <w:rPr>
                            <w:rFonts w:ascii="宋体" w:hAnsi="宋体" w:cs="宋体" w:eastAsia="宋体" w:hint="default"/>
                            <w:spacing w:val="-3"/>
                            <w:sz w:val="18"/>
                            <w:szCs w:val="18"/>
                          </w:rPr>
                          <w:t> </w:t>
                        </w:r>
                        <w:r>
                          <w:rPr>
                            <w:rFonts w:ascii="宋体" w:hAnsi="宋体" w:cs="宋体" w:eastAsia="宋体" w:hint="default"/>
                            <w:sz w:val="18"/>
                            <w:szCs w:val="18"/>
                          </w:rPr>
                          <w:t>公司非公开发行股票实际募集资金净额为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136,793.94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9"/>
                            <w:sz w:val="18"/>
                            <w:szCs w:val="18"/>
                          </w:rPr>
                          <w:t>万元，截止</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日，定向增发募集资金专户项目支出累计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137,916.12</w:t>
                        </w:r>
                        <w:r>
                          <w:rPr>
                            <w:rFonts w:ascii="Times New Roman" w:hAnsi="Times New Roman" w:cs="Times New Roman" w:eastAsia="Times New Roman" w:hint="default"/>
                            <w:spacing w:val="2"/>
                            <w:sz w:val="18"/>
                            <w:szCs w:val="18"/>
                          </w:rPr>
                          <w:t> </w:t>
                        </w:r>
                        <w:r>
                          <w:rPr>
                            <w:rFonts w:ascii="宋体" w:hAnsi="宋体" w:cs="宋体" w:eastAsia="宋体" w:hint="default"/>
                            <w:spacing w:val="-10"/>
                            <w:sz w:val="18"/>
                            <w:szCs w:val="18"/>
                          </w:rPr>
                          <w:t>万元。</w:t>
                        </w:r>
                        <w:r>
                          <w:rPr>
                            <w:rFonts w:ascii="Times New Roman" w:hAnsi="Times New Roman" w:cs="Times New Roman" w:eastAsia="Times New Roman" w:hint="default"/>
                            <w:spacing w:val="-10"/>
                            <w:sz w:val="18"/>
                            <w:szCs w:val="18"/>
                          </w:rPr>
                          <w:t>3</w:t>
                        </w: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年非公开发行募集资金</w:t>
                        </w:r>
                        <w:r>
                          <w:rPr>
                            <w:rFonts w:ascii="宋体" w:hAnsi="宋体" w:cs="宋体" w:eastAsia="宋体" w:hint="default"/>
                            <w:spacing w:val="1"/>
                            <w:sz w:val="18"/>
                            <w:szCs w:val="18"/>
                          </w:rPr>
                          <w:t> </w:t>
                        </w:r>
                        <w:r>
                          <w:rPr>
                            <w:rFonts w:ascii="宋体" w:hAnsi="宋体" w:cs="宋体" w:eastAsia="宋体" w:hint="default"/>
                            <w:sz w:val="18"/>
                            <w:szCs w:val="18"/>
                          </w:rPr>
                          <w:t>公</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司非公开发行股票实际募集资金净额为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196,757.29 </w:t>
                        </w:r>
                        <w:r>
                          <w:rPr>
                            <w:rFonts w:ascii="宋体" w:hAnsi="宋体" w:cs="宋体" w:eastAsia="宋体" w:hint="default"/>
                            <w:sz w:val="18"/>
                            <w:szCs w:val="18"/>
                          </w:rPr>
                          <w:t>万元，截止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日，定向增发募集资金专户项目支出累计</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42,205.08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0"/>
        <w:rPr>
          <w:rFonts w:ascii="宋体" w:hAnsi="宋体" w:cs="宋体" w:eastAsia="宋体" w:hint="default"/>
          <w:b/>
          <w:bCs/>
          <w:sz w:val="22"/>
          <w:szCs w:val="22"/>
        </w:rPr>
      </w:pPr>
    </w:p>
    <w:p>
      <w:pPr>
        <w:spacing w:before="44"/>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72"/>
        <w:gridCol w:w="778"/>
        <w:gridCol w:w="781"/>
        <w:gridCol w:w="780"/>
        <w:gridCol w:w="780"/>
        <w:gridCol w:w="780"/>
        <w:gridCol w:w="780"/>
        <w:gridCol w:w="780"/>
        <w:gridCol w:w="781"/>
        <w:gridCol w:w="780"/>
        <w:gridCol w:w="780"/>
      </w:tblGrid>
      <w:tr>
        <w:trPr>
          <w:trHeight w:val="1337"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521" w:right="70"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3"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49"/>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6"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3"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97" w:lineRule="auto"/>
              <w:ind w:left="24" w:right="113"/>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万吨新型功能 性聚酯薄膜项目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66,163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66,163</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66,192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4,236.4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4" w:right="113"/>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万平方米 光学膜项目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136,793.9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118,793.9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7,050.07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119,916.1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100.94%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-4,731.11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117"/>
              <w:jc w:val="left"/>
              <w:rPr>
                <w:rFonts w:ascii="宋体" w:hAnsi="宋体" w:cs="宋体" w:eastAsia="宋体" w:hint="default"/>
                <w:sz w:val="18"/>
                <w:szCs w:val="18"/>
              </w:rPr>
            </w:pPr>
            <w:r>
              <w:rPr>
                <w:rFonts w:ascii="宋体" w:hAnsi="宋体" w:cs="宋体" w:eastAsia="宋体" w:hint="default"/>
                <w:sz w:val="18"/>
                <w:szCs w:val="18"/>
              </w:rPr>
              <w:t>收购江西科为薄膜新 型材料有限公司</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600.61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13"/>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万平方米 光学膜项目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196,757.2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196,757.2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42,205.08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42,205.08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21.45%</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781"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399,714.2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399,714.2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49,255.15</w:t>
            </w:r>
          </w:p>
        </w:tc>
        <w:tc>
          <w:tcPr>
            <w:tcW w:w="780" w:type="dxa"/>
            <w:vMerge w:val="restart"/>
            <w:tcBorders>
              <w:top w:val="single" w:sz="4" w:space="0" w:color="000000"/>
              <w:left w:val="single" w:sz="4" w:space="0" w:color="000000"/>
              <w:right w:val="single" w:sz="10"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246,313.2</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1" w:type="dxa"/>
            <w:vMerge w:val="restart"/>
            <w:tcBorders>
              <w:top w:val="single" w:sz="4" w:space="0" w:color="000000"/>
              <w:left w:val="single" w:sz="10" w:space="0" w:color="D2D2D2"/>
              <w:right w:val="single" w:sz="10"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6" w:right="0"/>
              <w:jc w:val="left"/>
              <w:rPr>
                <w:rFonts w:ascii="Times New Roman" w:hAnsi="Times New Roman" w:cs="Times New Roman" w:eastAsia="Times New Roman" w:hint="default"/>
                <w:sz w:val="18"/>
                <w:szCs w:val="18"/>
              </w:rPr>
            </w:pPr>
            <w:r>
              <w:rPr>
                <w:rFonts w:ascii="Times New Roman"/>
                <w:sz w:val="18"/>
              </w:rPr>
              <w:t>105.9</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1" w:type="dxa"/>
            <w:vMerge/>
            <w:tcBorders>
              <w:left w:val="single" w:sz="9" w:space="0" w:color="D2D2D2"/>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1" w:type="dxa"/>
            <w:vMerge/>
            <w:tcBorders>
              <w:left w:val="single" w:sz="10" w:space="0" w:color="D2D2D2"/>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 w:type="dxa"/>
            <w:vMerge/>
            <w:tcBorders>
              <w:left w:val="single" w:sz="10" w:space="0" w:color="D2D2D2"/>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6"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97" w:lineRule="auto"/>
              <w:ind w:left="24" w:right="113"/>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万吨太阳能电 池封装材料基材项目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65,811.42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65,811.42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156.28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64,870.55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98.57%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8,723.8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r>
        <w:rPr/>
        <w:pict>
          <v:shape style="position:absolute;margin-left:56.400002pt;margin-top:71.999985pt;width:479.3pt;height:691.8pt;mso-position-horizontal-relative:page;mso-position-vertical-relative:page;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2"/>
                    <w:gridCol w:w="778"/>
                    <w:gridCol w:w="781"/>
                    <w:gridCol w:w="780"/>
                    <w:gridCol w:w="780"/>
                    <w:gridCol w:w="780"/>
                    <w:gridCol w:w="780"/>
                    <w:gridCol w:w="780"/>
                    <w:gridCol w:w="781"/>
                    <w:gridCol w:w="780"/>
                    <w:gridCol w:w="780"/>
                  </w:tblGrid>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万吨新型功能</w:t>
                        </w:r>
                      </w:p>
                      <w:p>
                        <w:pPr>
                          <w:pStyle w:val="TableParagraph"/>
                          <w:spacing w:line="300" w:lineRule="auto" w:before="63"/>
                          <w:ind w:left="24" w:right="23"/>
                          <w:jc w:val="left"/>
                          <w:rPr>
                            <w:rFonts w:ascii="宋体" w:hAnsi="宋体" w:cs="宋体" w:eastAsia="宋体" w:hint="default"/>
                            <w:sz w:val="18"/>
                            <w:szCs w:val="18"/>
                          </w:rPr>
                        </w:pPr>
                        <w:r>
                          <w:rPr>
                            <w:rFonts w:ascii="宋体" w:hAnsi="宋体" w:cs="宋体" w:eastAsia="宋体" w:hint="default"/>
                            <w:sz w:val="18"/>
                            <w:szCs w:val="18"/>
                          </w:rPr>
                          <w:t>性聚酯薄膜及</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 功能性膜级切片项目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138,686.5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138,686.5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2,088.84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144,936.6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104.51%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4,250.52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3"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781" w:type="dxa"/>
                        <w:vMerge w:val="restart"/>
                        <w:tcBorders>
                          <w:top w:val="single" w:sz="4" w:space="0" w:color="000000"/>
                          <w:left w:val="single" w:sz="9" w:space="0" w:color="D2D2D2"/>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204,497.9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204,497.9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2,245.12</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209,807.1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12,974.32</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91"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1" w:type="dxa"/>
                        <w:vMerge/>
                        <w:tcBorders>
                          <w:left w:val="single" w:sz="9" w:space="0" w:color="D2D2D2"/>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61"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781"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604,212.2</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604,212.2</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51,500.27</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456,120.3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13,080.22</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91"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1" w:type="dxa"/>
                        <w:vMerge/>
                        <w:tcBorders>
                          <w:left w:val="single" w:sz="9" w:space="0" w:color="D2D2D2"/>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61"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3284"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297" w:lineRule="auto" w:before="51"/>
                          <w:ind w:left="16" w:right="44"/>
                          <w:jc w:val="left"/>
                          <w:rPr>
                            <w:rFonts w:ascii="宋体" w:hAnsi="宋体" w:cs="宋体" w:eastAsia="宋体" w:hint="default"/>
                            <w:sz w:val="18"/>
                            <w:szCs w:val="18"/>
                          </w:rPr>
                        </w:pPr>
                        <w:r>
                          <w:rPr>
                            <w:rFonts w:ascii="宋体" w:hAnsi="宋体" w:cs="宋体" w:eastAsia="宋体" w:hint="default"/>
                            <w:sz w:val="18"/>
                            <w:szCs w:val="18"/>
                          </w:rPr>
                          <w:t>首次发行募集资金投资</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万吨新型功能性聚酯薄膜项目</w:t>
                        </w:r>
                        <w:r>
                          <w:rPr>
                            <w:rFonts w:ascii="Times New Roman" w:hAnsi="Times New Roman" w:cs="Times New Roman" w:eastAsia="Times New Roman" w:hint="default"/>
                            <w:sz w:val="18"/>
                            <w:szCs w:val="18"/>
                          </w:rPr>
                          <w:t>”</w:t>
                        </w:r>
                        <w:r>
                          <w:rPr>
                            <w:rFonts w:ascii="宋体" w:hAnsi="宋体" w:cs="宋体" w:eastAsia="宋体" w:hint="default"/>
                            <w:sz w:val="18"/>
                            <w:szCs w:val="18"/>
                          </w:rPr>
                          <w:t>本年度实现的效益未达到预计效益 的原因为：公司</w:t>
                        </w:r>
                        <w:r>
                          <w:rPr>
                            <w:rFonts w:ascii="Times New Roman" w:hAnsi="Times New Roman" w:cs="Times New Roman" w:eastAsia="Times New Roman" w:hint="default"/>
                            <w:sz w:val="18"/>
                            <w:szCs w:val="18"/>
                          </w:rPr>
                          <w:t>“</w:t>
                        </w:r>
                        <w:r>
                          <w:rPr>
                            <w:rFonts w:ascii="宋体" w:hAnsi="宋体" w:cs="宋体" w:eastAsia="宋体" w:hint="default"/>
                            <w:sz w:val="18"/>
                            <w:szCs w:val="18"/>
                          </w:rPr>
                          <w:t>年产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万吨新型功能性聚酯薄膜项目</w:t>
                        </w:r>
                        <w:r>
                          <w:rPr>
                            <w:rFonts w:ascii="Times New Roman" w:hAnsi="Times New Roman" w:cs="Times New Roman" w:eastAsia="Times New Roman" w:hint="default"/>
                            <w:sz w:val="18"/>
                            <w:szCs w:val="18"/>
                          </w:rPr>
                          <w:t>”</w:t>
                        </w:r>
                        <w:r>
                          <w:rPr>
                            <w:rFonts w:ascii="宋体" w:hAnsi="宋体" w:cs="宋体" w:eastAsia="宋体" w:hint="default"/>
                            <w:sz w:val="18"/>
                            <w:szCs w:val="18"/>
                          </w:rPr>
                          <w:t>建成后，受到整体经济形势的影响，下游客</w:t>
                        </w:r>
                      </w:p>
                      <w:p>
                        <w:pPr>
                          <w:pStyle w:val="TableParagraph"/>
                          <w:spacing w:line="314" w:lineRule="auto" w:before="15"/>
                          <w:ind w:left="16" w:right="22"/>
                          <w:jc w:val="left"/>
                          <w:rPr>
                            <w:rFonts w:ascii="宋体" w:hAnsi="宋体" w:cs="宋体" w:eastAsia="宋体" w:hint="default"/>
                            <w:sz w:val="18"/>
                            <w:szCs w:val="18"/>
                          </w:rPr>
                        </w:pPr>
                        <w:r>
                          <w:rPr>
                            <w:rFonts w:ascii="宋体" w:hAnsi="宋体" w:cs="宋体" w:eastAsia="宋体" w:hint="default"/>
                            <w:sz w:val="18"/>
                            <w:szCs w:val="18"/>
                          </w:rPr>
                          <w:t>户控制成本，热收缩聚酯薄膜市场推广未达预期。目前，该项目拥有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多个品种，涵盖高收缩率 中收缩率、低收缩力、低温收缩、较好收缩曲线，适用于各种标签、瓶用套装、异形容器外用收缩 </w:t>
                        </w:r>
                        <w:r>
                          <w:rPr>
                            <w:rFonts w:ascii="宋体" w:hAnsi="宋体" w:cs="宋体" w:eastAsia="宋体" w:hint="default"/>
                            <w:spacing w:val="-3"/>
                            <w:sz w:val="18"/>
                            <w:szCs w:val="18"/>
                          </w:rPr>
                          <w:t>等要求，拓展国际市场，推进收缩膜国内市场拓展提升，加强技术研发，不断推进收缩膜高端发展</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项目投产后公司产能利用率和产销率都已达到预期，但由于市场竞争激烈，导致产品的价格出现了</w:t>
                        </w:r>
                        <w:r>
                          <w:rPr>
                            <w:rFonts w:ascii="宋体" w:hAnsi="宋体" w:cs="宋体" w:eastAsia="宋体" w:hint="default"/>
                            <w:sz w:val="18"/>
                            <w:szCs w:val="18"/>
                          </w:rPr>
                          <w:t> 较大的波动，影响了该项目预计效益实现。首次发行募集资金投资项目</w:t>
                        </w:r>
                        <w:r>
                          <w:rPr>
                            <w:rFonts w:ascii="Times New Roman" w:hAnsi="Times New Roman" w:cs="Times New Roman" w:eastAsia="Times New Roman" w:hint="default"/>
                            <w:sz w:val="18"/>
                            <w:szCs w:val="18"/>
                          </w:rPr>
                          <w:t>“</w:t>
                        </w:r>
                        <w:r>
                          <w:rPr>
                            <w:rFonts w:ascii="宋体" w:hAnsi="宋体" w:cs="宋体" w:eastAsia="宋体" w:hint="default"/>
                            <w:sz w:val="18"/>
                            <w:szCs w:val="18"/>
                          </w:rPr>
                          <w:t>年产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万吨新型功能性聚</w:t>
                        </w:r>
                      </w:p>
                      <w:p>
                        <w:pPr>
                          <w:pStyle w:val="TableParagraph"/>
                          <w:spacing w:line="307" w:lineRule="auto" w:before="1"/>
                          <w:ind w:left="16" w:right="20"/>
                          <w:jc w:val="both"/>
                          <w:rPr>
                            <w:rFonts w:ascii="宋体" w:hAnsi="宋体" w:cs="宋体" w:eastAsia="宋体" w:hint="default"/>
                            <w:sz w:val="18"/>
                            <w:szCs w:val="18"/>
                          </w:rPr>
                        </w:pPr>
                        <w:r>
                          <w:rPr>
                            <w:rFonts w:ascii="宋体" w:hAnsi="宋体" w:cs="宋体" w:eastAsia="宋体" w:hint="default"/>
                            <w:sz w:val="18"/>
                            <w:szCs w:val="18"/>
                          </w:rPr>
                          <w:t>酯薄膜及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万吨功能性膜级切片项目</w:t>
                        </w:r>
                        <w:r>
                          <w:rPr>
                            <w:rFonts w:ascii="Times New Roman" w:hAnsi="Times New Roman" w:cs="Times New Roman" w:eastAsia="Times New Roman" w:hint="default"/>
                            <w:sz w:val="18"/>
                            <w:szCs w:val="18"/>
                          </w:rPr>
                          <w:t>”</w:t>
                        </w:r>
                        <w:r>
                          <w:rPr>
                            <w:rFonts w:ascii="宋体" w:hAnsi="宋体" w:cs="宋体" w:eastAsia="宋体" w:hint="default"/>
                            <w:sz w:val="18"/>
                            <w:szCs w:val="18"/>
                          </w:rPr>
                          <w:t>本年度实现的效益未达到预计效益的原因为：</w:t>
                        </w:r>
                        <w:r>
                          <w:rPr>
                            <w:rFonts w:ascii="Times New Roman" w:hAnsi="Times New Roman" w:cs="Times New Roman" w:eastAsia="Times New Roman" w:hint="default"/>
                            <w:sz w:val="18"/>
                            <w:szCs w:val="18"/>
                          </w:rPr>
                          <w:t>“</w:t>
                        </w: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万吨 </w:t>
                        </w:r>
                        <w:r>
                          <w:rPr>
                            <w:rFonts w:ascii="宋体" w:hAnsi="宋体" w:cs="宋体" w:eastAsia="宋体" w:hint="default"/>
                            <w:spacing w:val="-2"/>
                            <w:sz w:val="18"/>
                            <w:szCs w:val="18"/>
                          </w:rPr>
                          <w:t>功能性膜级切片</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建成投产后主要为公司最终产品提供原材料，并不直接对外销售，根据公司整体产</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品规划、生产计划和原材料研发需要进行生产安排，因此，公司阶段性主打产品的的价格波动对膜 级切片的效益产生较大影响。</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万吨新型功能性聚酯薄膜项目</w:t>
                        </w:r>
                        <w:r>
                          <w:rPr>
                            <w:rFonts w:ascii="Times New Roman" w:hAnsi="Times New Roman" w:cs="Times New Roman" w:eastAsia="Times New Roman" w:hint="default"/>
                            <w:sz w:val="18"/>
                            <w:szCs w:val="18"/>
                          </w:rPr>
                          <w:t>”</w:t>
                        </w:r>
                        <w:r>
                          <w:rPr>
                            <w:rFonts w:ascii="宋体" w:hAnsi="宋体" w:cs="宋体" w:eastAsia="宋体" w:hint="default"/>
                            <w:sz w:val="18"/>
                            <w:szCs w:val="18"/>
                          </w:rPr>
                          <w:t>建成投产后，该项目产能利 用率和产销率都已达到预期，受到整体经济形势的影响，市场竞争较为激烈，产品价格下降幅度较 大，未能达到预计效益。首次发行募集资金投资</w:t>
                        </w:r>
                        <w:r>
                          <w:rPr>
                            <w:rFonts w:ascii="Times New Roman" w:hAnsi="Times New Roman" w:cs="Times New Roman" w:eastAsia="Times New Roman" w:hint="default"/>
                            <w:sz w:val="18"/>
                            <w:szCs w:val="18"/>
                          </w:rPr>
                          <w:t>“</w:t>
                        </w:r>
                        <w:r>
                          <w:rPr>
                            <w:rFonts w:ascii="宋体" w:hAnsi="宋体" w:cs="宋体" w:eastAsia="宋体" w:hint="default"/>
                            <w:sz w:val="18"/>
                            <w:szCs w:val="18"/>
                          </w:rPr>
                          <w:t>年产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万吨太阳能电池封装材料基材项目</w:t>
                        </w:r>
                        <w:r>
                          <w:rPr>
                            <w:rFonts w:ascii="Times New Roman" w:hAnsi="Times New Roman" w:cs="Times New Roman" w:eastAsia="Times New Roman" w:hint="default"/>
                            <w:sz w:val="18"/>
                            <w:szCs w:val="18"/>
                          </w:rPr>
                          <w:t>”</w:t>
                        </w:r>
                        <w:r>
                          <w:rPr>
                            <w:rFonts w:ascii="宋体" w:hAnsi="宋体" w:cs="宋体" w:eastAsia="宋体" w:hint="default"/>
                            <w:sz w:val="18"/>
                            <w:szCs w:val="18"/>
                          </w:rPr>
                          <w:t>本年度</w:t>
                        </w:r>
                      </w:p>
                      <w:p>
                        <w:pPr>
                          <w:pStyle w:val="TableParagraph"/>
                          <w:spacing w:line="309" w:lineRule="auto" w:before="7"/>
                          <w:ind w:left="16" w:right="-22"/>
                          <w:jc w:val="left"/>
                          <w:rPr>
                            <w:rFonts w:ascii="宋体" w:hAnsi="宋体" w:cs="宋体" w:eastAsia="宋体" w:hint="default"/>
                            <w:sz w:val="18"/>
                            <w:szCs w:val="18"/>
                          </w:rPr>
                        </w:pPr>
                        <w:r>
                          <w:rPr>
                            <w:rFonts w:ascii="宋体" w:hAnsi="宋体" w:cs="宋体" w:eastAsia="宋体" w:hint="default"/>
                            <w:sz w:val="18"/>
                            <w:szCs w:val="18"/>
                          </w:rPr>
                          <w:t>实现的效益未达到预计效益的原因为：公司</w:t>
                        </w:r>
                        <w:r>
                          <w:rPr>
                            <w:rFonts w:ascii="Times New Roman" w:hAnsi="Times New Roman" w:cs="Times New Roman" w:eastAsia="Times New Roman" w:hint="default"/>
                            <w:sz w:val="18"/>
                            <w:szCs w:val="18"/>
                          </w:rPr>
                          <w:t>“</w:t>
                        </w: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万吨太阳能电池封装材料基材项目</w:t>
                        </w:r>
                        <w:r>
                          <w:rPr>
                            <w:rFonts w:ascii="Times New Roman" w:hAnsi="Times New Roman" w:cs="Times New Roman" w:eastAsia="Times New Roman" w:hint="default"/>
                            <w:sz w:val="18"/>
                            <w:szCs w:val="18"/>
                          </w:rPr>
                          <w:t>”</w:t>
                        </w:r>
                        <w:r>
                          <w:rPr>
                            <w:rFonts w:ascii="宋体" w:hAnsi="宋体" w:cs="宋体" w:eastAsia="宋体" w:hint="default"/>
                            <w:sz w:val="18"/>
                            <w:szCs w:val="18"/>
                          </w:rPr>
                          <w:t>投产后，公 司推出适应不同地区气候条件使用的太阳能电池背材基膜、太阳能电池背板膜等系列产品，因经济 形势的波动对新能源行业影响较大，对公司该产品的推广及销售产生了较为不利的影响，未能达到 </w:t>
                        </w:r>
                        <w:r>
                          <w:rPr>
                            <w:rFonts w:ascii="宋体" w:hAnsi="宋体" w:cs="宋体" w:eastAsia="宋体" w:hint="default"/>
                            <w:spacing w:val="-5"/>
                            <w:sz w:val="18"/>
                            <w:szCs w:val="18"/>
                          </w:rPr>
                          <w:t>预计效益。定向增发募集资金投资</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年产一亿平米的光学膜项目</w:t>
                        </w:r>
                        <w:r>
                          <w:rPr>
                            <w:rFonts w:ascii="Times New Roman" w:hAnsi="Times New Roman" w:cs="Times New Roman" w:eastAsia="Times New Roman" w:hint="default"/>
                            <w:sz w:val="18"/>
                            <w:szCs w:val="18"/>
                          </w:rPr>
                          <w:t>”</w:t>
                        </w:r>
                        <w:r>
                          <w:rPr>
                            <w:rFonts w:ascii="宋体" w:hAnsi="宋体" w:cs="宋体" w:eastAsia="宋体" w:hint="default"/>
                            <w:sz w:val="18"/>
                            <w:szCs w:val="18"/>
                          </w:rPr>
                          <w:t>本年度实现的效益未达到预计效益</w:t>
                        </w:r>
                        <w:r>
                          <w:rPr>
                            <w:rFonts w:ascii="宋体" w:hAnsi="宋体" w:cs="宋体" w:eastAsia="宋体" w:hint="default"/>
                            <w:spacing w:val="-88"/>
                            <w:sz w:val="18"/>
                            <w:szCs w:val="18"/>
                          </w:rPr>
                          <w:t> </w:t>
                        </w:r>
                        <w:r>
                          <w:rPr>
                            <w:rFonts w:ascii="宋体" w:hAnsi="宋体" w:cs="宋体" w:eastAsia="宋体" w:hint="default"/>
                            <w:sz w:val="18"/>
                            <w:szCs w:val="18"/>
                          </w:rPr>
                          <w:t>的原因为：公司</w:t>
                        </w:r>
                        <w:r>
                          <w:rPr>
                            <w:rFonts w:ascii="Times New Roman" w:hAnsi="Times New Roman" w:cs="Times New Roman" w:eastAsia="Times New Roman" w:hint="default"/>
                            <w:sz w:val="18"/>
                            <w:szCs w:val="18"/>
                          </w:rPr>
                          <w:t>“</w:t>
                        </w:r>
                        <w:r>
                          <w:rPr>
                            <w:rFonts w:ascii="宋体" w:hAnsi="宋体" w:cs="宋体" w:eastAsia="宋体" w:hint="default"/>
                            <w:sz w:val="18"/>
                            <w:szCs w:val="18"/>
                          </w:rPr>
                          <w:t>年产一亿平米的光学膜项目</w:t>
                        </w:r>
                        <w:r>
                          <w:rPr>
                            <w:rFonts w:ascii="Times New Roman" w:hAnsi="Times New Roman" w:cs="Times New Roman" w:eastAsia="Times New Roman" w:hint="default"/>
                            <w:sz w:val="18"/>
                            <w:szCs w:val="18"/>
                          </w:rPr>
                          <w:t>”</w:t>
                        </w:r>
                        <w:r>
                          <w:rPr>
                            <w:rFonts w:ascii="宋体" w:hAnsi="宋体" w:cs="宋体" w:eastAsia="宋体" w:hint="default"/>
                            <w:sz w:val="18"/>
                            <w:szCs w:val="18"/>
                          </w:rPr>
                          <w:t>投产后，主要生产光学膜等新型产品，市场竞争激烈 目前光学膜产品已获得三星在内的国际一线品牌认证并全球供货；国内各种渠道为京东方、</w:t>
                        </w:r>
                        <w:r>
                          <w:rPr>
                            <w:rFonts w:ascii="Times New Roman" w:hAnsi="Times New Roman" w:cs="Times New Roman" w:eastAsia="Times New Roman" w:hint="default"/>
                            <w:sz w:val="18"/>
                            <w:szCs w:val="18"/>
                          </w:rPr>
                          <w:t>TCL</w:t>
                        </w:r>
                        <w:r>
                          <w:rPr>
                            <w:rFonts w:ascii="宋体" w:hAnsi="宋体" w:cs="宋体" w:eastAsia="宋体" w:hint="default"/>
                            <w:sz w:val="18"/>
                            <w:szCs w:val="18"/>
                          </w:rPr>
                          <w:t>、 海信、创维、长虹、康冠、小米、华为等等国内品牌供货。由于受到前期技术逐步完善、技术创新 等因素影响，导致该系列产品的直接成本较高；此外，由于公司涉足光学膜时间较短，国内外销售 渠道培育需要一定周期，对公司该产品的推广及销售产生了一定影响。定向增发募集资金投资项目 即</w:t>
                        </w:r>
                        <w:r>
                          <w:rPr>
                            <w:rFonts w:ascii="Times New Roman" w:hAnsi="Times New Roman" w:cs="Times New Roman" w:eastAsia="Times New Roman" w:hint="default"/>
                            <w:sz w:val="18"/>
                            <w:szCs w:val="18"/>
                          </w:rPr>
                          <w:t>“</w:t>
                        </w:r>
                        <w:r>
                          <w:rPr>
                            <w:rFonts w:ascii="宋体" w:hAnsi="宋体" w:cs="宋体" w:eastAsia="宋体" w:hint="default"/>
                            <w:sz w:val="18"/>
                            <w:szCs w:val="18"/>
                          </w:rPr>
                          <w:t>收购江西科为薄膜新型材料有限公司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本年度实现的效益未达到预计效益的原因为：由于受到江 西科为薄膜新型材料有限公司经营等因素影响，未达到预期效益，</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年度科为业绩补偿已完成。</w:t>
                        </w:r>
                      </w:p>
                    </w:tc>
                  </w:tr>
                  <w:tr>
                    <w:trPr>
                      <w:trHeight w:val="1015"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9" w:type="dxa"/>
                        <w:gridSpan w:val="10"/>
                        <w:vMerge/>
                        <w:tcBorders>
                          <w:left w:val="single" w:sz="10" w:space="0" w:color="D2D2D2"/>
                          <w:right w:val="single" w:sz="4" w:space="0" w:color="000000"/>
                        </w:tcBorders>
                      </w:tcPr>
                      <w:p>
                        <w:pPr/>
                      </w:p>
                    </w:tc>
                  </w:tr>
                  <w:tr>
                    <w:trPr>
                      <w:trHeight w:val="3281"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r>
                    <w:trPr>
                      <w:trHeight w:val="713"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1772" w:type="dxa"/>
                        <w:vMerge w:val="restart"/>
                        <w:tcBorders>
                          <w:top w:val="single" w:sz="4" w:space="0" w:color="000000"/>
                          <w:left w:val="single" w:sz="4" w:space="0" w:color="000000"/>
                          <w:right w:val="single" w:sz="4" w:space="0" w:color="000000"/>
                        </w:tcBorders>
                        <w:shd w:val="clear" w:color="auto" w:fill="D2D2D2"/>
                      </w:tcPr>
                      <w:p>
                        <w:pP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583" w:hRule="exact"/>
                    </w:trPr>
                    <w:tc>
                      <w:tcPr>
                        <w:tcW w:w="1772" w:type="dxa"/>
                        <w:vMerge/>
                        <w:tcBorders>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240" w:lineRule="auto" w:before="49"/>
                          <w:ind w:left="16" w:right="0"/>
                          <w:jc w:val="both"/>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日召开了关于超募资金投资项目的临时股东大会并对超募资金的使用计划进行</w:t>
                        </w:r>
                      </w:p>
                      <w:p>
                        <w:pPr>
                          <w:pStyle w:val="TableParagraph"/>
                          <w:spacing w:line="240" w:lineRule="auto" w:before="63"/>
                          <w:ind w:left="16" w:right="0"/>
                          <w:jc w:val="both"/>
                          <w:rPr>
                            <w:rFonts w:ascii="宋体" w:hAnsi="宋体" w:cs="宋体" w:eastAsia="宋体" w:hint="default"/>
                            <w:sz w:val="18"/>
                            <w:szCs w:val="18"/>
                          </w:rPr>
                        </w:pPr>
                        <w:r>
                          <w:rPr>
                            <w:rFonts w:ascii="宋体" w:hAnsi="宋体" w:cs="宋体" w:eastAsia="宋体" w:hint="default"/>
                            <w:spacing w:val="-8"/>
                            <w:sz w:val="18"/>
                            <w:szCs w:val="18"/>
                          </w:rPr>
                          <w:t>了公告。超募资金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204,497.97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万元将用于投资建设</w:t>
                        </w:r>
                        <w:r>
                          <w:rPr>
                            <w:rFonts w:ascii="Times New Roman" w:hAnsi="Times New Roman" w:cs="Times New Roman" w:eastAsia="Times New Roman" w:hint="default"/>
                            <w:sz w:val="18"/>
                            <w:szCs w:val="18"/>
                          </w:rPr>
                          <w:t>“</w:t>
                        </w:r>
                        <w:r>
                          <w:rPr>
                            <w:rFonts w:ascii="宋体" w:hAnsi="宋体" w:cs="宋体" w:eastAsia="宋体" w:hint="default"/>
                            <w:sz w:val="18"/>
                            <w:szCs w:val="18"/>
                          </w:rPr>
                          <w:t>年产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万吨太阳能电池封装材料基材项目</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年</w:t>
                        </w:r>
                      </w:p>
                      <w:p>
                        <w:pPr>
                          <w:pStyle w:val="TableParagraph"/>
                          <w:spacing w:line="300" w:lineRule="auto" w:before="63"/>
                          <w:ind w:left="16" w:right="17"/>
                          <w:jc w:val="both"/>
                          <w:rPr>
                            <w:rFonts w:ascii="宋体" w:hAnsi="宋体" w:cs="宋体" w:eastAsia="宋体" w:hint="default"/>
                            <w:sz w:val="18"/>
                            <w:szCs w:val="18"/>
                          </w:rPr>
                        </w:pPr>
                        <w:r>
                          <w:rPr>
                            <w:rFonts w:ascii="宋体" w:hAnsi="宋体" w:cs="宋体" w:eastAsia="宋体" w:hint="default"/>
                            <w:sz w:val="18"/>
                            <w:szCs w:val="18"/>
                          </w:rPr>
                          <w:t>产</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pacing w:val="-1"/>
                            <w:sz w:val="18"/>
                            <w:szCs w:val="18"/>
                          </w:rPr>
                          <w:t>万吨新型功能性聚酯薄膜及</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pacing w:val="-3"/>
                            <w:w w:val="100"/>
                            <w:sz w:val="18"/>
                            <w:szCs w:val="18"/>
                          </w:rPr>
                          <w:t>万吨功能性膜级切片项目</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，超募资金不能满足项目资金需求部</w:t>
                        </w:r>
                        <w:r>
                          <w:rPr>
                            <w:rFonts w:ascii="宋体" w:hAnsi="宋体" w:cs="宋体" w:eastAsia="宋体" w:hint="default"/>
                            <w:sz w:val="18"/>
                            <w:szCs w:val="18"/>
                          </w:rPr>
                          <w:t> 分，公司将通过自筹等方式来解决，</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年度超募资金使用了</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75,051.03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年度超募资金 使用了</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89,443.32</w:t>
                        </w:r>
                        <w:r>
                          <w:rPr>
                            <w:rFonts w:ascii="Times New Roman" w:hAnsi="Times New Roman" w:cs="Times New Roman" w:eastAsia="Times New Roman" w:hint="default"/>
                            <w:spacing w:val="1"/>
                            <w:sz w:val="18"/>
                            <w:szCs w:val="18"/>
                          </w:rPr>
                          <w:t> </w:t>
                        </w:r>
                        <w:r>
                          <w:rPr>
                            <w:rFonts w:ascii="宋体" w:hAnsi="宋体" w:cs="宋体" w:eastAsia="宋体" w:hint="default"/>
                            <w:spacing w:val="-14"/>
                            <w:sz w:val="18"/>
                            <w:szCs w:val="18"/>
                          </w:rPr>
                          <w:t>万元，</w:t>
                        </w:r>
                        <w:r>
                          <w:rPr>
                            <w:rFonts w:ascii="Times New Roman" w:hAnsi="Times New Roman" w:cs="Times New Roman" w:eastAsia="Times New Roman" w:hint="default"/>
                            <w:spacing w:val="-14"/>
                            <w:sz w:val="18"/>
                            <w:szCs w:val="18"/>
                          </w:rPr>
                          <w:t>2013</w:t>
                        </w:r>
                        <w:r>
                          <w:rPr>
                            <w:rFonts w:ascii="Times New Roman" w:hAnsi="Times New Roman" w:cs="Times New Roman" w:eastAsia="Times New Roman" w:hint="default"/>
                            <w:sz w:val="18"/>
                            <w:szCs w:val="18"/>
                          </w:rPr>
                          <w:t> </w:t>
                        </w:r>
                        <w:r>
                          <w:rPr>
                            <w:rFonts w:ascii="宋体" w:hAnsi="宋体" w:cs="宋体" w:eastAsia="宋体" w:hint="default"/>
                            <w:spacing w:val="-1"/>
                            <w:sz w:val="18"/>
                            <w:szCs w:val="18"/>
                          </w:rPr>
                          <w:t>年度超募资金使用了</w:t>
                        </w:r>
                        <w:r>
                          <w:rPr>
                            <w:rFonts w:ascii="宋体" w:hAnsi="宋体" w:cs="宋体" w:eastAsia="宋体" w:hint="default"/>
                            <w:spacing w:val="-46"/>
                            <w:sz w:val="18"/>
                            <w:szCs w:val="18"/>
                          </w:rPr>
                          <w:t> </w:t>
                        </w:r>
                        <w:r>
                          <w:rPr>
                            <w:rFonts w:ascii="Times New Roman" w:hAnsi="Times New Roman" w:cs="Times New Roman" w:eastAsia="Times New Roman" w:hint="default"/>
                            <w:spacing w:val="-2"/>
                            <w:sz w:val="18"/>
                            <w:szCs w:val="18"/>
                          </w:rPr>
                          <w:t>33,111.09</w:t>
                        </w:r>
                        <w:r>
                          <w:rPr>
                            <w:rFonts w:ascii="Times New Roman" w:hAnsi="Times New Roman" w:cs="Times New Roman" w:eastAsia="Times New Roman" w:hint="default"/>
                            <w:sz w:val="18"/>
                            <w:szCs w:val="18"/>
                          </w:rPr>
                          <w:t> </w:t>
                        </w:r>
                        <w:r>
                          <w:rPr>
                            <w:rFonts w:ascii="宋体" w:hAnsi="宋体" w:cs="宋体" w:eastAsia="宋体" w:hint="default"/>
                            <w:spacing w:val="-14"/>
                            <w:sz w:val="18"/>
                            <w:szCs w:val="18"/>
                          </w:rPr>
                          <w:t>万元，</w:t>
                        </w:r>
                        <w:r>
                          <w:rPr>
                            <w:rFonts w:ascii="Times New Roman" w:hAnsi="Times New Roman" w:cs="Times New Roman" w:eastAsia="Times New Roman" w:hint="default"/>
                            <w:spacing w:val="-14"/>
                            <w:sz w:val="18"/>
                            <w:szCs w:val="18"/>
                          </w:rPr>
                          <w:t>2014</w:t>
                        </w:r>
                        <w:r>
                          <w:rPr>
                            <w:rFonts w:ascii="Times New Roman" w:hAnsi="Times New Roman" w:cs="Times New Roman" w:eastAsia="Times New Roman" w:hint="default"/>
                            <w:sz w:val="18"/>
                            <w:szCs w:val="18"/>
                          </w:rPr>
                          <w:t> </w:t>
                        </w:r>
                        <w:r>
                          <w:rPr>
                            <w:rFonts w:ascii="宋体" w:hAnsi="宋体" w:cs="宋体" w:eastAsia="宋体" w:hint="default"/>
                            <w:sz w:val="18"/>
                            <w:szCs w:val="18"/>
                          </w:rPr>
                          <w:t>年度超募资金使用了</w:t>
                        </w:r>
                        <w:r>
                          <w:rPr>
                            <w:rFonts w:ascii="宋体" w:hAnsi="宋体" w:cs="宋体" w:eastAsia="宋体" w:hint="default"/>
                            <w:spacing w:val="-48"/>
                            <w:sz w:val="18"/>
                            <w:szCs w:val="18"/>
                          </w:rPr>
                          <w:t> </w:t>
                        </w:r>
                        <w:r>
                          <w:rPr>
                            <w:rFonts w:ascii="Times New Roman" w:hAnsi="Times New Roman" w:cs="Times New Roman" w:eastAsia="Times New Roman" w:hint="default"/>
                            <w:spacing w:val="-1"/>
                            <w:sz w:val="18"/>
                            <w:szCs w:val="18"/>
                          </w:rPr>
                          <w:t>6,281.01</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宋体" w:hAnsi="宋体" w:cs="宋体" w:eastAsia="宋体" w:hint="default"/>
                            <w:sz w:val="18"/>
                            <w:szCs w:val="18"/>
                          </w:rPr>
                          <w:t>万元，</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年度超募资金使用了</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2,946.30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年度超募资金使用了</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729.28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超募资金使用了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2,245.12 </w:t>
                        </w:r>
                        <w:r>
                          <w:rPr>
                            <w:rFonts w:ascii="宋体" w:hAnsi="宋体" w:cs="宋体" w:eastAsia="宋体" w:hint="default"/>
                            <w:sz w:val="18"/>
                            <w:szCs w:val="18"/>
                          </w:rPr>
                          <w:t>万元，截止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日，累计支付资金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209,807.15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706"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9" w:type="dxa"/>
                        <w:gridSpan w:val="10"/>
                        <w:vMerge/>
                        <w:tcBorders>
                          <w:left w:val="single" w:sz="10" w:space="0" w:color="D2D2D2"/>
                          <w:right w:val="single" w:sz="4" w:space="0" w:color="000000"/>
                        </w:tcBorders>
                      </w:tcPr>
                      <w:p>
                        <w:pPr/>
                      </w:p>
                    </w:tc>
                  </w:tr>
                  <w:tr>
                    <w:trPr>
                      <w:trHeight w:val="984"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r>
                    <w:trPr>
                      <w:trHeight w:val="403"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募集资金投资项目实</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spacing w:before="44"/>
        <w:ind w:left="0" w:right="15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4"/>
        <w:rPr>
          <w:rFonts w:ascii="宋体" w:hAnsi="宋体" w:cs="宋体" w:eastAsia="宋体" w:hint="default"/>
          <w:sz w:val="26"/>
          <w:szCs w:val="26"/>
        </w:rPr>
      </w:pPr>
    </w:p>
    <w:p>
      <w:pPr>
        <w:spacing w:before="44"/>
        <w:ind w:left="0" w:right="157"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spacing w:before="44"/>
        <w:ind w:left="0" w:right="156"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r>
        <w:rPr/>
        <w:pict>
          <v:shape style="position:absolute;margin-left:56.459999pt;margin-top:71.999985pt;width:479.2pt;height:692.15pt;mso-position-horizontal-relative:page;mso-position-vertical-relative:page;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9"/>
                  </w:tblGrid>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施地点变更情况</w:t>
                        </w:r>
                      </w:p>
                    </w:tc>
                    <w:tc>
                      <w:tcPr>
                        <w:tcW w:w="77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314"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0" w:type="dxa"/>
                        <w:vMerge/>
                        <w:tcBorders>
                          <w:left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521"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日，公司第一届董事会第七次会议审议并通过了《关于使用募集资金置换预先已投 </w:t>
                        </w:r>
                        <w:r>
                          <w:rPr>
                            <w:rFonts w:ascii="宋体" w:hAnsi="宋体" w:cs="宋体" w:eastAsia="宋体" w:hint="default"/>
                            <w:spacing w:val="-5"/>
                            <w:sz w:val="18"/>
                            <w:szCs w:val="18"/>
                          </w:rPr>
                          <w:t>入募集资金项目的自筹资金的议案》，同意公司以首次公开发行股票募集资金置换预先已投入募集资</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金投资项目的自筹资金共计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315,102,774.23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元。上述置换资金业经保荐人确认，并经上海众华沪银</w:t>
                        </w:r>
                      </w:p>
                      <w:p>
                        <w:pPr>
                          <w:pStyle w:val="TableParagraph"/>
                          <w:spacing w:line="309" w:lineRule="auto" w:before="5"/>
                          <w:ind w:left="24" w:right="21"/>
                          <w:jc w:val="both"/>
                          <w:rPr>
                            <w:rFonts w:ascii="Times New Roman" w:hAnsi="Times New Roman" w:cs="Times New Roman" w:eastAsia="Times New Roman" w:hint="default"/>
                            <w:sz w:val="18"/>
                            <w:szCs w:val="18"/>
                          </w:rPr>
                        </w:pPr>
                        <w:r>
                          <w:rPr>
                            <w:rFonts w:ascii="宋体" w:hAnsi="宋体" w:cs="宋体" w:eastAsia="宋体" w:hint="default"/>
                            <w:sz w:val="18"/>
                            <w:szCs w:val="18"/>
                          </w:rPr>
                          <w:t>会计师事务所有限公司沪众会字</w:t>
                        </w:r>
                        <w:r>
                          <w:rPr>
                            <w:rFonts w:ascii="Times New Roman" w:hAnsi="Times New Roman" w:cs="Times New Roman" w:eastAsia="Times New Roman" w:hint="default"/>
                            <w:sz w:val="18"/>
                            <w:szCs w:val="18"/>
                          </w:rPr>
                          <w:t>(2011)</w:t>
                        </w:r>
                        <w:r>
                          <w:rPr>
                            <w:rFonts w:ascii="宋体" w:hAnsi="宋体" w:cs="宋体" w:eastAsia="宋体" w:hint="default"/>
                            <w:sz w:val="18"/>
                            <w:szCs w:val="18"/>
                          </w:rPr>
                          <w:t>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4114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号专项鉴证报告确认。</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日，公司第二 </w:t>
                        </w:r>
                        <w:r>
                          <w:rPr>
                            <w:rFonts w:ascii="宋体" w:hAnsi="宋体" w:cs="宋体" w:eastAsia="宋体" w:hint="default"/>
                            <w:spacing w:val="-5"/>
                            <w:sz w:val="18"/>
                            <w:szCs w:val="18"/>
                          </w:rPr>
                          <w:t>届董事会第九次会议审议并通过了《公司以募集资金置换预先已投入募集资金项目自筹资金》，同意</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公司以非公开发行股票募集资金置换预先已投入募集资金投资项目的自筹资金共计</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140,652,078.81</w:t>
                        </w:r>
                      </w:p>
                      <w:p>
                        <w:pPr>
                          <w:pStyle w:val="TableParagraph"/>
                          <w:spacing w:line="240" w:lineRule="auto" w:before="5"/>
                          <w:ind w:left="24" w:right="0"/>
                          <w:jc w:val="both"/>
                          <w:rPr>
                            <w:rFonts w:ascii="宋体" w:hAnsi="宋体" w:cs="宋体" w:eastAsia="宋体" w:hint="default"/>
                            <w:sz w:val="18"/>
                            <w:szCs w:val="18"/>
                          </w:rPr>
                        </w:pPr>
                        <w:r>
                          <w:rPr>
                            <w:rFonts w:ascii="宋体" w:hAnsi="宋体" w:cs="宋体" w:eastAsia="宋体" w:hint="default"/>
                            <w:sz w:val="18"/>
                            <w:szCs w:val="18"/>
                          </w:rPr>
                          <w:t>元。上述置换资金业经保荐人确认，并经众华会计师事务所众会字</w:t>
                        </w:r>
                        <w:r>
                          <w:rPr>
                            <w:rFonts w:ascii="Times New Roman" w:hAnsi="Times New Roman" w:cs="Times New Roman" w:eastAsia="Times New Roman" w:hint="default"/>
                            <w:sz w:val="18"/>
                            <w:szCs w:val="18"/>
                          </w:rPr>
                          <w:t>(2014)</w:t>
                        </w:r>
                        <w:r>
                          <w:rPr>
                            <w:rFonts w:ascii="宋体" w:hAnsi="宋体" w:cs="宋体" w:eastAsia="宋体" w:hint="default"/>
                            <w:sz w:val="18"/>
                            <w:szCs w:val="18"/>
                          </w:rPr>
                          <w:t>第</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4615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号专项鉴证报告确</w:t>
                        </w:r>
                      </w:p>
                      <w:p>
                        <w:pPr>
                          <w:pStyle w:val="TableParagraph"/>
                          <w:spacing w:line="309" w:lineRule="auto" w:before="63"/>
                          <w:ind w:left="24" w:right="21"/>
                          <w:jc w:val="both"/>
                          <w:rPr>
                            <w:rFonts w:ascii="宋体" w:hAnsi="宋体" w:cs="宋体" w:eastAsia="宋体" w:hint="default"/>
                            <w:sz w:val="18"/>
                            <w:szCs w:val="18"/>
                          </w:rPr>
                        </w:pPr>
                        <w:r>
                          <w:rPr>
                            <w:rFonts w:ascii="宋体" w:hAnsi="宋体" w:cs="宋体" w:eastAsia="宋体" w:hint="default"/>
                            <w:sz w:val="18"/>
                            <w:szCs w:val="18"/>
                          </w:rPr>
                          <w:t>认。</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日，公司第三届董事会第六次会议审议并通过了《公司以募集资金置换预先已 </w:t>
                        </w:r>
                        <w:r>
                          <w:rPr>
                            <w:rFonts w:ascii="宋体" w:hAnsi="宋体" w:cs="宋体" w:eastAsia="宋体" w:hint="default"/>
                            <w:spacing w:val="-5"/>
                            <w:sz w:val="18"/>
                            <w:szCs w:val="18"/>
                          </w:rPr>
                          <w:t>投入募集资金项目自筹资金》，同意公司以非公开发行股票募集资金置换预先已投入募集资金投资项</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目的自筹资金共计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234,265,776.92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元。上述置换资金业经保荐人确认，并经众华会计师事务所众会</w:t>
                        </w:r>
                      </w:p>
                      <w:p>
                        <w:pPr>
                          <w:pStyle w:val="TableParagraph"/>
                          <w:spacing w:line="240" w:lineRule="auto" w:before="5"/>
                          <w:ind w:left="24" w:right="0"/>
                          <w:jc w:val="both"/>
                          <w:rPr>
                            <w:rFonts w:ascii="宋体" w:hAnsi="宋体" w:cs="宋体" w:eastAsia="宋体" w:hint="default"/>
                            <w:sz w:val="18"/>
                            <w:szCs w:val="18"/>
                          </w:rPr>
                        </w:pPr>
                        <w:r>
                          <w:rPr>
                            <w:rFonts w:ascii="宋体" w:hAnsi="宋体" w:cs="宋体" w:eastAsia="宋体" w:hint="default"/>
                            <w:sz w:val="18"/>
                            <w:szCs w:val="18"/>
                          </w:rPr>
                          <w:t>字</w:t>
                        </w:r>
                        <w:r>
                          <w:rPr>
                            <w:rFonts w:ascii="Times New Roman" w:hAnsi="Times New Roman" w:cs="Times New Roman" w:eastAsia="Times New Roman" w:hint="default"/>
                            <w:sz w:val="18"/>
                            <w:szCs w:val="18"/>
                          </w:rPr>
                          <w:t>(2017)</w:t>
                        </w: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2602 </w:t>
                        </w:r>
                        <w:r>
                          <w:rPr>
                            <w:rFonts w:ascii="宋体" w:hAnsi="宋体" w:cs="宋体" w:eastAsia="宋体" w:hint="default"/>
                            <w:sz w:val="18"/>
                            <w:szCs w:val="18"/>
                          </w:rPr>
                          <w:t>号专项鉴证报告确认。</w:t>
                        </w:r>
                      </w:p>
                    </w:tc>
                  </w:tr>
                  <w:tr>
                    <w:trPr>
                      <w:trHeight w:val="403"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209"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日本公司第一届董事会第十三次会议决议，使用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亿元募集资金用于暂时补充流</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动资金，使用期限不超过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日起至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日止，到期归还募集资</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金专用账户。本公司于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日归还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亿元至募投资金专用账户。根据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本公司第一届董事会第十九次会议决议，使用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亿元募集资金用于暂时补充流动资金，使用期限不</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日起至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日止，到期归还募集资金专用账户。本公司</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3"/>
                            <w:sz w:val="18"/>
                            <w:szCs w:val="18"/>
                          </w:rPr>
                          <w:t>归</w:t>
                        </w:r>
                        <w:r>
                          <w:rPr>
                            <w:rFonts w:ascii="宋体" w:hAnsi="宋体" w:cs="宋体" w:eastAsia="宋体" w:hint="default"/>
                            <w:sz w:val="18"/>
                            <w:szCs w:val="18"/>
                          </w:rPr>
                          <w:t>还</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w:t>
                        </w:r>
                        <w:r>
                          <w:rPr>
                            <w:rFonts w:ascii="宋体" w:hAnsi="宋体" w:cs="宋体" w:eastAsia="宋体" w:hint="default"/>
                            <w:spacing w:val="-3"/>
                            <w:sz w:val="18"/>
                            <w:szCs w:val="18"/>
                          </w:rPr>
                          <w:t>元</w:t>
                        </w:r>
                        <w:r>
                          <w:rPr>
                            <w:rFonts w:ascii="宋体" w:hAnsi="宋体" w:cs="宋体" w:eastAsia="宋体" w:hint="default"/>
                            <w:sz w:val="18"/>
                            <w:szCs w:val="18"/>
                          </w:rPr>
                          <w:t>至募投资金专用账户</w:t>
                        </w:r>
                        <w:r>
                          <w:rPr>
                            <w:rFonts w:ascii="宋体" w:hAnsi="宋体" w:cs="宋体" w:eastAsia="宋体" w:hint="default"/>
                            <w:spacing w:val="-89"/>
                            <w:sz w:val="18"/>
                            <w:szCs w:val="18"/>
                          </w:rPr>
                          <w:t>。</w:t>
                        </w:r>
                        <w:r>
                          <w:rPr>
                            <w:rFonts w:ascii="宋体" w:hAnsi="宋体" w:cs="宋体" w:eastAsia="宋体" w:hint="default"/>
                            <w:sz w:val="18"/>
                            <w:szCs w:val="18"/>
                          </w:rPr>
                          <w:t>根据</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日第二届董事会</w:t>
                        </w:r>
                        <w:r>
                          <w:rPr>
                            <w:rFonts w:ascii="宋体" w:hAnsi="宋体" w:cs="宋体" w:eastAsia="宋体" w:hint="default"/>
                            <w:spacing w:val="-3"/>
                            <w:sz w:val="18"/>
                            <w:szCs w:val="18"/>
                          </w:rPr>
                          <w:t>第</w:t>
                        </w:r>
                        <w:r>
                          <w:rPr>
                            <w:rFonts w:ascii="宋体" w:hAnsi="宋体" w:cs="宋体" w:eastAsia="宋体" w:hint="default"/>
                            <w:sz w:val="18"/>
                            <w:szCs w:val="18"/>
                          </w:rPr>
                          <w:t>七次会</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议决议决议，预计使用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万元募集资金用于暂时补充流动资金，使用期限不超过</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pacing w:val="-15"/>
                            <w:sz w:val="18"/>
                            <w:szCs w:val="18"/>
                          </w:rPr>
                          <w:t>个月，从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日起至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日止，到期归还募集资金专用账户。本公司实际使用闲置募集资</w:t>
                        </w:r>
                      </w:p>
                      <w:p>
                        <w:pPr>
                          <w:pStyle w:val="TableParagraph"/>
                          <w:spacing w:line="300" w:lineRule="auto" w:before="63"/>
                          <w:ind w:left="24" w:right="20"/>
                          <w:jc w:val="left"/>
                          <w:rPr>
                            <w:rFonts w:ascii="宋体" w:hAnsi="宋体" w:cs="宋体" w:eastAsia="宋体" w:hint="default"/>
                            <w:sz w:val="18"/>
                            <w:szCs w:val="18"/>
                          </w:rPr>
                        </w:pPr>
                        <w:r>
                          <w:rPr>
                            <w:rFonts w:ascii="宋体" w:hAnsi="宋体" w:cs="宋体" w:eastAsia="宋体" w:hint="default"/>
                            <w:sz w:val="18"/>
                            <w:szCs w:val="18"/>
                          </w:rPr>
                          <w:t>金暂时补充流动资金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3,720.00 </w:t>
                        </w:r>
                        <w:r>
                          <w:rPr>
                            <w:rFonts w:ascii="宋体" w:hAnsi="宋体" w:cs="宋体" w:eastAsia="宋体" w:hint="default"/>
                            <w:spacing w:val="-8"/>
                            <w:sz w:val="18"/>
                            <w:szCs w:val="18"/>
                          </w:rPr>
                          <w:t>万元。截止至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日，本公司已全部归还至募集资金专用</w:t>
                        </w:r>
                        <w:r>
                          <w:rPr>
                            <w:rFonts w:ascii="宋体" w:hAnsi="宋体" w:cs="宋体" w:eastAsia="宋体" w:hint="default"/>
                            <w:sz w:val="18"/>
                            <w:szCs w:val="18"/>
                          </w:rPr>
                          <w:t> 账户。</w:t>
                        </w:r>
                      </w:p>
                    </w:tc>
                  </w:tr>
                  <w:tr>
                    <w:trPr>
                      <w:trHeight w:val="403"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
                    </w:tc>
                  </w:tr>
                  <w:tr>
                    <w:trPr>
                      <w:trHeight w:val="348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18"/>
                          <w:jc w:val="both"/>
                          <w:rPr>
                            <w:rFonts w:ascii="宋体" w:hAnsi="宋体" w:cs="宋体" w:eastAsia="宋体" w:hint="default"/>
                            <w:sz w:val="18"/>
                            <w:szCs w:val="18"/>
                          </w:rPr>
                        </w:pPr>
                        <w:r>
                          <w:rPr>
                            <w:rFonts w:ascii="宋体" w:hAnsi="宋体" w:cs="宋体" w:eastAsia="宋体" w:hint="default"/>
                            <w:sz w:val="18"/>
                            <w:szCs w:val="18"/>
                          </w:rPr>
                          <w:t>为了提高募集资金的使用效率，公司已定期存储了部分尚未使用的募集资金及购买理财产品，到期 后该部分资金将返还至募集资金专户。本期购买定期存款情况如下：</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日。公司第三 </w:t>
                        </w:r>
                        <w:r>
                          <w:rPr>
                            <w:rFonts w:ascii="宋体" w:hAnsi="宋体" w:cs="宋体" w:eastAsia="宋体" w:hint="default"/>
                            <w:spacing w:val="-5"/>
                            <w:sz w:val="18"/>
                            <w:szCs w:val="18"/>
                          </w:rPr>
                          <w:t>届董事会第六次会议审议通过了《关于将部分闲置募集资金转为定期存款方式存放的议案》，当日将</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募集资金以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29,000,000.00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美元定期存款形式存入中国建设银行，到期日为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5"/>
                            <w:sz w:val="18"/>
                            <w:szCs w:val="18"/>
                          </w:rPr>
                          <w:t> </w:t>
                        </w:r>
                        <w:r>
                          <w:rPr>
                            <w:rFonts w:ascii="宋体" w:hAnsi="宋体" w:cs="宋体" w:eastAsia="宋体" w:hint="default"/>
                            <w:spacing w:val="-6"/>
                            <w:sz w:val="18"/>
                            <w:szCs w:val="18"/>
                          </w:rPr>
                          <w:t>日，利率</w:t>
                        </w:r>
                      </w:p>
                      <w:p>
                        <w:pPr>
                          <w:pStyle w:val="TableParagraph"/>
                          <w:spacing w:line="240" w:lineRule="auto" w:before="3"/>
                          <w:ind w:left="24" w:right="0"/>
                          <w:jc w:val="both"/>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1.83%</w:t>
                        </w:r>
                        <w:r>
                          <w:rPr>
                            <w:rFonts w:ascii="宋体" w:hAnsi="宋体" w:cs="宋体" w:eastAsia="宋体" w:hint="default"/>
                            <w:sz w:val="18"/>
                            <w:szCs w:val="18"/>
                          </w:rPr>
                          <w:t>；以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人民币定期存款形式存入中国工商银行，到期日为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利率为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1.35%</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日，公司第三届董事会第九次会议审议通过了《关于公司将部分闲</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置募集资金转为定期存款方式存放的议案</w:t>
                        </w:r>
                        <w:r>
                          <w:rPr>
                            <w:rFonts w:ascii="宋体" w:hAnsi="宋体" w:cs="宋体" w:eastAsia="宋体" w:hint="default"/>
                            <w:spacing w:val="-92"/>
                            <w:sz w:val="18"/>
                            <w:szCs w:val="18"/>
                          </w:rPr>
                          <w:t>》</w:t>
                        </w:r>
                        <w:r>
                          <w:rPr>
                            <w:rFonts w:ascii="宋体" w:hAnsi="宋体" w:cs="宋体" w:eastAsia="宋体" w:hint="default"/>
                            <w:sz w:val="18"/>
                            <w:szCs w:val="18"/>
                          </w:rPr>
                          <w:t>，当日将募集资</w:t>
                        </w:r>
                        <w:r>
                          <w:rPr>
                            <w:rFonts w:ascii="宋体" w:hAnsi="宋体" w:cs="宋体" w:eastAsia="宋体" w:hint="default"/>
                            <w:spacing w:val="2"/>
                            <w:sz w:val="18"/>
                            <w:szCs w:val="18"/>
                          </w:rPr>
                          <w:t>金</w:t>
                        </w:r>
                        <w:r>
                          <w:rPr>
                            <w:rFonts w:ascii="宋体" w:hAnsi="宋体" w:cs="宋体" w:eastAsia="宋体" w:hint="default"/>
                            <w:sz w:val="18"/>
                            <w:szCs w:val="18"/>
                          </w:rPr>
                          <w:t>以</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29</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美元定期存</w:t>
                        </w:r>
                        <w:r>
                          <w:rPr>
                            <w:rFonts w:ascii="宋体" w:hAnsi="宋体" w:cs="宋体" w:eastAsia="宋体" w:hint="default"/>
                            <w:spacing w:val="-3"/>
                            <w:sz w:val="18"/>
                            <w:szCs w:val="18"/>
                          </w:rPr>
                          <w:t>款</w:t>
                        </w:r>
                        <w:r>
                          <w:rPr>
                            <w:rFonts w:ascii="宋体" w:hAnsi="宋体" w:cs="宋体" w:eastAsia="宋体" w:hint="default"/>
                            <w:sz w:val="18"/>
                            <w:szCs w:val="18"/>
                          </w:rPr>
                          <w:t>形式存</w:t>
                        </w:r>
                      </w:p>
                      <w:p>
                        <w:pPr>
                          <w:pStyle w:val="TableParagraph"/>
                          <w:spacing w:line="309" w:lineRule="auto" w:before="63"/>
                          <w:ind w:left="24" w:right="21"/>
                          <w:jc w:val="both"/>
                          <w:rPr>
                            <w:rFonts w:ascii="宋体" w:hAnsi="宋体" w:cs="宋体" w:eastAsia="宋体" w:hint="default"/>
                            <w:sz w:val="18"/>
                            <w:szCs w:val="18"/>
                          </w:rPr>
                        </w:pPr>
                        <w:r>
                          <w:rPr>
                            <w:rFonts w:ascii="宋体" w:hAnsi="宋体" w:cs="宋体" w:eastAsia="宋体" w:hint="default"/>
                            <w:sz w:val="18"/>
                            <w:szCs w:val="18"/>
                          </w:rPr>
                          <w:t>入中国建设银行，到期日为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日，利率为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1.65%</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日，公司第三届董 </w:t>
                        </w:r>
                        <w:r>
                          <w:rPr>
                            <w:rFonts w:ascii="宋体" w:hAnsi="宋体" w:cs="宋体" w:eastAsia="宋体" w:hint="default"/>
                            <w:spacing w:val="-5"/>
                            <w:sz w:val="18"/>
                            <w:szCs w:val="18"/>
                          </w:rPr>
                          <w:t>事会第十一次会议审议通过了《关于公司将部分闲置募集资金转为定期存款方式存放的议案》，当日</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将募集资金以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30,300,000.00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美元定期存款形式存入中国建设银行，到期日为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p>
                        <w:pPr>
                          <w:pStyle w:val="TableParagraph"/>
                          <w:spacing w:line="240" w:lineRule="auto" w:before="5"/>
                          <w:ind w:left="24" w:right="0"/>
                          <w:jc w:val="both"/>
                          <w:rPr>
                            <w:rFonts w:ascii="宋体" w:hAnsi="宋体" w:cs="宋体" w:eastAsia="宋体" w:hint="default"/>
                            <w:sz w:val="18"/>
                            <w:szCs w:val="18"/>
                          </w:rPr>
                        </w:pPr>
                        <w:r>
                          <w:rPr>
                            <w:rFonts w:ascii="宋体" w:hAnsi="宋体" w:cs="宋体" w:eastAsia="宋体" w:hint="default"/>
                            <w:sz w:val="18"/>
                            <w:szCs w:val="18"/>
                          </w:rPr>
                          <w:t>利率为 </w:t>
                        </w:r>
                        <w:r>
                          <w:rPr>
                            <w:rFonts w:ascii="Times New Roman" w:hAnsi="Times New Roman" w:cs="Times New Roman" w:eastAsia="Times New Roman" w:hint="default"/>
                            <w:sz w:val="18"/>
                            <w:szCs w:val="18"/>
                          </w:rPr>
                          <w:t>1.92% </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9  </w:t>
                        </w:r>
                        <w:r>
                          <w:rPr>
                            <w:rFonts w:ascii="宋体" w:hAnsi="宋体" w:cs="宋体" w:eastAsia="宋体" w:hint="default"/>
                            <w:sz w:val="18"/>
                            <w:szCs w:val="18"/>
                          </w:rPr>
                          <w:t>月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日，公司第三届董事会第十二次会议审议通过了《关于公司将部</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70"/>
        <w:gridCol w:w="7799"/>
      </w:tblGrid>
      <w:tr>
        <w:trPr>
          <w:trHeight w:val="4731"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分闲置募集资金转为定期存款方式存放的议案</w:t>
            </w:r>
            <w:r>
              <w:rPr>
                <w:rFonts w:ascii="宋体" w:hAnsi="宋体" w:cs="宋体" w:eastAsia="宋体" w:hint="default"/>
                <w:spacing w:val="-92"/>
                <w:sz w:val="18"/>
                <w:szCs w:val="18"/>
              </w:rPr>
              <w:t>》</w:t>
            </w:r>
            <w:r>
              <w:rPr>
                <w:rFonts w:ascii="宋体" w:hAnsi="宋体" w:cs="宋体" w:eastAsia="宋体" w:hint="default"/>
                <w:sz w:val="18"/>
                <w:szCs w:val="18"/>
              </w:rPr>
              <w:t>，当日将募</w:t>
            </w:r>
            <w:r>
              <w:rPr>
                <w:rFonts w:ascii="宋体" w:hAnsi="宋体" w:cs="宋体" w:eastAsia="宋体" w:hint="default"/>
                <w:spacing w:val="2"/>
                <w:sz w:val="18"/>
                <w:szCs w:val="18"/>
              </w:rPr>
              <w:t>集</w:t>
            </w:r>
            <w:r>
              <w:rPr>
                <w:rFonts w:ascii="宋体" w:hAnsi="宋体" w:cs="宋体" w:eastAsia="宋体" w:hint="default"/>
                <w:sz w:val="18"/>
                <w:szCs w:val="18"/>
              </w:rPr>
              <w:t>资金以</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美元定</w:t>
            </w:r>
            <w:r>
              <w:rPr>
                <w:rFonts w:ascii="宋体" w:hAnsi="宋体" w:cs="宋体" w:eastAsia="宋体" w:hint="default"/>
                <w:spacing w:val="-3"/>
                <w:sz w:val="18"/>
                <w:szCs w:val="18"/>
              </w:rPr>
              <w:t>期</w:t>
            </w:r>
            <w:r>
              <w:rPr>
                <w:rFonts w:ascii="宋体" w:hAnsi="宋体" w:cs="宋体" w:eastAsia="宋体" w:hint="default"/>
                <w:sz w:val="18"/>
                <w:szCs w:val="18"/>
              </w:rPr>
              <w:t>存款形</w:t>
            </w:r>
          </w:p>
          <w:p>
            <w:pPr>
              <w:pStyle w:val="TableParagraph"/>
              <w:spacing w:line="309" w:lineRule="auto" w:before="63"/>
              <w:ind w:left="24" w:right="17"/>
              <w:jc w:val="left"/>
              <w:rPr>
                <w:rFonts w:ascii="宋体" w:hAnsi="宋体" w:cs="宋体" w:eastAsia="宋体" w:hint="default"/>
                <w:sz w:val="18"/>
                <w:szCs w:val="18"/>
              </w:rPr>
            </w:pPr>
            <w:r>
              <w:rPr>
                <w:rFonts w:ascii="宋体" w:hAnsi="宋体" w:cs="宋体" w:eastAsia="宋体" w:hint="default"/>
                <w:sz w:val="18"/>
                <w:szCs w:val="18"/>
              </w:rPr>
              <w:t>式存入中国建设银行，到期日为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日，利率为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2.05%</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日，公司第 三届董事会第十五次会议审议通过了《关于公司将部分闲置募集资金转为定期存款方式存放的议 案》</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当日将募集资金以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7,565,000.00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美元定期存款形式存入中国建设银行，到期日为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日，利率为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1.85%</w:t>
            </w:r>
            <w:r>
              <w:rPr>
                <w:rFonts w:ascii="Times New Roman" w:hAnsi="Times New Roman" w:cs="Times New Roman" w:eastAsia="Times New Roman" w:hint="default"/>
                <w:spacing w:val="41"/>
                <w:sz w:val="18"/>
                <w:szCs w:val="18"/>
              </w:rPr>
              <w:t> </w:t>
            </w:r>
            <w:r>
              <w:rPr>
                <w:rFonts w:ascii="宋体" w:hAnsi="宋体" w:cs="宋体" w:eastAsia="宋体" w:hint="default"/>
                <w:spacing w:val="-3"/>
                <w:sz w:val="18"/>
                <w:szCs w:val="18"/>
              </w:rPr>
              <w:t>；以</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13,616,000.00 </w:t>
            </w:r>
            <w:r>
              <w:rPr>
                <w:rFonts w:ascii="宋体" w:hAnsi="宋体" w:cs="宋体" w:eastAsia="宋体" w:hint="default"/>
                <w:sz w:val="18"/>
                <w:szCs w:val="18"/>
              </w:rPr>
              <w:t>美元定期存款形式存入中国建设银行，到期日为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日，利率为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。本期购买理财产品情况如下：</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日，公司第三届董事会第</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七次会议及</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w:t>
            </w:r>
            <w:r>
              <w:rPr>
                <w:rFonts w:ascii="宋体" w:hAnsi="宋体" w:cs="宋体" w:eastAsia="宋体" w:hint="default"/>
                <w:spacing w:val="-3"/>
                <w:sz w:val="18"/>
                <w:szCs w:val="18"/>
              </w:rPr>
              <w:t>大</w:t>
            </w:r>
            <w:r>
              <w:rPr>
                <w:rFonts w:ascii="宋体" w:hAnsi="宋体" w:cs="宋体" w:eastAsia="宋体" w:hint="default"/>
                <w:sz w:val="18"/>
                <w:szCs w:val="18"/>
              </w:rPr>
              <w:t>会审议通过</w:t>
            </w:r>
            <w:r>
              <w:rPr>
                <w:rFonts w:ascii="宋体" w:hAnsi="宋体" w:cs="宋体" w:eastAsia="宋体" w:hint="default"/>
                <w:spacing w:val="-89"/>
                <w:sz w:val="18"/>
                <w:szCs w:val="18"/>
              </w:rPr>
              <w:t>了</w:t>
            </w:r>
            <w:r>
              <w:rPr>
                <w:rFonts w:ascii="宋体" w:hAnsi="宋体" w:cs="宋体" w:eastAsia="宋体" w:hint="default"/>
                <w:sz w:val="18"/>
                <w:szCs w:val="18"/>
              </w:rPr>
              <w:t>《公司关于用自有资金和暂时闲置募集资金购买理财产</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品的议案</w:t>
            </w:r>
            <w:r>
              <w:rPr>
                <w:rFonts w:ascii="宋体" w:hAnsi="宋体" w:cs="宋体" w:eastAsia="宋体" w:hint="default"/>
                <w:spacing w:val="-92"/>
                <w:sz w:val="18"/>
                <w:szCs w:val="18"/>
              </w:rPr>
              <w:t>》</w:t>
            </w:r>
            <w:r>
              <w:rPr>
                <w:rFonts w:ascii="宋体" w:hAnsi="宋体" w:cs="宋体" w:eastAsia="宋体" w:hint="default"/>
                <w:spacing w:val="-12"/>
                <w:sz w:val="18"/>
                <w:szCs w:val="18"/>
              </w:rPr>
              <w:t>，</w:t>
            </w:r>
            <w:r>
              <w:rPr>
                <w:rFonts w:ascii="Times New Roman" w:hAnsi="Times New Roman" w:cs="Times New Roman" w:eastAsia="Times New Roman" w:hint="default"/>
                <w:spacing w:val="1"/>
                <w:sz w:val="18"/>
                <w:szCs w:val="18"/>
              </w:rPr>
              <w:t>201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公司购买中国建设银行江苏省分行</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乾元</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保本型人民币理</w:t>
            </w:r>
            <w:r>
              <w:rPr>
                <w:rFonts w:ascii="宋体" w:hAnsi="宋体" w:cs="宋体" w:eastAsia="宋体" w:hint="default"/>
                <w:spacing w:val="2"/>
                <w:sz w:val="18"/>
                <w:szCs w:val="18"/>
              </w:rPr>
              <w:t>财</w:t>
            </w:r>
            <w:r>
              <w:rPr>
                <w:rFonts w:ascii="宋体" w:hAnsi="宋体" w:cs="宋体" w:eastAsia="宋体" w:hint="default"/>
                <w:sz w:val="18"/>
                <w:szCs w:val="18"/>
              </w:rPr>
              <w:t>产品</w:t>
            </w:r>
            <w:r>
              <w:rPr>
                <w:rFonts w:ascii="宋体" w:hAnsi="宋体" w:cs="宋体" w:eastAsia="宋体" w:hint="default"/>
                <w:spacing w:val="-13"/>
                <w:sz w:val="18"/>
                <w:szCs w:val="18"/>
              </w:rPr>
              <w:t>，</w:t>
            </w:r>
            <w:r>
              <w:rPr>
                <w:rFonts w:ascii="宋体" w:hAnsi="宋体" w:cs="宋体" w:eastAsia="宋体" w:hint="default"/>
                <w:sz w:val="18"/>
                <w:szCs w:val="18"/>
              </w:rPr>
              <w:t>本</w:t>
            </w:r>
          </w:p>
          <w:p>
            <w:pPr>
              <w:pStyle w:val="TableParagraph"/>
              <w:spacing w:line="300" w:lineRule="auto" w:before="63"/>
              <w:ind w:left="24" w:right="19"/>
              <w:jc w:val="both"/>
              <w:rPr>
                <w:rFonts w:ascii="Times New Roman" w:hAnsi="Times New Roman" w:cs="Times New Roman" w:eastAsia="Times New Roman" w:hint="default"/>
                <w:sz w:val="18"/>
                <w:szCs w:val="18"/>
              </w:rPr>
            </w:pPr>
            <w:r>
              <w:rPr>
                <w:rFonts w:ascii="宋体" w:hAnsi="宋体" w:cs="宋体" w:eastAsia="宋体" w:hint="default"/>
                <w:sz w:val="18"/>
                <w:szCs w:val="18"/>
              </w:rPr>
              <w:t>金为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1,200,000,000 </w:t>
            </w:r>
            <w:r>
              <w:rPr>
                <w:rFonts w:ascii="宋体" w:hAnsi="宋体" w:cs="宋体" w:eastAsia="宋体" w:hint="default"/>
                <w:spacing w:val="-3"/>
                <w:sz w:val="18"/>
                <w:szCs w:val="18"/>
              </w:rPr>
              <w:t>元，到期日</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日。建行</w:t>
            </w:r>
            <w:r>
              <w:rPr>
                <w:rFonts w:ascii="Times New Roman" w:hAnsi="Times New Roman" w:cs="Times New Roman" w:eastAsia="Times New Roman" w:hint="default"/>
                <w:sz w:val="18"/>
                <w:szCs w:val="18"/>
              </w:rPr>
              <w:t>“</w:t>
            </w:r>
            <w:r>
              <w:rPr>
                <w:rFonts w:ascii="宋体" w:hAnsi="宋体" w:cs="宋体" w:eastAsia="宋体" w:hint="default"/>
                <w:sz w:val="18"/>
                <w:szCs w:val="18"/>
              </w:rPr>
              <w:t>乾元</w:t>
            </w:r>
            <w:r>
              <w:rPr>
                <w:rFonts w:ascii="Times New Roman" w:hAnsi="Times New Roman" w:cs="Times New Roman" w:eastAsia="Times New Roman" w:hint="default"/>
                <w:sz w:val="18"/>
                <w:szCs w:val="18"/>
              </w:rPr>
              <w:t>”</w:t>
            </w:r>
            <w:r>
              <w:rPr>
                <w:rFonts w:ascii="宋体" w:hAnsi="宋体" w:cs="宋体" w:eastAsia="宋体" w:hint="default"/>
                <w:sz w:val="18"/>
                <w:szCs w:val="18"/>
              </w:rPr>
              <w:t>理财产品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亿到期，</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日，公司继续使用部分暂时闲置的募集资金购买理财产，购买中国建设银行江苏省</w:t>
            </w:r>
            <w:r>
              <w:rPr>
                <w:rFonts w:ascii="Times New Roman" w:hAnsi="Times New Roman" w:cs="Times New Roman" w:eastAsia="Times New Roman" w:hint="default"/>
                <w:sz w:val="18"/>
                <w:szCs w:val="18"/>
              </w:rPr>
              <w:t>“</w:t>
            </w:r>
            <w:r>
              <w:rPr>
                <w:rFonts w:ascii="宋体" w:hAnsi="宋体" w:cs="宋体" w:eastAsia="宋体" w:hint="default"/>
                <w:sz w:val="18"/>
                <w:szCs w:val="18"/>
              </w:rPr>
              <w:t>乾元</w:t>
            </w:r>
            <w:r>
              <w:rPr>
                <w:rFonts w:ascii="Times New Roman" w:hAnsi="Times New Roman" w:cs="Times New Roman" w:eastAsia="Times New Roman" w:hint="default"/>
                <w:sz w:val="18"/>
                <w:szCs w:val="18"/>
              </w:rPr>
              <w:t>”</w:t>
            </w:r>
            <w:r>
              <w:rPr>
                <w:rFonts w:ascii="宋体" w:hAnsi="宋体" w:cs="宋体" w:eastAsia="宋体" w:hint="default"/>
                <w:sz w:val="18"/>
                <w:szCs w:val="18"/>
              </w:rPr>
              <w:t>保本型人 民币理财产品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期，本金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600,000,000.00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元，到期日为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日，公司购买中国建设银行江苏省</w:t>
            </w:r>
            <w:r>
              <w:rPr>
                <w:rFonts w:ascii="Times New Roman" w:hAnsi="Times New Roman" w:cs="Times New Roman" w:eastAsia="Times New Roman" w:hint="default"/>
                <w:sz w:val="18"/>
                <w:szCs w:val="18"/>
              </w:rPr>
              <w:t>“</w:t>
            </w:r>
            <w:r>
              <w:rPr>
                <w:rFonts w:ascii="宋体" w:hAnsi="宋体" w:cs="宋体" w:eastAsia="宋体" w:hint="default"/>
                <w:sz w:val="18"/>
                <w:szCs w:val="18"/>
              </w:rPr>
              <w:t>乾元</w:t>
            </w:r>
            <w:r>
              <w:rPr>
                <w:rFonts w:ascii="Times New Roman" w:hAnsi="Times New Roman" w:cs="Times New Roman" w:eastAsia="Times New Roman" w:hint="default"/>
                <w:sz w:val="18"/>
                <w:szCs w:val="18"/>
              </w:rPr>
              <w:t>”</w:t>
            </w:r>
            <w:r>
              <w:rPr>
                <w:rFonts w:ascii="宋体" w:hAnsi="宋体" w:cs="宋体" w:eastAsia="宋体" w:hint="default"/>
                <w:sz w:val="18"/>
                <w:szCs w:val="18"/>
              </w:rPr>
              <w:t>保本型人民币理财产品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期，本金</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600,000,000.00 </w:t>
            </w:r>
            <w:r>
              <w:rPr>
                <w:rFonts w:ascii="宋体" w:hAnsi="宋体" w:cs="宋体" w:eastAsia="宋体" w:hint="default"/>
                <w:sz w:val="18"/>
                <w:szCs w:val="18"/>
              </w:rPr>
              <w:t>元，到期日为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日。建行</w:t>
            </w:r>
            <w:r>
              <w:rPr>
                <w:rFonts w:ascii="Times New Roman" w:hAnsi="Times New Roman" w:cs="Times New Roman" w:eastAsia="Times New Roman" w:hint="default"/>
                <w:sz w:val="18"/>
                <w:szCs w:val="18"/>
              </w:rPr>
              <w:t>“</w:t>
            </w:r>
            <w:r>
              <w:rPr>
                <w:rFonts w:ascii="宋体" w:hAnsi="宋体" w:cs="宋体" w:eastAsia="宋体" w:hint="default"/>
                <w:sz w:val="18"/>
                <w:szCs w:val="18"/>
              </w:rPr>
              <w:t>乾元</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期理财产品到期，</w:t>
            </w:r>
            <w:r>
              <w:rPr>
                <w:rFonts w:ascii="Times New Roman" w:hAnsi="Times New Roman" w:cs="Times New Roman" w:eastAsia="Times New Roman" w:hint="default"/>
                <w:sz w:val="18"/>
                <w:szCs w:val="18"/>
              </w:rPr>
              <w:t>2017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日，公司购买中国交通银行江苏省分行</w:t>
            </w:r>
            <w:r>
              <w:rPr>
                <w:rFonts w:ascii="Times New Roman" w:hAnsi="Times New Roman" w:cs="Times New Roman" w:eastAsia="Times New Roman" w:hint="default"/>
                <w:sz w:val="18"/>
                <w:szCs w:val="18"/>
              </w:rPr>
              <w:t>“</w:t>
            </w:r>
            <w:r>
              <w:rPr>
                <w:rFonts w:ascii="宋体" w:hAnsi="宋体" w:cs="宋体" w:eastAsia="宋体" w:hint="default"/>
                <w:sz w:val="18"/>
                <w:szCs w:val="18"/>
              </w:rPr>
              <w:t>蕴通财富</w:t>
            </w:r>
            <w:r>
              <w:rPr>
                <w:rFonts w:ascii="Times New Roman" w:hAnsi="Times New Roman" w:cs="Times New Roman" w:eastAsia="Times New Roman" w:hint="default"/>
                <w:sz w:val="18"/>
                <w:szCs w:val="18"/>
              </w:rPr>
              <w:t>•</w:t>
            </w:r>
            <w:r>
              <w:rPr>
                <w:rFonts w:ascii="宋体" w:hAnsi="宋体" w:cs="宋体" w:eastAsia="宋体" w:hint="default"/>
                <w:sz w:val="18"/>
                <w:szCs w:val="18"/>
              </w:rPr>
              <w:t>日增利</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w:t>
            </w:r>
            <w:r>
              <w:rPr>
                <w:rFonts w:ascii="Times New Roman" w:hAnsi="Times New Roman" w:cs="Times New Roman" w:eastAsia="Times New Roman" w:hint="default"/>
                <w:sz w:val="18"/>
                <w:szCs w:val="18"/>
              </w:rPr>
              <w:t>”</w:t>
            </w:r>
            <w:r>
              <w:rPr>
                <w:rFonts w:ascii="宋体" w:hAnsi="宋体" w:cs="宋体" w:eastAsia="宋体" w:hint="default"/>
                <w:sz w:val="18"/>
                <w:szCs w:val="18"/>
              </w:rPr>
              <w:t>理财产品，本金</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600,000,000.00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元，到期日为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r>
      <w:tr>
        <w:trPr>
          <w:trHeight w:val="1025"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2"/>
        <w:rPr>
          <w:rFonts w:ascii="宋体" w:hAnsi="宋体" w:cs="宋体" w:eastAsia="宋体" w:hint="default"/>
          <w:b/>
          <w:bCs/>
          <w:sz w:val="22"/>
          <w:szCs w:val="22"/>
        </w:rPr>
      </w:pPr>
    </w:p>
    <w:p>
      <w:pPr>
        <w:spacing w:before="44"/>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spacing w:before="63"/>
        <w:ind w:left="0" w:right="153" w:firstLine="0"/>
        <w:jc w:val="right"/>
        <w:rPr>
          <w:rFonts w:ascii="宋体" w:hAnsi="宋体" w:cs="宋体" w:eastAsia="宋体" w:hint="default"/>
          <w:sz w:val="18"/>
          <w:szCs w:val="18"/>
        </w:rPr>
      </w:pPr>
      <w:r>
        <w:rPr/>
        <w:pict>
          <v:shape style="position:absolute;margin-left:56.400002pt;margin-top:-216.130295pt;width:479.4pt;height:312.95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8"/>
                    <w:gridCol w:w="958"/>
                    <w:gridCol w:w="958"/>
                    <w:gridCol w:w="958"/>
                    <w:gridCol w:w="958"/>
                    <w:gridCol w:w="956"/>
                    <w:gridCol w:w="958"/>
                    <w:gridCol w:w="955"/>
                    <w:gridCol w:w="958"/>
                    <w:gridCol w:w="958"/>
                  </w:tblGrid>
                  <w:tr>
                    <w:trPr>
                      <w:trHeight w:val="1338"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84" w:right="22" w:hanging="361"/>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22"/>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38" w:lineRule="auto"/>
                          <w:ind w:left="23" w:right="21"/>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12" w:right="19"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04" w:right="22" w:hanging="181"/>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33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收购江西科 为薄膜新型 材料有限公 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10000</w:t>
                        </w:r>
                      </w:p>
                      <w:p>
                        <w:pPr>
                          <w:pStyle w:val="TableParagraph"/>
                          <w:spacing w:line="316" w:lineRule="auto" w:before="63"/>
                          <w:ind w:left="24" w:right="23"/>
                          <w:jc w:val="left"/>
                          <w:rPr>
                            <w:rFonts w:ascii="宋体" w:hAnsi="宋体" w:cs="宋体" w:eastAsia="宋体" w:hint="default"/>
                            <w:sz w:val="18"/>
                            <w:szCs w:val="18"/>
                          </w:rPr>
                        </w:pPr>
                        <w:r>
                          <w:rPr>
                            <w:rFonts w:ascii="宋体" w:hAnsi="宋体" w:cs="宋体" w:eastAsia="宋体" w:hint="default"/>
                            <w:sz w:val="18"/>
                            <w:szCs w:val="18"/>
                          </w:rPr>
                          <w:t>万平方米光 学膜项目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78" w:right="0"/>
                          <w:jc w:val="left"/>
                          <w:rPr>
                            <w:rFonts w:ascii="Times New Roman" w:hAnsi="Times New Roman" w:cs="Times New Roman" w:eastAsia="Times New Roman" w:hint="default"/>
                            <w:sz w:val="18"/>
                            <w:szCs w:val="18"/>
                          </w:rPr>
                        </w:pPr>
                        <w:r>
                          <w:rPr>
                            <w:rFonts w:ascii="Times New Roman"/>
                            <w:sz w:val="18"/>
                          </w:rPr>
                          <w:t>100.00%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600.61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18,000</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600.61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3171" w:hRule="exact"/>
                    </w:trPr>
                    <w:tc>
                      <w:tcPr>
                        <w:tcW w:w="28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314" w:lineRule="auto"/>
                          <w:ind w:left="24" w:right="24"/>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变更原因、决策程序及信息披露情况</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日经公司第二届董事会第十七次会议决议，公司收购江西科为薄膜新型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材料有限公司（以下简称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江西科为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100%</w:t>
                        </w:r>
                        <w:r>
                          <w:rPr>
                            <w:rFonts w:ascii="宋体" w:hAnsi="宋体" w:cs="宋体" w:eastAsia="宋体" w:hint="default"/>
                            <w:spacing w:val="-2"/>
                            <w:sz w:val="18"/>
                            <w:szCs w:val="18"/>
                          </w:rPr>
                          <w:t>股权。其中，收购柯秋平持有的江西科为</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Times New Roman" w:hAnsi="Times New Roman" w:cs="Times New Roman" w:eastAsia="Times New Roman" w:hint="default"/>
                            <w:sz w:val="18"/>
                            <w:szCs w:val="18"/>
                          </w:rPr>
                          <w:t>99%</w:t>
                        </w:r>
                        <w:r>
                          <w:rPr>
                            <w:rFonts w:ascii="宋体" w:hAnsi="宋体" w:cs="宋体" w:eastAsia="宋体" w:hint="default"/>
                            <w:sz w:val="18"/>
                            <w:szCs w:val="18"/>
                          </w:rPr>
                          <w:t>股权及时招军持有的江西科为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股权的价格合计为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万元。同时，双星新材</w:t>
                        </w:r>
                        <w:r>
                          <w:rPr>
                            <w:rFonts w:ascii="宋体" w:hAnsi="宋体" w:cs="宋体" w:eastAsia="宋体" w:hint="default"/>
                            <w:sz w:val="18"/>
                            <w:szCs w:val="18"/>
                          </w:rPr>
                          <w:t> 向江西科为增加注册资本</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万元，增资后，江西科为注册资本为</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万元。增</w:t>
                        </w:r>
                      </w:p>
                      <w:p>
                        <w:pPr>
                          <w:pStyle w:val="TableParagraph"/>
                          <w:spacing w:line="240" w:lineRule="auto" w:before="13"/>
                          <w:ind w:left="23" w:right="0"/>
                          <w:jc w:val="both"/>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万元的价格为人民币</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万元，上述股权转让及增资金额合计为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亿元</w:t>
                        </w:r>
                      </w:p>
                      <w:p>
                        <w:pPr>
                          <w:pStyle w:val="TableParagraph"/>
                          <w:spacing w:line="240" w:lineRule="auto" w:before="63"/>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公司本次收购并增资江西科为使用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年度非公开发行募集资金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亿元。</w:t>
                        </w:r>
                        <w:r>
                          <w:rPr>
                            <w:rFonts w:ascii="Times New Roman" w:hAnsi="Times New Roman" w:cs="Times New Roman" w:eastAsia="Times New Roman" w:hint="default"/>
                            <w:spacing w:val="-10"/>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p>
                      <w:p>
                        <w:pPr>
                          <w:pStyle w:val="TableParagraph"/>
                          <w:spacing w:line="300" w:lineRule="auto" w:before="63"/>
                          <w:ind w:left="23" w:right="17"/>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日经公司</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年第一次临时股东大会决议：审议通过关于《公司拟使用部分募 集资金收购江西科为薄膜新型材料有限公司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股权并增加注册资本》的议案，审 </w:t>
                        </w:r>
                        <w:r>
                          <w:rPr>
                            <w:rFonts w:ascii="宋体" w:hAnsi="宋体" w:cs="宋体" w:eastAsia="宋体" w:hint="default"/>
                            <w:spacing w:val="-5"/>
                            <w:sz w:val="18"/>
                            <w:szCs w:val="18"/>
                          </w:rPr>
                          <w:t>议通过关于《江西科为薄膜新型材料有限公司股权转让与增资入股协议》的议案。</w:t>
                        </w:r>
                        <w:r>
                          <w:rPr>
                            <w:rFonts w:ascii="Times New Roman" w:hAnsi="Times New Roman" w:cs="Times New Roman" w:eastAsia="Times New Roman" w:hint="default"/>
                            <w:spacing w:val="-5"/>
                            <w:sz w:val="18"/>
                            <w:szCs w:val="18"/>
                          </w:rPr>
                          <w:t>2015</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日完成收购江西科为薄膜新型材料有限公司的公告，双星新材公告：拟使</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73"/>
        <w:gridCol w:w="6699"/>
      </w:tblGrid>
      <w:tr>
        <w:trPr>
          <w:trHeight w:val="362"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用部分募集资金收购江西科为薄膜新型材料有限公司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股权并增加注册资本。</w:t>
            </w:r>
          </w:p>
        </w:tc>
      </w:tr>
      <w:tr>
        <w:trPr>
          <w:trHeight w:val="713"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38"/>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1"/>
                <w:sz w:val="18"/>
                <w:szCs w:val="18"/>
              </w:rPr>
              <w:t>由于受到江西科为薄膜新型材料有限公司经营等因素影响，江西科为薄膜新型材料有</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限公司未达到预期效益。</w:t>
            </w:r>
          </w:p>
        </w:tc>
      </w:tr>
      <w:tr>
        <w:trPr>
          <w:trHeight w:val="715"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38"/>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
        <w:rPr>
          <w:rFonts w:ascii="宋体" w:hAnsi="宋体" w:cs="宋体" w:eastAsia="宋体" w:hint="default"/>
          <w:sz w:val="18"/>
          <w:szCs w:val="18"/>
        </w:rPr>
      </w:pPr>
    </w:p>
    <w:p>
      <w:pPr>
        <w:pStyle w:val="Heading2"/>
        <w:spacing w:line="240" w:lineRule="auto" w:before="26"/>
        <w:ind w:right="0"/>
        <w:jc w:val="both"/>
        <w:rPr>
          <w:b w:val="0"/>
          <w:bCs w:val="0"/>
        </w:rPr>
      </w:pP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75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公司报告期未出售重大资产。</w:t>
      </w:r>
    </w:p>
    <w:p>
      <w:pPr>
        <w:spacing w:line="240" w:lineRule="auto" w:before="4"/>
        <w:rPr>
          <w:rFonts w:ascii="宋体" w:hAnsi="宋体" w:cs="宋体" w:eastAsia="宋体" w:hint="default"/>
          <w:sz w:val="21"/>
          <w:szCs w:val="21"/>
        </w:rPr>
      </w:pPr>
    </w:p>
    <w:p>
      <w:pPr>
        <w:pStyle w:val="Heading4"/>
        <w:spacing w:line="240" w:lineRule="auto"/>
        <w:ind w:right="0"/>
        <w:jc w:val="both"/>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r>
        <w:rPr/>
        <w:t>七、主要控股参股公司分析</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57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公司报告期内无应当披露的重要控股参股公司信息。</w:t>
      </w:r>
    </w:p>
    <w:p>
      <w:pPr>
        <w:spacing w:line="240" w:lineRule="auto" w:before="8"/>
        <w:rPr>
          <w:rFonts w:ascii="宋体" w:hAnsi="宋体" w:cs="宋体" w:eastAsia="宋体" w:hint="default"/>
          <w:sz w:val="19"/>
          <w:szCs w:val="19"/>
        </w:rPr>
      </w:pPr>
    </w:p>
    <w:p>
      <w:pPr>
        <w:pStyle w:val="Heading2"/>
        <w:spacing w:line="240" w:lineRule="auto"/>
        <w:ind w:right="0"/>
        <w:jc w:val="both"/>
        <w:rPr>
          <w:b w:val="0"/>
          <w:bCs w:val="0"/>
        </w:rPr>
      </w:pPr>
      <w:r>
        <w:rPr/>
        <w:t>八、公司控制的结构化主体情况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r>
        <w:rPr/>
        <w:t>九、公司未来发展的展望</w:t>
      </w:r>
      <w:r>
        <w:rPr>
          <w:b w:val="0"/>
          <w:bCs w:val="0"/>
        </w:rPr>
      </w:r>
    </w:p>
    <w:p>
      <w:pPr>
        <w:spacing w:line="240" w:lineRule="auto" w:before="10"/>
        <w:rPr>
          <w:rFonts w:ascii="宋体" w:hAnsi="宋体" w:cs="宋体" w:eastAsia="宋体" w:hint="default"/>
          <w:b/>
          <w:bCs/>
          <w:sz w:val="22"/>
          <w:szCs w:val="22"/>
        </w:rPr>
      </w:pPr>
    </w:p>
    <w:p>
      <w:pPr>
        <w:spacing w:line="331" w:lineRule="auto" w:before="0"/>
        <w:ind w:left="635" w:right="0" w:firstLine="0"/>
        <w:jc w:val="left"/>
        <w:rPr>
          <w:rFonts w:ascii="宋体" w:hAnsi="宋体" w:cs="宋体" w:eastAsia="宋体" w:hint="default"/>
          <w:sz w:val="24"/>
          <w:szCs w:val="24"/>
        </w:rPr>
      </w:pPr>
      <w:r>
        <w:rPr>
          <w:rFonts w:ascii="宋体" w:hAnsi="宋体" w:cs="宋体" w:eastAsia="宋体" w:hint="default"/>
          <w:b/>
          <w:bCs/>
          <w:sz w:val="24"/>
          <w:szCs w:val="24"/>
        </w:rPr>
        <w:t>（一）行业竞争格局和发展趋势</w:t>
      </w:r>
      <w:r>
        <w:rPr>
          <w:rFonts w:ascii="宋体" w:hAnsi="宋体" w:cs="宋体" w:eastAsia="宋体" w:hint="default"/>
          <w:b/>
          <w:bCs/>
          <w:w w:val="99"/>
          <w:sz w:val="24"/>
          <w:szCs w:val="24"/>
        </w:rPr>
        <w:t> </w:t>
      </w:r>
      <w:r>
        <w:rPr>
          <w:rFonts w:ascii="宋体" w:hAnsi="宋体" w:cs="宋体" w:eastAsia="宋体" w:hint="default"/>
          <w:sz w:val="24"/>
          <w:szCs w:val="24"/>
        </w:rPr>
        <w:t>聚酯薄膜是当前工业中间材料和未来战略性新兴产业中重要的新材料，是一种绿色、环</w:t>
      </w:r>
    </w:p>
    <w:p>
      <w:pPr>
        <w:pStyle w:val="Heading3"/>
        <w:spacing w:line="220" w:lineRule="exact"/>
        <w:ind w:right="0"/>
        <w:jc w:val="both"/>
      </w:pPr>
      <w:r>
        <w:rPr/>
        <w:t>保、综合性能优异的高分子薄膜材料，因其机械强度高、刚性好、韧性强，绝缘性优良等多</w:t>
      </w:r>
    </w:p>
    <w:p>
      <w:pPr>
        <w:pStyle w:val="Heading3"/>
        <w:spacing w:line="312" w:lineRule="exact" w:before="29"/>
        <w:ind w:right="236"/>
        <w:jc w:val="both"/>
      </w:pPr>
      <w:r>
        <w:rPr/>
        <w:t>方面优异性能，被广泛应用到包装、印刷、磁记录、感光、办公、绝缘、护卡、建筑、装饰</w:t>
      </w:r>
      <w:r>
        <w:rPr>
          <w:spacing w:val="-91"/>
        </w:rPr>
        <w:t> </w:t>
      </w:r>
      <w:r>
        <w:rPr>
          <w:spacing w:val="-91"/>
        </w:rPr>
      </w:r>
      <w:r>
        <w:rPr/>
        <w:t>装潢上，同时进一步应用于航天、光学、太阳能、电子、电工等高精尖技术领域，推动了相</w:t>
      </w:r>
      <w:r>
        <w:rPr>
          <w:spacing w:val="-89"/>
        </w:rPr>
        <w:t> </w:t>
      </w:r>
      <w:r>
        <w:rPr>
          <w:spacing w:val="-89"/>
        </w:rPr>
      </w:r>
      <w:r>
        <w:rPr/>
        <w:t>关领域的材料革命和进步。</w:t>
      </w:r>
    </w:p>
    <w:p>
      <w:pPr>
        <w:pStyle w:val="Heading3"/>
        <w:spacing w:line="237" w:lineRule="auto" w:before="92"/>
        <w:ind w:right="0" w:firstLine="482"/>
        <w:jc w:val="left"/>
      </w:pPr>
      <w:r>
        <w:rPr>
          <w:spacing w:val="-3"/>
        </w:rPr>
        <w:t>当前，行业市场竞争日趋激烈，国内聚酯薄膜需求稳定增长，行业企业利润率合理提升，</w:t>
      </w:r>
      <w:r>
        <w:rPr/>
        <w:t> 行业实现理性发展，由于聚酯薄膜优异的物化性能，聚酯薄膜行业产品品种、数量和品质不</w:t>
      </w:r>
      <w:r>
        <w:rPr>
          <w:spacing w:val="-91"/>
        </w:rPr>
        <w:t> </w:t>
      </w:r>
      <w:r>
        <w:rPr>
          <w:spacing w:val="-91"/>
        </w:rPr>
      </w:r>
      <w:r>
        <w:rPr/>
        <w:t>断提升，市场应用领域不断拓展，产品的专业化程度越来越高，使产品由最初的绝缘材料、</w:t>
      </w:r>
      <w:r>
        <w:rPr>
          <w:spacing w:val="-91"/>
        </w:rPr>
        <w:t> </w:t>
      </w:r>
      <w:r>
        <w:rPr>
          <w:spacing w:val="-91"/>
        </w:rPr>
      </w:r>
      <w:r>
        <w:rPr/>
        <w:t>感光胶片、音像磁性记录向包装、一般工业用途、电子电工等方面实行大范围的转移，特别</w:t>
      </w:r>
      <w:r>
        <w:rPr>
          <w:spacing w:val="-91"/>
        </w:rPr>
        <w:t> </w:t>
      </w:r>
      <w:r>
        <w:rPr>
          <w:spacing w:val="-91"/>
        </w:rPr>
      </w:r>
      <w:r>
        <w:rPr/>
        <w:t>是近几年来，高附加值产品份额在增加，产品在光学、太阳能、建筑、电子、电工等高精尖</w:t>
      </w:r>
      <w:r>
        <w:rPr>
          <w:spacing w:val="-91"/>
        </w:rPr>
        <w:t> </w:t>
      </w:r>
      <w:r>
        <w:rPr>
          <w:spacing w:val="-91"/>
        </w:rPr>
      </w:r>
      <w:r>
        <w:rPr/>
        <w:t>技术领域的使用，但行业在发展的同时，也伴随着一些问题也伴随着不少的问题和挑战，聚</w:t>
      </w:r>
      <w:r>
        <w:rPr>
          <w:spacing w:val="-88"/>
        </w:rPr>
        <w:t> </w:t>
      </w:r>
      <w:r>
        <w:rPr>
          <w:spacing w:val="-88"/>
        </w:rPr>
      </w:r>
      <w:r>
        <w:rPr/>
        <w:t>酯薄膜行业</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高性能薄膜发展规划：提出未来</w:t>
      </w:r>
      <w:r>
        <w:rPr>
          <w:rFonts w:ascii="Times New Roman" w:hAnsi="Times New Roman" w:cs="Times New Roman" w:eastAsia="Times New Roman" w:hint="default"/>
        </w:rPr>
        <w:t>5</w:t>
      </w:r>
      <w:r>
        <w:rPr/>
        <w:t>年发展高性能薄膜通过创新驱动，提高 产业的有效供给水平；追求质量，提高企业的市场竞争水平；密切跟踪正在转变世界的科技</w:t>
      </w:r>
      <w:r>
        <w:rPr>
          <w:spacing w:val="-91"/>
        </w:rPr>
        <w:t> </w:t>
      </w:r>
      <w:r>
        <w:rPr>
          <w:spacing w:val="-91"/>
        </w:rPr>
      </w:r>
      <w:r>
        <w:rPr/>
        <w:t>变革，依靠产学研结合，有规划地开发各种新材料、新技术和新产品，通过发展高性能薄膜</w:t>
      </w:r>
    </w:p>
    <w:p>
      <w:pPr>
        <w:spacing w:after="0" w:line="237" w:lineRule="auto"/>
        <w:jc w:val="left"/>
        <w:sectPr>
          <w:pgSz w:w="11910" w:h="16840"/>
          <w:pgMar w:header="745" w:footer="980" w:top="1060" w:bottom="1160" w:left="980" w:right="900"/>
        </w:sectPr>
      </w:pPr>
    </w:p>
    <w:p>
      <w:pPr>
        <w:spacing w:line="240" w:lineRule="auto" w:before="6"/>
        <w:rPr>
          <w:rFonts w:ascii="宋体" w:hAnsi="宋体" w:cs="宋体" w:eastAsia="宋体" w:hint="default"/>
          <w:sz w:val="23"/>
          <w:szCs w:val="23"/>
        </w:rPr>
      </w:pPr>
    </w:p>
    <w:p>
      <w:pPr>
        <w:pStyle w:val="Heading3"/>
        <w:spacing w:line="237" w:lineRule="auto" w:before="28"/>
        <w:ind w:right="154"/>
        <w:jc w:val="both"/>
      </w:pPr>
      <w:r>
        <w:rPr/>
        <w:t>来提升整个聚酯薄膜产业的结构水平，鼓励发展性能明显超越现有市场的全新薄膜产品、鼓</w:t>
      </w:r>
      <w:r>
        <w:rPr>
          <w:spacing w:val="-91"/>
        </w:rPr>
        <w:t> </w:t>
      </w:r>
      <w:r>
        <w:rPr>
          <w:spacing w:val="-91"/>
        </w:rPr>
      </w:r>
      <w:r>
        <w:rPr/>
        <w:t>励发展新用途且市场容量大的薄膜产品、鼓励发展有益于保护环境的薄膜产品，应不断完善</w:t>
      </w:r>
      <w:r>
        <w:rPr>
          <w:spacing w:val="-91"/>
        </w:rPr>
        <w:t> </w:t>
      </w:r>
      <w:r>
        <w:rPr>
          <w:spacing w:val="-91"/>
        </w:rPr>
      </w:r>
      <w:r>
        <w:rPr/>
        <w:t>以企业为主体的科技创新体系，加快引导技术研发与创新成果推广，集中力量攻克高性能膜</w:t>
      </w:r>
      <w:r>
        <w:rPr>
          <w:spacing w:val="-86"/>
        </w:rPr>
        <w:t> </w:t>
      </w:r>
      <w:r>
        <w:rPr>
          <w:spacing w:val="-86"/>
        </w:rPr>
      </w:r>
      <w:r>
        <w:rPr/>
        <w:t>的拓产，加强聚酯薄膜在太阳能、电池、航天、电子等方面的研究、生产和配套工作，形成</w:t>
      </w:r>
      <w:r>
        <w:rPr>
          <w:spacing w:val="-91"/>
        </w:rPr>
        <w:t> </w:t>
      </w:r>
      <w:r>
        <w:rPr>
          <w:spacing w:val="-91"/>
        </w:rPr>
      </w:r>
      <w:r>
        <w:rPr/>
        <w:t>多样化的产品市场，寻找行业新的增长点，顺应和推动新兴产业的快速发展，提升行业整体</w:t>
      </w:r>
      <w:r>
        <w:rPr>
          <w:spacing w:val="-91"/>
        </w:rPr>
        <w:t> </w:t>
      </w:r>
      <w:r>
        <w:rPr>
          <w:spacing w:val="-91"/>
        </w:rPr>
      </w:r>
      <w:r>
        <w:rPr/>
        <w:t>核心竞争水平。</w:t>
      </w:r>
    </w:p>
    <w:p>
      <w:pPr>
        <w:pStyle w:val="Heading3"/>
        <w:spacing w:line="235" w:lineRule="auto" w:before="126"/>
        <w:ind w:right="150" w:firstLine="482"/>
        <w:jc w:val="both"/>
      </w:pPr>
      <w:r>
        <w:rPr/>
        <w:t>公司将通过持续创新，围绕产业升级，开展技术进步，资源整合，以创新发展、绿色发 展、提档发展、高端发展为工作路径，以创新带动潜能发挥为工作主线，做强做精聚酯新材</w:t>
      </w:r>
      <w:r>
        <w:rPr>
          <w:spacing w:val="-91"/>
        </w:rPr>
        <w:t> </w:t>
      </w:r>
      <w:r>
        <w:rPr>
          <w:spacing w:val="-91"/>
        </w:rPr>
      </w:r>
      <w:r>
        <w:rPr/>
        <w:t>料产业，强化各项基础管理，增强综合管理能力，围绕</w:t>
      </w:r>
      <w:r>
        <w:rPr>
          <w:rFonts w:ascii="Times New Roman" w:hAnsi="Times New Roman" w:cs="Times New Roman" w:eastAsia="Times New Roman" w:hint="default"/>
        </w:rPr>
        <w:t>“</w:t>
      </w:r>
      <w:r>
        <w:rPr/>
        <w:t>特色产品、功能性产品、高端产品</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发展，加快企业转型升级，加快技术创新步伐，调结构、提效益，实施品牌战略，以市场为</w:t>
      </w:r>
      <w:r>
        <w:rPr>
          <w:spacing w:val="-88"/>
        </w:rPr>
        <w:t> </w:t>
      </w:r>
      <w:r>
        <w:rPr>
          <w:spacing w:val="-88"/>
        </w:rPr>
      </w:r>
      <w:r>
        <w:rPr/>
        <w:t>导向，注重内涵与质量，从强化科技引领，突出加强自主创新，立足结构调整，扎实推进创</w:t>
      </w:r>
      <w:r>
        <w:rPr>
          <w:spacing w:val="-91"/>
        </w:rPr>
        <w:t> </w:t>
      </w:r>
      <w:r>
        <w:rPr>
          <w:spacing w:val="-91"/>
        </w:rPr>
      </w:r>
      <w:r>
        <w:rPr/>
        <w:t>新驱动，深入推进高性能新品研发，科研开发，开展多元化竞争优势，实现向中高端加快拓</w:t>
      </w:r>
      <w:r>
        <w:rPr>
          <w:spacing w:val="-91"/>
        </w:rPr>
        <w:t> </w:t>
      </w:r>
      <w:r>
        <w:rPr>
          <w:spacing w:val="-91"/>
        </w:rPr>
      </w:r>
      <w:r>
        <w:rPr/>
        <w:t>展，积极推广应用新技术、新工艺、新材料，拓展</w:t>
      </w:r>
      <w:r>
        <w:rPr>
          <w:rFonts w:ascii="Times New Roman" w:hAnsi="Times New Roman" w:cs="Times New Roman" w:eastAsia="Times New Roman" w:hint="default"/>
        </w:rPr>
        <w:t>“</w:t>
      </w:r>
      <w:r>
        <w:rPr/>
        <w:t>五大板块</w:t>
      </w:r>
      <w:r>
        <w:rPr>
          <w:rFonts w:ascii="Times New Roman" w:hAnsi="Times New Roman" w:cs="Times New Roman" w:eastAsia="Times New Roman" w:hint="default"/>
        </w:rPr>
        <w:t>”</w:t>
      </w:r>
      <w:r>
        <w:rPr/>
        <w:t>，培育自主品牌，布局聚酯薄</w:t>
      </w:r>
      <w:r>
        <w:rPr>
          <w:spacing w:val="-60"/>
        </w:rPr>
        <w:t> </w:t>
      </w:r>
      <w:r>
        <w:rPr>
          <w:spacing w:val="-60"/>
        </w:rPr>
      </w:r>
      <w:r>
        <w:rPr/>
        <w:t>膜高端产品生产和应用领域，并在聚酯薄膜应用的部分细分行业做精做专，实现创新引领，</w:t>
      </w:r>
      <w:r>
        <w:rPr>
          <w:spacing w:val="-91"/>
        </w:rPr>
        <w:t> </w:t>
      </w:r>
      <w:r>
        <w:rPr>
          <w:spacing w:val="-91"/>
        </w:rPr>
      </w:r>
      <w:r>
        <w:rPr/>
        <w:t>全面提升企业的竞争实力。</w:t>
      </w:r>
    </w:p>
    <w:p>
      <w:pPr>
        <w:pStyle w:val="Heading3"/>
        <w:spacing w:line="235" w:lineRule="auto" w:before="126"/>
        <w:ind w:right="152" w:firstLine="482"/>
        <w:jc w:val="both"/>
      </w:pPr>
      <w:r>
        <w:rPr>
          <w:rFonts w:ascii="Times New Roman" w:hAnsi="Times New Roman" w:cs="Times New Roman" w:eastAsia="Times New Roman" w:hint="default"/>
          <w:spacing w:val="-3"/>
        </w:rPr>
        <w:t>1</w:t>
      </w:r>
      <w:r>
        <w:rPr>
          <w:spacing w:val="-3"/>
        </w:rPr>
        <w:t>、在产品结构方面，国外大型跨国企业根据新兴产业的需求，占领了高端薄膜的国际市</w:t>
      </w:r>
      <w:r>
        <w:rPr/>
        <w:t> 场。当前，光学基膜产品的国内、国际市场被国外企业垄断，国内对光学基膜的进口依存度</w:t>
      </w:r>
      <w:r>
        <w:rPr>
          <w:spacing w:val="-91"/>
        </w:rPr>
        <w:t> </w:t>
      </w:r>
      <w:r>
        <w:rPr>
          <w:spacing w:val="-91"/>
        </w:rPr>
      </w:r>
      <w:r>
        <w:rPr/>
        <w:t>较高。未来，国内包括液晶电视在内的电子产品持续快速增长，国产的光学膜供给迫切需要</w:t>
      </w:r>
      <w:r>
        <w:rPr>
          <w:spacing w:val="-90"/>
        </w:rPr>
        <w:t> </w:t>
      </w:r>
      <w:r>
        <w:rPr>
          <w:spacing w:val="-90"/>
        </w:rPr>
      </w:r>
      <w:r>
        <w:rPr/>
        <w:t>加快步伐实现替代，为此，增加光学膜项目的开发研究对提升下游的液晶显示器材等产业的</w:t>
      </w:r>
      <w:r>
        <w:rPr>
          <w:spacing w:val="-91"/>
        </w:rPr>
        <w:t> </w:t>
      </w:r>
      <w:r>
        <w:rPr>
          <w:spacing w:val="-91"/>
        </w:rPr>
      </w:r>
      <w:r>
        <w:rPr/>
        <w:t>国产化有着积极作用。</w:t>
      </w:r>
    </w:p>
    <w:p>
      <w:pPr>
        <w:pStyle w:val="Heading3"/>
        <w:spacing w:line="310" w:lineRule="exact" w:before="153"/>
        <w:ind w:right="152" w:firstLine="420"/>
        <w:jc w:val="both"/>
      </w:pPr>
      <w:r>
        <w:rPr>
          <w:rFonts w:ascii="Times New Roman" w:hAnsi="Times New Roman" w:cs="Times New Roman" w:eastAsia="Times New Roman" w:hint="default"/>
          <w:spacing w:val="-1"/>
        </w:rPr>
        <w:t>2</w:t>
      </w:r>
      <w:r>
        <w:rPr>
          <w:spacing w:val="-1"/>
        </w:rPr>
        <w:t>、高阻隔性聚酯薄膜通过填料改性、多层复合、溅射等技术方式赋予聚酯薄膜优良的水</w:t>
      </w:r>
      <w:r>
        <w:rPr/>
        <w:t> 蒸气、氧气阻隔性，可以应用于节能、医疗和光电领域，市场前景广阔。</w:t>
      </w:r>
    </w:p>
    <w:p>
      <w:pPr>
        <w:pStyle w:val="Heading3"/>
        <w:spacing w:line="225" w:lineRule="auto" w:before="109"/>
        <w:ind w:right="149" w:firstLine="482"/>
        <w:jc w:val="both"/>
      </w:pPr>
      <w:r>
        <w:rPr>
          <w:rFonts w:ascii="Times New Roman" w:hAnsi="Times New Roman" w:cs="Times New Roman" w:eastAsia="Times New Roman" w:hint="default"/>
          <w:spacing w:val="-3"/>
        </w:rPr>
        <w:t>3</w:t>
      </w:r>
      <w:r>
        <w:rPr>
          <w:spacing w:val="-3"/>
        </w:rPr>
        <w:t>、热收缩聚酯薄膜主要在高端产品（出口产品）和领域中应用。当前国内市场上，聚酯</w:t>
      </w:r>
      <w:r>
        <w:rPr/>
        <w:t> 热收缩膜主要应用在电容器、电池商标、</w:t>
      </w:r>
      <w:r>
        <w:rPr>
          <w:rFonts w:ascii="Times New Roman" w:hAnsi="Times New Roman" w:cs="Times New Roman" w:eastAsia="Times New Roman" w:hint="default"/>
        </w:rPr>
        <w:t>PET</w:t>
      </w:r>
      <w:r>
        <w:rPr/>
        <w:t>瓶收缩标签等产品上，具有方便、环保、有利</w:t>
      </w:r>
      <w:r>
        <w:rPr>
          <w:spacing w:val="-42"/>
        </w:rPr>
        <w:t> </w:t>
      </w:r>
      <w:r>
        <w:rPr/>
        <w:t>于回收等特点，未来将逐步替代</w:t>
      </w:r>
      <w:r>
        <w:rPr>
          <w:rFonts w:ascii="Times New Roman" w:hAnsi="Times New Roman" w:cs="Times New Roman" w:eastAsia="Times New Roman" w:hint="default"/>
        </w:rPr>
        <w:t>PVC</w:t>
      </w:r>
      <w:r>
        <w:rPr/>
        <w:t>热收缩膜。</w:t>
      </w:r>
    </w:p>
    <w:p>
      <w:pPr>
        <w:pStyle w:val="Heading3"/>
        <w:spacing w:line="232" w:lineRule="auto" w:before="113"/>
        <w:ind w:right="150" w:firstLine="482"/>
        <w:jc w:val="both"/>
      </w:pPr>
      <w:r>
        <w:rPr>
          <w:rFonts w:ascii="Times New Roman" w:hAnsi="Times New Roman" w:cs="Times New Roman" w:eastAsia="Times New Roman" w:hint="default"/>
          <w:spacing w:val="-3"/>
        </w:rPr>
        <w:t>4</w:t>
      </w:r>
      <w:r>
        <w:rPr>
          <w:spacing w:val="-3"/>
        </w:rPr>
        <w:t>、智能窗膜是实现智能调控光热透反射特性的节能材料，它的调节仅利用自然环境的温</w:t>
      </w:r>
      <w:r>
        <w:rPr/>
        <w:t> 度变化就能实现对太阳能的自动调控的功能。夏天最大限度的控制的减少热量的侵袭，冬天</w:t>
      </w:r>
      <w:r>
        <w:rPr>
          <w:spacing w:val="-91"/>
        </w:rPr>
        <w:t> </w:t>
      </w:r>
      <w:r>
        <w:rPr>
          <w:spacing w:val="-91"/>
        </w:rPr>
      </w:r>
      <w:r>
        <w:rPr/>
        <w:t>积极导入太阳光特别是其中的红外部分，减少资源和能源的消耗。同时，玻璃窗膜在维护物</w:t>
      </w:r>
      <w:r>
        <w:rPr>
          <w:spacing w:val="-91"/>
        </w:rPr>
        <w:t> </w:t>
      </w:r>
      <w:r>
        <w:rPr>
          <w:spacing w:val="-91"/>
        </w:rPr>
      </w:r>
      <w:r>
        <w:rPr/>
        <w:t>玻璃的安全性、有效控制和减少玻璃爆裂及高空坠落伤害等方面有着重要的作用。</w:t>
      </w:r>
    </w:p>
    <w:p>
      <w:pPr>
        <w:spacing w:line="268" w:lineRule="auto" w:before="119"/>
        <w:ind w:left="633" w:right="153" w:firstLine="2"/>
        <w:jc w:val="left"/>
        <w:rPr>
          <w:rFonts w:ascii="宋体" w:hAnsi="宋体" w:cs="宋体" w:eastAsia="宋体" w:hint="default"/>
          <w:sz w:val="24"/>
          <w:szCs w:val="24"/>
        </w:rPr>
      </w:pPr>
      <w:r>
        <w:rPr>
          <w:rFonts w:ascii="宋体" w:hAnsi="宋体" w:cs="宋体" w:eastAsia="宋体" w:hint="default"/>
          <w:b/>
          <w:bCs/>
          <w:sz w:val="24"/>
          <w:szCs w:val="24"/>
        </w:rPr>
        <w:t>（二）公司发展战略</w:t>
      </w:r>
      <w:r>
        <w:rPr>
          <w:rFonts w:ascii="宋体" w:hAnsi="宋体" w:cs="宋体" w:eastAsia="宋体" w:hint="default"/>
          <w:b/>
          <w:bCs/>
          <w:w w:val="99"/>
          <w:sz w:val="24"/>
          <w:szCs w:val="24"/>
        </w:rPr>
        <w:t> </w:t>
      </w:r>
      <w:r>
        <w:rPr>
          <w:rFonts w:ascii="宋体" w:hAnsi="宋体" w:cs="宋体" w:eastAsia="宋体" w:hint="default"/>
          <w:sz w:val="24"/>
          <w:szCs w:val="24"/>
        </w:rPr>
        <w:t>公司继续专注主业，将深入研究分析国内外经济形势和行业发展趋势，围绕高质量发展</w:t>
      </w:r>
    </w:p>
    <w:p>
      <w:pPr>
        <w:pStyle w:val="Heading3"/>
        <w:spacing w:line="312" w:lineRule="exact"/>
        <w:ind w:right="158"/>
        <w:jc w:val="both"/>
      </w:pPr>
      <w:r>
        <w:rPr/>
        <w:t>要求，通过优化产品结构，以提高经济增长质量和效益为着力点，聚焦三大变革，强化创新</w:t>
      </w:r>
      <w:r>
        <w:rPr>
          <w:spacing w:val="-91"/>
        </w:rPr>
        <w:t> </w:t>
      </w:r>
      <w:r>
        <w:rPr>
          <w:spacing w:val="-91"/>
        </w:rPr>
      </w:r>
      <w:r>
        <w:rPr/>
        <w:t>驱动，全方位夯实提升核心竞争能力，坚持推进六大战略，以聚酯薄膜工业中间材料向功能</w:t>
      </w:r>
      <w:r>
        <w:rPr>
          <w:spacing w:val="-90"/>
        </w:rPr>
        <w:t> </w:t>
      </w:r>
      <w:r>
        <w:rPr>
          <w:spacing w:val="-90"/>
        </w:rPr>
      </w:r>
      <w:r>
        <w:rPr/>
        <w:t>性、高性能持续推动发展，做精做强核心业务和市场，服务拓展应用到更多领域；以人才集</w:t>
      </w:r>
      <w:r>
        <w:rPr>
          <w:spacing w:val="-91"/>
        </w:rPr>
        <w:t> </w:t>
      </w:r>
      <w:r>
        <w:rPr>
          <w:spacing w:val="-91"/>
        </w:rPr>
      </w:r>
      <w:r>
        <w:rPr/>
        <w:t>聚打造团队能力提升；以落实智能制造推动平台建设，实现生产、技术和管理的深度融合；</w:t>
      </w:r>
    </w:p>
    <w:p>
      <w:pPr>
        <w:pStyle w:val="Heading3"/>
        <w:spacing w:line="312" w:lineRule="exact"/>
        <w:ind w:right="159"/>
        <w:jc w:val="both"/>
      </w:pPr>
      <w:r>
        <w:rPr/>
        <w:t>以板块带动，实现上游发展拓展，夯实基础，打造新材料行业领先水平，努力提升公司市场</w:t>
      </w:r>
      <w:r>
        <w:rPr>
          <w:spacing w:val="-91"/>
        </w:rPr>
        <w:t> </w:t>
      </w:r>
      <w:r>
        <w:rPr>
          <w:spacing w:val="-91"/>
        </w:rPr>
      </w:r>
      <w:r>
        <w:rPr/>
        <w:t>竞争力和可持续发展能力。</w:t>
      </w:r>
    </w:p>
    <w:p>
      <w:pPr>
        <w:pStyle w:val="Heading3"/>
        <w:spacing w:line="312" w:lineRule="exact" w:before="38"/>
        <w:ind w:right="158" w:firstLine="480"/>
        <w:jc w:val="both"/>
      </w:pPr>
      <w:r>
        <w:rPr/>
        <w:t>同时，聚焦拓展新业务范围，突出竞争优势，持续夯实发展现有业务和市场，充分发挥 资源优势，结合全国走向现代化，全面国际化布局，深入推进高端产品的差异化发展，积极</w:t>
      </w:r>
      <w:r>
        <w:rPr>
          <w:spacing w:val="-91"/>
        </w:rPr>
        <w:t> </w:t>
      </w:r>
      <w:r>
        <w:rPr>
          <w:spacing w:val="-91"/>
        </w:rPr>
      </w:r>
      <w:r>
        <w:rPr/>
        <w:t>延伸产业链，通过加快结构调整，实现资源更高程度整合，创新发展，推动企业向国际一流</w:t>
      </w:r>
      <w:r>
        <w:rPr>
          <w:spacing w:val="-89"/>
        </w:rPr>
        <w:t> </w:t>
      </w:r>
      <w:r>
        <w:rPr>
          <w:spacing w:val="-89"/>
        </w:rPr>
      </w:r>
      <w:r>
        <w:rPr/>
        <w:t>先进高分子复合材料、光学材料、节能窗膜材料、信息材料、新能源材料等领域实现新的更</w:t>
      </w:r>
      <w:r>
        <w:rPr>
          <w:spacing w:val="-91"/>
        </w:rPr>
        <w:t> </w:t>
      </w:r>
      <w:r>
        <w:rPr>
          <w:spacing w:val="-91"/>
        </w:rPr>
      </w:r>
      <w:r>
        <w:rPr/>
        <w:t>大突破，发展中持续领跑同行。</w:t>
      </w:r>
    </w:p>
    <w:p>
      <w:pPr>
        <w:spacing w:after="0" w:line="312" w:lineRule="exact"/>
        <w:jc w:val="both"/>
        <w:sectPr>
          <w:pgSz w:w="11910" w:h="16840"/>
          <w:pgMar w:header="745" w:footer="980"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left="635" w:right="5714"/>
        <w:jc w:val="left"/>
        <w:rPr>
          <w:b w:val="0"/>
          <w:bCs w:val="0"/>
        </w:rPr>
      </w:pPr>
      <w:r>
        <w:rPr/>
        <w:t>（三）公司经营计划</w:t>
      </w:r>
      <w:r>
        <w:rPr>
          <w:b w:val="0"/>
          <w:bCs w:val="0"/>
        </w:rPr>
      </w:r>
    </w:p>
    <w:p>
      <w:pPr>
        <w:pStyle w:val="Heading3"/>
        <w:spacing w:line="312" w:lineRule="exact" w:before="146"/>
        <w:ind w:right="0" w:firstLine="578"/>
        <w:jc w:val="left"/>
      </w:pPr>
      <w:r>
        <w:rPr>
          <w:spacing w:val="-5"/>
        </w:rPr>
        <w:t>根据公司发展战略及</w:t>
      </w:r>
      <w:r>
        <w:rPr>
          <w:rFonts w:ascii="Times New Roman" w:hAnsi="Times New Roman" w:cs="Times New Roman" w:eastAsia="Times New Roman" w:hint="default"/>
          <w:spacing w:val="-5"/>
        </w:rPr>
        <w:t>2018</w:t>
      </w:r>
      <w:r>
        <w:rPr>
          <w:spacing w:val="-5"/>
        </w:rPr>
        <w:t>年发展目标，结合公司的实际情况，公司在</w:t>
      </w:r>
      <w:r>
        <w:rPr>
          <w:rFonts w:ascii="Times New Roman" w:hAnsi="Times New Roman" w:cs="Times New Roman" w:eastAsia="Times New Roman" w:hint="default"/>
          <w:spacing w:val="-5"/>
        </w:rPr>
        <w:t>2018</w:t>
      </w:r>
      <w:r>
        <w:rPr>
          <w:spacing w:val="-5"/>
        </w:rPr>
        <w:t>年的经营计划：</w:t>
      </w:r>
      <w:r>
        <w:rPr/>
        <w:t> </w:t>
      </w:r>
      <w:r>
        <w:rPr>
          <w:rFonts w:ascii="Times New Roman" w:hAnsi="Times New Roman" w:cs="Times New Roman" w:eastAsia="Times New Roman" w:hint="default"/>
        </w:rPr>
        <w:t>2018</w:t>
      </w:r>
      <w:r>
        <w:rPr/>
        <w:t>年，贯彻落实五大发展理念，紧紧围绕高质量发展要求，坚持以提高经济增长质量和效</w:t>
      </w:r>
      <w:r>
        <w:rPr>
          <w:spacing w:val="-91"/>
        </w:rPr>
        <w:t> </w:t>
      </w:r>
      <w:r>
        <w:rPr>
          <w:spacing w:val="-91"/>
        </w:rPr>
      </w:r>
      <w:r>
        <w:rPr/>
        <w:t>益为立足点，着力抓好自主创新，统筹推进五大板块布局，着力加快结构调总量突破，突出</w:t>
      </w:r>
      <w:r>
        <w:rPr>
          <w:spacing w:val="-91"/>
        </w:rPr>
        <w:t> </w:t>
      </w:r>
      <w:r>
        <w:rPr>
          <w:spacing w:val="-91"/>
        </w:rPr>
      </w:r>
      <w:r>
        <w:rPr/>
        <w:t>项目带动功能，夯实发展基础，增加新增长点。</w:t>
      </w:r>
      <w:r>
        <w:rPr>
          <w:rFonts w:ascii="Times New Roman" w:hAnsi="Times New Roman" w:cs="Times New Roman" w:eastAsia="Times New Roman" w:hint="default"/>
        </w:rPr>
        <w:t>2018</w:t>
      </w:r>
      <w:r>
        <w:rPr/>
        <w:t>年计划销售增长</w:t>
      </w:r>
      <w:r>
        <w:rPr>
          <w:rFonts w:ascii="Times New Roman" w:hAnsi="Times New Roman" w:cs="Times New Roman" w:eastAsia="Times New Roman" w:hint="default"/>
        </w:rPr>
        <w:t>30%</w:t>
      </w:r>
      <w:r>
        <w:rPr/>
        <w:t>，预计实现净利润</w:t>
      </w:r>
      <w:r>
        <w:rPr>
          <w:spacing w:val="-50"/>
        </w:rPr>
        <w:t> </w:t>
      </w:r>
      <w:r>
        <w:rPr>
          <w:spacing w:val="-50"/>
        </w:rPr>
      </w:r>
      <w:r>
        <w:rPr/>
        <w:t>较上年大幅增长。</w:t>
      </w:r>
    </w:p>
    <w:p>
      <w:pPr>
        <w:pStyle w:val="Heading2"/>
        <w:spacing w:line="240" w:lineRule="auto" w:before="89"/>
        <w:ind w:left="635" w:right="0"/>
        <w:jc w:val="left"/>
        <w:rPr>
          <w:b w:val="0"/>
          <w:bCs w:val="0"/>
        </w:rPr>
      </w:pPr>
      <w:r>
        <w:rPr/>
        <w:t>（四）未来发展可能面对的风险因素</w:t>
      </w:r>
      <w:r>
        <w:rPr>
          <w:b w:val="0"/>
          <w:bCs w:val="0"/>
        </w:rPr>
      </w:r>
    </w:p>
    <w:p>
      <w:pPr>
        <w:pStyle w:val="Heading3"/>
        <w:spacing w:line="240" w:lineRule="auto" w:before="120"/>
        <w:ind w:left="573" w:right="7514"/>
        <w:jc w:val="left"/>
      </w:pPr>
      <w:r>
        <w:rPr>
          <w:rFonts w:ascii="Times New Roman" w:hAnsi="Times New Roman" w:cs="Times New Roman" w:eastAsia="Times New Roman" w:hint="default"/>
        </w:rPr>
        <w:t>1</w:t>
      </w:r>
      <w:r>
        <w:rPr/>
        <w:t>、行业风险</w:t>
      </w:r>
    </w:p>
    <w:p>
      <w:pPr>
        <w:pStyle w:val="Heading3"/>
        <w:spacing w:line="312" w:lineRule="auto" w:before="97"/>
        <w:ind w:left="573" w:right="313"/>
        <w:jc w:val="left"/>
      </w:pPr>
      <w:r>
        <w:rPr/>
        <w:t>（</w:t>
      </w:r>
      <w:r>
        <w:rPr>
          <w:rFonts w:ascii="Times New Roman" w:hAnsi="Times New Roman" w:cs="Times New Roman" w:eastAsia="Times New Roman" w:hint="default"/>
        </w:rPr>
        <w:t>1</w:t>
      </w:r>
      <w:r>
        <w:rPr/>
        <w:t>）宏观经济与市场环境变化风险 公司的主要产品为聚酯薄膜等新型功能性薄膜，产品广泛应用于各类食品、饮料、医药</w:t>
      </w:r>
    </w:p>
    <w:p>
      <w:pPr>
        <w:pStyle w:val="Heading3"/>
        <w:spacing w:line="239" w:lineRule="exact"/>
        <w:ind w:right="0"/>
        <w:jc w:val="both"/>
      </w:pPr>
      <w:r>
        <w:rPr/>
        <w:t>和日用品的包装，并已逐步拓展向液晶显示、智能手机、触摸面板、汽车、建筑节能玻璃、</w:t>
      </w:r>
    </w:p>
    <w:p>
      <w:pPr>
        <w:pStyle w:val="Heading3"/>
        <w:spacing w:line="312" w:lineRule="exact" w:before="30"/>
        <w:ind w:right="271"/>
        <w:jc w:val="both"/>
      </w:pPr>
      <w:r>
        <w:rPr/>
        <w:t>光伏新能源等应用领域。上述领域与宏观经济运行状况密切相关，宏观经济的波动对公司主 要产品的价格和需求有较大影响，聚酯薄膜行业呈现较为明显的周期性，是一个发展前景非 常广阔的行业，公司所面临的市场环境逐渐好转，但如果未来国内外经济水平趋于恶化或长 期保持低位，将会对公司生产经营和盈利水平产生不利影响。</w:t>
      </w:r>
    </w:p>
    <w:p>
      <w:pPr>
        <w:pStyle w:val="Heading3"/>
        <w:spacing w:line="312" w:lineRule="auto" w:before="89"/>
        <w:ind w:left="573" w:right="313"/>
        <w:jc w:val="left"/>
      </w:pPr>
      <w:r>
        <w:rPr/>
        <w:t>（</w:t>
      </w:r>
      <w:r>
        <w:rPr>
          <w:rFonts w:ascii="Times New Roman" w:hAnsi="Times New Roman" w:cs="Times New Roman" w:eastAsia="Times New Roman" w:hint="default"/>
        </w:rPr>
        <w:t>2</w:t>
      </w:r>
      <w:r>
        <w:rPr/>
        <w:t>）行业竞争风险 由于聚酯薄膜具有优异的物理性能、化学性能和环保性能，应用领域广，市场潜力大，</w:t>
      </w:r>
    </w:p>
    <w:p>
      <w:pPr>
        <w:pStyle w:val="Heading3"/>
        <w:spacing w:line="239" w:lineRule="exact"/>
        <w:ind w:right="0"/>
        <w:jc w:val="both"/>
      </w:pPr>
      <w:r>
        <w:rPr/>
        <w:t>前几年，聚酯薄膜企业的生产规模不断扩张，国内聚酯薄膜行业的市场竞争激烈，可能导致</w:t>
      </w:r>
    </w:p>
    <w:p>
      <w:pPr>
        <w:pStyle w:val="Heading3"/>
        <w:spacing w:line="237" w:lineRule="auto" w:before="1"/>
        <w:ind w:right="270"/>
        <w:jc w:val="both"/>
      </w:pPr>
      <w:r>
        <w:rPr/>
        <w:t>公司产品的利润率下降。尽管公司凭借高质量发展且产品的品种齐全和强大的品牌优势位居 国内聚酯薄膜行业领跑企业，取得一定的规模和成本的竞争优势，但随着行业的发展，公司 面临市场竞争不断加大的风险，如果公司不能正确判断、把握行业的市场动态和发展趋势， 不能根据技术发展和客户需求变化及时推出新产品、优化产品结构，不能进一步提高产品质 量及经营效率，保持竞争优势，则存在因竞争优势减弱而导致经营业绩不能达到预期目标的 风险。</w:t>
      </w:r>
    </w:p>
    <w:p>
      <w:pPr>
        <w:pStyle w:val="Heading3"/>
        <w:spacing w:line="240" w:lineRule="auto" w:before="118"/>
        <w:ind w:left="573" w:right="7514"/>
        <w:jc w:val="left"/>
      </w:pPr>
      <w:r>
        <w:rPr>
          <w:rFonts w:ascii="Times New Roman" w:hAnsi="Times New Roman" w:cs="Times New Roman" w:eastAsia="Times New Roman" w:hint="default"/>
        </w:rPr>
        <w:t>2</w:t>
      </w:r>
      <w:r>
        <w:rPr/>
        <w:t>、经营风险</w:t>
      </w:r>
    </w:p>
    <w:p>
      <w:pPr>
        <w:pStyle w:val="Heading3"/>
        <w:spacing w:line="312" w:lineRule="auto" w:before="99"/>
        <w:ind w:left="573" w:right="313"/>
        <w:jc w:val="left"/>
      </w:pPr>
      <w:r>
        <w:rPr/>
        <w:t>（</w:t>
      </w:r>
      <w:r>
        <w:rPr>
          <w:rFonts w:ascii="Times New Roman" w:hAnsi="Times New Roman" w:cs="Times New Roman" w:eastAsia="Times New Roman" w:hint="default"/>
        </w:rPr>
        <w:t>1</w:t>
      </w:r>
      <w:r>
        <w:rPr/>
        <w:t>）主要产品价格波动的风险 目前公司主要从事环保型热收缩聚酯薄膜、太阳能基材背膜、新型功能性聚酯薄膜、功</w:t>
      </w:r>
    </w:p>
    <w:p>
      <w:pPr>
        <w:pStyle w:val="Heading3"/>
        <w:spacing w:line="239" w:lineRule="exact"/>
        <w:ind w:right="0"/>
        <w:jc w:val="both"/>
      </w:pPr>
      <w:r>
        <w:rPr/>
        <w:t>能性膜级聚酯切片、以及光学膜基材及光学膜下游应用产品的研发、生产和销售。由于受到</w:t>
      </w:r>
    </w:p>
    <w:p>
      <w:pPr>
        <w:pStyle w:val="Heading3"/>
        <w:spacing w:line="312" w:lineRule="exact" w:before="29"/>
        <w:ind w:right="270"/>
        <w:jc w:val="both"/>
      </w:pPr>
      <w:r>
        <w:rPr/>
        <w:t>国内外整体经济环境影响，聚酯薄膜价格处于相对低位。公司具有从聚酯薄膜上游聚酯切片 到下游应用产品相对完整的产业链，丰富了公司聚酯薄膜的产品结构，分散了经营风险，降 低了公司聚酯薄膜生产成本，可以在一定程度上减少聚酯薄膜价格波动对公司业绩的影响。 但如果公司因拓展市场份额、市场竞争加剧等因素影响聚酯薄膜价格低位，可能直接影响产 品的毛利率，将对公司的盈利能力造成不利影响。</w:t>
      </w:r>
    </w:p>
    <w:p>
      <w:pPr>
        <w:pStyle w:val="Heading3"/>
        <w:spacing w:line="312" w:lineRule="auto" w:before="90"/>
        <w:ind w:left="573" w:right="286"/>
        <w:jc w:val="left"/>
      </w:pPr>
      <w:r>
        <w:rPr/>
        <w:t>（</w:t>
      </w:r>
      <w:r>
        <w:rPr>
          <w:rFonts w:ascii="Times New Roman" w:hAnsi="Times New Roman" w:cs="Times New Roman" w:eastAsia="Times New Roman" w:hint="default"/>
        </w:rPr>
        <w:t>2</w:t>
      </w:r>
      <w:r>
        <w:rPr/>
        <w:t>）主要原材料价格波动的风险 公司对外采购的原材料主要包括石化产品</w:t>
      </w:r>
      <w:r>
        <w:rPr>
          <w:rFonts w:ascii="Times New Roman" w:hAnsi="Times New Roman" w:cs="Times New Roman" w:eastAsia="Times New Roman" w:hint="default"/>
        </w:rPr>
        <w:t>PTA</w:t>
      </w:r>
      <w:r>
        <w:rPr/>
        <w:t>和</w:t>
      </w:r>
      <w:r>
        <w:rPr>
          <w:rFonts w:ascii="Times New Roman" w:hAnsi="Times New Roman" w:cs="Times New Roman" w:eastAsia="Times New Roman" w:hint="default"/>
        </w:rPr>
        <w:t>MEG</w:t>
      </w:r>
      <w:r>
        <w:rPr/>
        <w:t>，该原料占公司聚酯薄膜产品成本</w:t>
      </w:r>
    </w:p>
    <w:p>
      <w:pPr>
        <w:pStyle w:val="Heading3"/>
        <w:spacing w:line="222" w:lineRule="exact"/>
        <w:ind w:right="0"/>
        <w:jc w:val="both"/>
      </w:pPr>
      <w:r>
        <w:rPr/>
        <w:t>的比例超过</w:t>
      </w:r>
      <w:r>
        <w:rPr>
          <w:rFonts w:ascii="Times New Roman" w:hAnsi="Times New Roman" w:cs="Times New Roman" w:eastAsia="Times New Roman" w:hint="default"/>
        </w:rPr>
        <w:t>70%</w:t>
      </w:r>
      <w:r>
        <w:rPr/>
        <w:t>，公司采取标杆采购管理，严格控制采购成本，优化工艺设计，采用新原料、</w:t>
      </w:r>
    </w:p>
    <w:p>
      <w:pPr>
        <w:pStyle w:val="Heading3"/>
        <w:spacing w:line="312" w:lineRule="exact" w:before="20"/>
        <w:ind w:right="271"/>
        <w:jc w:val="both"/>
      </w:pPr>
      <w:r>
        <w:rPr/>
        <w:t>新工艺等综合措施降低生产成本，国际原油价格的较大波动将通过原材料采购价格直接影响 产品的生产成本，仍将对公司的盈利能力产生影响。</w:t>
      </w:r>
    </w:p>
    <w:p>
      <w:pPr>
        <w:spacing w:after="0" w:line="312" w:lineRule="exact"/>
        <w:jc w:val="both"/>
        <w:sectPr>
          <w:pgSz w:w="11910" w:h="16840"/>
          <w:pgMar w:header="745" w:footer="980" w:top="1060" w:bottom="1160" w:left="980" w:right="900"/>
        </w:sectPr>
      </w:pPr>
    </w:p>
    <w:p>
      <w:pPr>
        <w:spacing w:line="240" w:lineRule="auto" w:before="6"/>
        <w:rPr>
          <w:rFonts w:ascii="宋体" w:hAnsi="宋体" w:cs="宋体" w:eastAsia="宋体" w:hint="default"/>
          <w:sz w:val="23"/>
          <w:szCs w:val="23"/>
        </w:rPr>
      </w:pPr>
    </w:p>
    <w:p>
      <w:pPr>
        <w:pStyle w:val="Heading3"/>
        <w:spacing w:line="240" w:lineRule="auto" w:before="26"/>
        <w:ind w:left="573" w:right="153"/>
        <w:jc w:val="left"/>
      </w:pPr>
      <w:r>
        <w:rPr>
          <w:rFonts w:ascii="Times New Roman" w:hAnsi="Times New Roman" w:cs="Times New Roman" w:eastAsia="Times New Roman" w:hint="default"/>
        </w:rPr>
        <w:t>3</w:t>
      </w:r>
      <w:r>
        <w:rPr/>
        <w:t>、投资风险</w:t>
      </w:r>
    </w:p>
    <w:p>
      <w:pPr>
        <w:pStyle w:val="Heading3"/>
        <w:spacing w:line="312" w:lineRule="auto" w:before="100"/>
        <w:ind w:left="573" w:right="233"/>
        <w:jc w:val="left"/>
      </w:pPr>
      <w:r>
        <w:rPr/>
        <w:t>（</w:t>
      </w:r>
      <w:r>
        <w:rPr>
          <w:rFonts w:ascii="Times New Roman" w:hAnsi="Times New Roman" w:cs="Times New Roman" w:eastAsia="Times New Roman" w:hint="default"/>
        </w:rPr>
        <w:t>1</w:t>
      </w:r>
      <w:r>
        <w:rPr/>
        <w:t>）产能扩张引致的市场拓展风险 公司近年来主要产品聚酯薄膜的产能扩张较快，目前产能已超过</w:t>
      </w:r>
      <w:r>
        <w:rPr>
          <w:rFonts w:ascii="Times New Roman" w:hAnsi="Times New Roman" w:cs="Times New Roman" w:eastAsia="Times New Roman" w:hint="default"/>
        </w:rPr>
        <w:t>30</w:t>
      </w:r>
      <w:r>
        <w:rPr/>
        <w:t>万吨，产能居于国内</w:t>
      </w:r>
    </w:p>
    <w:p>
      <w:pPr>
        <w:pStyle w:val="Heading3"/>
        <w:spacing w:line="214" w:lineRule="exact"/>
        <w:ind w:right="0"/>
        <w:jc w:val="both"/>
      </w:pPr>
      <w:r>
        <w:rPr/>
        <w:t>领先地位。</w:t>
      </w:r>
    </w:p>
    <w:p>
      <w:pPr>
        <w:pStyle w:val="Heading3"/>
        <w:spacing w:line="312" w:lineRule="exact" w:before="148"/>
        <w:ind w:right="189" w:firstLine="420"/>
        <w:jc w:val="both"/>
      </w:pPr>
      <w:r>
        <w:rPr/>
        <w:t>尽管随着消费品市场对包装材料需求的增长和聚酯薄膜自身优异性能带动其应用领域的 不断拓展，聚酯薄膜产品具有良好的市场前景。公司也凭借优良的产品性能、多样的产品种 类、良好的企业品牌获得了市场的认同，建立了广泛的客户基础和客户资源；同时，募集资 金投资项目的可行性相关结论均是基于当时市场环境、国家产业政策、公司发展战略、国内 外市场环境和技术水平等条件做出的，公司的募投项目市场前景较好，毛利水平较高。但随 着项目的建成，如果市场容量增长未达到预期，或者公司在产能提高的同时新市场开拓等方 面不能达到预期目标消化新增产能，则存在公司产能利用不足的风险。</w:t>
      </w:r>
    </w:p>
    <w:p>
      <w:pPr>
        <w:pStyle w:val="Heading3"/>
        <w:spacing w:line="312" w:lineRule="auto" w:before="89"/>
        <w:ind w:left="573" w:right="233"/>
        <w:jc w:val="left"/>
      </w:pPr>
      <w:r>
        <w:rPr/>
        <w:t>（</w:t>
      </w:r>
      <w:r>
        <w:rPr>
          <w:rFonts w:ascii="Times New Roman" w:hAnsi="Times New Roman" w:cs="Times New Roman" w:eastAsia="Times New Roman" w:hint="default"/>
        </w:rPr>
        <w:t>2</w:t>
      </w:r>
      <w:r>
        <w:rPr/>
        <w:t>）项目能否达到预期收益的风险 公司历次建设项目经过了充分的调查论证，具备良好的技术和市场基础。但公司投资项</w:t>
      </w:r>
    </w:p>
    <w:p>
      <w:pPr>
        <w:pStyle w:val="Heading3"/>
        <w:spacing w:line="239" w:lineRule="exact"/>
        <w:ind w:right="0"/>
        <w:jc w:val="both"/>
      </w:pPr>
      <w:r>
        <w:rPr/>
        <w:t>目的可行性分析是基于当前市场环境、现有技术基础、发展趋势等因素作出的合理判断。如</w:t>
      </w:r>
    </w:p>
    <w:p>
      <w:pPr>
        <w:pStyle w:val="Heading3"/>
        <w:spacing w:line="312" w:lineRule="exact" w:before="29"/>
        <w:ind w:right="191"/>
        <w:jc w:val="both"/>
      </w:pPr>
      <w:r>
        <w:rPr/>
        <w:t>果未来市场环境、国际贸易争端、技术水平出现重大不利变化，或者整体宏观经济形势出现 大幅度下滑，导致产品单价大幅下降或产能利用率不足的情况，可能在一段时间内对公司募 投项目预期的盈利水平产生影响。</w:t>
      </w:r>
    </w:p>
    <w:p>
      <w:pPr>
        <w:pStyle w:val="Heading3"/>
        <w:spacing w:line="312" w:lineRule="auto" w:before="89"/>
        <w:ind w:left="573" w:right="142"/>
        <w:jc w:val="left"/>
      </w:pPr>
      <w:r>
        <w:rPr/>
        <w:t>（</w:t>
      </w:r>
      <w:r>
        <w:rPr>
          <w:rFonts w:ascii="Times New Roman" w:hAnsi="Times New Roman" w:cs="Times New Roman" w:eastAsia="Times New Roman" w:hint="default"/>
        </w:rPr>
        <w:t>3</w:t>
      </w:r>
      <w:r>
        <w:rPr/>
        <w:t>）新增固定资产折旧影响未来经营业绩的风险 </w:t>
      </w:r>
      <w:r>
        <w:rPr>
          <w:spacing w:val="2"/>
        </w:rPr>
        <w:t>公司投资项目建成后，固定资产将大幅增加，导致每年新增折旧金额也较大。在项目完</w:t>
      </w:r>
      <w:r>
        <w:rPr/>
      </w:r>
    </w:p>
    <w:p>
      <w:pPr>
        <w:pStyle w:val="Heading3"/>
        <w:spacing w:line="239" w:lineRule="exact"/>
        <w:ind w:right="0"/>
        <w:jc w:val="both"/>
      </w:pPr>
      <w:r>
        <w:rPr/>
        <w:t>全达产前或不能如期达产并发挥经济效益的情况下，公司存在因折旧增加而导致利润下降的</w:t>
      </w:r>
    </w:p>
    <w:p>
      <w:pPr>
        <w:pStyle w:val="Heading3"/>
        <w:spacing w:line="313" w:lineRule="exact"/>
        <w:ind w:right="0"/>
        <w:jc w:val="both"/>
      </w:pPr>
      <w:r>
        <w:rPr/>
        <w:t>风险。</w:t>
      </w:r>
    </w:p>
    <w:p>
      <w:pPr>
        <w:pStyle w:val="Heading3"/>
        <w:spacing w:line="240" w:lineRule="auto" w:before="118"/>
        <w:ind w:left="573" w:right="153"/>
        <w:jc w:val="left"/>
      </w:pPr>
      <w:r>
        <w:rPr>
          <w:rFonts w:ascii="Times New Roman" w:hAnsi="Times New Roman" w:cs="Times New Roman" w:eastAsia="Times New Roman" w:hint="default"/>
        </w:rPr>
        <w:t>4</w:t>
      </w:r>
      <w:r>
        <w:rPr/>
        <w:t>、技术风险</w:t>
      </w:r>
    </w:p>
    <w:p>
      <w:pPr>
        <w:pStyle w:val="Heading3"/>
        <w:spacing w:line="312" w:lineRule="auto" w:before="100"/>
        <w:ind w:left="573" w:right="233"/>
        <w:jc w:val="left"/>
      </w:pPr>
      <w:r>
        <w:rPr/>
        <w:t>（</w:t>
      </w:r>
      <w:r>
        <w:rPr>
          <w:rFonts w:ascii="Times New Roman" w:hAnsi="Times New Roman" w:cs="Times New Roman" w:eastAsia="Times New Roman" w:hint="default"/>
        </w:rPr>
        <w:t>1</w:t>
      </w:r>
      <w:r>
        <w:rPr/>
        <w:t>）核心技术人员流失风险 公司拥有较强的研发队伍和优秀的核心技术人员，这是公司技术领先、产品创新的主要</w:t>
      </w:r>
    </w:p>
    <w:p>
      <w:pPr>
        <w:pStyle w:val="Heading3"/>
        <w:spacing w:line="239" w:lineRule="exact"/>
        <w:ind w:right="0"/>
        <w:jc w:val="both"/>
      </w:pPr>
      <w:r>
        <w:rPr/>
        <w:t>因素之一。公司一贯重视并不断完善技术人员的激励约束机制，制定了向技术人员倾斜的收</w:t>
      </w:r>
    </w:p>
    <w:p>
      <w:pPr>
        <w:pStyle w:val="Heading3"/>
        <w:spacing w:line="312" w:lineRule="exact" w:before="29"/>
        <w:ind w:right="189"/>
        <w:jc w:val="both"/>
      </w:pPr>
      <w:r>
        <w:rPr/>
        <w:t>入分配制度。随着市场竞争的加剧，如果公司不能持续完善各类激励机制，可能面临核心技 术人员流失的风险。</w:t>
      </w:r>
    </w:p>
    <w:p>
      <w:pPr>
        <w:pStyle w:val="Heading3"/>
        <w:spacing w:line="312" w:lineRule="auto" w:before="89"/>
        <w:ind w:left="537" w:right="146" w:firstLine="36"/>
        <w:jc w:val="left"/>
      </w:pPr>
      <w:r>
        <w:rPr/>
        <w:t>（</w:t>
      </w:r>
      <w:r>
        <w:rPr>
          <w:rFonts w:ascii="Times New Roman" w:hAnsi="Times New Roman" w:cs="Times New Roman" w:eastAsia="Times New Roman" w:hint="default"/>
        </w:rPr>
        <w:t>2</w:t>
      </w:r>
      <w:r>
        <w:rPr/>
        <w:t>）技术泄密的风险 </w:t>
      </w:r>
      <w:r>
        <w:rPr>
          <w:spacing w:val="-3"/>
        </w:rPr>
        <w:t>工艺流程设计和原材料配比是公司技术实力的主要体现，经过多年的研发与生产，公司积</w:t>
      </w:r>
    </w:p>
    <w:p>
      <w:pPr>
        <w:pStyle w:val="Heading3"/>
        <w:spacing w:line="239" w:lineRule="exact"/>
        <w:ind w:right="0"/>
        <w:jc w:val="both"/>
      </w:pPr>
      <w:r>
        <w:rPr/>
        <w:t>累了大量聚酯薄膜生产的技术诀窍，掌握了一整套与薄膜制造相关的关键技术和工艺流程、</w:t>
      </w:r>
    </w:p>
    <w:p>
      <w:pPr>
        <w:pStyle w:val="Heading3"/>
        <w:spacing w:line="237" w:lineRule="auto" w:before="1"/>
        <w:ind w:right="154"/>
        <w:jc w:val="both"/>
      </w:pPr>
      <w:r>
        <w:rPr/>
        <w:t>设备参数调试等方面的非专利技术，这些专利技术及非专利技术均为公司拥有，但其转化为</w:t>
      </w:r>
      <w:r>
        <w:rPr>
          <w:spacing w:val="-91"/>
        </w:rPr>
        <w:t> </w:t>
      </w:r>
      <w:r>
        <w:rPr>
          <w:spacing w:val="-91"/>
        </w:rPr>
      </w:r>
      <w:r>
        <w:rPr/>
        <w:t>生产力与技术人员和生产人员的熟练掌握程度密切相关。虽然目前公司已采取了多项措施以</w:t>
      </w:r>
      <w:r>
        <w:rPr>
          <w:spacing w:val="-91"/>
        </w:rPr>
        <w:t> </w:t>
      </w:r>
      <w:r>
        <w:rPr>
          <w:spacing w:val="-91"/>
        </w:rPr>
      </w:r>
      <w:r>
        <w:rPr/>
        <w:t>稳定员工队伍，包括主要技术人员持有公司股份等方式使其切身利益与公司的长远发展紧密</w:t>
      </w:r>
      <w:r>
        <w:rPr>
          <w:spacing w:val="-91"/>
        </w:rPr>
        <w:t> </w:t>
      </w:r>
      <w:r>
        <w:rPr>
          <w:spacing w:val="-91"/>
        </w:rPr>
      </w:r>
      <w:r>
        <w:rPr/>
        <w:t>相连，但随着国内聚酯薄膜行业的快速发展，聚酯薄膜企业对专业技术人才的竞争将趋于激</w:t>
      </w:r>
      <w:r>
        <w:rPr>
          <w:spacing w:val="-87"/>
        </w:rPr>
        <w:t> </w:t>
      </w:r>
      <w:r>
        <w:rPr>
          <w:spacing w:val="-87"/>
        </w:rPr>
      </w:r>
      <w:r>
        <w:rPr/>
        <w:t>烈，如果管理不善或核心技术人员流失，仍存在技术泄密的风险。</w:t>
      </w:r>
    </w:p>
    <w:p>
      <w:pPr>
        <w:spacing w:after="0" w:line="237" w:lineRule="auto"/>
        <w:jc w:val="both"/>
        <w:sectPr>
          <w:pgSz w:w="11910" w:h="16840"/>
          <w:pgMar w:header="745" w:footer="980"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153"/>
        <w:jc w:val="left"/>
        <w:rPr>
          <w:b w:val="0"/>
          <w:bCs w:val="0"/>
        </w:rPr>
      </w:pPr>
      <w:r>
        <w:rPr/>
        <w:t>十、接待调研、沟通、采访等活动</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53"/>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2"/>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80"/>
        <w:gridCol w:w="2177"/>
        <w:gridCol w:w="2177"/>
        <w:gridCol w:w="3037"/>
      </w:tblGrid>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5"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江苏双星彩塑新材料股份有限公司投 资者关系活动记录表</w:t>
            </w:r>
            <w:r>
              <w:rPr>
                <w:rFonts w:ascii="宋体" w:hAnsi="宋体" w:cs="宋体" w:eastAsia="宋体" w:hint="default"/>
                <w:spacing w:val="-2"/>
                <w:sz w:val="18"/>
                <w:szCs w:val="18"/>
              </w:rPr>
              <w:t> </w:t>
            </w:r>
            <w:r>
              <w:rPr>
                <w:rFonts w:ascii="宋体" w:hAnsi="宋体" w:cs="宋体" w:eastAsia="宋体" w:hint="default"/>
                <w:sz w:val="18"/>
                <w:szCs w:val="18"/>
              </w:rPr>
              <w:t>编号：</w:t>
            </w:r>
            <w:r>
              <w:rPr>
                <w:rFonts w:ascii="Times New Roman" w:hAnsi="Times New Roman" w:cs="Times New Roman" w:eastAsia="Times New Roman" w:hint="default"/>
                <w:sz w:val="18"/>
                <w:szCs w:val="18"/>
              </w:rPr>
              <w:t>2017-001</w:t>
            </w:r>
          </w:p>
        </w:tc>
      </w:tr>
      <w:tr>
        <w:trPr>
          <w:trHeight w:val="71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江苏双星彩塑新材料股份有限公司投 资者关系活动记录表</w:t>
            </w:r>
            <w:r>
              <w:rPr>
                <w:rFonts w:ascii="宋体" w:hAnsi="宋体" w:cs="宋体" w:eastAsia="宋体" w:hint="default"/>
                <w:spacing w:val="-2"/>
                <w:sz w:val="18"/>
                <w:szCs w:val="18"/>
              </w:rPr>
              <w:t> </w:t>
            </w:r>
            <w:r>
              <w:rPr>
                <w:rFonts w:ascii="宋体" w:hAnsi="宋体" w:cs="宋体" w:eastAsia="宋体" w:hint="default"/>
                <w:sz w:val="18"/>
                <w:szCs w:val="18"/>
              </w:rPr>
              <w:t>编号：</w:t>
            </w:r>
            <w:r>
              <w:rPr>
                <w:rFonts w:ascii="Times New Roman" w:hAnsi="Times New Roman" w:cs="Times New Roman" w:eastAsia="Times New Roman" w:hint="default"/>
                <w:sz w:val="18"/>
                <w:szCs w:val="18"/>
              </w:rPr>
              <w:t>2017-002</w:t>
            </w:r>
          </w:p>
        </w:tc>
      </w:tr>
      <w:tr>
        <w:trPr>
          <w:trHeight w:val="715"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江苏双星彩塑新材料股份有限公司投 资者关系活动记录表</w:t>
            </w:r>
            <w:r>
              <w:rPr>
                <w:rFonts w:ascii="宋体" w:hAnsi="宋体" w:cs="宋体" w:eastAsia="宋体" w:hint="default"/>
                <w:spacing w:val="-2"/>
                <w:sz w:val="18"/>
                <w:szCs w:val="18"/>
              </w:rPr>
              <w:t> </w:t>
            </w:r>
            <w:r>
              <w:rPr>
                <w:rFonts w:ascii="宋体" w:hAnsi="宋体" w:cs="宋体" w:eastAsia="宋体" w:hint="default"/>
                <w:sz w:val="18"/>
                <w:szCs w:val="18"/>
              </w:rPr>
              <w:t>编号：</w:t>
            </w:r>
            <w:r>
              <w:rPr>
                <w:rFonts w:ascii="Times New Roman" w:hAnsi="Times New Roman" w:cs="Times New Roman" w:eastAsia="Times New Roman" w:hint="default"/>
                <w:sz w:val="18"/>
                <w:szCs w:val="18"/>
              </w:rPr>
              <w:t>2017-003</w:t>
            </w:r>
          </w:p>
        </w:tc>
      </w:tr>
      <w:tr>
        <w:trPr>
          <w:trHeight w:val="71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江苏双星彩塑新材料股份有限公司投 资者关系活动记录表</w:t>
            </w:r>
            <w:r>
              <w:rPr>
                <w:rFonts w:ascii="宋体" w:hAnsi="宋体" w:cs="宋体" w:eastAsia="宋体" w:hint="default"/>
                <w:spacing w:val="-2"/>
                <w:sz w:val="18"/>
                <w:szCs w:val="18"/>
              </w:rPr>
              <w:t> </w:t>
            </w:r>
            <w:r>
              <w:rPr>
                <w:rFonts w:ascii="宋体" w:hAnsi="宋体" w:cs="宋体" w:eastAsia="宋体" w:hint="default"/>
                <w:sz w:val="18"/>
                <w:szCs w:val="18"/>
              </w:rPr>
              <w:t>编号：</w:t>
            </w:r>
            <w:r>
              <w:rPr>
                <w:rFonts w:ascii="Times New Roman" w:hAnsi="Times New Roman" w:cs="Times New Roman" w:eastAsia="Times New Roman" w:hint="default"/>
                <w:sz w:val="18"/>
                <w:szCs w:val="18"/>
              </w:rPr>
              <w:t>2017-004</w:t>
            </w:r>
          </w:p>
        </w:tc>
      </w:tr>
      <w:tr>
        <w:trPr>
          <w:trHeight w:val="715"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江苏双星彩塑新材料股份有限公司投 资者关系活动记录表</w:t>
            </w:r>
            <w:r>
              <w:rPr>
                <w:rFonts w:ascii="宋体" w:hAnsi="宋体" w:cs="宋体" w:eastAsia="宋体" w:hint="default"/>
                <w:spacing w:val="-2"/>
                <w:sz w:val="18"/>
                <w:szCs w:val="18"/>
              </w:rPr>
              <w:t> </w:t>
            </w:r>
            <w:r>
              <w:rPr>
                <w:rFonts w:ascii="宋体" w:hAnsi="宋体" w:cs="宋体" w:eastAsia="宋体" w:hint="default"/>
                <w:sz w:val="18"/>
                <w:szCs w:val="18"/>
              </w:rPr>
              <w:t>编号：</w:t>
            </w:r>
            <w:r>
              <w:rPr>
                <w:rFonts w:ascii="Times New Roman" w:hAnsi="Times New Roman" w:cs="Times New Roman" w:eastAsia="Times New Roman" w:hint="default"/>
                <w:sz w:val="18"/>
                <w:szCs w:val="18"/>
              </w:rPr>
              <w:t>2017-005</w:t>
            </w:r>
          </w:p>
        </w:tc>
      </w:tr>
      <w:tr>
        <w:trPr>
          <w:trHeight w:val="71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江苏双星彩塑新材料股份有限公司投 资者关系活动记录表</w:t>
            </w:r>
            <w:r>
              <w:rPr>
                <w:rFonts w:ascii="宋体" w:hAnsi="宋体" w:cs="宋体" w:eastAsia="宋体" w:hint="default"/>
                <w:spacing w:val="-2"/>
                <w:sz w:val="18"/>
                <w:szCs w:val="18"/>
              </w:rPr>
              <w:t> </w:t>
            </w:r>
            <w:r>
              <w:rPr>
                <w:rFonts w:ascii="宋体" w:hAnsi="宋体" w:cs="宋体" w:eastAsia="宋体" w:hint="default"/>
                <w:sz w:val="18"/>
                <w:szCs w:val="18"/>
              </w:rPr>
              <w:t>编号：</w:t>
            </w:r>
            <w:r>
              <w:rPr>
                <w:rFonts w:ascii="Times New Roman" w:hAnsi="Times New Roman" w:cs="Times New Roman" w:eastAsia="Times New Roman" w:hint="default"/>
                <w:sz w:val="18"/>
                <w:szCs w:val="18"/>
              </w:rPr>
              <w:t>2017-006</w:t>
            </w:r>
          </w:p>
        </w:tc>
      </w:tr>
    </w:tbl>
    <w:p>
      <w:pPr>
        <w:spacing w:after="0" w:line="316"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429" w:right="3485"/>
        <w:jc w:val="center"/>
        <w:rPr>
          <w:b w:val="0"/>
          <w:bCs w:val="0"/>
        </w:rPr>
      </w:pPr>
      <w:bookmarkStart w:name="_bookmark3" w:id="4"/>
      <w:bookmarkEnd w:id="4"/>
      <w:r>
        <w:rPr>
          <w:b w:val="0"/>
          <w:bCs w:val="0"/>
        </w:rPr>
      </w:r>
      <w:r>
        <w:rPr/>
        <w:t>第五节</w:t>
      </w:r>
      <w:r>
        <w:rPr>
          <w:spacing w:val="-2"/>
        </w:rPr>
        <w:t> </w:t>
      </w:r>
      <w:r>
        <w:rPr/>
        <w:t>重要事项</w:t>
      </w:r>
      <w:r>
        <w:rPr>
          <w:b w:val="0"/>
          <w:bCs w:val="0"/>
        </w:rPr>
      </w:r>
    </w:p>
    <w:p>
      <w:pPr>
        <w:spacing w:line="240" w:lineRule="auto" w:before="13"/>
        <w:rPr>
          <w:rFonts w:ascii="宋体" w:hAnsi="宋体" w:cs="宋体" w:eastAsia="宋体" w:hint="default"/>
          <w:b/>
          <w:bCs/>
          <w:sz w:val="38"/>
          <w:szCs w:val="38"/>
        </w:rPr>
      </w:pPr>
    </w:p>
    <w:p>
      <w:pPr>
        <w:pStyle w:val="Heading2"/>
        <w:spacing w:line="240" w:lineRule="auto"/>
        <w:ind w:right="101"/>
        <w:jc w:val="left"/>
        <w:rPr>
          <w:b w:val="0"/>
          <w:bCs w:val="0"/>
        </w:rPr>
      </w:pPr>
      <w:r>
        <w:rPr/>
        <w:t>一、公司普通股利润分配及资本公积金转增股本情况</w:t>
      </w:r>
      <w:r>
        <w:rPr>
          <w:b w:val="0"/>
          <w:bCs w:val="0"/>
        </w:rPr>
      </w:r>
    </w:p>
    <w:p>
      <w:pPr>
        <w:spacing w:before="166"/>
        <w:ind w:left="152" w:right="101"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line="340" w:lineRule="auto" w:before="115"/>
        <w:ind w:left="152" w:right="61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公司已于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月完成</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年年度权益分派。</w:t>
      </w:r>
    </w:p>
    <w:p>
      <w:pPr>
        <w:spacing w:line="240" w:lineRule="auto" w:before="8"/>
        <w:rPr>
          <w:rFonts w:ascii="宋体" w:hAnsi="宋体" w:cs="宋体" w:eastAsia="宋体" w:hint="default"/>
          <w:sz w:val="21"/>
          <w:szCs w:val="21"/>
        </w:rPr>
      </w:pPr>
    </w:p>
    <w:tbl>
      <w:tblPr>
        <w:tblW w:w="0" w:type="auto"/>
        <w:jc w:val="left"/>
        <w:tblInd w:w="160" w:type="dxa"/>
        <w:tblLayout w:type="fixed"/>
        <w:tblCellMar>
          <w:top w:w="0" w:type="dxa"/>
          <w:left w:w="0" w:type="dxa"/>
          <w:bottom w:w="0" w:type="dxa"/>
          <w:right w:w="0" w:type="dxa"/>
        </w:tblCellMar>
        <w:tblLook w:val="01E0"/>
      </w:tblPr>
      <w:tblGrid>
        <w:gridCol w:w="5081"/>
        <w:gridCol w:w="4478"/>
      </w:tblGrid>
      <w:tr>
        <w:trPr>
          <w:trHeight w:val="396"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8"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47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6"/>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47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47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47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1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 到了充分保护：</w:t>
            </w:r>
          </w:p>
        </w:tc>
        <w:tc>
          <w:tcPr>
            <w:tcW w:w="447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447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49"/>
        <w:ind w:left="152" w:right="101"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年（包括本报告期</w:t>
      </w:r>
      <w:r>
        <w:rPr>
          <w:rFonts w:ascii="宋体" w:hAnsi="宋体" w:cs="宋体" w:eastAsia="宋体" w:hint="default"/>
          <w:spacing w:val="-3"/>
          <w:sz w:val="18"/>
          <w:szCs w:val="18"/>
        </w:rPr>
        <w:t>）</w:t>
      </w:r>
      <w:r>
        <w:rPr>
          <w:rFonts w:ascii="宋体" w:hAnsi="宋体" w:cs="宋体" w:eastAsia="宋体" w:hint="default"/>
          <w:sz w:val="18"/>
          <w:szCs w:val="18"/>
        </w:rPr>
        <w:t>的普通股股利分配方案（预案</w:t>
      </w:r>
      <w:r>
        <w:rPr>
          <w:rFonts w:ascii="宋体" w:hAnsi="宋体" w:cs="宋体" w:eastAsia="宋体" w:hint="default"/>
          <w:spacing w:val="-89"/>
          <w:sz w:val="18"/>
          <w:szCs w:val="18"/>
        </w:rPr>
        <w:t>）</w:t>
      </w:r>
      <w:r>
        <w:rPr>
          <w:rFonts w:ascii="宋体" w:hAnsi="宋体" w:cs="宋体" w:eastAsia="宋体" w:hint="default"/>
          <w:sz w:val="18"/>
          <w:szCs w:val="18"/>
        </w:rPr>
        <w:t>、资本公积金转增股本方案（预案）情况</w:t>
      </w:r>
    </w:p>
    <w:p>
      <w:pPr>
        <w:spacing w:line="240" w:lineRule="auto" w:before="5"/>
        <w:rPr>
          <w:rFonts w:ascii="宋体" w:hAnsi="宋体" w:cs="宋体" w:eastAsia="宋体" w:hint="default"/>
          <w:sz w:val="12"/>
          <w:szCs w:val="12"/>
        </w:rPr>
      </w:pPr>
    </w:p>
    <w:p>
      <w:pPr>
        <w:pStyle w:val="BodyText"/>
        <w:spacing w:line="256" w:lineRule="auto"/>
        <w:ind w:right="0" w:firstLine="420"/>
        <w:jc w:val="left"/>
      </w:pPr>
      <w:r>
        <w:rPr>
          <w:spacing w:val="-8"/>
          <w:w w:val="100"/>
        </w:rPr>
        <w:t>公司</w:t>
      </w:r>
      <w:r>
        <w:rPr>
          <w:rFonts w:ascii="Times New Roman" w:hAnsi="Times New Roman" w:cs="Times New Roman" w:eastAsia="Times New Roman" w:hint="default"/>
          <w:spacing w:val="-8"/>
          <w:w w:val="100"/>
        </w:rPr>
        <w:t>2015</w:t>
      </w:r>
      <w:r>
        <w:rPr>
          <w:spacing w:val="-8"/>
          <w:w w:val="100"/>
        </w:rPr>
        <w:t>年度利润分配方案为：以公司总股本</w:t>
      </w:r>
      <w:r>
        <w:rPr>
          <w:rFonts w:ascii="Times New Roman" w:hAnsi="Times New Roman" w:cs="Times New Roman" w:eastAsia="Times New Roman" w:hint="default"/>
          <w:spacing w:val="-8"/>
          <w:w w:val="100"/>
        </w:rPr>
        <w:t>717,327,642</w:t>
      </w:r>
      <w:r>
        <w:rPr>
          <w:spacing w:val="-8"/>
          <w:w w:val="100"/>
        </w:rPr>
        <w:t>股为基数，每</w:t>
      </w:r>
      <w:r>
        <w:rPr>
          <w:rFonts w:ascii="Times New Roman" w:hAnsi="Times New Roman" w:cs="Times New Roman" w:eastAsia="Times New Roman" w:hint="default"/>
          <w:spacing w:val="-8"/>
          <w:w w:val="100"/>
        </w:rPr>
        <w:t>10</w:t>
      </w:r>
      <w:r>
        <w:rPr>
          <w:spacing w:val="-8"/>
          <w:w w:val="100"/>
        </w:rPr>
        <w:t>股派发现金红利</w:t>
      </w:r>
      <w:r>
        <w:rPr>
          <w:rFonts w:ascii="Times New Roman" w:hAnsi="Times New Roman" w:cs="Times New Roman" w:eastAsia="Times New Roman" w:hint="default"/>
          <w:spacing w:val="-8"/>
          <w:w w:val="100"/>
        </w:rPr>
        <w:t>0.2</w:t>
      </w:r>
      <w:r>
        <w:rPr>
          <w:spacing w:val="-8"/>
          <w:w w:val="100"/>
        </w:rPr>
        <w:t>元（含税），</w:t>
      </w:r>
      <w:r>
        <w:rPr>
          <w:w w:val="100"/>
        </w:rPr>
        <w:t> </w:t>
      </w:r>
      <w:r>
        <w:rPr/>
        <w:t>共计派发</w:t>
      </w:r>
      <w:r>
        <w:rPr>
          <w:rFonts w:ascii="Times New Roman" w:hAnsi="Times New Roman" w:cs="Times New Roman" w:eastAsia="Times New Roman" w:hint="default"/>
        </w:rPr>
        <w:t>14,346,552.84</w:t>
      </w:r>
      <w:r>
        <w:rPr/>
        <w:t>元。剩余未分配利润暂不分配，结转入下一年度；公司</w:t>
      </w:r>
      <w:r>
        <w:rPr>
          <w:rFonts w:ascii="Times New Roman" w:hAnsi="Times New Roman" w:cs="Times New Roman" w:eastAsia="Times New Roman" w:hint="default"/>
        </w:rPr>
        <w:t>2015</w:t>
      </w:r>
      <w:r>
        <w:rPr/>
        <w:t>年度不进行资本公积金</w:t>
      </w:r>
      <w:r>
        <w:rPr>
          <w:spacing w:val="-78"/>
        </w:rPr>
        <w:t> </w:t>
      </w:r>
      <w:r>
        <w:rPr>
          <w:spacing w:val="-78"/>
        </w:rPr>
      </w:r>
      <w:r>
        <w:rPr/>
        <w:t>转增股本。</w:t>
      </w:r>
    </w:p>
    <w:p>
      <w:pPr>
        <w:pStyle w:val="BodyText"/>
        <w:spacing w:line="256" w:lineRule="auto" w:before="143"/>
        <w:ind w:right="208" w:firstLine="336"/>
        <w:jc w:val="both"/>
      </w:pPr>
      <w:r>
        <w:rPr>
          <w:spacing w:val="-3"/>
        </w:rPr>
        <w:t>公司</w:t>
      </w:r>
      <w:r>
        <w:rPr>
          <w:rFonts w:ascii="Times New Roman" w:hAnsi="Times New Roman" w:cs="Times New Roman" w:eastAsia="Times New Roman" w:hint="default"/>
          <w:spacing w:val="-3"/>
        </w:rPr>
        <w:t>2016</w:t>
      </w:r>
      <w:r>
        <w:rPr>
          <w:spacing w:val="-3"/>
        </w:rPr>
        <w:t>年度利润分配方案为：以</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18</w:t>
      </w:r>
      <w:r>
        <w:rPr>
          <w:spacing w:val="-3"/>
        </w:rPr>
        <w:t>日总股本</w:t>
      </w:r>
      <w:r>
        <w:rPr>
          <w:rFonts w:ascii="Times New Roman" w:hAnsi="Times New Roman" w:cs="Times New Roman" w:eastAsia="Times New Roman" w:hint="default"/>
          <w:spacing w:val="-3"/>
        </w:rPr>
        <w:t>889,444,681.00</w:t>
      </w:r>
      <w:r>
        <w:rPr>
          <w:spacing w:val="-3"/>
        </w:rPr>
        <w:t>股为基数，向全体股东每</w:t>
      </w:r>
      <w:r>
        <w:rPr>
          <w:rFonts w:ascii="Times New Roman" w:hAnsi="Times New Roman" w:cs="Times New Roman" w:eastAsia="Times New Roman" w:hint="default"/>
          <w:spacing w:val="-3"/>
        </w:rPr>
        <w:t>10</w:t>
      </w:r>
      <w:r>
        <w:rPr>
          <w:spacing w:val="-3"/>
        </w:rPr>
        <w:t>股派</w:t>
      </w:r>
      <w:r>
        <w:rPr>
          <w:spacing w:val="-3"/>
          <w:w w:val="100"/>
        </w:rPr>
        <w:t> </w:t>
      </w:r>
      <w:r>
        <w:rPr>
          <w:spacing w:val="-3"/>
        </w:rPr>
        <w:t>发现金红利</w:t>
      </w:r>
      <w:r>
        <w:rPr>
          <w:rFonts w:ascii="Times New Roman" w:hAnsi="Times New Roman" w:cs="Times New Roman" w:eastAsia="Times New Roman" w:hint="default"/>
          <w:spacing w:val="-3"/>
        </w:rPr>
        <w:t>0.2</w:t>
      </w:r>
      <w:r>
        <w:rPr>
          <w:spacing w:val="-3"/>
        </w:rPr>
        <w:t>元（含税），共分配现金红利</w:t>
      </w:r>
      <w:r>
        <w:rPr>
          <w:rFonts w:ascii="Times New Roman" w:hAnsi="Times New Roman" w:cs="Times New Roman" w:eastAsia="Times New Roman" w:hint="default"/>
          <w:spacing w:val="-3"/>
        </w:rPr>
        <w:t>17,788,893.62</w:t>
      </w:r>
      <w:r>
        <w:rPr>
          <w:spacing w:val="-3"/>
        </w:rPr>
        <w:t>元；以公司总股本</w:t>
      </w:r>
      <w:r>
        <w:rPr>
          <w:rFonts w:ascii="Times New Roman" w:hAnsi="Times New Roman" w:cs="Times New Roman" w:eastAsia="Times New Roman" w:hint="default"/>
          <w:spacing w:val="-3"/>
        </w:rPr>
        <w:t>889,444,681.00</w:t>
      </w:r>
      <w:r>
        <w:rPr>
          <w:spacing w:val="-3"/>
        </w:rPr>
        <w:t>股为基数，以资</w:t>
      </w:r>
      <w:r>
        <w:rPr>
          <w:spacing w:val="-1"/>
        </w:rPr>
        <w:t> </w:t>
      </w:r>
      <w:r>
        <w:rPr>
          <w:spacing w:val="-1"/>
        </w:rPr>
      </w:r>
      <w:r>
        <w:rPr/>
        <w:t>本公积转增股本，每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股，共计转增</w:t>
      </w:r>
      <w:r>
        <w:rPr>
          <w:rFonts w:ascii="Times New Roman" w:hAnsi="Times New Roman" w:cs="Times New Roman" w:eastAsia="Times New Roman" w:hint="default"/>
        </w:rPr>
        <w:t>266,833,404.00 </w:t>
      </w:r>
      <w:r>
        <w:rPr/>
        <w:t>股，转增后公司总股本增至</w:t>
      </w:r>
      <w:r>
        <w:rPr>
          <w:rFonts w:ascii="Times New Roman" w:hAnsi="Times New Roman" w:cs="Times New Roman" w:eastAsia="Times New Roman" w:hint="default"/>
        </w:rPr>
        <w:t>1,156,278,085.00</w:t>
      </w:r>
      <w:r>
        <w:rPr>
          <w:rFonts w:ascii="Times New Roman" w:hAnsi="Times New Roman" w:cs="Times New Roman" w:eastAsia="Times New Roman" w:hint="default"/>
          <w:spacing w:val="-40"/>
        </w:rPr>
        <w:t> </w:t>
      </w:r>
      <w:r>
        <w:rPr>
          <w:rFonts w:ascii="Times New Roman" w:hAnsi="Times New Roman" w:cs="Times New Roman" w:eastAsia="Times New Roman" w:hint="default"/>
          <w:spacing w:val="-40"/>
        </w:rPr>
      </w:r>
      <w:r>
        <w:rPr/>
        <w:t>股。</w:t>
      </w:r>
    </w:p>
    <w:p>
      <w:pPr>
        <w:pStyle w:val="BodyText"/>
        <w:spacing w:line="256" w:lineRule="auto" w:before="145"/>
        <w:ind w:right="206" w:firstLine="420"/>
        <w:jc w:val="both"/>
      </w:pPr>
      <w:r>
        <w:rPr>
          <w:spacing w:val="-2"/>
        </w:rPr>
        <w:t>公司</w:t>
      </w:r>
      <w:r>
        <w:rPr>
          <w:rFonts w:ascii="Times New Roman" w:hAnsi="Times New Roman" w:cs="Times New Roman" w:eastAsia="Times New Roman" w:hint="default"/>
          <w:spacing w:val="-2"/>
        </w:rPr>
        <w:t>2017</w:t>
      </w:r>
      <w:r>
        <w:rPr>
          <w:spacing w:val="-2"/>
        </w:rPr>
        <w:t>年度利润分配预案为：以公司总股本</w:t>
      </w:r>
      <w:r>
        <w:rPr>
          <w:rFonts w:ascii="Times New Roman" w:hAnsi="Times New Roman" w:cs="Times New Roman" w:eastAsia="Times New Roman" w:hint="default"/>
          <w:spacing w:val="-2"/>
        </w:rPr>
        <w:t>1,156,278,085.00</w:t>
      </w:r>
      <w:r>
        <w:rPr>
          <w:spacing w:val="-2"/>
        </w:rPr>
        <w:t>股为基数，向全体股东每</w:t>
      </w:r>
      <w:r>
        <w:rPr>
          <w:rFonts w:ascii="Times New Roman" w:hAnsi="Times New Roman" w:cs="Times New Roman" w:eastAsia="Times New Roman" w:hint="default"/>
          <w:spacing w:val="-2"/>
        </w:rPr>
        <w:t>10</w:t>
      </w:r>
      <w:r>
        <w:rPr>
          <w:spacing w:val="-2"/>
        </w:rPr>
        <w:t>股派发现金</w:t>
      </w:r>
      <w:r>
        <w:rPr>
          <w:w w:val="100"/>
        </w:rPr>
        <w:t> </w:t>
      </w:r>
      <w:r>
        <w:rPr/>
        <w:t>红利</w:t>
      </w:r>
      <w:r>
        <w:rPr>
          <w:rFonts w:ascii="Times New Roman" w:hAnsi="Times New Roman" w:cs="Times New Roman" w:eastAsia="Times New Roman" w:hint="default"/>
        </w:rPr>
        <w:t>0.10</w:t>
      </w:r>
      <w:r>
        <w:rPr/>
        <w:t>元（含税），共分配现金红利</w:t>
      </w:r>
      <w:r>
        <w:rPr>
          <w:rFonts w:ascii="Times New Roman" w:hAnsi="Times New Roman" w:cs="Times New Roman" w:eastAsia="Times New Roman" w:hint="default"/>
        </w:rPr>
        <w:t>11,562,780.85</w:t>
      </w:r>
      <w:r>
        <w:rPr/>
        <w:t>元剩余未分配利润暂不分配，结转入下一年度；公司</w:t>
      </w:r>
      <w:r>
        <w:rPr>
          <w:spacing w:val="-28"/>
        </w:rPr>
        <w:t> </w:t>
      </w:r>
      <w:r>
        <w:rPr>
          <w:spacing w:val="-28"/>
        </w:rPr>
      </w:r>
      <w:r>
        <w:rPr>
          <w:rFonts w:ascii="Times New Roman" w:hAnsi="Times New Roman" w:cs="Times New Roman" w:eastAsia="Times New Roman" w:hint="default"/>
        </w:rPr>
        <w:t>2017</w:t>
      </w:r>
      <w:r>
        <w:rPr/>
        <w:t>年度不进行资本公积金转增股本。</w:t>
      </w:r>
    </w:p>
    <w:p>
      <w:pPr>
        <w:spacing w:line="240" w:lineRule="auto" w:before="10"/>
        <w:rPr>
          <w:rFonts w:ascii="宋体" w:hAnsi="宋体" w:cs="宋体" w:eastAsia="宋体" w:hint="default"/>
          <w:sz w:val="7"/>
          <w:szCs w:val="7"/>
        </w:rPr>
      </w:pPr>
    </w:p>
    <w:p>
      <w:pPr>
        <w:spacing w:before="44"/>
        <w:ind w:left="152" w:right="101"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7"/>
        <w:ind w:left="0" w:right="2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774"/>
        <w:gridCol w:w="1700"/>
        <w:gridCol w:w="1311"/>
        <w:gridCol w:w="1594"/>
      </w:tblGrid>
      <w:tr>
        <w:trPr>
          <w:trHeight w:val="161"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77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1" w:right="71"/>
              <w:jc w:val="center"/>
              <w:rPr>
                <w:rFonts w:ascii="宋体" w:hAnsi="宋体" w:cs="宋体" w:eastAsia="宋体" w:hint="default"/>
                <w:sz w:val="18"/>
                <w:szCs w:val="18"/>
              </w:rPr>
            </w:pPr>
            <w:r>
              <w:rPr>
                <w:rFonts w:ascii="宋体" w:hAnsi="宋体" w:cs="宋体" w:eastAsia="宋体" w:hint="default"/>
                <w:sz w:val="18"/>
                <w:szCs w:val="18"/>
              </w:rPr>
              <w:t>分红年度合并报表中 归属于上市公司普通 股股东的净利润</w:t>
            </w:r>
          </w:p>
        </w:tc>
        <w:tc>
          <w:tcPr>
            <w:tcW w:w="170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5" w:right="33"/>
              <w:jc w:val="center"/>
              <w:rPr>
                <w:rFonts w:ascii="宋体" w:hAnsi="宋体" w:cs="宋体" w:eastAsia="宋体" w:hint="default"/>
                <w:sz w:val="18"/>
                <w:szCs w:val="18"/>
              </w:rPr>
            </w:pPr>
            <w:r>
              <w:rPr>
                <w:rFonts w:ascii="宋体" w:hAnsi="宋体" w:cs="宋体" w:eastAsia="宋体" w:hint="default"/>
                <w:sz w:val="18"/>
                <w:szCs w:val="18"/>
              </w:rPr>
              <w:t>占合并报表中归属于 上市公司普通股股东 的净利润的比率</w:t>
            </w:r>
          </w:p>
        </w:tc>
        <w:tc>
          <w:tcPr>
            <w:tcW w:w="13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110" w:right="110"/>
              <w:jc w:val="left"/>
              <w:rPr>
                <w:rFonts w:ascii="宋体" w:hAnsi="宋体" w:cs="宋体" w:eastAsia="宋体" w:hint="default"/>
                <w:sz w:val="18"/>
                <w:szCs w:val="18"/>
              </w:rPr>
            </w:pPr>
            <w:r>
              <w:rPr>
                <w:rFonts w:ascii="宋体" w:hAnsi="宋体" w:cs="宋体" w:eastAsia="宋体" w:hint="default"/>
                <w:sz w:val="18"/>
                <w:szCs w:val="18"/>
              </w:rPr>
              <w:t>以其他方式现 金分红的金额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32"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612" w:right="70"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774" w:type="dxa"/>
            <w:vMerge/>
            <w:tcBorders>
              <w:left w:val="single" w:sz="4" w:space="0" w:color="000000"/>
              <w:right w:val="single" w:sz="4" w:space="0" w:color="000000"/>
            </w:tcBorders>
            <w:shd w:val="clear" w:color="auto" w:fill="D2D2D2"/>
          </w:tcPr>
          <w:p>
            <w:pPr/>
          </w:p>
        </w:tc>
        <w:tc>
          <w:tcPr>
            <w:tcW w:w="1700" w:type="dxa"/>
            <w:vMerge/>
            <w:tcBorders>
              <w:left w:val="single" w:sz="4" w:space="0" w:color="000000"/>
              <w:right w:val="single" w:sz="4" w:space="0" w:color="000000"/>
            </w:tcBorders>
            <w:shd w:val="clear" w:color="auto" w:fill="D2D2D2"/>
          </w:tcPr>
          <w:p>
            <w:pPr/>
          </w:p>
        </w:tc>
        <w:tc>
          <w:tcPr>
            <w:tcW w:w="1311"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391"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774" w:type="dxa"/>
            <w:vMerge/>
            <w:tcBorders>
              <w:left w:val="single" w:sz="4" w:space="0" w:color="000000"/>
              <w:right w:val="single" w:sz="4" w:space="0" w:color="000000"/>
            </w:tcBorders>
            <w:shd w:val="clear" w:color="auto" w:fill="D2D2D2"/>
          </w:tcPr>
          <w:p>
            <w:pPr/>
          </w:p>
        </w:tc>
        <w:tc>
          <w:tcPr>
            <w:tcW w:w="1700" w:type="dxa"/>
            <w:vMerge/>
            <w:tcBorders>
              <w:left w:val="single" w:sz="4" w:space="0" w:color="000000"/>
              <w:right w:val="single" w:sz="4" w:space="0" w:color="000000"/>
            </w:tcBorders>
            <w:shd w:val="clear" w:color="auto" w:fill="D2D2D2"/>
          </w:tcPr>
          <w:p>
            <w:pPr/>
          </w:p>
        </w:tc>
        <w:tc>
          <w:tcPr>
            <w:tcW w:w="1311"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157"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774" w:type="dxa"/>
            <w:vMerge/>
            <w:tcBorders>
              <w:left w:val="single" w:sz="4" w:space="0" w:color="000000"/>
              <w:right w:val="single" w:sz="4" w:space="0" w:color="000000"/>
            </w:tcBorders>
            <w:shd w:val="clear" w:color="auto" w:fill="D2D2D2"/>
          </w:tcPr>
          <w:p>
            <w:pPr/>
          </w:p>
        </w:tc>
        <w:tc>
          <w:tcPr>
            <w:tcW w:w="1700" w:type="dxa"/>
            <w:vMerge/>
            <w:tcBorders>
              <w:left w:val="single" w:sz="4" w:space="0" w:color="000000"/>
              <w:right w:val="single" w:sz="4" w:space="0" w:color="000000"/>
            </w:tcBorders>
            <w:shd w:val="clear" w:color="auto" w:fill="D2D2D2"/>
          </w:tcPr>
          <w:p>
            <w:pPr/>
          </w:p>
        </w:tc>
        <w:tc>
          <w:tcPr>
            <w:tcW w:w="1311"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16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774" w:type="dxa"/>
            <w:vMerge/>
            <w:tcBorders>
              <w:left w:val="single" w:sz="4" w:space="0" w:color="000000"/>
              <w:bottom w:val="single" w:sz="4" w:space="0" w:color="000000"/>
              <w:right w:val="single" w:sz="4" w:space="0" w:color="000000"/>
            </w:tcBorders>
            <w:shd w:val="clear" w:color="auto" w:fill="D2D2D2"/>
          </w:tcPr>
          <w:p>
            <w:pPr/>
          </w:p>
        </w:tc>
        <w:tc>
          <w:tcPr>
            <w:tcW w:w="1700" w:type="dxa"/>
            <w:vMerge/>
            <w:tcBorders>
              <w:left w:val="single" w:sz="4" w:space="0" w:color="000000"/>
              <w:bottom w:val="single" w:sz="4" w:space="0" w:color="000000"/>
              <w:right w:val="single" w:sz="4" w:space="0" w:color="000000"/>
            </w:tcBorders>
            <w:shd w:val="clear" w:color="auto" w:fill="D2D2D2"/>
          </w:tcPr>
          <w:p>
            <w:pPr/>
          </w:p>
        </w:tc>
        <w:tc>
          <w:tcPr>
            <w:tcW w:w="1311"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11,562,780.85</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74,651,154.25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15.49%</w:t>
            </w:r>
          </w:p>
        </w:tc>
        <w:tc>
          <w:tcPr>
            <w:tcW w:w="131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17,788,893.62</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133,022,735.34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13.37%</w:t>
            </w:r>
          </w:p>
        </w:tc>
        <w:tc>
          <w:tcPr>
            <w:tcW w:w="131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14,346,552.84</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120,507,729.98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11.91%</w:t>
            </w:r>
          </w:p>
        </w:tc>
        <w:tc>
          <w:tcPr>
            <w:tcW w:w="131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01"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5"/>
        <w:ind w:left="152" w:right="10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920"/>
        </w:sectPr>
      </w:pPr>
    </w:p>
    <w:p>
      <w:pPr>
        <w:spacing w:line="240" w:lineRule="auto" w:before="8"/>
        <w:rPr>
          <w:rFonts w:ascii="宋体" w:hAnsi="宋体" w:cs="宋体" w:eastAsia="宋体" w:hint="default"/>
          <w:sz w:val="23"/>
          <w:szCs w:val="23"/>
        </w:rPr>
      </w:pPr>
    </w:p>
    <w:p>
      <w:pPr>
        <w:pStyle w:val="Heading2"/>
        <w:spacing w:line="240" w:lineRule="auto" w:before="26"/>
        <w:ind w:right="153"/>
        <w:jc w:val="left"/>
        <w:rPr>
          <w:b w:val="0"/>
          <w:bCs w:val="0"/>
        </w:rPr>
      </w:pPr>
      <w:r>
        <w:rPr/>
        <w:t>二、本报告期利润分配及资本公积金转增股本预案</w:t>
      </w:r>
      <w:r>
        <w:rPr>
          <w:b w:val="0"/>
          <w:bCs w:val="0"/>
        </w:rPr>
      </w:r>
    </w:p>
    <w:p>
      <w:pPr>
        <w:spacing w:line="240" w:lineRule="auto" w:before="7"/>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785"/>
        <w:gridCol w:w="5786"/>
      </w:tblGrid>
      <w:tr>
        <w:trPr>
          <w:trHeight w:val="403" w:hRule="exact"/>
        </w:trPr>
        <w:tc>
          <w:tcPr>
            <w:tcW w:w="3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0.10</w:t>
            </w:r>
          </w:p>
        </w:tc>
      </w:tr>
      <w:tr>
        <w:trPr>
          <w:trHeight w:val="403" w:hRule="exact"/>
        </w:trPr>
        <w:tc>
          <w:tcPr>
            <w:tcW w:w="3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1,156,278,085.00</w:t>
            </w:r>
          </w:p>
        </w:tc>
      </w:tr>
      <w:tr>
        <w:trPr>
          <w:trHeight w:val="403" w:hRule="exact"/>
        </w:trPr>
        <w:tc>
          <w:tcPr>
            <w:tcW w:w="3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11,562,780.85</w:t>
            </w:r>
          </w:p>
        </w:tc>
      </w:tr>
      <w:tr>
        <w:trPr>
          <w:trHeight w:val="401" w:hRule="exact"/>
        </w:trPr>
        <w:tc>
          <w:tcPr>
            <w:tcW w:w="3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914,192,559.67</w:t>
            </w:r>
          </w:p>
        </w:tc>
      </w:tr>
      <w:tr>
        <w:trPr>
          <w:trHeight w:val="403" w:hRule="exact"/>
        </w:trPr>
        <w:tc>
          <w:tcPr>
            <w:tcW w:w="3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100.00%</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4"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2"/>
                <w:sz w:val="18"/>
                <w:szCs w:val="18"/>
              </w:rPr>
              <w:t>公司发展阶段不易区分但有重大资金支出安排的，进行利润分配时，现金分红在本次利润分配中所占比例最低应达到</w:t>
            </w:r>
            <w:r>
              <w:rPr>
                <w:rFonts w:ascii="宋体" w:hAnsi="宋体" w:cs="宋体" w:eastAsia="宋体" w:hint="default"/>
                <w:spacing w:val="-11"/>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339"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公司经众华会计师事务所（特殊普通合伙）审计，截至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日归属母公司可供股东分配的利润为人民币</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914,192,559.67 </w:t>
            </w:r>
            <w:r>
              <w:rPr>
                <w:rFonts w:ascii="宋体" w:hAnsi="宋体" w:cs="宋体" w:eastAsia="宋体" w:hint="default"/>
                <w:spacing w:val="-15"/>
                <w:sz w:val="18"/>
                <w:szCs w:val="18"/>
              </w:rPr>
              <w:t>元，公司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年度实现归属上市公司股东的净利润人民币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74,651,154.25</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元。以公司总股本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1,156,278,085.00</w:t>
            </w:r>
          </w:p>
          <w:p>
            <w:pPr>
              <w:pStyle w:val="TableParagraph"/>
              <w:spacing w:line="300" w:lineRule="auto" w:before="63"/>
              <w:ind w:left="24" w:right="17"/>
              <w:jc w:val="left"/>
              <w:rPr>
                <w:rFonts w:ascii="宋体" w:hAnsi="宋体" w:cs="宋体" w:eastAsia="宋体" w:hint="default"/>
                <w:sz w:val="18"/>
                <w:szCs w:val="18"/>
              </w:rPr>
            </w:pPr>
            <w:r>
              <w:rPr>
                <w:rFonts w:ascii="宋体" w:hAnsi="宋体" w:cs="宋体" w:eastAsia="宋体" w:hint="default"/>
                <w:spacing w:val="-1"/>
                <w:sz w:val="18"/>
                <w:szCs w:val="18"/>
              </w:rPr>
              <w:t>股为基数，向全体股东每</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pacing w:val="-1"/>
                <w:sz w:val="18"/>
                <w:szCs w:val="18"/>
              </w:rPr>
              <w:t>股派发现金红利</w:t>
            </w:r>
            <w:r>
              <w:rPr>
                <w:rFonts w:ascii="宋体" w:hAnsi="宋体" w:cs="宋体" w:eastAsia="宋体" w:hint="default"/>
                <w:spacing w:val="7"/>
                <w:sz w:val="18"/>
                <w:szCs w:val="18"/>
              </w:rPr>
              <w:t> </w:t>
            </w:r>
            <w:r>
              <w:rPr>
                <w:rFonts w:ascii="Times New Roman" w:hAnsi="Times New Roman" w:cs="Times New Roman" w:eastAsia="Times New Roman" w:hint="default"/>
                <w:sz w:val="18"/>
                <w:szCs w:val="18"/>
              </w:rPr>
              <w:t>0.10</w:t>
            </w:r>
            <w:r>
              <w:rPr>
                <w:rFonts w:ascii="Times New Roman" w:hAnsi="Times New Roman" w:cs="Times New Roman" w:eastAsia="Times New Roman" w:hint="default"/>
                <w:spacing w:val="6"/>
                <w:sz w:val="18"/>
                <w:szCs w:val="18"/>
              </w:rPr>
              <w:t> </w:t>
            </w:r>
            <w:r>
              <w:rPr>
                <w:rFonts w:ascii="宋体" w:hAnsi="宋体" w:cs="宋体" w:eastAsia="宋体" w:hint="default"/>
                <w:spacing w:val="-7"/>
                <w:sz w:val="18"/>
                <w:szCs w:val="18"/>
              </w:rPr>
              <w:t>元（含税），共分配现金红利人民币</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11,562,780.85</w:t>
            </w:r>
            <w:r>
              <w:rPr>
                <w:rFonts w:ascii="Times New Roman" w:hAnsi="Times New Roman" w:cs="Times New Roman" w:eastAsia="Times New Roman" w:hint="default"/>
                <w:spacing w:val="6"/>
                <w:sz w:val="18"/>
                <w:szCs w:val="18"/>
              </w:rPr>
              <w:t> </w:t>
            </w:r>
            <w:r>
              <w:rPr>
                <w:rFonts w:ascii="宋体" w:hAnsi="宋体" w:cs="宋体" w:eastAsia="宋体" w:hint="default"/>
                <w:spacing w:val="-1"/>
                <w:sz w:val="18"/>
                <w:szCs w:val="18"/>
              </w:rPr>
              <w:t>元，此次分配后剩余</w:t>
            </w:r>
            <w:r>
              <w:rPr>
                <w:rFonts w:ascii="宋体" w:hAnsi="宋体" w:cs="宋体" w:eastAsia="宋体" w:hint="default"/>
                <w:sz w:val="18"/>
                <w:szCs w:val="18"/>
              </w:rPr>
              <w:t> 可分配利润留待以后年度分配，该利润分配预案尚待股东大会审议通过。</w:t>
            </w:r>
          </w:p>
        </w:tc>
      </w:tr>
    </w:tbl>
    <w:p>
      <w:pPr>
        <w:spacing w:line="240" w:lineRule="auto" w:before="1"/>
        <w:rPr>
          <w:rFonts w:ascii="宋体" w:hAnsi="宋体" w:cs="宋体" w:eastAsia="宋体" w:hint="default"/>
          <w:sz w:val="18"/>
          <w:szCs w:val="18"/>
        </w:rPr>
      </w:pPr>
    </w:p>
    <w:p>
      <w:pPr>
        <w:pStyle w:val="Heading2"/>
        <w:spacing w:line="240" w:lineRule="auto" w:before="26"/>
        <w:ind w:right="153"/>
        <w:jc w:val="left"/>
        <w:rPr>
          <w:b w:val="0"/>
          <w:bCs w:val="0"/>
        </w:rPr>
      </w:pPr>
      <w:r>
        <w:rPr/>
        <w:t>三、承诺事项履行情况</w:t>
      </w:r>
      <w:r>
        <w:rPr>
          <w:b w:val="0"/>
          <w:bCs w:val="0"/>
        </w:rPr>
      </w:r>
    </w:p>
    <w:p>
      <w:pPr>
        <w:spacing w:line="240" w:lineRule="auto" w:before="9"/>
        <w:rPr>
          <w:rFonts w:ascii="宋体" w:hAnsi="宋体" w:cs="宋体" w:eastAsia="宋体" w:hint="default"/>
          <w:b/>
          <w:bCs/>
          <w:sz w:val="24"/>
          <w:szCs w:val="24"/>
        </w:rPr>
      </w:pPr>
    </w:p>
    <w:p>
      <w:pPr>
        <w:pStyle w:val="Heading4"/>
        <w:spacing w:line="259" w:lineRule="auto"/>
        <w:ind w:right="153"/>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1"/>
        <w:rPr>
          <w:rFonts w:ascii="宋体" w:hAnsi="宋体" w:cs="宋体" w:eastAsia="宋体" w:hint="default"/>
          <w:b/>
          <w:bCs/>
          <w:sz w:val="26"/>
          <w:szCs w:val="26"/>
        </w:rPr>
      </w:pPr>
    </w:p>
    <w:p>
      <w:pPr>
        <w:spacing w:line="328" w:lineRule="auto" w:before="0"/>
        <w:ind w:left="152" w:right="1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宋体" w:hAnsi="宋体" w:cs="宋体" w:eastAsia="宋体" w:hint="default"/>
          <w:spacing w:val="-2"/>
          <w:sz w:val="18"/>
          <w:szCs w:val="18"/>
        </w:rPr>
        <w:t>公司报告期不存在由公司实际控制人、股东、关联方、收购人以及公司等承诺相关方在报告期内履行完毕及截至报告期末尚</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未履行完毕的承诺事项。</w:t>
      </w:r>
    </w:p>
    <w:p>
      <w:pPr>
        <w:spacing w:line="240" w:lineRule="auto" w:before="1"/>
        <w:rPr>
          <w:rFonts w:ascii="宋体" w:hAnsi="宋体" w:cs="宋体" w:eastAsia="宋体" w:hint="default"/>
          <w:sz w:val="22"/>
          <w:szCs w:val="22"/>
        </w:rPr>
      </w:pPr>
    </w:p>
    <w:p>
      <w:pPr>
        <w:pStyle w:val="Heading4"/>
        <w:spacing w:line="259" w:lineRule="auto"/>
        <w:ind w:right="153"/>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2"/>
        </w:rPr>
        <w:t> </w:t>
      </w:r>
      <w:r>
        <w:rPr>
          <w:spacing w:val="-62"/>
        </w:rPr>
      </w:r>
      <w:r>
        <w:rPr/>
        <w:t>其原因做出说明</w:t>
      </w:r>
      <w:r>
        <w:rPr>
          <w:b w:val="0"/>
          <w:bCs w:val="0"/>
        </w:rPr>
      </w:r>
    </w:p>
    <w:p>
      <w:pPr>
        <w:spacing w:line="240" w:lineRule="auto" w:before="1"/>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53"/>
        <w:jc w:val="left"/>
        <w:rPr>
          <w:b w:val="0"/>
          <w:bCs w:val="0"/>
        </w:rPr>
      </w:pPr>
      <w:r>
        <w:rPr/>
        <w:t>四、控股股东及其关联方对上市公司的非经营性占用资金情况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spacing w:line="338" w:lineRule="auto" w:before="0"/>
        <w:ind w:left="152" w:right="40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101"/>
        <w:jc w:val="left"/>
        <w:rPr>
          <w:b w:val="0"/>
          <w:bCs w:val="0"/>
        </w:rPr>
      </w:pPr>
      <w:r>
        <w:rPr/>
        <w:t>六、与上年度财务报告相比，会计政策、会计估计和核算方法发生变化的情况说明</w:t>
      </w:r>
      <w:r>
        <w:rPr>
          <w:b w:val="0"/>
          <w:bCs w:val="0"/>
        </w:rPr>
      </w:r>
    </w:p>
    <w:p>
      <w:pPr>
        <w:spacing w:line="240" w:lineRule="auto" w:before="7"/>
        <w:rPr>
          <w:rFonts w:ascii="宋体" w:hAnsi="宋体" w:cs="宋体" w:eastAsia="宋体" w:hint="default"/>
          <w:b/>
          <w:bCs/>
          <w:sz w:val="26"/>
          <w:szCs w:val="26"/>
        </w:rPr>
      </w:pPr>
    </w:p>
    <w:p>
      <w:pPr>
        <w:spacing w:before="0"/>
        <w:ind w:left="152" w:right="10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56" w:lineRule="auto" w:before="80"/>
        <w:ind w:right="101"/>
        <w:jc w:val="left"/>
      </w:pPr>
      <w:r>
        <w:rPr>
          <w:spacing w:val="-3"/>
        </w:rPr>
        <w:t>根据财政部《关于印发</w:t>
      </w:r>
      <w:r>
        <w:rPr>
          <w:rFonts w:ascii="Times New Roman" w:hAnsi="Times New Roman" w:cs="Times New Roman" w:eastAsia="Times New Roman" w:hint="default"/>
          <w:spacing w:val="-3"/>
        </w:rPr>
        <w:t>&lt;</w:t>
      </w:r>
      <w:r>
        <w:rPr>
          <w:spacing w:val="-3"/>
        </w:rPr>
        <w:t>企业会计准则第</w:t>
      </w:r>
      <w:r>
        <w:rPr>
          <w:rFonts w:ascii="Times New Roman" w:hAnsi="Times New Roman" w:cs="Times New Roman" w:eastAsia="Times New Roman" w:hint="default"/>
          <w:spacing w:val="-3"/>
        </w:rPr>
        <w:t>42</w:t>
      </w:r>
      <w:r>
        <w:rPr>
          <w:spacing w:val="-3"/>
        </w:rPr>
        <w:t>号</w:t>
      </w:r>
      <w:r>
        <w:rPr>
          <w:rFonts w:ascii="Times New Roman" w:hAnsi="Times New Roman" w:cs="Times New Roman" w:eastAsia="Times New Roman" w:hint="default"/>
          <w:spacing w:val="-3"/>
        </w:rPr>
        <w:t>—</w:t>
      </w:r>
      <w:r>
        <w:rPr>
          <w:spacing w:val="-3"/>
        </w:rPr>
        <w:t>持有待售的非流动资产、处置组和终止经营</w:t>
      </w:r>
      <w:r>
        <w:rPr>
          <w:rFonts w:ascii="Times New Roman" w:hAnsi="Times New Roman" w:cs="Times New Roman" w:eastAsia="Times New Roman" w:hint="default"/>
          <w:spacing w:val="-3"/>
        </w:rPr>
        <w:t>&gt;</w:t>
      </w:r>
      <w:r>
        <w:rPr>
          <w:spacing w:val="-3"/>
        </w:rPr>
        <w:t>的通知》（财</w:t>
      </w:r>
      <w:r>
        <w:rPr>
          <w:spacing w:val="-25"/>
        </w:rPr>
        <w:t> </w:t>
      </w:r>
      <w:r>
        <w:rPr>
          <w:spacing w:val="-25"/>
        </w:rPr>
      </w:r>
      <w:r>
        <w:rPr>
          <w:spacing w:val="-2"/>
        </w:rPr>
        <w:t>会〔</w:t>
      </w:r>
      <w:r>
        <w:rPr>
          <w:rFonts w:ascii="Times New Roman" w:hAnsi="Times New Roman" w:cs="Times New Roman" w:eastAsia="Times New Roman" w:hint="default"/>
          <w:spacing w:val="-2"/>
        </w:rPr>
        <w:t>2017</w:t>
      </w:r>
      <w:r>
        <w:rPr>
          <w:spacing w:val="-2"/>
        </w:rPr>
        <w:t>〕</w:t>
      </w:r>
      <w:r>
        <w:rPr>
          <w:rFonts w:ascii="Times New Roman" w:hAnsi="Times New Roman" w:cs="Times New Roman" w:eastAsia="Times New Roman" w:hint="default"/>
          <w:spacing w:val="-2"/>
        </w:rPr>
        <w:t>13</w:t>
      </w:r>
      <w:r>
        <w:rPr>
          <w:spacing w:val="-2"/>
        </w:rPr>
        <w:t>号）、《关于印发修订</w:t>
      </w:r>
      <w:r>
        <w:rPr>
          <w:rFonts w:ascii="Times New Roman" w:hAnsi="Times New Roman" w:cs="Times New Roman" w:eastAsia="Times New Roman" w:hint="default"/>
          <w:spacing w:val="-2"/>
        </w:rPr>
        <w:t>&lt;</w:t>
      </w:r>
      <w:r>
        <w:rPr>
          <w:spacing w:val="-2"/>
        </w:rPr>
        <w:t>企业会计准则第</w:t>
      </w:r>
      <w:r>
        <w:rPr>
          <w:rFonts w:ascii="Times New Roman" w:hAnsi="Times New Roman" w:cs="Times New Roman" w:eastAsia="Times New Roman" w:hint="default"/>
          <w:spacing w:val="-2"/>
        </w:rPr>
        <w:t>16</w:t>
      </w:r>
      <w:r>
        <w:rPr>
          <w:spacing w:val="-2"/>
        </w:rPr>
        <w:t>号</w:t>
      </w:r>
      <w:r>
        <w:rPr>
          <w:rFonts w:ascii="Times New Roman" w:hAnsi="Times New Roman" w:cs="Times New Roman" w:eastAsia="Times New Roman" w:hint="default"/>
          <w:spacing w:val="-2"/>
        </w:rPr>
        <w:t>—</w:t>
      </w:r>
      <w:r>
        <w:rPr>
          <w:spacing w:val="-2"/>
        </w:rPr>
        <w:t>政府补助</w:t>
      </w:r>
      <w:r>
        <w:rPr>
          <w:rFonts w:ascii="Times New Roman" w:hAnsi="Times New Roman" w:cs="Times New Roman" w:eastAsia="Times New Roman" w:hint="default"/>
          <w:spacing w:val="-2"/>
        </w:rPr>
        <w:t>&gt;</w:t>
      </w:r>
      <w:r>
        <w:rPr>
          <w:spacing w:val="-2"/>
        </w:rPr>
        <w:t>的通知》（财会〔</w:t>
      </w:r>
      <w:r>
        <w:rPr>
          <w:rFonts w:ascii="Times New Roman" w:hAnsi="Times New Roman" w:cs="Times New Roman" w:eastAsia="Times New Roman" w:hint="default"/>
          <w:spacing w:val="-2"/>
        </w:rPr>
        <w:t>2017</w:t>
      </w:r>
      <w:r>
        <w:rPr>
          <w:spacing w:val="-2"/>
        </w:rPr>
        <w:t>〕</w:t>
      </w:r>
      <w:r>
        <w:rPr>
          <w:rFonts w:ascii="Times New Roman" w:hAnsi="Times New Roman" w:cs="Times New Roman" w:eastAsia="Times New Roman" w:hint="default"/>
          <w:spacing w:val="-2"/>
        </w:rPr>
        <w:t>15</w:t>
      </w:r>
      <w:r>
        <w:rPr>
          <w:spacing w:val="-2"/>
        </w:rPr>
        <w:t>号）、</w:t>
      </w:r>
    </w:p>
    <w:p>
      <w:pPr>
        <w:pStyle w:val="BodyText"/>
        <w:spacing w:line="256" w:lineRule="auto" w:before="5"/>
        <w:ind w:right="101"/>
        <w:jc w:val="left"/>
      </w:pPr>
      <w:r>
        <w:rPr>
          <w:spacing w:val="-2"/>
        </w:rPr>
        <w:t>《关于修订印发一般企业财务报表格式的通知》（财会〔</w:t>
      </w:r>
      <w:r>
        <w:rPr>
          <w:rFonts w:ascii="Times New Roman" w:hAnsi="Times New Roman" w:cs="Times New Roman" w:eastAsia="Times New Roman" w:hint="default"/>
          <w:spacing w:val="-2"/>
        </w:rPr>
        <w:t>2017</w:t>
      </w:r>
      <w:r>
        <w:rPr>
          <w:spacing w:val="-2"/>
        </w:rPr>
        <w:t>〕</w:t>
      </w:r>
      <w:r>
        <w:rPr>
          <w:rFonts w:ascii="Times New Roman" w:hAnsi="Times New Roman" w:cs="Times New Roman" w:eastAsia="Times New Roman" w:hint="default"/>
          <w:spacing w:val="-2"/>
        </w:rPr>
        <w:t>30</w:t>
      </w:r>
      <w:r>
        <w:rPr>
          <w:spacing w:val="-2"/>
        </w:rPr>
        <w:t>号）的规定，经公司第三届董事会第十</w:t>
      </w:r>
      <w:r>
        <w:rPr>
          <w:spacing w:val="-37"/>
        </w:rPr>
        <w:t> </w:t>
      </w:r>
      <w:r>
        <w:rPr>
          <w:spacing w:val="-37"/>
        </w:rPr>
      </w:r>
      <w:r>
        <w:rPr/>
        <w:t>次会议审议通过，公司执行上述三项规定的主要情况说明：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BodyText"/>
        <w:spacing w:line="240" w:lineRule="auto" w:before="36"/>
        <w:ind w:left="0" w:right="115"/>
        <w:jc w:val="right"/>
      </w:pPr>
      <w:r>
        <w:rPr/>
        <w:pict>
          <v:shape style="position:absolute;margin-left:56.279999pt;margin-top:-283.346344pt;width:483.1pt;height:320.25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63"/>
                    <w:gridCol w:w="1846"/>
                    <w:gridCol w:w="4532"/>
                  </w:tblGrid>
                  <w:tr>
                    <w:trPr>
                      <w:trHeight w:val="427" w:hRule="exact"/>
                    </w:trPr>
                    <w:tc>
                      <w:tcPr>
                        <w:tcW w:w="3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365"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96" w:right="0"/>
                          <w:jc w:val="left"/>
                          <w:rPr>
                            <w:rFonts w:ascii="宋体" w:hAnsi="宋体" w:cs="宋体" w:eastAsia="宋体" w:hint="default"/>
                            <w:sz w:val="21"/>
                            <w:szCs w:val="21"/>
                          </w:rPr>
                        </w:pPr>
                        <w:r>
                          <w:rPr>
                            <w:rFonts w:ascii="宋体" w:hAnsi="宋体" w:cs="宋体" w:eastAsia="宋体" w:hint="default"/>
                            <w:sz w:val="21"/>
                            <w:szCs w:val="21"/>
                          </w:rPr>
                          <w:t>审批程序</w:t>
                        </w:r>
                      </w:p>
                    </w:tc>
                    <w:tc>
                      <w:tcPr>
                        <w:tcW w:w="4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1676" w:hRule="exact"/>
                    </w:trPr>
                    <w:tc>
                      <w:tcPr>
                        <w:tcW w:w="3263"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before="38"/>
                          <w:ind w:left="4" w:right="-15"/>
                          <w:jc w:val="both"/>
                          <w:rPr>
                            <w:rFonts w:ascii="宋体" w:hAnsi="宋体" w:cs="宋体" w:eastAsia="宋体" w:hint="default"/>
                            <w:sz w:val="21"/>
                            <w:szCs w:val="21"/>
                          </w:rPr>
                        </w:pPr>
                        <w:r>
                          <w:rPr>
                            <w:rFonts w:ascii="宋体" w:hAnsi="宋体" w:cs="宋体" w:eastAsia="宋体" w:hint="default"/>
                            <w:spacing w:val="-3"/>
                            <w:sz w:val="21"/>
                            <w:szCs w:val="21"/>
                          </w:rPr>
                          <w:t>根据财政部《关于印发</w:t>
                        </w:r>
                        <w:r>
                          <w:rPr>
                            <w:rFonts w:ascii="Times New Roman" w:hAnsi="Times New Roman" w:cs="Times New Roman" w:eastAsia="Times New Roman" w:hint="default"/>
                            <w:spacing w:val="-3"/>
                            <w:sz w:val="21"/>
                            <w:szCs w:val="21"/>
                          </w:rPr>
                          <w:t>&lt;</w:t>
                        </w:r>
                        <w:r>
                          <w:rPr>
                            <w:rFonts w:ascii="宋体" w:hAnsi="宋体" w:cs="宋体" w:eastAsia="宋体" w:hint="default"/>
                            <w:spacing w:val="-3"/>
                            <w:sz w:val="21"/>
                            <w:szCs w:val="21"/>
                          </w:rPr>
                          <w:t>企业会计准</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10"/>
                            <w:sz w:val="21"/>
                            <w:szCs w:val="21"/>
                          </w:rPr>
                          <w:t>则第</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42</w:t>
                        </w:r>
                        <w:r>
                          <w:rPr>
                            <w:rFonts w:ascii="Times New Roman" w:hAnsi="Times New Roman" w:cs="Times New Roman" w:eastAsia="Times New Roman" w:hint="default"/>
                            <w:spacing w:val="-25"/>
                            <w:sz w:val="21"/>
                            <w:szCs w:val="21"/>
                          </w:rPr>
                          <w:t> </w:t>
                        </w:r>
                        <w:r>
                          <w:rPr>
                            <w:rFonts w:ascii="宋体" w:hAnsi="宋体" w:cs="宋体" w:eastAsia="宋体" w:hint="default"/>
                            <w:spacing w:val="10"/>
                            <w:sz w:val="21"/>
                            <w:szCs w:val="21"/>
                          </w:rPr>
                          <w:t>号</w:t>
                        </w:r>
                        <w:r>
                          <w:rPr>
                            <w:rFonts w:ascii="Times New Roman" w:hAnsi="Times New Roman" w:cs="Times New Roman" w:eastAsia="Times New Roman" w:hint="default"/>
                            <w:spacing w:val="10"/>
                            <w:sz w:val="21"/>
                            <w:szCs w:val="21"/>
                          </w:rPr>
                          <w:t>—</w:t>
                        </w:r>
                        <w:r>
                          <w:rPr>
                            <w:rFonts w:ascii="Times New Roman" w:hAnsi="Times New Roman" w:cs="Times New Roman" w:eastAsia="Times New Roman" w:hint="default"/>
                            <w:spacing w:val="-25"/>
                            <w:sz w:val="21"/>
                            <w:szCs w:val="21"/>
                          </w:rPr>
                          <w:t> </w:t>
                        </w:r>
                        <w:r>
                          <w:rPr>
                            <w:rFonts w:ascii="宋体" w:hAnsi="宋体" w:cs="宋体" w:eastAsia="宋体" w:hint="default"/>
                            <w:spacing w:val="18"/>
                            <w:sz w:val="21"/>
                            <w:szCs w:val="21"/>
                          </w:rPr>
                          <w:t>持有待售的非流动资</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6"/>
                            <w:w w:val="100"/>
                            <w:sz w:val="21"/>
                            <w:szCs w:val="21"/>
                          </w:rPr>
                          <w:t>产、处置组和终止经营</w:t>
                        </w:r>
                        <w:r>
                          <w:rPr>
                            <w:rFonts w:ascii="Times New Roman" w:hAnsi="Times New Roman" w:cs="Times New Roman" w:eastAsia="Times New Roman" w:hint="default"/>
                            <w:spacing w:val="-16"/>
                            <w:w w:val="100"/>
                            <w:sz w:val="21"/>
                            <w:szCs w:val="21"/>
                          </w:rPr>
                          <w:t>&gt;</w:t>
                        </w:r>
                        <w:r>
                          <w:rPr>
                            <w:rFonts w:ascii="宋体" w:hAnsi="宋体" w:cs="宋体" w:eastAsia="宋体" w:hint="default"/>
                            <w:spacing w:val="-16"/>
                            <w:w w:val="100"/>
                            <w:sz w:val="21"/>
                            <w:szCs w:val="21"/>
                          </w:rPr>
                          <w:t>的通知》（财</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pacing w:val="2"/>
                            <w:sz w:val="21"/>
                            <w:szCs w:val="21"/>
                          </w:rPr>
                          <w:t>会〔</w:t>
                        </w:r>
                        <w:r>
                          <w:rPr>
                            <w:rFonts w:ascii="Times New Roman" w:hAnsi="Times New Roman" w:cs="Times New Roman" w:eastAsia="Times New Roman" w:hint="default"/>
                            <w:spacing w:val="2"/>
                            <w:sz w:val="21"/>
                            <w:szCs w:val="21"/>
                          </w:rPr>
                          <w:t>2017</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13</w:t>
                        </w:r>
                        <w:r>
                          <w:rPr>
                            <w:rFonts w:ascii="宋体" w:hAnsi="宋体" w:cs="宋体" w:eastAsia="宋体" w:hint="default"/>
                            <w:spacing w:val="2"/>
                            <w:sz w:val="21"/>
                            <w:szCs w:val="21"/>
                          </w:rPr>
                          <w:t>号）的规定，本公司</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2"/>
                            <w:sz w:val="21"/>
                            <w:szCs w:val="21"/>
                          </w:rPr>
                          <w:t>自</w:t>
                        </w:r>
                        <w:r>
                          <w:rPr>
                            <w:rFonts w:ascii="Times New Roman" w:hAnsi="Times New Roman" w:cs="Times New Roman" w:eastAsia="Times New Roman" w:hint="default"/>
                            <w:spacing w:val="-2"/>
                            <w:sz w:val="21"/>
                            <w:szCs w:val="21"/>
                          </w:rPr>
                          <w:t>2017</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28</w:t>
                        </w:r>
                        <w:r>
                          <w:rPr>
                            <w:rFonts w:ascii="宋体" w:hAnsi="宋体" w:cs="宋体" w:eastAsia="宋体" w:hint="default"/>
                            <w:spacing w:val="-2"/>
                            <w:sz w:val="21"/>
                            <w:szCs w:val="21"/>
                          </w:rPr>
                          <w:t>日起执行前述准则。</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73" w:lineRule="auto"/>
                          <w:ind w:left="4" w:right="-1"/>
                          <w:jc w:val="left"/>
                          <w:rPr>
                            <w:rFonts w:ascii="宋体" w:hAnsi="宋体" w:cs="宋体" w:eastAsia="宋体" w:hint="default"/>
                            <w:sz w:val="21"/>
                            <w:szCs w:val="21"/>
                          </w:rPr>
                        </w:pPr>
                        <w:r>
                          <w:rPr>
                            <w:rFonts w:ascii="宋体" w:hAnsi="宋体" w:cs="宋体" w:eastAsia="宋体" w:hint="default"/>
                            <w:spacing w:val="16"/>
                            <w:sz w:val="21"/>
                            <w:szCs w:val="21"/>
                          </w:rPr>
                          <w:t>第三届董事会第十</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次会议通过审批</w:t>
                        </w:r>
                      </w:p>
                    </w:tc>
                    <w:tc>
                      <w:tcPr>
                        <w:tcW w:w="4532"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before="38"/>
                          <w:ind w:left="4" w:right="0"/>
                          <w:jc w:val="both"/>
                          <w:rPr>
                            <w:rFonts w:ascii="宋体" w:hAnsi="宋体" w:cs="宋体" w:eastAsia="宋体" w:hint="default"/>
                            <w:sz w:val="21"/>
                            <w:szCs w:val="21"/>
                          </w:rPr>
                        </w:pPr>
                        <w:r>
                          <w:rPr>
                            <w:rFonts w:ascii="宋体" w:hAnsi="宋体" w:cs="宋体" w:eastAsia="宋体" w:hint="default"/>
                            <w:spacing w:val="2"/>
                            <w:sz w:val="21"/>
                            <w:szCs w:val="21"/>
                          </w:rPr>
                          <w:t>根据该准则的相关规定，施行日存在的持有待售</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pacing w:val="2"/>
                            <w:sz w:val="21"/>
                            <w:szCs w:val="21"/>
                          </w:rPr>
                          <w:t>的非流动资产、处置组和终止经营，应当采追溯</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pacing w:val="2"/>
                            <w:sz w:val="21"/>
                            <w:szCs w:val="21"/>
                          </w:rPr>
                          <w:t>调整法处理。</w:t>
                        </w:r>
                        <w:r>
                          <w:rPr>
                            <w:rFonts w:ascii="Times New Roman" w:hAnsi="Times New Roman" w:cs="Times New Roman" w:eastAsia="Times New Roman" w:hint="default"/>
                            <w:spacing w:val="2"/>
                            <w:sz w:val="21"/>
                            <w:szCs w:val="21"/>
                          </w:rPr>
                          <w:t>2017</w:t>
                        </w:r>
                        <w:r>
                          <w:rPr>
                            <w:rFonts w:ascii="宋体" w:hAnsi="宋体" w:cs="宋体" w:eastAsia="宋体" w:hint="default"/>
                            <w:spacing w:val="2"/>
                            <w:sz w:val="21"/>
                            <w:szCs w:val="21"/>
                          </w:rPr>
                          <w:t>年度公司计入资产处置收益金</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额为</w:t>
                        </w:r>
                        <w:r>
                          <w:rPr>
                            <w:rFonts w:ascii="Times New Roman" w:hAnsi="Times New Roman" w:cs="Times New Roman" w:eastAsia="Times New Roman" w:hint="default"/>
                            <w:sz w:val="21"/>
                            <w:szCs w:val="21"/>
                          </w:rPr>
                          <w:t>-47,684.44</w:t>
                        </w:r>
                        <w:r>
                          <w:rPr>
                            <w:rFonts w:ascii="宋体" w:hAnsi="宋体" w:cs="宋体" w:eastAsia="宋体" w:hint="default"/>
                            <w:sz w:val="21"/>
                            <w:szCs w:val="21"/>
                          </w:rPr>
                          <w:t>元，调整</w:t>
                        </w:r>
                        <w:r>
                          <w:rPr>
                            <w:rFonts w:ascii="Times New Roman" w:hAnsi="Times New Roman" w:cs="Times New Roman" w:eastAsia="Times New Roman" w:hint="default"/>
                            <w:sz w:val="21"/>
                            <w:szCs w:val="21"/>
                          </w:rPr>
                          <w:t>2016</w:t>
                        </w:r>
                        <w:r>
                          <w:rPr>
                            <w:rFonts w:ascii="宋体" w:hAnsi="宋体" w:cs="宋体" w:eastAsia="宋体" w:hint="default"/>
                            <w:sz w:val="21"/>
                            <w:szCs w:val="21"/>
                          </w:rPr>
                          <w:t>年可比期间的比较数</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据</w:t>
                        </w:r>
                        <w:r>
                          <w:rPr>
                            <w:rFonts w:ascii="Times New Roman" w:hAnsi="Times New Roman" w:cs="Times New Roman" w:eastAsia="Times New Roman" w:hint="default"/>
                            <w:sz w:val="21"/>
                            <w:szCs w:val="21"/>
                          </w:rPr>
                          <w:t>-54,244.30</w:t>
                        </w:r>
                        <w:r>
                          <w:rPr>
                            <w:rFonts w:ascii="宋体" w:hAnsi="宋体" w:cs="宋体" w:eastAsia="宋体" w:hint="default"/>
                            <w:sz w:val="21"/>
                            <w:szCs w:val="21"/>
                          </w:rPr>
                          <w:t>元。</w:t>
                        </w:r>
                      </w:p>
                    </w:tc>
                  </w:tr>
                  <w:tr>
                    <w:trPr>
                      <w:trHeight w:val="2923" w:hRule="exact"/>
                    </w:trPr>
                    <w:tc>
                      <w:tcPr>
                        <w:tcW w:w="3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8"/>
                          <w:ind w:right="0"/>
                          <w:jc w:val="left"/>
                          <w:rPr>
                            <w:rFonts w:ascii="宋体" w:hAnsi="宋体" w:cs="宋体" w:eastAsia="宋体" w:hint="default"/>
                            <w:sz w:val="28"/>
                            <w:szCs w:val="28"/>
                          </w:rPr>
                        </w:pPr>
                      </w:p>
                      <w:p>
                        <w:pPr>
                          <w:pStyle w:val="TableParagraph"/>
                          <w:spacing w:line="256" w:lineRule="auto"/>
                          <w:ind w:left="4" w:right="-29"/>
                          <w:jc w:val="both"/>
                          <w:rPr>
                            <w:rFonts w:ascii="宋体" w:hAnsi="宋体" w:cs="宋体" w:eastAsia="宋体" w:hint="default"/>
                            <w:sz w:val="21"/>
                            <w:szCs w:val="21"/>
                          </w:rPr>
                        </w:pPr>
                        <w:r>
                          <w:rPr>
                            <w:rFonts w:ascii="宋体" w:hAnsi="宋体" w:cs="宋体" w:eastAsia="宋体" w:hint="default"/>
                            <w:spacing w:val="-3"/>
                            <w:sz w:val="21"/>
                            <w:szCs w:val="21"/>
                          </w:rPr>
                          <w:t>根据财政部《关于印发修订</w:t>
                        </w:r>
                        <w:r>
                          <w:rPr>
                            <w:rFonts w:ascii="Times New Roman" w:hAnsi="Times New Roman" w:cs="Times New Roman" w:eastAsia="Times New Roman" w:hint="default"/>
                            <w:spacing w:val="-3"/>
                            <w:sz w:val="21"/>
                            <w:szCs w:val="21"/>
                          </w:rPr>
                          <w:t>&lt;</w:t>
                        </w:r>
                        <w:r>
                          <w:rPr>
                            <w:rFonts w:ascii="宋体" w:hAnsi="宋体" w:cs="宋体" w:eastAsia="宋体" w:hint="default"/>
                            <w:spacing w:val="-3"/>
                            <w:sz w:val="21"/>
                            <w:szCs w:val="21"/>
                          </w:rPr>
                          <w:t>企业会</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计准则第</w:t>
                        </w:r>
                        <w:r>
                          <w:rPr>
                            <w:rFonts w:ascii="Times New Roman" w:hAnsi="Times New Roman" w:cs="Times New Roman" w:eastAsia="Times New Roman" w:hint="default"/>
                            <w:spacing w:val="-2"/>
                            <w:sz w:val="21"/>
                            <w:szCs w:val="21"/>
                          </w:rPr>
                          <w:t>16</w:t>
                        </w:r>
                        <w:r>
                          <w:rPr>
                            <w:rFonts w:ascii="宋体" w:hAnsi="宋体" w:cs="宋体" w:eastAsia="宋体" w:hint="default"/>
                            <w:spacing w:val="-2"/>
                            <w:sz w:val="21"/>
                            <w:szCs w:val="21"/>
                          </w:rPr>
                          <w:t>号</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政府补助</w:t>
                        </w:r>
                        <w:r>
                          <w:rPr>
                            <w:rFonts w:ascii="Times New Roman" w:hAnsi="Times New Roman" w:cs="Times New Roman" w:eastAsia="Times New Roman" w:hint="default"/>
                            <w:spacing w:val="-2"/>
                            <w:sz w:val="21"/>
                            <w:szCs w:val="21"/>
                          </w:rPr>
                          <w:t>&gt;</w:t>
                        </w:r>
                        <w:r>
                          <w:rPr>
                            <w:rFonts w:ascii="宋体" w:hAnsi="宋体" w:cs="宋体" w:eastAsia="宋体" w:hint="default"/>
                            <w:spacing w:val="-2"/>
                            <w:sz w:val="21"/>
                            <w:szCs w:val="21"/>
                          </w:rPr>
                          <w:t>的通知》</w:t>
                        </w:r>
                      </w:p>
                      <w:p>
                        <w:pPr>
                          <w:pStyle w:val="TableParagraph"/>
                          <w:spacing w:line="256" w:lineRule="auto" w:before="5"/>
                          <w:ind w:left="4" w:right="-1"/>
                          <w:jc w:val="both"/>
                          <w:rPr>
                            <w:rFonts w:ascii="宋体" w:hAnsi="宋体" w:cs="宋体" w:eastAsia="宋体" w:hint="default"/>
                            <w:sz w:val="21"/>
                            <w:szCs w:val="21"/>
                          </w:rPr>
                        </w:pPr>
                        <w:r>
                          <w:rPr>
                            <w:rFonts w:ascii="宋体" w:hAnsi="宋体" w:cs="宋体" w:eastAsia="宋体" w:hint="default"/>
                            <w:spacing w:val="2"/>
                            <w:sz w:val="21"/>
                            <w:szCs w:val="21"/>
                          </w:rPr>
                          <w:t>（财会〔</w:t>
                        </w:r>
                        <w:r>
                          <w:rPr>
                            <w:rFonts w:ascii="Times New Roman" w:hAnsi="Times New Roman" w:cs="Times New Roman" w:eastAsia="Times New Roman" w:hint="default"/>
                            <w:spacing w:val="2"/>
                            <w:sz w:val="21"/>
                            <w:szCs w:val="21"/>
                          </w:rPr>
                          <w:t>2017</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15</w:t>
                        </w:r>
                        <w:r>
                          <w:rPr>
                            <w:rFonts w:ascii="宋体" w:hAnsi="宋体" w:cs="宋体" w:eastAsia="宋体" w:hint="default"/>
                            <w:spacing w:val="2"/>
                            <w:sz w:val="21"/>
                            <w:szCs w:val="21"/>
                          </w:rPr>
                          <w:t>号）的规定，本</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9"/>
                            <w:sz w:val="21"/>
                            <w:szCs w:val="21"/>
                          </w:rPr>
                          <w:t>公司自</w:t>
                        </w:r>
                        <w:r>
                          <w:rPr>
                            <w:rFonts w:ascii="Times New Roman" w:hAnsi="Times New Roman" w:cs="Times New Roman" w:eastAsia="Times New Roman" w:hint="default"/>
                            <w:spacing w:val="9"/>
                            <w:sz w:val="21"/>
                            <w:szCs w:val="21"/>
                          </w:rPr>
                          <w:t>2017</w:t>
                        </w:r>
                        <w:r>
                          <w:rPr>
                            <w:rFonts w:ascii="宋体" w:hAnsi="宋体" w:cs="宋体" w:eastAsia="宋体" w:hint="default"/>
                            <w:spacing w:val="9"/>
                            <w:sz w:val="21"/>
                            <w:szCs w:val="21"/>
                          </w:rPr>
                          <w:t>年</w:t>
                        </w:r>
                        <w:r>
                          <w:rPr>
                            <w:rFonts w:ascii="Times New Roman" w:hAnsi="Times New Roman" w:cs="Times New Roman" w:eastAsia="Times New Roman" w:hint="default"/>
                            <w:spacing w:val="9"/>
                            <w:sz w:val="21"/>
                            <w:szCs w:val="21"/>
                          </w:rPr>
                          <w:t>6</w:t>
                        </w:r>
                        <w:r>
                          <w:rPr>
                            <w:rFonts w:ascii="宋体" w:hAnsi="宋体" w:cs="宋体" w:eastAsia="宋体" w:hint="default"/>
                            <w:spacing w:val="9"/>
                            <w:sz w:val="21"/>
                            <w:szCs w:val="21"/>
                          </w:rPr>
                          <w:t>月</w:t>
                        </w:r>
                        <w:r>
                          <w:rPr>
                            <w:rFonts w:ascii="Times New Roman" w:hAnsi="Times New Roman" w:cs="Times New Roman" w:eastAsia="Times New Roman" w:hint="default"/>
                            <w:spacing w:val="9"/>
                            <w:sz w:val="21"/>
                            <w:szCs w:val="21"/>
                          </w:rPr>
                          <w:t>12</w:t>
                        </w:r>
                        <w:r>
                          <w:rPr>
                            <w:rFonts w:ascii="宋体" w:hAnsi="宋体" w:cs="宋体" w:eastAsia="宋体" w:hint="default"/>
                            <w:spacing w:val="9"/>
                            <w:sz w:val="21"/>
                            <w:szCs w:val="21"/>
                          </w:rPr>
                          <w:t>日起执行前述</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准则。</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73" w:lineRule="auto"/>
                          <w:ind w:left="4" w:right="-1"/>
                          <w:jc w:val="left"/>
                          <w:rPr>
                            <w:rFonts w:ascii="宋体" w:hAnsi="宋体" w:cs="宋体" w:eastAsia="宋体" w:hint="default"/>
                            <w:sz w:val="21"/>
                            <w:szCs w:val="21"/>
                          </w:rPr>
                        </w:pPr>
                        <w:r>
                          <w:rPr>
                            <w:rFonts w:ascii="宋体" w:hAnsi="宋体" w:cs="宋体" w:eastAsia="宋体" w:hint="default"/>
                            <w:spacing w:val="16"/>
                            <w:sz w:val="21"/>
                            <w:szCs w:val="21"/>
                          </w:rPr>
                          <w:t>第三届董事会第十</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次会议通过审批</w:t>
                        </w:r>
                      </w:p>
                    </w:tc>
                    <w:tc>
                      <w:tcPr>
                        <w:tcW w:w="4532"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before="38"/>
                          <w:ind w:left="4" w:right="-3"/>
                          <w:jc w:val="both"/>
                          <w:rPr>
                            <w:rFonts w:ascii="宋体" w:hAnsi="宋体" w:cs="宋体" w:eastAsia="宋体" w:hint="default"/>
                            <w:sz w:val="21"/>
                            <w:szCs w:val="21"/>
                          </w:rPr>
                        </w:pPr>
                        <w:r>
                          <w:rPr>
                            <w:rFonts w:ascii="宋体" w:hAnsi="宋体" w:cs="宋体" w:eastAsia="宋体" w:hint="default"/>
                            <w:spacing w:val="2"/>
                            <w:sz w:val="21"/>
                            <w:szCs w:val="21"/>
                          </w:rPr>
                          <w:t>根据该准则的相关规定，本公司对</w:t>
                        </w:r>
                        <w:r>
                          <w:rPr>
                            <w:rFonts w:ascii="Times New Roman" w:hAnsi="Times New Roman" w:cs="Times New Roman" w:eastAsia="Times New Roman" w:hint="default"/>
                            <w:spacing w:val="2"/>
                            <w:sz w:val="21"/>
                            <w:szCs w:val="21"/>
                          </w:rPr>
                          <w:t>2017</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日</w:t>
                        </w:r>
                        <w:r>
                          <w:rPr>
                            <w:rFonts w:ascii="宋体" w:hAnsi="宋体" w:cs="宋体" w:eastAsia="宋体" w:hint="default"/>
                            <w:spacing w:val="-59"/>
                            <w:sz w:val="21"/>
                            <w:szCs w:val="21"/>
                          </w:rPr>
                          <w:t> </w:t>
                        </w:r>
                        <w:r>
                          <w:rPr>
                            <w:rFonts w:ascii="宋体" w:hAnsi="宋体" w:cs="宋体" w:eastAsia="宋体" w:hint="default"/>
                            <w:spacing w:val="-2"/>
                            <w:sz w:val="21"/>
                            <w:szCs w:val="21"/>
                          </w:rPr>
                          <w:t>存在的政府补助采用未来适用法处理，对</w:t>
                        </w:r>
                        <w:r>
                          <w:rPr>
                            <w:rFonts w:ascii="Times New Roman" w:hAnsi="Times New Roman" w:cs="Times New Roman" w:eastAsia="Times New Roman" w:hint="default"/>
                            <w:spacing w:val="-2"/>
                            <w:sz w:val="21"/>
                            <w:szCs w:val="21"/>
                          </w:rPr>
                          <w:t>2017</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w:t>
                        </w:r>
                        <w:r>
                          <w:rPr>
                            <w:rFonts w:ascii="Times New Roman" w:hAnsi="Times New Roman" w:cs="Times New Roman" w:eastAsia="Times New Roman" w:hint="default"/>
                            <w:spacing w:val="-11"/>
                            <w:sz w:val="21"/>
                            <w:szCs w:val="21"/>
                          </w:rPr>
                          <w:t> </w:t>
                        </w:r>
                        <w:r>
                          <w:rPr>
                            <w:rFonts w:ascii="宋体" w:hAnsi="宋体" w:cs="宋体" w:eastAsia="宋体" w:hint="default"/>
                            <w:spacing w:val="7"/>
                            <w:sz w:val="21"/>
                            <w:szCs w:val="21"/>
                          </w:rPr>
                          <w:t>月</w:t>
                        </w:r>
                        <w:r>
                          <w:rPr>
                            <w:rFonts w:ascii="Times New Roman" w:hAnsi="Times New Roman" w:cs="Times New Roman" w:eastAsia="Times New Roman" w:hint="default"/>
                            <w:spacing w:val="7"/>
                            <w:sz w:val="21"/>
                            <w:szCs w:val="21"/>
                          </w:rPr>
                          <w:t>1</w:t>
                        </w:r>
                        <w:r>
                          <w:rPr>
                            <w:rFonts w:ascii="宋体" w:hAnsi="宋体" w:cs="宋体" w:eastAsia="宋体" w:hint="default"/>
                            <w:spacing w:val="7"/>
                            <w:sz w:val="21"/>
                            <w:szCs w:val="21"/>
                          </w:rPr>
                          <w:t>日至该准则施行日之间新增的政府补助根据</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该准则进行调整。</w:t>
                        </w:r>
                        <w:r>
                          <w:rPr>
                            <w:rFonts w:ascii="Times New Roman" w:hAnsi="Times New Roman" w:cs="Times New Roman" w:eastAsia="Times New Roman" w:hint="default"/>
                            <w:spacing w:val="2"/>
                            <w:sz w:val="21"/>
                            <w:szCs w:val="21"/>
                          </w:rPr>
                          <w:t>2017</w:t>
                        </w:r>
                        <w:r>
                          <w:rPr>
                            <w:rFonts w:ascii="宋体" w:hAnsi="宋体" w:cs="宋体" w:eastAsia="宋体" w:hint="default"/>
                            <w:spacing w:val="2"/>
                            <w:sz w:val="21"/>
                            <w:szCs w:val="21"/>
                          </w:rPr>
                          <w:t>年度公司将相应政府补助</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金额从利润表</w:t>
                        </w:r>
                        <w:r>
                          <w:rPr>
                            <w:rFonts w:ascii="Times New Roman" w:hAnsi="Times New Roman" w:cs="Times New Roman" w:eastAsia="Times New Roman" w:hint="default"/>
                            <w:sz w:val="21"/>
                            <w:szCs w:val="21"/>
                          </w:rPr>
                          <w:t>“</w:t>
                        </w:r>
                        <w:r>
                          <w:rPr>
                            <w:rFonts w:ascii="宋体" w:hAnsi="宋体" w:cs="宋体" w:eastAsia="宋体" w:hint="default"/>
                            <w:sz w:val="21"/>
                            <w:szCs w:val="21"/>
                          </w:rPr>
                          <w:t>营业外收入</w:t>
                        </w:r>
                        <w:r>
                          <w:rPr>
                            <w:rFonts w:ascii="Times New Roman" w:hAnsi="Times New Roman" w:cs="Times New Roman" w:eastAsia="Times New Roman" w:hint="default"/>
                            <w:sz w:val="21"/>
                            <w:szCs w:val="21"/>
                          </w:rPr>
                          <w:t>”</w:t>
                        </w:r>
                        <w:r>
                          <w:rPr>
                            <w:rFonts w:ascii="宋体" w:hAnsi="宋体" w:cs="宋体" w:eastAsia="宋体" w:hint="default"/>
                            <w:sz w:val="21"/>
                            <w:szCs w:val="21"/>
                          </w:rPr>
                          <w:t>项目调整为利润表</w:t>
                        </w:r>
                        <w:r>
                          <w:rPr>
                            <w:rFonts w:ascii="Times New Roman" w:hAnsi="Times New Roman" w:cs="Times New Roman" w:eastAsia="Times New Roman" w:hint="default"/>
                            <w:sz w:val="21"/>
                            <w:szCs w:val="21"/>
                          </w:rPr>
                          <w:t>“</w:t>
                        </w:r>
                        <w:r>
                          <w:rPr>
                            <w:rFonts w:ascii="宋体" w:hAnsi="宋体" w:cs="宋体" w:eastAsia="宋体" w:hint="default"/>
                            <w:sz w:val="21"/>
                            <w:szCs w:val="21"/>
                          </w:rPr>
                          <w:t>其</w:t>
                        </w:r>
                        <w:r>
                          <w:rPr>
                            <w:rFonts w:ascii="宋体" w:hAnsi="宋体" w:cs="宋体" w:eastAsia="宋体" w:hint="default"/>
                            <w:spacing w:val="-73"/>
                            <w:sz w:val="21"/>
                            <w:szCs w:val="21"/>
                          </w:rPr>
                          <w:t> </w:t>
                        </w:r>
                        <w:r>
                          <w:rPr>
                            <w:rFonts w:ascii="宋体" w:hAnsi="宋体" w:cs="宋体" w:eastAsia="宋体" w:hint="default"/>
                            <w:spacing w:val="-4"/>
                            <w:sz w:val="21"/>
                            <w:szCs w:val="21"/>
                          </w:rPr>
                          <w:t>他收益</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项目列报，调减</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营业外收入</w:t>
                        </w:r>
                        <w:r>
                          <w:rPr>
                            <w:rFonts w:ascii="Times New Roman" w:hAnsi="Times New Roman" w:cs="Times New Roman" w:eastAsia="Times New Roman" w:hint="default"/>
                            <w:spacing w:val="-4"/>
                            <w:sz w:val="21"/>
                            <w:szCs w:val="21"/>
                          </w:rPr>
                          <w:t>”2017 </w:t>
                        </w:r>
                        <w:r>
                          <w:rPr>
                            <w:rFonts w:ascii="宋体" w:hAnsi="宋体" w:cs="宋体" w:eastAsia="宋体" w:hint="default"/>
                            <w:sz w:val="21"/>
                            <w:szCs w:val="21"/>
                          </w:rPr>
                          <w:t>年半年</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4"/>
                            <w:sz w:val="21"/>
                            <w:szCs w:val="21"/>
                          </w:rPr>
                          <w:t>度发生额 </w:t>
                        </w:r>
                        <w:r>
                          <w:rPr>
                            <w:rFonts w:ascii="Times New Roman" w:hAnsi="Times New Roman" w:cs="Times New Roman" w:eastAsia="Times New Roman" w:hint="default"/>
                            <w:sz w:val="21"/>
                            <w:szCs w:val="21"/>
                          </w:rPr>
                          <w:t>8,018,400.00 </w:t>
                        </w:r>
                        <w:r>
                          <w:rPr>
                            <w:rFonts w:ascii="宋体" w:hAnsi="宋体" w:cs="宋体" w:eastAsia="宋体" w:hint="default"/>
                            <w:spacing w:val="3"/>
                            <w:sz w:val="21"/>
                            <w:szCs w:val="21"/>
                          </w:rPr>
                          <w:t>元，调增</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其他收益</w:t>
                        </w:r>
                        <w:r>
                          <w:rPr>
                            <w:rFonts w:ascii="Times New Roman" w:hAnsi="Times New Roman" w:cs="Times New Roman" w:eastAsia="Times New Roman" w:hint="default"/>
                            <w:spacing w:val="3"/>
                            <w:sz w:val="21"/>
                            <w:szCs w:val="21"/>
                          </w:rPr>
                          <w:t>”2017</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年半年度发生额 </w:t>
                        </w:r>
                        <w:r>
                          <w:rPr>
                            <w:rFonts w:ascii="Times New Roman" w:hAnsi="Times New Roman" w:cs="Times New Roman" w:eastAsia="Times New Roman" w:hint="default"/>
                            <w:spacing w:val="-3"/>
                            <w:sz w:val="21"/>
                            <w:szCs w:val="21"/>
                          </w:rPr>
                          <w:t>8,018,400.00</w:t>
                        </w:r>
                        <w:r>
                          <w:rPr>
                            <w:rFonts w:ascii="宋体" w:hAnsi="宋体" w:cs="宋体" w:eastAsia="宋体" w:hint="default"/>
                            <w:spacing w:val="-3"/>
                            <w:sz w:val="21"/>
                            <w:szCs w:val="21"/>
                          </w:rPr>
                          <w:t>元，对净利润未造成</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影响。</w:t>
                        </w:r>
                      </w:p>
                    </w:tc>
                  </w:tr>
                  <w:tr>
                    <w:trPr>
                      <w:trHeight w:val="1364" w:hRule="exact"/>
                    </w:trPr>
                    <w:tc>
                      <w:tcPr>
                        <w:tcW w:w="326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8"/>
                          <w:ind w:left="4" w:right="1"/>
                          <w:jc w:val="left"/>
                          <w:rPr>
                            <w:rFonts w:ascii="宋体" w:hAnsi="宋体" w:cs="宋体" w:eastAsia="宋体" w:hint="default"/>
                            <w:sz w:val="21"/>
                            <w:szCs w:val="21"/>
                          </w:rPr>
                        </w:pPr>
                        <w:r>
                          <w:rPr>
                            <w:rFonts w:ascii="宋体" w:hAnsi="宋体" w:cs="宋体" w:eastAsia="宋体" w:hint="default"/>
                            <w:spacing w:val="3"/>
                            <w:sz w:val="21"/>
                            <w:szCs w:val="21"/>
                          </w:rPr>
                          <w:t>根据财政部《关于修订印发一般企</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18"/>
                            <w:sz w:val="21"/>
                            <w:szCs w:val="21"/>
                          </w:rPr>
                          <w:t>业财务报表格式的通知》（</w:t>
                        </w:r>
                        <w:r>
                          <w:rPr>
                            <w:rFonts w:ascii="宋体" w:hAnsi="宋体" w:cs="宋体" w:eastAsia="宋体" w:hint="default"/>
                            <w:spacing w:val="-46"/>
                            <w:sz w:val="21"/>
                            <w:szCs w:val="21"/>
                          </w:rPr>
                          <w:t> </w:t>
                        </w:r>
                        <w:r>
                          <w:rPr>
                            <w:rFonts w:ascii="宋体" w:hAnsi="宋体" w:cs="宋体" w:eastAsia="宋体" w:hint="default"/>
                            <w:spacing w:val="10"/>
                            <w:sz w:val="21"/>
                            <w:szCs w:val="21"/>
                          </w:rPr>
                          <w:t>财会</w:t>
                        </w:r>
                      </w:p>
                      <w:p>
                        <w:pPr>
                          <w:pStyle w:val="TableParagraph"/>
                          <w:spacing w:line="256" w:lineRule="auto" w:before="8"/>
                          <w:ind w:left="4" w:right="-1"/>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2017</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30</w:t>
                        </w:r>
                        <w:r>
                          <w:rPr>
                            <w:rFonts w:ascii="宋体" w:hAnsi="宋体" w:cs="宋体" w:eastAsia="宋体" w:hint="default"/>
                            <w:spacing w:val="2"/>
                            <w:sz w:val="21"/>
                            <w:szCs w:val="21"/>
                          </w:rPr>
                          <w:t>号），本公司对财务报</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表格式进行了相应调整。</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4" w:right="-1"/>
                          <w:jc w:val="left"/>
                          <w:rPr>
                            <w:rFonts w:ascii="宋体" w:hAnsi="宋体" w:cs="宋体" w:eastAsia="宋体" w:hint="default"/>
                            <w:sz w:val="21"/>
                            <w:szCs w:val="21"/>
                          </w:rPr>
                        </w:pPr>
                        <w:r>
                          <w:rPr>
                            <w:rFonts w:ascii="宋体" w:hAnsi="宋体" w:cs="宋体" w:eastAsia="宋体" w:hint="default"/>
                            <w:spacing w:val="16"/>
                            <w:sz w:val="21"/>
                            <w:szCs w:val="21"/>
                          </w:rPr>
                          <w:t>第三届董事会第十</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八次会议通过审批</w:t>
                        </w:r>
                      </w:p>
                    </w:tc>
                    <w:tc>
                      <w:tcPr>
                        <w:tcW w:w="4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4" w:right="-3"/>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年度公司计入资产处置收益金额为</w:t>
                        </w:r>
                        <w:r>
                          <w:rPr>
                            <w:rFonts w:ascii="Times New Roman" w:hAnsi="Times New Roman" w:cs="Times New Roman" w:eastAsia="Times New Roman" w:hint="default"/>
                            <w:sz w:val="21"/>
                            <w:szCs w:val="21"/>
                          </w:rPr>
                          <w:t>-47,684.44</w:t>
                        </w:r>
                      </w:p>
                      <w:p>
                        <w:pPr>
                          <w:pStyle w:val="TableParagraph"/>
                          <w:spacing w:line="240" w:lineRule="auto" w:before="21"/>
                          <w:ind w:left="4" w:right="0"/>
                          <w:jc w:val="left"/>
                          <w:rPr>
                            <w:rFonts w:ascii="宋体" w:hAnsi="宋体" w:cs="宋体" w:eastAsia="宋体" w:hint="default"/>
                            <w:sz w:val="21"/>
                            <w:szCs w:val="21"/>
                          </w:rPr>
                        </w:pPr>
                        <w:r>
                          <w:rPr>
                            <w:rFonts w:ascii="宋体" w:hAnsi="宋体" w:cs="宋体" w:eastAsia="宋体" w:hint="default"/>
                            <w:spacing w:val="-4"/>
                            <w:sz w:val="21"/>
                            <w:szCs w:val="21"/>
                          </w:rPr>
                          <w:t>元，调整</w:t>
                        </w:r>
                        <w:r>
                          <w:rPr>
                            <w:rFonts w:ascii="Times New Roman" w:hAnsi="Times New Roman" w:cs="Times New Roman" w:eastAsia="Times New Roman" w:hint="default"/>
                            <w:spacing w:val="-4"/>
                            <w:sz w:val="21"/>
                            <w:szCs w:val="21"/>
                          </w:rPr>
                          <w:t>2016</w:t>
                        </w:r>
                        <w:r>
                          <w:rPr>
                            <w:rFonts w:ascii="宋体" w:hAnsi="宋体" w:cs="宋体" w:eastAsia="宋体" w:hint="default"/>
                            <w:spacing w:val="-4"/>
                            <w:sz w:val="21"/>
                            <w:szCs w:val="21"/>
                          </w:rPr>
                          <w:t>年可比期间的比较数据</w:t>
                        </w:r>
                        <w:r>
                          <w:rPr>
                            <w:rFonts w:ascii="Times New Roman" w:hAnsi="Times New Roman" w:cs="Times New Roman" w:eastAsia="Times New Roman" w:hint="default"/>
                            <w:spacing w:val="-4"/>
                            <w:sz w:val="21"/>
                            <w:szCs w:val="21"/>
                          </w:rPr>
                          <w:t>-54,244.30</w:t>
                        </w:r>
                        <w:r>
                          <w:rPr>
                            <w:rFonts w:ascii="宋体" w:hAnsi="宋体" w:cs="宋体" w:eastAsia="宋体" w:hint="default"/>
                            <w:spacing w:val="-4"/>
                            <w:sz w:val="21"/>
                            <w:szCs w:val="21"/>
                          </w:rPr>
                          <w:t>元</w:t>
                        </w:r>
                        <w:r>
                          <w:rPr>
                            <w:rFonts w:ascii="宋体" w:hAnsi="宋体" w:cs="宋体" w:eastAsia="宋体" w:hint="default"/>
                            <w:sz w:val="21"/>
                            <w:szCs w:val="21"/>
                          </w:rPr>
                        </w:r>
                      </w:p>
                    </w:tc>
                  </w:tr>
                </w:tbl>
                <w:p>
                  <w:pPr/>
                </w:p>
              </w:txbxContent>
            </v:textbox>
            <w10:wrap type="none"/>
          </v:shape>
        </w:pict>
      </w:r>
      <w:r>
        <w:rPr>
          <w:spacing w:val="-3"/>
          <w:w w:val="100"/>
        </w:rPr>
        <w:t>。</w:t>
      </w:r>
      <w:r>
        <w:rPr>
          <w:w w:val="10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Heading2"/>
        <w:spacing w:line="240" w:lineRule="auto" w:before="26"/>
        <w:ind w:right="101"/>
        <w:jc w:val="left"/>
        <w:rPr>
          <w:b w:val="0"/>
          <w:bCs w:val="0"/>
        </w:rPr>
      </w:pPr>
      <w:r>
        <w:rPr/>
        <w:t>七、报告期内发生重大会计差错更正需追溯重述的情况说明</w:t>
      </w:r>
      <w:r>
        <w:rPr>
          <w:b w:val="0"/>
          <w:bCs w:val="0"/>
        </w:rPr>
      </w:r>
    </w:p>
    <w:p>
      <w:pPr>
        <w:spacing w:line="240" w:lineRule="auto" w:before="6"/>
        <w:rPr>
          <w:rFonts w:ascii="宋体" w:hAnsi="宋体" w:cs="宋体" w:eastAsia="宋体" w:hint="default"/>
          <w:b/>
          <w:bCs/>
          <w:sz w:val="26"/>
          <w:szCs w:val="26"/>
        </w:rPr>
      </w:pPr>
    </w:p>
    <w:p>
      <w:pPr>
        <w:spacing w:line="340" w:lineRule="auto" w:before="0"/>
        <w:ind w:left="152" w:right="5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公司报告期无重大会计差错更正需追溯重述的情况。</w:t>
      </w:r>
    </w:p>
    <w:p>
      <w:pPr>
        <w:spacing w:line="240" w:lineRule="auto" w:before="4"/>
        <w:rPr>
          <w:rFonts w:ascii="宋体" w:hAnsi="宋体" w:cs="宋体" w:eastAsia="宋体" w:hint="default"/>
          <w:sz w:val="19"/>
          <w:szCs w:val="19"/>
        </w:rPr>
      </w:pPr>
    </w:p>
    <w:p>
      <w:pPr>
        <w:pStyle w:val="Heading2"/>
        <w:spacing w:line="240" w:lineRule="auto"/>
        <w:ind w:right="101"/>
        <w:jc w:val="left"/>
        <w:rPr>
          <w:b w:val="0"/>
          <w:bCs w:val="0"/>
        </w:rPr>
      </w:pPr>
      <w:r>
        <w:rPr/>
        <w:t>八、与上年度财务报告相比，合并报表范围发生变化的情况说明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spacing w:line="340" w:lineRule="auto" w:before="0"/>
        <w:ind w:left="152" w:right="62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公司报告期无合并报表范围发生变化的情况。</w:t>
      </w:r>
    </w:p>
    <w:p>
      <w:pPr>
        <w:spacing w:line="240" w:lineRule="auto" w:before="6"/>
        <w:rPr>
          <w:rFonts w:ascii="宋体" w:hAnsi="宋体" w:cs="宋体" w:eastAsia="宋体" w:hint="default"/>
          <w:sz w:val="19"/>
          <w:szCs w:val="19"/>
        </w:rPr>
      </w:pPr>
    </w:p>
    <w:p>
      <w:pPr>
        <w:pStyle w:val="Heading2"/>
        <w:spacing w:line="240" w:lineRule="auto"/>
        <w:ind w:right="101"/>
        <w:jc w:val="left"/>
        <w:rPr>
          <w:b w:val="0"/>
          <w:bCs w:val="0"/>
        </w:rPr>
      </w:pPr>
      <w:r>
        <w:rPr/>
        <w:t>九、聘任、解聘会计师事务所情况</w:t>
      </w:r>
      <w:r>
        <w:rPr>
          <w:b w:val="0"/>
          <w:bCs w:val="0"/>
        </w:rPr>
      </w:r>
    </w:p>
    <w:p>
      <w:pPr>
        <w:spacing w:line="240" w:lineRule="auto" w:before="4"/>
        <w:rPr>
          <w:rFonts w:ascii="宋体" w:hAnsi="宋体" w:cs="宋体" w:eastAsia="宋体" w:hint="default"/>
          <w:b/>
          <w:bCs/>
          <w:sz w:val="26"/>
          <w:szCs w:val="26"/>
        </w:rPr>
      </w:pPr>
    </w:p>
    <w:p>
      <w:pPr>
        <w:spacing w:before="0"/>
        <w:ind w:left="152" w:right="101"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众华会计师事务所（特殊普通合伙）</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2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莫旭巍、李明</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2</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40" w:lineRule="auto" w:before="115"/>
        <w:ind w:left="152" w:right="52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聘请内部控制审计会计师事务所、财务顾问或保荐人情况</w:t>
      </w:r>
    </w:p>
    <w:p>
      <w:pPr>
        <w:spacing w:before="41"/>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53"/>
        <w:jc w:val="left"/>
        <w:rPr>
          <w:b w:val="0"/>
          <w:bCs w:val="0"/>
        </w:rPr>
      </w:pPr>
      <w:r>
        <w:rPr/>
        <w:t>十、年度报告披露后面临暂停上市和终止上市情况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53"/>
        <w:jc w:val="left"/>
        <w:rPr>
          <w:b w:val="0"/>
          <w:bCs w:val="0"/>
        </w:rPr>
      </w:pPr>
      <w:r>
        <w:rPr/>
        <w:t>十一、破产重整相关事项</w:t>
      </w:r>
      <w:r>
        <w:rPr>
          <w:b w:val="0"/>
          <w:bCs w:val="0"/>
        </w:rPr>
      </w:r>
    </w:p>
    <w:p>
      <w:pPr>
        <w:spacing w:line="240" w:lineRule="auto" w:before="6"/>
        <w:rPr>
          <w:rFonts w:ascii="宋体" w:hAnsi="宋体" w:cs="宋体" w:eastAsia="宋体" w:hint="default"/>
          <w:b/>
          <w:bCs/>
          <w:sz w:val="26"/>
          <w:szCs w:val="26"/>
        </w:rPr>
      </w:pPr>
    </w:p>
    <w:p>
      <w:pPr>
        <w:spacing w:line="340" w:lineRule="auto" w:before="0"/>
        <w:ind w:left="152" w:right="67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公司报告期未发生破产重整相关事项。</w:t>
      </w:r>
    </w:p>
    <w:p>
      <w:pPr>
        <w:spacing w:line="240" w:lineRule="auto" w:before="4"/>
        <w:rPr>
          <w:rFonts w:ascii="宋体" w:hAnsi="宋体" w:cs="宋体" w:eastAsia="宋体" w:hint="default"/>
          <w:sz w:val="19"/>
          <w:szCs w:val="19"/>
        </w:rPr>
      </w:pPr>
    </w:p>
    <w:p>
      <w:pPr>
        <w:pStyle w:val="Heading2"/>
        <w:spacing w:line="240" w:lineRule="auto"/>
        <w:ind w:right="153"/>
        <w:jc w:val="left"/>
        <w:rPr>
          <w:b w:val="0"/>
          <w:bCs w:val="0"/>
        </w:rPr>
      </w:pPr>
      <w:r>
        <w:rPr/>
        <w:t>十二、重大诉讼、仲裁事项</w:t>
      </w:r>
      <w:r>
        <w:rPr>
          <w:b w:val="0"/>
          <w:bCs w:val="0"/>
        </w:rPr>
      </w:r>
    </w:p>
    <w:p>
      <w:pPr>
        <w:spacing w:line="240" w:lineRule="auto" w:before="6"/>
        <w:rPr>
          <w:rFonts w:ascii="宋体" w:hAnsi="宋体" w:cs="宋体" w:eastAsia="宋体" w:hint="default"/>
          <w:b/>
          <w:bCs/>
          <w:sz w:val="26"/>
          <w:szCs w:val="26"/>
        </w:rPr>
      </w:pPr>
    </w:p>
    <w:p>
      <w:pPr>
        <w:spacing w:line="340" w:lineRule="auto" w:before="0"/>
        <w:ind w:left="152" w:right="67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本报告期公司无重大诉讼、仲裁事项。</w:t>
      </w:r>
    </w:p>
    <w:p>
      <w:pPr>
        <w:spacing w:line="240" w:lineRule="auto" w:before="4"/>
        <w:rPr>
          <w:rFonts w:ascii="宋体" w:hAnsi="宋体" w:cs="宋体" w:eastAsia="宋体" w:hint="default"/>
          <w:sz w:val="19"/>
          <w:szCs w:val="19"/>
        </w:rPr>
      </w:pPr>
    </w:p>
    <w:p>
      <w:pPr>
        <w:pStyle w:val="Heading2"/>
        <w:spacing w:line="240" w:lineRule="auto"/>
        <w:ind w:right="153"/>
        <w:jc w:val="left"/>
        <w:rPr>
          <w:b w:val="0"/>
          <w:bCs w:val="0"/>
        </w:rPr>
      </w:pPr>
      <w:r>
        <w:rPr/>
        <w:t>十三、处罚及整改情况</w:t>
      </w:r>
      <w:r>
        <w:rPr>
          <w:b w:val="0"/>
          <w:bCs w:val="0"/>
        </w:rPr>
      </w:r>
    </w:p>
    <w:p>
      <w:pPr>
        <w:spacing w:line="240" w:lineRule="auto" w:before="7"/>
        <w:rPr>
          <w:rFonts w:ascii="宋体" w:hAnsi="宋体" w:cs="宋体" w:eastAsia="宋体" w:hint="default"/>
          <w:b/>
          <w:bCs/>
          <w:sz w:val="26"/>
          <w:szCs w:val="26"/>
        </w:rPr>
      </w:pPr>
    </w:p>
    <w:p>
      <w:pPr>
        <w:spacing w:line="340" w:lineRule="auto" w:before="0"/>
        <w:ind w:left="152" w:right="68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153"/>
        <w:jc w:val="left"/>
        <w:rPr>
          <w:b w:val="0"/>
          <w:bCs w:val="0"/>
        </w:rPr>
      </w:pPr>
      <w:r>
        <w:rPr/>
        <w:t>十四、公司及其控股股东、实际控制人的诚信状况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53"/>
        <w:jc w:val="left"/>
        <w:rPr>
          <w:b w:val="0"/>
          <w:bCs w:val="0"/>
        </w:rPr>
      </w:pPr>
      <w:r>
        <w:rPr/>
        <w:t>十五、公司股权激励计划、员工持股计划或其他员工激励措施的实施情况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spacing w:line="340" w:lineRule="auto" w:before="0"/>
        <w:ind w:left="152" w:right="34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公司报告期无股权激励计划、员工持股计划或其他员工激励措施及其实施情况。</w:t>
      </w:r>
    </w:p>
    <w:p>
      <w:pPr>
        <w:spacing w:line="240" w:lineRule="auto" w:before="4"/>
        <w:rPr>
          <w:rFonts w:ascii="宋体" w:hAnsi="宋体" w:cs="宋体" w:eastAsia="宋体" w:hint="default"/>
          <w:sz w:val="19"/>
          <w:szCs w:val="19"/>
        </w:rPr>
      </w:pPr>
    </w:p>
    <w:p>
      <w:pPr>
        <w:pStyle w:val="Heading2"/>
        <w:spacing w:line="240" w:lineRule="auto"/>
        <w:ind w:right="153"/>
        <w:jc w:val="left"/>
        <w:rPr>
          <w:b w:val="0"/>
          <w:bCs w:val="0"/>
        </w:rPr>
      </w:pPr>
      <w:r>
        <w:rPr/>
        <w:t>十六、重大关联交易</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53"/>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59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公司报告期未发生与日常经营相关的关联交易。</w:t>
      </w:r>
    </w:p>
    <w:p>
      <w:pPr>
        <w:spacing w:after="0" w:line="338"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153"/>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5"/>
        <w:rPr>
          <w:rFonts w:ascii="宋体" w:hAnsi="宋体" w:cs="宋体" w:eastAsia="宋体" w:hint="default"/>
          <w:b/>
          <w:bCs/>
          <w:sz w:val="26"/>
          <w:szCs w:val="26"/>
        </w:rPr>
      </w:pPr>
    </w:p>
    <w:p>
      <w:pPr>
        <w:spacing w:line="338" w:lineRule="auto" w:before="0"/>
        <w:ind w:left="152" w:right="54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公司报告期未发生资产或股权收购、出售的关联交易。</w:t>
      </w:r>
    </w:p>
    <w:p>
      <w:pPr>
        <w:spacing w:line="240" w:lineRule="auto" w:before="7"/>
        <w:rPr>
          <w:rFonts w:ascii="宋体" w:hAnsi="宋体" w:cs="宋体" w:eastAsia="宋体" w:hint="default"/>
          <w:sz w:val="21"/>
          <w:szCs w:val="21"/>
        </w:rPr>
      </w:pPr>
    </w:p>
    <w:p>
      <w:pPr>
        <w:pStyle w:val="Heading4"/>
        <w:spacing w:line="240" w:lineRule="auto"/>
        <w:ind w:right="153"/>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61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公司报告期未发生共同对外投资的关联交易。</w:t>
      </w:r>
    </w:p>
    <w:p>
      <w:pPr>
        <w:spacing w:line="240" w:lineRule="auto" w:before="7"/>
        <w:rPr>
          <w:rFonts w:ascii="宋体" w:hAnsi="宋体" w:cs="宋体" w:eastAsia="宋体" w:hint="default"/>
          <w:sz w:val="21"/>
          <w:szCs w:val="21"/>
        </w:rPr>
      </w:pPr>
    </w:p>
    <w:p>
      <w:pPr>
        <w:pStyle w:val="Heading4"/>
        <w:spacing w:line="240" w:lineRule="auto"/>
        <w:ind w:right="153"/>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67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公司报告期不存在关联债权债务往来。</w:t>
      </w:r>
    </w:p>
    <w:p>
      <w:pPr>
        <w:spacing w:line="240" w:lineRule="auto" w:before="3"/>
        <w:rPr>
          <w:rFonts w:ascii="宋体" w:hAnsi="宋体" w:cs="宋体" w:eastAsia="宋体" w:hint="default"/>
          <w:sz w:val="21"/>
          <w:szCs w:val="21"/>
        </w:rPr>
      </w:pPr>
    </w:p>
    <w:p>
      <w:pPr>
        <w:pStyle w:val="Heading4"/>
        <w:spacing w:line="240" w:lineRule="auto"/>
        <w:ind w:right="153"/>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70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公司报告期无其他重大关联交易。</w:t>
      </w:r>
    </w:p>
    <w:p>
      <w:pPr>
        <w:spacing w:line="240" w:lineRule="auto" w:before="4"/>
        <w:rPr>
          <w:rFonts w:ascii="宋体" w:hAnsi="宋体" w:cs="宋体" w:eastAsia="宋体" w:hint="default"/>
          <w:sz w:val="19"/>
          <w:szCs w:val="19"/>
        </w:rPr>
      </w:pPr>
    </w:p>
    <w:p>
      <w:pPr>
        <w:pStyle w:val="Heading2"/>
        <w:spacing w:line="240" w:lineRule="auto"/>
        <w:ind w:right="153"/>
        <w:jc w:val="left"/>
        <w:rPr>
          <w:b w:val="0"/>
          <w:bCs w:val="0"/>
        </w:rPr>
      </w:pPr>
      <w:r>
        <w:rPr/>
        <w:t>十七、重大合同及其履行情况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53"/>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7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公司报告期不存在托管情况。</w:t>
      </w:r>
    </w:p>
    <w:p>
      <w:pPr>
        <w:spacing w:line="240" w:lineRule="auto" w:before="5"/>
        <w:rPr>
          <w:rFonts w:ascii="宋体" w:hAnsi="宋体" w:cs="宋体" w:eastAsia="宋体" w:hint="default"/>
          <w:sz w:val="21"/>
          <w:szCs w:val="21"/>
        </w:rPr>
      </w:pPr>
    </w:p>
    <w:p>
      <w:pPr>
        <w:pStyle w:val="Heading4"/>
        <w:spacing w:line="240" w:lineRule="auto"/>
        <w:ind w:right="153"/>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7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公司报告期不存在承包情况。</w:t>
      </w:r>
    </w:p>
    <w:p>
      <w:pPr>
        <w:spacing w:line="240" w:lineRule="auto" w:before="7"/>
        <w:rPr>
          <w:rFonts w:ascii="宋体" w:hAnsi="宋体" w:cs="宋体" w:eastAsia="宋体" w:hint="default"/>
          <w:sz w:val="21"/>
          <w:szCs w:val="21"/>
        </w:rPr>
      </w:pPr>
    </w:p>
    <w:p>
      <w:pPr>
        <w:pStyle w:val="Heading4"/>
        <w:spacing w:line="240" w:lineRule="auto"/>
        <w:ind w:right="153"/>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7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公司报告期不存在租赁情况。</w:t>
      </w:r>
    </w:p>
    <w:p>
      <w:pPr>
        <w:spacing w:line="240" w:lineRule="auto" w:before="3"/>
        <w:rPr>
          <w:rFonts w:ascii="宋体" w:hAnsi="宋体" w:cs="宋体" w:eastAsia="宋体" w:hint="default"/>
          <w:sz w:val="21"/>
          <w:szCs w:val="21"/>
        </w:rPr>
      </w:pPr>
    </w:p>
    <w:p>
      <w:pPr>
        <w:pStyle w:val="Heading4"/>
        <w:spacing w:line="240" w:lineRule="auto"/>
        <w:ind w:right="153"/>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7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公司报告期不存在担保情况。</w:t>
      </w:r>
    </w:p>
    <w:p>
      <w:pPr>
        <w:spacing w:after="0" w:line="3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153"/>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7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公司报告期不存在委托理财。</w:t>
      </w:r>
    </w:p>
    <w:p>
      <w:pPr>
        <w:spacing w:line="240" w:lineRule="auto" w:before="3"/>
        <w:rPr>
          <w:rFonts w:ascii="宋体" w:hAnsi="宋体" w:cs="宋体" w:eastAsia="宋体" w:hint="default"/>
          <w:sz w:val="21"/>
          <w:szCs w:val="21"/>
        </w:rPr>
      </w:pPr>
    </w:p>
    <w:p>
      <w:pPr>
        <w:pStyle w:val="Heading4"/>
        <w:spacing w:line="240" w:lineRule="auto"/>
        <w:ind w:right="153"/>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7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公司报告期不存在委托贷款。</w:t>
      </w:r>
    </w:p>
    <w:p>
      <w:pPr>
        <w:spacing w:line="240" w:lineRule="auto" w:before="5"/>
        <w:rPr>
          <w:rFonts w:ascii="宋体" w:hAnsi="宋体" w:cs="宋体" w:eastAsia="宋体" w:hint="default"/>
          <w:sz w:val="21"/>
          <w:szCs w:val="21"/>
        </w:rPr>
      </w:pPr>
    </w:p>
    <w:p>
      <w:pPr>
        <w:pStyle w:val="Heading4"/>
        <w:spacing w:line="240" w:lineRule="auto"/>
        <w:ind w:right="153"/>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70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公司报告期不存在其他重大合同。</w:t>
      </w:r>
    </w:p>
    <w:p>
      <w:pPr>
        <w:spacing w:line="240" w:lineRule="auto" w:before="6"/>
        <w:rPr>
          <w:rFonts w:ascii="宋体" w:hAnsi="宋体" w:cs="宋体" w:eastAsia="宋体" w:hint="default"/>
          <w:sz w:val="19"/>
          <w:szCs w:val="19"/>
        </w:rPr>
      </w:pPr>
    </w:p>
    <w:p>
      <w:pPr>
        <w:pStyle w:val="Heading2"/>
        <w:spacing w:line="240" w:lineRule="auto"/>
        <w:ind w:right="153"/>
        <w:jc w:val="left"/>
        <w:rPr>
          <w:b w:val="0"/>
          <w:bCs w:val="0"/>
        </w:rPr>
      </w:pPr>
      <w:r>
        <w:rPr/>
        <w:t>十八、社会责任情况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53"/>
        <w:jc w:val="left"/>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10"/>
        <w:rPr>
          <w:rFonts w:ascii="宋体" w:hAnsi="宋体" w:cs="宋体" w:eastAsia="宋体" w:hint="default"/>
          <w:b/>
          <w:bCs/>
          <w:sz w:val="24"/>
          <w:szCs w:val="24"/>
        </w:rPr>
      </w:pPr>
    </w:p>
    <w:p>
      <w:pPr>
        <w:pStyle w:val="Heading3"/>
        <w:spacing w:line="312" w:lineRule="exact"/>
        <w:ind w:right="151" w:firstLine="420"/>
        <w:jc w:val="both"/>
      </w:pPr>
      <w:r>
        <w:rPr>
          <w:spacing w:val="-1"/>
        </w:rPr>
        <w:t>公司坚决贯彻执行国家的各项方针政策，依法经营、诚实守信。秉承</w:t>
      </w:r>
      <w:r>
        <w:rPr>
          <w:rFonts w:ascii="Times New Roman" w:hAnsi="Times New Roman" w:cs="Times New Roman" w:eastAsia="Times New Roman" w:hint="default"/>
          <w:spacing w:val="-1"/>
        </w:rPr>
        <w:t>“</w:t>
      </w:r>
      <w:r>
        <w:rPr>
          <w:spacing w:val="-1"/>
        </w:rPr>
        <w:t>自加压力、争创一</w:t>
      </w:r>
      <w:r>
        <w:rPr/>
        <w:t> </w:t>
      </w:r>
      <w:r>
        <w:rPr>
          <w:spacing w:val="-2"/>
        </w:rPr>
        <w:t>流、加快发展、奉献社会</w:t>
      </w:r>
      <w:r>
        <w:rPr>
          <w:rFonts w:ascii="Times New Roman" w:hAnsi="Times New Roman" w:cs="Times New Roman" w:eastAsia="Times New Roman" w:hint="default"/>
          <w:spacing w:val="-2"/>
        </w:rPr>
        <w:t>”</w:t>
      </w:r>
      <w:r>
        <w:rPr>
          <w:spacing w:val="-2"/>
        </w:rPr>
        <w:t>的企业精神，积极承担社会责任，通过科技创新聚焦市场，立足需</w:t>
      </w:r>
      <w:r>
        <w:rPr>
          <w:spacing w:val="-109"/>
        </w:rPr>
        <w:t> </w:t>
      </w:r>
      <w:r>
        <w:rPr>
          <w:spacing w:val="-109"/>
        </w:rPr>
      </w:r>
      <w:r>
        <w:rPr/>
        <w:t>求，节约资源，降低能耗；始终以强烈的责任感和使命感，扎实做好各项生产经营管理和项 目建设工作，落实</w:t>
      </w:r>
      <w:r>
        <w:rPr>
          <w:rFonts w:ascii="Times New Roman" w:hAnsi="Times New Roman" w:cs="Times New Roman" w:eastAsia="Times New Roman" w:hint="default"/>
        </w:rPr>
        <w:t>“</w:t>
      </w:r>
      <w:r>
        <w:rPr/>
        <w:t>绿色发展、安全生产</w:t>
      </w:r>
      <w:r>
        <w:rPr>
          <w:rFonts w:ascii="Times New Roman" w:hAnsi="Times New Roman" w:cs="Times New Roman" w:eastAsia="Times New Roman" w:hint="default"/>
        </w:rPr>
        <w:t>”</w:t>
      </w:r>
      <w:r>
        <w:rPr/>
        <w:t>，努力做大做强，全力回馈社会。</w:t>
      </w:r>
    </w:p>
    <w:p>
      <w:pPr>
        <w:pStyle w:val="Heading3"/>
        <w:spacing w:line="312" w:lineRule="exact"/>
        <w:ind w:right="155" w:firstLine="516"/>
        <w:jc w:val="both"/>
      </w:pPr>
      <w:r>
        <w:rPr/>
        <w:t>一是做讲诚信的企业，维护公平公正的市场秩序。公司自上市以来，坚持做到对投资者 持续、稳定的利润分配政策，充分考虑对投资者的回报并兼顾公司长期可持续发展。</w:t>
      </w:r>
    </w:p>
    <w:p>
      <w:pPr>
        <w:pStyle w:val="Heading3"/>
        <w:spacing w:line="312" w:lineRule="exact" w:before="41"/>
        <w:ind w:right="158" w:firstLine="480"/>
        <w:jc w:val="both"/>
      </w:pPr>
      <w:r>
        <w:rPr/>
        <w:t>二是坚持科学发展，努力保障良好的生产环境；肩负起对职工、投资者、债权人和社会 责任；热心公益事业，积极帮助扶持社会弱势群体。积极融入社会活动，实现企业与社会和</w:t>
      </w:r>
      <w:r>
        <w:rPr>
          <w:spacing w:val="-91"/>
        </w:rPr>
        <w:t> </w:t>
      </w:r>
      <w:r>
        <w:rPr>
          <w:spacing w:val="-91"/>
        </w:rPr>
      </w:r>
      <w:r>
        <w:rPr/>
        <w:t>谐发展。</w:t>
      </w:r>
    </w:p>
    <w:p>
      <w:pPr>
        <w:spacing w:line="240" w:lineRule="auto" w:before="9"/>
        <w:rPr>
          <w:rFonts w:ascii="宋体" w:hAnsi="宋体" w:cs="宋体" w:eastAsia="宋体" w:hint="default"/>
          <w:sz w:val="22"/>
          <w:szCs w:val="22"/>
        </w:rPr>
      </w:pPr>
    </w:p>
    <w:p>
      <w:pPr>
        <w:pStyle w:val="Heading4"/>
        <w:spacing w:line="240" w:lineRule="auto"/>
        <w:ind w:right="153"/>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）精准扶贫规划</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2</w:t>
      </w:r>
      <w:r>
        <w:rPr/>
        <w:t>）年度精准扶贫概要</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3</w:t>
      </w:r>
      <w:r>
        <w:rPr/>
        <w:t>）精准扶贫成效</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95"/>
        <w:gridCol w:w="1459"/>
        <w:gridCol w:w="4515"/>
      </w:tblGrid>
      <w:tr>
        <w:trPr>
          <w:trHeight w:val="403"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指标</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1"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595"/>
        <w:gridCol w:w="1459"/>
        <w:gridCol w:w="4515"/>
      </w:tblGrid>
      <w:tr>
        <w:trPr>
          <w:trHeight w:val="402"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4"/>
        <w:rPr>
          <w:rFonts w:ascii="宋体" w:hAnsi="宋体" w:cs="宋体" w:eastAsia="宋体" w:hint="default"/>
          <w:b/>
          <w:bCs/>
          <w:sz w:val="19"/>
          <w:szCs w:val="19"/>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4</w:t>
      </w:r>
      <w:r>
        <w:rPr/>
        <w:t>）后续精准扶贫计划</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53"/>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4"/>
        <w:rPr>
          <w:rFonts w:ascii="宋体" w:hAnsi="宋体" w:cs="宋体" w:eastAsia="宋体" w:hint="default"/>
          <w:b/>
          <w:bCs/>
          <w:sz w:val="26"/>
          <w:szCs w:val="26"/>
        </w:rPr>
      </w:pPr>
    </w:p>
    <w:p>
      <w:pPr>
        <w:spacing w:line="357" w:lineRule="auto" w:before="0"/>
        <w:ind w:left="152" w:right="4734"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上市公司及其子公司是否属于环境保护部门公布的重点排污单位 否</w:t>
      </w:r>
    </w:p>
    <w:p>
      <w:pPr>
        <w:spacing w:before="29"/>
        <w:ind w:left="152" w:right="153"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2"/>
        <w:spacing w:line="240" w:lineRule="auto"/>
        <w:ind w:right="153"/>
        <w:jc w:val="left"/>
        <w:rPr>
          <w:b w:val="0"/>
          <w:bCs w:val="0"/>
        </w:rPr>
      </w:pPr>
      <w:r>
        <w:rPr/>
        <w:t>十九、其他重大事项的说明</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61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公司报告期不存在需要说明的其他重大事项。</w:t>
      </w:r>
    </w:p>
    <w:p>
      <w:pPr>
        <w:spacing w:line="240" w:lineRule="auto" w:before="8"/>
        <w:rPr>
          <w:rFonts w:ascii="宋体" w:hAnsi="宋体" w:cs="宋体" w:eastAsia="宋体" w:hint="default"/>
          <w:sz w:val="19"/>
          <w:szCs w:val="19"/>
        </w:rPr>
      </w:pPr>
    </w:p>
    <w:p>
      <w:pPr>
        <w:pStyle w:val="Heading2"/>
        <w:spacing w:line="240" w:lineRule="auto"/>
        <w:ind w:right="153"/>
        <w:jc w:val="left"/>
        <w:rPr>
          <w:b w:val="0"/>
          <w:bCs w:val="0"/>
        </w:rPr>
      </w:pPr>
      <w:r>
        <w:rPr/>
        <w:t>二十、公司子公司重大事项</w:t>
      </w:r>
      <w:r>
        <w:rPr>
          <w:b w:val="0"/>
          <w:bCs w:val="0"/>
        </w:rPr>
      </w:r>
    </w:p>
    <w:p>
      <w:pPr>
        <w:spacing w:line="240" w:lineRule="auto" w:before="6"/>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964" w:right="153"/>
        <w:jc w:val="left"/>
        <w:rPr>
          <w:b w:val="0"/>
          <w:bCs w:val="0"/>
        </w:rPr>
      </w:pPr>
      <w:bookmarkStart w:name="_bookmark4" w:id="5"/>
      <w:bookmarkEnd w:id="5"/>
      <w:r>
        <w:rPr>
          <w:b w:val="0"/>
          <w:bCs w:val="0"/>
        </w:rPr>
      </w:r>
      <w:r>
        <w:rPr/>
        <w:t>第六节</w:t>
      </w:r>
      <w:r>
        <w:rPr>
          <w:spacing w:val="-6"/>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53"/>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53"/>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79"/>
        <w:gridCol w:w="1005"/>
        <w:gridCol w:w="708"/>
        <w:gridCol w:w="991"/>
        <w:gridCol w:w="569"/>
        <w:gridCol w:w="992"/>
        <w:gridCol w:w="566"/>
        <w:gridCol w:w="991"/>
        <w:gridCol w:w="1268"/>
        <w:gridCol w:w="792"/>
      </w:tblGrid>
      <w:tr>
        <w:trPr>
          <w:trHeight w:val="206" w:hRule="exact"/>
        </w:trPr>
        <w:tc>
          <w:tcPr>
            <w:tcW w:w="1679" w:type="dxa"/>
            <w:tcBorders>
              <w:top w:val="single" w:sz="4" w:space="0" w:color="000000"/>
              <w:left w:val="single" w:sz="4" w:space="0" w:color="000000"/>
              <w:bottom w:val="nil" w:sz="6" w:space="0" w:color="auto"/>
              <w:right w:val="single" w:sz="4" w:space="0" w:color="000000"/>
            </w:tcBorders>
            <w:shd w:val="clear" w:color="auto" w:fill="D2D2D2"/>
          </w:tcPr>
          <w:p>
            <w:pPr/>
          </w:p>
        </w:tc>
        <w:tc>
          <w:tcPr>
            <w:tcW w:w="171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0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0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206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7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97" w:hRule="exact"/>
        </w:trPr>
        <w:tc>
          <w:tcPr>
            <w:tcW w:w="1679" w:type="dxa"/>
            <w:vMerge w:val="restart"/>
            <w:tcBorders>
              <w:top w:val="nil" w:sz="6" w:space="0" w:color="auto"/>
              <w:left w:val="single" w:sz="4" w:space="0" w:color="000000"/>
              <w:right w:val="single" w:sz="4" w:space="0" w:color="000000"/>
            </w:tcBorders>
            <w:shd w:val="clear" w:color="auto" w:fill="D2D2D2"/>
          </w:tcPr>
          <w:p>
            <w:pPr/>
          </w:p>
        </w:tc>
        <w:tc>
          <w:tcPr>
            <w:tcW w:w="1713" w:type="dxa"/>
            <w:gridSpan w:val="2"/>
            <w:vMerge/>
            <w:tcBorders>
              <w:left w:val="single" w:sz="4" w:space="0" w:color="000000"/>
              <w:bottom w:val="single" w:sz="4" w:space="0" w:color="000000"/>
              <w:right w:val="single" w:sz="4" w:space="0" w:color="000000"/>
            </w:tcBorders>
            <w:shd w:val="clear" w:color="auto" w:fill="D2D2D2"/>
          </w:tcPr>
          <w:p>
            <w:pPr/>
          </w:p>
        </w:tc>
        <w:tc>
          <w:tcPr>
            <w:tcW w:w="4109" w:type="dxa"/>
            <w:gridSpan w:val="5"/>
            <w:vMerge/>
            <w:tcBorders>
              <w:left w:val="single" w:sz="4" w:space="0" w:color="000000"/>
              <w:bottom w:val="single" w:sz="4" w:space="0" w:color="000000"/>
              <w:right w:val="single" w:sz="4" w:space="0" w:color="000000"/>
            </w:tcBorders>
            <w:shd w:val="clear" w:color="auto" w:fill="D2D2D2"/>
          </w:tcPr>
          <w:p>
            <w:pPr/>
          </w:p>
        </w:tc>
        <w:tc>
          <w:tcPr>
            <w:tcW w:w="2060"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679" w:type="dxa"/>
            <w:vMerge/>
            <w:tcBorders>
              <w:left w:val="single" w:sz="4" w:space="0" w:color="000000"/>
              <w:bottom w:val="nil" w:sz="6" w:space="0" w:color="auto"/>
              <w:right w:val="single" w:sz="4" w:space="0" w:color="000000"/>
            </w:tcBorders>
            <w:shd w:val="clear" w:color="auto" w:fill="D2D2D2"/>
          </w:tcPr>
          <w:p>
            <w:pPr/>
          </w:p>
        </w:tc>
        <w:tc>
          <w:tcPr>
            <w:tcW w:w="10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5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0"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4" w:hRule="exact"/>
        </w:trPr>
        <w:tc>
          <w:tcPr>
            <w:tcW w:w="167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5"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1268" w:type="dxa"/>
            <w:vMerge/>
            <w:tcBorders>
              <w:left w:val="single" w:sz="4" w:space="0" w:color="000000"/>
              <w:bottom w:val="single" w:sz="4" w:space="0" w:color="000000"/>
              <w:right w:val="single" w:sz="4" w:space="0" w:color="000000"/>
            </w:tcBorders>
            <w:shd w:val="clear" w:color="auto" w:fill="D2D2D2"/>
          </w:tcPr>
          <w:p>
            <w:pP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35" w:right="0"/>
              <w:jc w:val="center"/>
              <w:rPr>
                <w:rFonts w:ascii="Times New Roman" w:hAnsi="Times New Roman" w:cs="Times New Roman" w:eastAsia="Times New Roman" w:hint="default"/>
                <w:sz w:val="18"/>
                <w:szCs w:val="18"/>
              </w:rPr>
            </w:pPr>
            <w:r>
              <w:rPr>
                <w:rFonts w:ascii="Times New Roman"/>
                <w:sz w:val="18"/>
              </w:rPr>
              <w:t>182,353,047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25.42%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172,117,039</w:t>
            </w: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106,339,791</w:t>
            </w:r>
          </w:p>
        </w:tc>
        <w:tc>
          <w:tcPr>
            <w:tcW w:w="56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278,456,830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460,809,877</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39.85%</w:t>
            </w:r>
          </w:p>
        </w:tc>
      </w:tr>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35" w:right="0"/>
              <w:jc w:val="center"/>
              <w:rPr>
                <w:rFonts w:ascii="Times New Roman" w:hAnsi="Times New Roman" w:cs="Times New Roman" w:eastAsia="Times New Roman" w:hint="default"/>
                <w:sz w:val="18"/>
                <w:szCs w:val="18"/>
              </w:rPr>
            </w:pPr>
            <w:r>
              <w:rPr>
                <w:rFonts w:ascii="Times New Roman"/>
                <w:sz w:val="18"/>
              </w:rPr>
              <w:t>182,353,047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25.42%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172,117,039</w:t>
            </w: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106,339,791</w:t>
            </w:r>
          </w:p>
        </w:tc>
        <w:tc>
          <w:tcPr>
            <w:tcW w:w="56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278,456,830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460,809,877</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39.85%</w:t>
            </w: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35" w:right="0"/>
              <w:jc w:val="center"/>
              <w:rPr>
                <w:rFonts w:ascii="Times New Roman" w:hAnsi="Times New Roman" w:cs="Times New Roman" w:eastAsia="Times New Roman" w:hint="default"/>
                <w:sz w:val="18"/>
                <w:szCs w:val="18"/>
              </w:rPr>
            </w:pPr>
            <w:r>
              <w:rPr>
                <w:rFonts w:ascii="Times New Roman"/>
                <w:sz w:val="18"/>
              </w:rPr>
              <w:t>534,974,595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74.57%</w:t>
            </w: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160,493,613</w:t>
            </w:r>
          </w:p>
        </w:tc>
        <w:tc>
          <w:tcPr>
            <w:tcW w:w="56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160,493,613</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695,468,208</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60.15%</w:t>
            </w:r>
          </w:p>
        </w:tc>
      </w:tr>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35" w:right="0"/>
              <w:jc w:val="center"/>
              <w:rPr>
                <w:rFonts w:ascii="Times New Roman" w:hAnsi="Times New Roman" w:cs="Times New Roman" w:eastAsia="Times New Roman" w:hint="default"/>
                <w:sz w:val="18"/>
                <w:szCs w:val="18"/>
              </w:rPr>
            </w:pPr>
            <w:r>
              <w:rPr>
                <w:rFonts w:ascii="Times New Roman"/>
                <w:sz w:val="18"/>
              </w:rPr>
              <w:t>534,974,595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74.57%</w:t>
            </w: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160,493,613</w:t>
            </w:r>
          </w:p>
        </w:tc>
        <w:tc>
          <w:tcPr>
            <w:tcW w:w="56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160,493,613</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695,468,208</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60.15%</w:t>
            </w: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35" w:right="0"/>
              <w:jc w:val="center"/>
              <w:rPr>
                <w:rFonts w:ascii="Times New Roman" w:hAnsi="Times New Roman" w:cs="Times New Roman" w:eastAsia="Times New Roman" w:hint="default"/>
                <w:sz w:val="18"/>
                <w:szCs w:val="18"/>
              </w:rPr>
            </w:pPr>
            <w:r>
              <w:rPr>
                <w:rFonts w:ascii="Times New Roman"/>
                <w:sz w:val="18"/>
              </w:rPr>
              <w:t>717,327,642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172,117,039</w:t>
            </w: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266,833,404</w:t>
            </w:r>
          </w:p>
        </w:tc>
        <w:tc>
          <w:tcPr>
            <w:tcW w:w="56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438,950,443</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1,156,278,085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5"/>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56" w:lineRule="auto" w:before="83"/>
        <w:ind w:right="167" w:firstLine="420"/>
        <w:jc w:val="both"/>
      </w:pPr>
      <w:r>
        <w:rPr>
          <w:spacing w:val="-2"/>
        </w:rPr>
        <w:t>公司</w:t>
      </w:r>
      <w:r>
        <w:rPr>
          <w:rFonts w:ascii="Times New Roman" w:hAnsi="Times New Roman" w:cs="Times New Roman" w:eastAsia="Times New Roman" w:hint="default"/>
          <w:spacing w:val="-2"/>
        </w:rPr>
        <w:t>2016</w:t>
      </w:r>
      <w:r>
        <w:rPr>
          <w:spacing w:val="-2"/>
        </w:rPr>
        <w:t>年度利润分配方案为：以</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18</w:t>
      </w:r>
      <w:r>
        <w:rPr>
          <w:spacing w:val="-2"/>
        </w:rPr>
        <w:t>日总股本</w:t>
      </w:r>
      <w:r>
        <w:rPr>
          <w:rFonts w:ascii="Times New Roman" w:hAnsi="Times New Roman" w:cs="Times New Roman" w:eastAsia="Times New Roman" w:hint="default"/>
          <w:spacing w:val="-2"/>
        </w:rPr>
        <w:t>889,444,681</w:t>
      </w:r>
      <w:r>
        <w:rPr>
          <w:spacing w:val="-2"/>
        </w:rPr>
        <w:t>股为基数，向全体股东每</w:t>
      </w:r>
      <w:r>
        <w:rPr>
          <w:rFonts w:ascii="Times New Roman" w:hAnsi="Times New Roman" w:cs="Times New Roman" w:eastAsia="Times New Roman" w:hint="default"/>
          <w:spacing w:val="-2"/>
        </w:rPr>
        <w:t>10</w:t>
      </w:r>
      <w:r>
        <w:rPr>
          <w:spacing w:val="-2"/>
        </w:rPr>
        <w:t>股派</w:t>
      </w:r>
      <w:r>
        <w:rPr>
          <w:spacing w:val="-3"/>
          <w:w w:val="100"/>
        </w:rPr>
        <w:t> </w:t>
      </w:r>
      <w:r>
        <w:rPr/>
        <w:t>发现 金红利</w:t>
      </w:r>
      <w:r>
        <w:rPr>
          <w:rFonts w:ascii="Times New Roman" w:hAnsi="Times New Roman" w:cs="Times New Roman" w:eastAsia="Times New Roman" w:hint="default"/>
        </w:rPr>
        <w:t>0.2</w:t>
      </w:r>
      <w:r>
        <w:rPr/>
        <w:t>元（含税），共分配现金红利</w:t>
      </w:r>
      <w:r>
        <w:rPr>
          <w:rFonts w:ascii="Times New Roman" w:hAnsi="Times New Roman" w:cs="Times New Roman" w:eastAsia="Times New Roman" w:hint="default"/>
        </w:rPr>
        <w:t>17,788,893.62</w:t>
      </w:r>
      <w:r>
        <w:rPr/>
        <w:t>元；以公司总股本</w:t>
      </w:r>
      <w:r>
        <w:rPr>
          <w:rFonts w:ascii="Times New Roman" w:hAnsi="Times New Roman" w:cs="Times New Roman" w:eastAsia="Times New Roman" w:hint="default"/>
        </w:rPr>
        <w:t>889,444,681</w:t>
      </w:r>
      <w:r>
        <w:rPr>
          <w:rFonts w:ascii="Times New Roman" w:hAnsi="Times New Roman" w:cs="Times New Roman" w:eastAsia="Times New Roman" w:hint="default"/>
          <w:spacing w:val="1"/>
        </w:rPr>
        <w:t> </w:t>
      </w:r>
      <w:r>
        <w:rPr/>
        <w:t>股为基数，以资</w:t>
      </w:r>
      <w:r>
        <w:rPr>
          <w:w w:val="100"/>
        </w:rPr>
        <w:t> </w:t>
      </w:r>
      <w:r>
        <w:rPr>
          <w:spacing w:val="-2"/>
        </w:rPr>
        <w:t>本公积转增股本，每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3</w:t>
      </w:r>
      <w:r>
        <w:rPr>
          <w:spacing w:val="-2"/>
        </w:rPr>
        <w:t>股，共计转增</w:t>
      </w:r>
      <w:r>
        <w:rPr>
          <w:rFonts w:ascii="Times New Roman" w:hAnsi="Times New Roman" w:cs="Times New Roman" w:eastAsia="Times New Roman" w:hint="default"/>
          <w:spacing w:val="-2"/>
        </w:rPr>
        <w:t>266,833,404</w:t>
      </w:r>
      <w:r>
        <w:rPr>
          <w:rFonts w:ascii="Times New Roman" w:hAnsi="Times New Roman" w:cs="Times New Roman" w:eastAsia="Times New Roman" w:hint="default"/>
        </w:rPr>
        <w:t>  </w:t>
      </w:r>
      <w:r>
        <w:rPr>
          <w:rFonts w:ascii="Times New Roman" w:hAnsi="Times New Roman" w:cs="Times New Roman" w:eastAsia="Times New Roman" w:hint="default"/>
          <w:spacing w:val="9"/>
        </w:rPr>
        <w:t> </w:t>
      </w:r>
      <w:r>
        <w:rPr>
          <w:spacing w:val="-1"/>
        </w:rPr>
        <w:t>股，转增后公司总股本增至</w:t>
      </w:r>
      <w:r>
        <w:rPr>
          <w:rFonts w:ascii="Times New Roman" w:hAnsi="Times New Roman" w:cs="Times New Roman" w:eastAsia="Times New Roman" w:hint="default"/>
          <w:spacing w:val="-1"/>
        </w:rPr>
        <w:t>1,156,278,085</w:t>
      </w:r>
      <w:r>
        <w:rPr>
          <w:spacing w:val="-1"/>
        </w:rPr>
        <w:t>股。</w:t>
      </w:r>
    </w:p>
    <w:p>
      <w:pPr>
        <w:spacing w:before="66"/>
        <w:ind w:left="152" w:right="153"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line="314" w:lineRule="auto" w:before="115"/>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w:t>
      </w:r>
      <w:r>
        <w:rPr>
          <w:rFonts w:ascii="宋体" w:hAnsi="宋体" w:cs="宋体" w:eastAsia="宋体" w:hint="default"/>
          <w:spacing w:val="-2"/>
          <w:sz w:val="21"/>
          <w:szCs w:val="21"/>
        </w:rPr>
        <w:t>公司经第三届董事会第七次会议及</w:t>
      </w:r>
      <w:r>
        <w:rPr>
          <w:rFonts w:ascii="Times New Roman" w:hAnsi="Times New Roman" w:cs="Times New Roman" w:eastAsia="Times New Roman" w:hint="default"/>
          <w:spacing w:val="-2"/>
          <w:sz w:val="21"/>
          <w:szCs w:val="21"/>
        </w:rPr>
        <w:t>2016</w:t>
      </w:r>
      <w:r>
        <w:rPr>
          <w:rFonts w:ascii="宋体" w:hAnsi="宋体" w:cs="宋体" w:eastAsia="宋体" w:hint="default"/>
          <w:spacing w:val="-2"/>
          <w:sz w:val="21"/>
          <w:szCs w:val="21"/>
        </w:rPr>
        <w:t>年年度股东大会审议通过《公司</w:t>
      </w:r>
      <w:r>
        <w:rPr>
          <w:rFonts w:ascii="Times New Roman" w:hAnsi="Times New Roman" w:cs="Times New Roman" w:eastAsia="Times New Roman" w:hint="default"/>
          <w:spacing w:val="-2"/>
          <w:sz w:val="21"/>
          <w:szCs w:val="21"/>
        </w:rPr>
        <w:t>2016</w:t>
      </w:r>
      <w:r>
        <w:rPr>
          <w:rFonts w:ascii="宋体" w:hAnsi="宋体" w:cs="宋体" w:eastAsia="宋体" w:hint="default"/>
          <w:spacing w:val="-2"/>
          <w:sz w:val="21"/>
          <w:szCs w:val="21"/>
        </w:rPr>
        <w:t>年度利润分配预案》。</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18"/>
          <w:szCs w:val="18"/>
        </w:rPr>
        <w:t>股份变动的过户情况</w:t>
      </w:r>
    </w:p>
    <w:p>
      <w:pPr>
        <w:spacing w:before="59"/>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73" w:lineRule="auto" w:before="83"/>
        <w:ind w:right="230" w:firstLine="504"/>
        <w:jc w:val="both"/>
      </w:pPr>
      <w:r>
        <w:rPr>
          <w:spacing w:val="-2"/>
        </w:rPr>
        <w:t>本次所送（转）股于</w:t>
      </w:r>
      <w:r>
        <w:rPr>
          <w:rFonts w:ascii="宋体" w:hAnsi="宋体" w:cs="宋体" w:eastAsia="宋体" w:hint="default"/>
          <w:spacing w:val="-2"/>
        </w:rPr>
        <w:t>2017</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28</w:t>
      </w:r>
      <w:r>
        <w:rPr>
          <w:spacing w:val="-2"/>
        </w:rPr>
        <w:t>日直接记入股东证券账户。在送（转）股过程中产生的不足</w:t>
      </w:r>
      <w:r>
        <w:rPr>
          <w:rFonts w:ascii="宋体" w:hAnsi="宋体" w:cs="宋体" w:eastAsia="宋体" w:hint="default"/>
          <w:spacing w:val="-2"/>
        </w:rPr>
        <w:t>1</w:t>
      </w:r>
      <w:r>
        <w:rPr>
          <w:spacing w:val="-2"/>
        </w:rPr>
        <w:t>股的</w:t>
      </w:r>
      <w:r>
        <w:rPr>
          <w:spacing w:val="-3"/>
          <w:w w:val="100"/>
        </w:rPr>
        <w:t> </w:t>
      </w:r>
      <w:r>
        <w:rPr>
          <w:spacing w:val="-2"/>
        </w:rPr>
        <w:t>部分，按小数点后尾数由大到小排序依次向股东派发</w:t>
      </w:r>
      <w:r>
        <w:rPr>
          <w:rFonts w:ascii="宋体" w:hAnsi="宋体" w:cs="宋体" w:eastAsia="宋体" w:hint="default"/>
          <w:spacing w:val="-2"/>
        </w:rPr>
        <w:t>1</w:t>
      </w:r>
      <w:r>
        <w:rPr>
          <w:spacing w:val="-2"/>
        </w:rPr>
        <w:t>股（若尾数相同时则在尾数相同者中由系统随机排</w:t>
      </w:r>
      <w:r>
        <w:rPr>
          <w:spacing w:val="-22"/>
        </w:rPr>
        <w:t> </w:t>
      </w:r>
      <w:r>
        <w:rPr>
          <w:spacing w:val="-22"/>
        </w:rPr>
      </w:r>
      <w:r>
        <w:rPr/>
        <w:t>序派发），直至实际送（转）股总数与本</w:t>
      </w:r>
      <w:r>
        <w:rPr>
          <w:spacing w:val="-7"/>
        </w:rPr>
        <w:t> </w:t>
      </w:r>
      <w:r>
        <w:rPr/>
        <w:t>次送（转）股总数一致。本公司此次委托中国结算深圳分公司</w:t>
      </w:r>
      <w:r>
        <w:rPr>
          <w:w w:val="100"/>
        </w:rPr>
        <w:t> </w:t>
      </w:r>
      <w:r>
        <w:rPr/>
        <w:t>代派的现金红利将于</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28</w:t>
      </w:r>
      <w:r>
        <w:rPr/>
        <w:t>日通过</w:t>
      </w:r>
      <w:r>
        <w:rPr>
          <w:spacing w:val="-6"/>
        </w:rPr>
        <w:t> </w:t>
      </w:r>
      <w:r>
        <w:rPr/>
        <w:t>股东托管证券公司（或其他托管机构）直接划入其资金账户。</w:t>
      </w:r>
    </w:p>
    <w:p>
      <w:pPr>
        <w:spacing w:before="69"/>
        <w:ind w:left="152" w:right="153" w:firstLine="0"/>
        <w:jc w:val="left"/>
        <w:rPr>
          <w:rFonts w:ascii="宋体" w:hAnsi="宋体" w:cs="宋体" w:eastAsia="宋体" w:hint="default"/>
          <w:sz w:val="18"/>
          <w:szCs w:val="18"/>
        </w:rPr>
      </w:pPr>
      <w:r>
        <w:rPr>
          <w:rFonts w:ascii="宋体" w:hAnsi="宋体" w:cs="宋体" w:eastAsia="宋体" w:hint="default"/>
          <w:sz w:val="18"/>
          <w:szCs w:val="18"/>
        </w:rPr>
        <w:t>股份变动对最近一年和最近一期基本每股收益和稀释每股收益、归属于公司普通股股东的每股净资产等财务指标的影响</w:t>
      </w:r>
    </w:p>
    <w:p>
      <w:pPr>
        <w:spacing w:before="115"/>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73" w:lineRule="auto" w:before="83"/>
        <w:ind w:right="153" w:firstLine="420"/>
        <w:jc w:val="left"/>
      </w:pPr>
      <w:r>
        <w:rPr>
          <w:spacing w:val="-2"/>
        </w:rPr>
        <w:t>报告期内，根据</w:t>
      </w:r>
      <w:r>
        <w:rPr>
          <w:rFonts w:ascii="宋体" w:hAnsi="宋体" w:cs="宋体" w:eastAsia="宋体" w:hint="default"/>
          <w:spacing w:val="-2"/>
        </w:rPr>
        <w:t>2017</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18</w:t>
      </w:r>
      <w:r>
        <w:rPr>
          <w:spacing w:val="-2"/>
        </w:rPr>
        <w:t>日</w:t>
      </w:r>
      <w:r>
        <w:rPr>
          <w:rFonts w:ascii="宋体" w:hAnsi="宋体" w:cs="宋体" w:eastAsia="宋体" w:hint="default"/>
          <w:spacing w:val="-2"/>
        </w:rPr>
        <w:t>2016</w:t>
      </w:r>
      <w:r>
        <w:rPr>
          <w:spacing w:val="-2"/>
        </w:rPr>
        <w:t>年度股东大会决议和修改后章程的规定，以</w:t>
      </w:r>
      <w:r>
        <w:rPr>
          <w:rFonts w:ascii="宋体" w:hAnsi="宋体" w:cs="宋体" w:eastAsia="宋体" w:hint="default"/>
          <w:spacing w:val="-2"/>
        </w:rPr>
        <w:t>2017</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18</w:t>
      </w:r>
      <w:r>
        <w:rPr>
          <w:spacing w:val="-2"/>
        </w:rPr>
        <w:t>日的总股</w:t>
      </w:r>
      <w:r>
        <w:rPr>
          <w:w w:val="100"/>
        </w:rPr>
        <w:t> </w:t>
      </w:r>
      <w:r>
        <w:rPr/>
        <w:t>本</w:t>
      </w:r>
      <w:r>
        <w:rPr>
          <w:rFonts w:ascii="宋体" w:hAnsi="宋体" w:cs="宋体" w:eastAsia="宋体" w:hint="default"/>
        </w:rPr>
        <w:t>889,444,681</w:t>
      </w:r>
      <w:r>
        <w:rPr/>
        <w:t>股为基数，以资本公积向全体股东每</w:t>
      </w:r>
      <w:r>
        <w:rPr>
          <w:rFonts w:ascii="宋体" w:hAnsi="宋体" w:cs="宋体" w:eastAsia="宋体" w:hint="default"/>
        </w:rPr>
        <w:t>10</w:t>
      </w:r>
      <w:r>
        <w:rPr/>
        <w:t>股转增</w:t>
      </w:r>
      <w:r>
        <w:rPr>
          <w:rFonts w:ascii="宋体" w:hAnsi="宋体" w:cs="宋体" w:eastAsia="宋体" w:hint="default"/>
        </w:rPr>
        <w:t>3</w:t>
      </w:r>
      <w:r>
        <w:rPr/>
        <w:t>股，共计转增</w:t>
      </w:r>
      <w:r>
        <w:rPr>
          <w:rFonts w:ascii="宋体" w:hAnsi="宋体" w:cs="宋体" w:eastAsia="宋体" w:hint="default"/>
        </w:rPr>
        <w:t>266,833,404</w:t>
      </w:r>
      <w:r>
        <w:rPr/>
        <w:t>股。资本公积金</w:t>
      </w:r>
      <w:r>
        <w:rPr>
          <w:w w:val="100"/>
        </w:rPr>
        <w:t> </w:t>
      </w:r>
      <w:r>
        <w:rPr/>
        <w:t>转增股本实施后，公司股本总数为</w:t>
      </w:r>
      <w:r>
        <w:rPr>
          <w:rFonts w:ascii="宋体" w:hAnsi="宋体" w:cs="宋体" w:eastAsia="宋体" w:hint="default"/>
        </w:rPr>
        <w:t>1,156,278,085</w:t>
      </w:r>
      <w:r>
        <w:rPr/>
        <w:t>股，每股面值</w:t>
      </w:r>
      <w:r>
        <w:rPr>
          <w:rFonts w:ascii="宋体" w:hAnsi="宋体" w:cs="宋体" w:eastAsia="宋体" w:hint="default"/>
        </w:rPr>
        <w:t>1</w:t>
      </w:r>
      <w:r>
        <w:rPr/>
        <w:t>元，共计</w:t>
      </w:r>
      <w:r>
        <w:rPr>
          <w:rFonts w:ascii="宋体" w:hAnsi="宋体" w:cs="宋体" w:eastAsia="宋体" w:hint="default"/>
        </w:rPr>
        <w:t>1,156,278,085</w:t>
      </w:r>
      <w:r>
        <w:rPr/>
        <w:t>元。由于总股本</w:t>
      </w:r>
      <w:r>
        <w:rPr>
          <w:w w:val="100"/>
        </w:rPr>
        <w:t> </w:t>
      </w:r>
      <w:r>
        <w:rPr>
          <w:spacing w:val="-2"/>
        </w:rPr>
        <w:t>增加摊薄了每股收益，对最近一年和最近一期基本每股收益和稀释每股收益及归属于公司普通股股东的每</w:t>
      </w:r>
      <w:r>
        <w:rPr>
          <w:spacing w:val="-42"/>
        </w:rPr>
        <w:t> </w:t>
      </w:r>
      <w:r>
        <w:rPr>
          <w:spacing w:val="-42"/>
        </w:rPr>
      </w:r>
      <w:r>
        <w:rPr>
          <w:spacing w:val="-2"/>
        </w:rPr>
        <w:t>股净资产均产生一定影响。若按目前转增股本后的总股本全年摊薄计算，经模拟测算，公司非公开发行完</w:t>
      </w:r>
      <w:r>
        <w:rPr>
          <w:spacing w:val="-45"/>
        </w:rPr>
        <w:t> </w:t>
      </w:r>
      <w:r>
        <w:rPr>
          <w:spacing w:val="-45"/>
        </w:rPr>
      </w:r>
      <w:r>
        <w:rPr>
          <w:spacing w:val="-2"/>
        </w:rPr>
        <w:t>成后，</w:t>
      </w:r>
      <w:r>
        <w:rPr>
          <w:rFonts w:ascii="宋体" w:hAnsi="宋体" w:cs="宋体" w:eastAsia="宋体" w:hint="default"/>
          <w:spacing w:val="-2"/>
        </w:rPr>
        <w:t>2016</w:t>
      </w:r>
      <w:r>
        <w:rPr>
          <w:spacing w:val="-2"/>
        </w:rPr>
        <w:t>年度的基本每股收益和稀释每股收益由</w:t>
      </w:r>
      <w:r>
        <w:rPr>
          <w:rFonts w:ascii="宋体" w:hAnsi="宋体" w:cs="宋体" w:eastAsia="宋体" w:hint="default"/>
          <w:spacing w:val="-2"/>
        </w:rPr>
        <w:t>0.18</w:t>
      </w:r>
      <w:r>
        <w:rPr>
          <w:spacing w:val="-2"/>
        </w:rPr>
        <w:t>元</w:t>
      </w:r>
      <w:r>
        <w:rPr>
          <w:rFonts w:ascii="宋体" w:hAnsi="宋体" w:cs="宋体" w:eastAsia="宋体" w:hint="default"/>
          <w:spacing w:val="-2"/>
        </w:rPr>
        <w:t>/</w:t>
      </w:r>
      <w:r>
        <w:rPr>
          <w:spacing w:val="-2"/>
        </w:rPr>
        <w:t>股调整为</w:t>
      </w:r>
      <w:r>
        <w:rPr>
          <w:rFonts w:ascii="宋体" w:hAnsi="宋体" w:cs="宋体" w:eastAsia="宋体" w:hint="default"/>
          <w:spacing w:val="-2"/>
        </w:rPr>
        <w:t>0.14</w:t>
      </w:r>
      <w:r>
        <w:rPr>
          <w:spacing w:val="-2"/>
        </w:rPr>
        <w:t>元</w:t>
      </w:r>
      <w:r>
        <w:rPr>
          <w:rFonts w:ascii="宋体" w:hAnsi="宋体" w:cs="宋体" w:eastAsia="宋体" w:hint="default"/>
          <w:spacing w:val="-2"/>
        </w:rPr>
        <w:t>/</w:t>
      </w:r>
      <w:r>
        <w:rPr>
          <w:spacing w:val="-2"/>
        </w:rPr>
        <w:t>股，</w:t>
      </w:r>
      <w:r>
        <w:rPr>
          <w:rFonts w:ascii="宋体" w:hAnsi="宋体" w:cs="宋体" w:eastAsia="宋体" w:hint="default"/>
          <w:spacing w:val="-2"/>
        </w:rPr>
        <w:t>2016</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日归属于上</w:t>
      </w:r>
      <w:r>
        <w:rPr>
          <w:spacing w:val="-26"/>
        </w:rPr>
        <w:t> </w:t>
      </w:r>
      <w:r>
        <w:rPr>
          <w:spacing w:val="-26"/>
        </w:rPr>
      </w:r>
      <w:r>
        <w:rPr>
          <w:spacing w:val="-2"/>
        </w:rPr>
        <w:t>市公司股东的每股净资产由</w:t>
      </w:r>
      <w:r>
        <w:rPr>
          <w:rFonts w:ascii="宋体" w:hAnsi="宋体" w:cs="宋体" w:eastAsia="宋体" w:hint="default"/>
          <w:spacing w:val="-2"/>
        </w:rPr>
        <w:t>7.37</w:t>
      </w:r>
      <w:r>
        <w:rPr>
          <w:spacing w:val="-2"/>
        </w:rPr>
        <w:t>元</w:t>
      </w:r>
      <w:r>
        <w:rPr>
          <w:rFonts w:ascii="宋体" w:hAnsi="宋体" w:cs="宋体" w:eastAsia="宋体" w:hint="default"/>
          <w:spacing w:val="-2"/>
        </w:rPr>
        <w:t>/</w:t>
      </w:r>
      <w:r>
        <w:rPr>
          <w:spacing w:val="-2"/>
        </w:rPr>
        <w:t>股调整为</w:t>
      </w:r>
      <w:r>
        <w:rPr>
          <w:rFonts w:ascii="宋体" w:hAnsi="宋体" w:cs="宋体" w:eastAsia="宋体" w:hint="default"/>
          <w:spacing w:val="-2"/>
        </w:rPr>
        <w:t>5.67</w:t>
      </w:r>
      <w:r>
        <w:rPr>
          <w:spacing w:val="-2"/>
        </w:rPr>
        <w:t>元</w:t>
      </w:r>
      <w:r>
        <w:rPr>
          <w:rFonts w:ascii="宋体" w:hAnsi="宋体" w:cs="宋体" w:eastAsia="宋体" w:hint="default"/>
          <w:spacing w:val="-2"/>
        </w:rPr>
        <w:t>/</w:t>
      </w:r>
      <w:r>
        <w:rPr>
          <w:spacing w:val="-2"/>
        </w:rPr>
        <w:t>股。</w:t>
      </w:r>
      <w:r>
        <w:rPr>
          <w:rFonts w:ascii="宋体" w:hAnsi="宋体" w:cs="宋体" w:eastAsia="宋体" w:hint="default"/>
          <w:spacing w:val="-2"/>
        </w:rPr>
        <w:t>2017</w:t>
      </w:r>
      <w:r>
        <w:rPr>
          <w:spacing w:val="-2"/>
        </w:rPr>
        <w:t>年上半年度的每股收益已按相关规定以加权</w:t>
      </w:r>
      <w:r>
        <w:rPr>
          <w:spacing w:val="-31"/>
        </w:rPr>
        <w:t> </w:t>
      </w:r>
      <w:r>
        <w:rPr>
          <w:spacing w:val="-31"/>
        </w:rPr>
      </w:r>
      <w:r>
        <w:rPr/>
        <w:t>平均股本计算。</w:t>
      </w:r>
    </w:p>
    <w:p>
      <w:pPr>
        <w:spacing w:after="0" w:line="273"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spacing w:before="44"/>
        <w:ind w:left="152" w:right="101" w:firstLine="0"/>
        <w:jc w:val="left"/>
        <w:rPr>
          <w:rFonts w:ascii="宋体" w:hAnsi="宋体" w:cs="宋体" w:eastAsia="宋体" w:hint="default"/>
          <w:sz w:val="18"/>
          <w:szCs w:val="18"/>
        </w:rPr>
      </w:pPr>
      <w:r>
        <w:rPr>
          <w:rFonts w:ascii="宋体" w:hAnsi="宋体" w:cs="宋体" w:eastAsia="宋体" w:hint="default"/>
          <w:sz w:val="18"/>
          <w:szCs w:val="18"/>
        </w:rPr>
        <w:t>公司认为必要或证券监管机构要求披露的其他内容</w:t>
      </w:r>
    </w:p>
    <w:p>
      <w:pPr>
        <w:spacing w:before="117"/>
        <w:ind w:left="152" w:right="10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101"/>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6"/>
          <w:szCs w:val="26"/>
        </w:rPr>
      </w:pPr>
    </w:p>
    <w:p>
      <w:pPr>
        <w:spacing w:before="0"/>
        <w:ind w:left="152" w:right="10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01"/>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01"/>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2"/>
        <w:rPr>
          <w:rFonts w:ascii="宋体" w:hAnsi="宋体" w:cs="宋体" w:eastAsia="宋体" w:hint="default"/>
          <w:b/>
          <w:bCs/>
          <w:sz w:val="26"/>
          <w:szCs w:val="26"/>
        </w:rPr>
      </w:pPr>
    </w:p>
    <w:p>
      <w:pPr>
        <w:spacing w:before="0"/>
        <w:ind w:left="152" w:right="10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12"/>
        <w:gridCol w:w="1294"/>
        <w:gridCol w:w="1296"/>
        <w:gridCol w:w="1102"/>
        <w:gridCol w:w="1488"/>
        <w:gridCol w:w="1297"/>
        <w:gridCol w:w="1682"/>
      </w:tblGrid>
      <w:tr>
        <w:trPr>
          <w:trHeight w:val="715" w:hRule="exact"/>
        </w:trPr>
        <w:tc>
          <w:tcPr>
            <w:tcW w:w="1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32" w:right="69" w:hanging="361"/>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63" w:right="23"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上市日期</w:t>
            </w:r>
          </w:p>
        </w:tc>
        <w:tc>
          <w:tcPr>
            <w:tcW w:w="1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63" w:right="101" w:hanging="360"/>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402"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非公开发行股票</w:t>
            </w:r>
          </w:p>
        </w:tc>
        <w:tc>
          <w:tcPr>
            <w:tcW w:w="129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9" w:right="0"/>
              <w:jc w:val="left"/>
              <w:rPr>
                <w:rFonts w:ascii="Times New Roman" w:hAnsi="Times New Roman" w:cs="Times New Roman" w:eastAsia="Times New Roman" w:hint="default"/>
                <w:sz w:val="18"/>
                <w:szCs w:val="18"/>
              </w:rPr>
            </w:pPr>
            <w:r>
              <w:rPr>
                <w:rFonts w:ascii="Times New Roman"/>
                <w:sz w:val="18"/>
              </w:rPr>
              <w:t>172,117,039</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spacing w:before="50"/>
        <w:ind w:left="152" w:right="101" w:firstLine="0"/>
        <w:jc w:val="left"/>
        <w:rPr>
          <w:rFonts w:ascii="宋体" w:hAnsi="宋体" w:cs="宋体" w:eastAsia="宋体" w:hint="default"/>
          <w:sz w:val="18"/>
          <w:szCs w:val="18"/>
        </w:rPr>
      </w:pPr>
      <w:r>
        <w:rPr>
          <w:rFonts w:ascii="宋体" w:hAnsi="宋体" w:cs="宋体" w:eastAsia="宋体" w:hint="default"/>
          <w:sz w:val="18"/>
          <w:szCs w:val="18"/>
        </w:rPr>
        <w:t>报告期内证券发行（不含优先股）情况的说明</w:t>
      </w:r>
    </w:p>
    <w:p>
      <w:pPr>
        <w:pStyle w:val="BodyText"/>
        <w:spacing w:line="256" w:lineRule="auto" w:before="94"/>
        <w:ind w:right="101" w:firstLine="420"/>
        <w:jc w:val="left"/>
      </w:pPr>
      <w:r>
        <w:rPr>
          <w:spacing w:val="-2"/>
        </w:rPr>
        <w:t>根据中国证券监督管理委员会核准（证监许可〔</w:t>
      </w:r>
      <w:r>
        <w:rPr>
          <w:rFonts w:ascii="Times New Roman" w:hAnsi="Times New Roman" w:cs="Times New Roman" w:eastAsia="Times New Roman" w:hint="default"/>
          <w:spacing w:val="-2"/>
        </w:rPr>
        <w:t>2017</w:t>
      </w:r>
      <w:r>
        <w:rPr>
          <w:spacing w:val="-2"/>
        </w:rPr>
        <w:t>〕</w:t>
      </w:r>
      <w:r>
        <w:rPr>
          <w:rFonts w:ascii="Times New Roman" w:hAnsi="Times New Roman" w:cs="Times New Roman" w:eastAsia="Times New Roman" w:hint="default"/>
          <w:spacing w:val="-2"/>
        </w:rPr>
        <w:t>55</w:t>
      </w:r>
      <w:r>
        <w:rPr>
          <w:spacing w:val="-2"/>
        </w:rPr>
        <w:t>号），同意公司非公开发行人民币普通股，</w:t>
      </w:r>
      <w:r>
        <w:rPr>
          <w:w w:val="100"/>
        </w:rPr>
        <w:t> </w:t>
      </w:r>
      <w:r>
        <w:rPr/>
        <w:t>增加注册资本人民币</w:t>
      </w:r>
      <w:r>
        <w:rPr>
          <w:rFonts w:ascii="Times New Roman" w:hAnsi="Times New Roman" w:cs="Times New Roman" w:eastAsia="Times New Roman" w:hint="default"/>
        </w:rPr>
        <w:t>172,117,039</w:t>
      </w:r>
      <w:r>
        <w:rPr/>
        <w:t>元，变更后的注册资本为人民币</w:t>
      </w:r>
      <w:r>
        <w:rPr>
          <w:rFonts w:ascii="Times New Roman" w:hAnsi="Times New Roman" w:cs="Times New Roman" w:eastAsia="Times New Roman" w:hint="default"/>
        </w:rPr>
        <w:t>889,444,681</w:t>
      </w:r>
      <w:r>
        <w:rPr/>
        <w:t>元。</w:t>
      </w:r>
    </w:p>
    <w:p>
      <w:pPr>
        <w:spacing w:line="240" w:lineRule="auto" w:before="4"/>
        <w:rPr>
          <w:rFonts w:ascii="宋体" w:hAnsi="宋体" w:cs="宋体" w:eastAsia="宋体" w:hint="default"/>
          <w:sz w:val="23"/>
          <w:szCs w:val="23"/>
        </w:rPr>
      </w:pPr>
    </w:p>
    <w:p>
      <w:pPr>
        <w:pStyle w:val="Heading4"/>
        <w:spacing w:line="240" w:lineRule="auto"/>
        <w:ind w:right="101"/>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2"/>
        <w:rPr>
          <w:rFonts w:ascii="宋体" w:hAnsi="宋体" w:cs="宋体" w:eastAsia="宋体" w:hint="default"/>
          <w:b/>
          <w:bCs/>
          <w:sz w:val="26"/>
          <w:szCs w:val="26"/>
        </w:rPr>
      </w:pPr>
    </w:p>
    <w:p>
      <w:pPr>
        <w:spacing w:before="0"/>
        <w:ind w:left="152" w:right="10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73" w:lineRule="auto" w:before="83"/>
        <w:ind w:right="101" w:firstLine="420"/>
        <w:jc w:val="left"/>
      </w:pPr>
      <w:r>
        <w:rPr>
          <w:spacing w:val="-4"/>
        </w:rPr>
        <w:t>根据公司</w:t>
      </w:r>
      <w:r>
        <w:rPr>
          <w:rFonts w:ascii="宋体" w:hAnsi="宋体" w:cs="宋体" w:eastAsia="宋体" w:hint="default"/>
          <w:spacing w:val="-4"/>
        </w:rPr>
        <w:t>2015</w:t>
      </w:r>
      <w:r>
        <w:rPr>
          <w:spacing w:val="-4"/>
        </w:rPr>
        <w:t>年第二次临时股东大会决议和中国证券监督管理委员会核准（证监许可〔</w:t>
      </w:r>
      <w:r>
        <w:rPr>
          <w:rFonts w:ascii="宋体" w:hAnsi="宋体" w:cs="宋体" w:eastAsia="宋体" w:hint="default"/>
          <w:spacing w:val="-4"/>
        </w:rPr>
        <w:t>2017</w:t>
      </w:r>
      <w:r>
        <w:rPr>
          <w:spacing w:val="-4"/>
        </w:rPr>
        <w:t>〕</w:t>
      </w:r>
      <w:r>
        <w:rPr>
          <w:rFonts w:ascii="宋体" w:hAnsi="宋体" w:cs="宋体" w:eastAsia="宋体" w:hint="default"/>
          <w:spacing w:val="-4"/>
        </w:rPr>
        <w:t>55</w:t>
      </w:r>
      <w:r>
        <w:rPr>
          <w:spacing w:val="-4"/>
        </w:rPr>
        <w:t>号），</w:t>
      </w:r>
      <w:r>
        <w:rPr>
          <w:w w:val="100"/>
        </w:rPr>
        <w:t> </w:t>
      </w:r>
      <w:r>
        <w:rPr>
          <w:spacing w:val="3"/>
        </w:rPr>
        <w:t>同意公司非公开发行人民币普通股，增加注册资本人民币</w:t>
      </w:r>
      <w:r>
        <w:rPr>
          <w:rFonts w:ascii="宋体" w:hAnsi="宋体" w:cs="宋体" w:eastAsia="宋体" w:hint="default"/>
          <w:spacing w:val="3"/>
        </w:rPr>
        <w:t>172,117,039</w:t>
      </w:r>
      <w:r>
        <w:rPr>
          <w:spacing w:val="3"/>
        </w:rPr>
        <w:t>元，变更后的注册资本为人民币</w:t>
      </w:r>
      <w:r>
        <w:rPr>
          <w:spacing w:val="4"/>
        </w:rPr>
        <w:t> </w:t>
      </w:r>
      <w:r>
        <w:rPr>
          <w:spacing w:val="4"/>
        </w:rPr>
      </w:r>
      <w:r>
        <w:rPr>
          <w:rFonts w:ascii="宋体" w:hAnsi="宋体" w:cs="宋体" w:eastAsia="宋体" w:hint="default"/>
        </w:rPr>
        <w:t>889,444,681</w:t>
      </w:r>
      <w:r>
        <w:rPr/>
        <w:t>元。此次非公开发行股票实际募集资金净额人民币</w:t>
      </w:r>
      <w:r>
        <w:rPr>
          <w:rFonts w:ascii="宋体" w:hAnsi="宋体" w:cs="宋体" w:eastAsia="宋体" w:hint="default"/>
        </w:rPr>
        <w:t>1,967,572,876.23</w:t>
      </w:r>
      <w:r>
        <w:rPr/>
        <w:t>元，其中：新增注册资</w:t>
      </w:r>
      <w:r>
        <w:rPr>
          <w:spacing w:val="-25"/>
        </w:rPr>
        <w:t> </w:t>
      </w:r>
      <w:r>
        <w:rPr>
          <w:spacing w:val="-25"/>
        </w:rPr>
      </w:r>
      <w:r>
        <w:rPr>
          <w:spacing w:val="-2"/>
        </w:rPr>
        <w:t>本人民币</w:t>
      </w:r>
      <w:r>
        <w:rPr>
          <w:rFonts w:ascii="宋体" w:hAnsi="宋体" w:cs="宋体" w:eastAsia="宋体" w:hint="default"/>
          <w:spacing w:val="-2"/>
        </w:rPr>
        <w:t>172,117,039.00</w:t>
      </w:r>
      <w:r>
        <w:rPr>
          <w:spacing w:val="-2"/>
        </w:rPr>
        <w:t>元，增加其他流动资产（待抵扣进项税）人民币</w:t>
      </w:r>
      <w:r>
        <w:rPr>
          <w:rFonts w:ascii="宋体" w:hAnsi="宋体" w:cs="宋体" w:eastAsia="宋体" w:hint="default"/>
          <w:spacing w:val="-2"/>
        </w:rPr>
        <w:t>1,733,773.58</w:t>
      </w:r>
      <w:r>
        <w:rPr>
          <w:spacing w:val="-2"/>
        </w:rPr>
        <w:t>元，增加资本公积</w:t>
      </w:r>
      <w:r>
        <w:rPr>
          <w:spacing w:val="-20"/>
        </w:rPr>
        <w:t> </w:t>
      </w:r>
      <w:r>
        <w:rPr>
          <w:spacing w:val="-20"/>
        </w:rPr>
      </w:r>
      <w:r>
        <w:rPr/>
        <w:t>人民币</w:t>
      </w:r>
      <w:r>
        <w:rPr>
          <w:rFonts w:ascii="宋体" w:hAnsi="宋体" w:cs="宋体" w:eastAsia="宋体" w:hint="default"/>
        </w:rPr>
        <w:t>1,797,189,610.81</w:t>
      </w:r>
      <w:r>
        <w:rPr/>
        <w:t>元。众华会计师事务所（特殊普通合伙）出具了“众会字（</w:t>
      </w:r>
      <w:r>
        <w:rPr>
          <w:rFonts w:ascii="宋体" w:hAnsi="宋体" w:cs="宋体" w:eastAsia="宋体" w:hint="default"/>
        </w:rPr>
        <w:t>2017</w:t>
      </w:r>
      <w:r>
        <w:rPr/>
        <w:t>）第</w:t>
      </w:r>
      <w:r>
        <w:rPr>
          <w:rFonts w:ascii="宋体" w:hAnsi="宋体" w:cs="宋体" w:eastAsia="宋体" w:hint="default"/>
        </w:rPr>
        <w:t>2244</w:t>
      </w:r>
      <w:r>
        <w:rPr/>
        <w:t>号”验</w:t>
      </w:r>
      <w:r>
        <w:rPr>
          <w:w w:val="100"/>
        </w:rPr>
        <w:t> </w:t>
      </w:r>
      <w:r>
        <w:rPr/>
        <w:t>资报告，确认本次发行的新增注册资本及股本情况。</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18</w:t>
      </w:r>
      <w:r>
        <w:rPr/>
        <w:t>日，根据</w:t>
      </w:r>
      <w:r>
        <w:rPr>
          <w:rFonts w:ascii="宋体" w:hAnsi="宋体" w:cs="宋体" w:eastAsia="宋体" w:hint="default"/>
        </w:rPr>
        <w:t>2016</w:t>
      </w:r>
      <w:r>
        <w:rPr/>
        <w:t>年年度股东大会决议和修</w:t>
      </w:r>
      <w:r>
        <w:rPr>
          <w:spacing w:val="-29"/>
        </w:rPr>
        <w:t> </w:t>
      </w:r>
      <w:r>
        <w:rPr>
          <w:spacing w:val="-29"/>
        </w:rPr>
      </w:r>
      <w:r>
        <w:rPr/>
        <w:t>改后章程的规定，以</w:t>
      </w: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18</w:t>
      </w:r>
      <w:r>
        <w:rPr/>
        <w:t>日总股本</w:t>
      </w:r>
      <w:r>
        <w:rPr>
          <w:rFonts w:ascii="宋体" w:hAnsi="宋体" w:cs="宋体" w:eastAsia="宋体" w:hint="default"/>
        </w:rPr>
        <w:t>889,444,681</w:t>
      </w:r>
      <w:r>
        <w:rPr/>
        <w:t>股为基数，向全体股东每</w:t>
      </w:r>
      <w:r>
        <w:rPr>
          <w:rFonts w:ascii="宋体" w:hAnsi="宋体" w:cs="宋体" w:eastAsia="宋体" w:hint="default"/>
        </w:rPr>
        <w:t>10</w:t>
      </w:r>
      <w:r>
        <w:rPr/>
        <w:t>股派发现金红利</w:t>
      </w:r>
      <w:r>
        <w:rPr>
          <w:rFonts w:ascii="宋体" w:hAnsi="宋体" w:cs="宋体" w:eastAsia="宋体" w:hint="default"/>
        </w:rPr>
        <w:t>0.2</w:t>
      </w:r>
      <w:r>
        <w:rPr/>
        <w:t>元</w:t>
      </w:r>
    </w:p>
    <w:p>
      <w:pPr>
        <w:pStyle w:val="BodyText"/>
        <w:spacing w:line="273" w:lineRule="auto" w:before="7"/>
        <w:ind w:right="101"/>
        <w:jc w:val="left"/>
      </w:pPr>
      <w:r>
        <w:rPr>
          <w:spacing w:val="-4"/>
        </w:rPr>
        <w:t>（含税），共分配现金红利</w:t>
      </w:r>
      <w:r>
        <w:rPr>
          <w:rFonts w:ascii="宋体" w:hAnsi="宋体" w:cs="宋体" w:eastAsia="宋体" w:hint="default"/>
          <w:spacing w:val="-4"/>
        </w:rPr>
        <w:t>17,788,893.62</w:t>
      </w:r>
      <w:r>
        <w:rPr>
          <w:spacing w:val="-4"/>
        </w:rPr>
        <w:t>元；以公司总股本</w:t>
      </w:r>
      <w:r>
        <w:rPr>
          <w:rFonts w:ascii="宋体" w:hAnsi="宋体" w:cs="宋体" w:eastAsia="宋体" w:hint="default"/>
          <w:spacing w:val="-4"/>
        </w:rPr>
        <w:t>889,444,681</w:t>
      </w:r>
      <w:r>
        <w:rPr>
          <w:spacing w:val="-4"/>
        </w:rPr>
        <w:t>股为基数，以资本公积转增股本，</w:t>
      </w:r>
      <w:r>
        <w:rPr>
          <w:spacing w:val="-13"/>
        </w:rPr>
        <w:t> </w:t>
      </w:r>
      <w:r>
        <w:rPr>
          <w:spacing w:val="-13"/>
        </w:rPr>
      </w:r>
      <w:r>
        <w:rPr/>
        <w:t>每</w:t>
      </w:r>
      <w:r>
        <w:rPr>
          <w:rFonts w:ascii="宋体" w:hAnsi="宋体" w:cs="宋体" w:eastAsia="宋体" w:hint="default"/>
        </w:rPr>
        <w:t>10</w:t>
      </w:r>
      <w:r>
        <w:rPr/>
        <w:t>股转增</w:t>
      </w:r>
      <w:r>
        <w:rPr>
          <w:rFonts w:ascii="宋体" w:hAnsi="宋体" w:cs="宋体" w:eastAsia="宋体" w:hint="default"/>
        </w:rPr>
        <w:t>3</w:t>
      </w:r>
      <w:r>
        <w:rPr/>
        <w:t>股，共计转增</w:t>
      </w:r>
      <w:r>
        <w:rPr>
          <w:rFonts w:ascii="宋体" w:hAnsi="宋体" w:cs="宋体" w:eastAsia="宋体" w:hint="default"/>
        </w:rPr>
        <w:t>266,833,404</w:t>
      </w:r>
      <w:r>
        <w:rPr>
          <w:rFonts w:ascii="宋体" w:hAnsi="宋体" w:cs="宋体" w:eastAsia="宋体" w:hint="default"/>
          <w:spacing w:val="-12"/>
        </w:rPr>
        <w:t> </w:t>
      </w:r>
      <w:r>
        <w:rPr/>
        <w:t>股，转增后公司总股本增至</w:t>
      </w:r>
      <w:r>
        <w:rPr>
          <w:rFonts w:ascii="宋体" w:hAnsi="宋体" w:cs="宋体" w:eastAsia="宋体" w:hint="default"/>
        </w:rPr>
        <w:t>1,156,278,085</w:t>
      </w:r>
      <w:r>
        <w:rPr/>
        <w:t>股。</w:t>
      </w:r>
    </w:p>
    <w:p>
      <w:pPr>
        <w:spacing w:line="240" w:lineRule="auto" w:before="7"/>
        <w:rPr>
          <w:rFonts w:ascii="宋体" w:hAnsi="宋体" w:cs="宋体" w:eastAsia="宋体" w:hint="default"/>
          <w:sz w:val="23"/>
          <w:szCs w:val="23"/>
        </w:rPr>
      </w:pPr>
    </w:p>
    <w:p>
      <w:pPr>
        <w:pStyle w:val="Heading4"/>
        <w:spacing w:line="240" w:lineRule="auto"/>
        <w:ind w:right="101"/>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5"/>
        <w:rPr>
          <w:rFonts w:ascii="宋体" w:hAnsi="宋体" w:cs="宋体" w:eastAsia="宋体" w:hint="default"/>
          <w:b/>
          <w:bCs/>
          <w:sz w:val="26"/>
          <w:szCs w:val="26"/>
        </w:rPr>
      </w:pPr>
    </w:p>
    <w:p>
      <w:pPr>
        <w:spacing w:before="0"/>
        <w:ind w:left="152" w:right="10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920"/>
        </w:sectPr>
      </w:pPr>
    </w:p>
    <w:p>
      <w:pPr>
        <w:spacing w:line="240" w:lineRule="auto" w:before="8"/>
        <w:rPr>
          <w:rFonts w:ascii="宋体" w:hAnsi="宋体" w:cs="宋体" w:eastAsia="宋体" w:hint="default"/>
          <w:sz w:val="23"/>
          <w:szCs w:val="23"/>
        </w:rPr>
      </w:pPr>
    </w:p>
    <w:p>
      <w:pPr>
        <w:pStyle w:val="Heading2"/>
        <w:spacing w:line="240" w:lineRule="auto" w:before="26"/>
        <w:ind w:right="153"/>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53"/>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6"/>
        <w:gridCol w:w="506"/>
        <w:gridCol w:w="701"/>
        <w:gridCol w:w="433"/>
        <w:gridCol w:w="710"/>
        <w:gridCol w:w="272"/>
        <w:gridCol w:w="719"/>
        <w:gridCol w:w="259"/>
        <w:gridCol w:w="593"/>
        <w:gridCol w:w="839"/>
        <w:gridCol w:w="152"/>
        <w:gridCol w:w="809"/>
        <w:gridCol w:w="324"/>
        <w:gridCol w:w="853"/>
        <w:gridCol w:w="272"/>
        <w:gridCol w:w="932"/>
      </w:tblGrid>
      <w:tr>
        <w:trPr>
          <w:trHeight w:val="161"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63" w:right="0"/>
              <w:jc w:val="left"/>
              <w:rPr>
                <w:rFonts w:ascii="Times New Roman" w:hAnsi="Times New Roman" w:cs="Times New Roman" w:eastAsia="Times New Roman" w:hint="default"/>
                <w:sz w:val="18"/>
                <w:szCs w:val="18"/>
              </w:rPr>
            </w:pPr>
            <w:r>
              <w:rPr>
                <w:rFonts w:ascii="Times New Roman"/>
                <w:sz w:val="18"/>
              </w:rPr>
              <w:t>32,332</w:t>
            </w:r>
          </w:p>
        </w:tc>
        <w:tc>
          <w:tcPr>
            <w:tcW w:w="1415" w:type="dxa"/>
            <w:gridSpan w:val="3"/>
            <w:vMerge w:val="restart"/>
            <w:tcBorders>
              <w:top w:val="single" w:sz="4" w:space="0" w:color="000000"/>
              <w:left w:val="single" w:sz="4" w:space="0" w:color="000000"/>
              <w:right w:val="single" w:sz="4" w:space="0" w:color="000000"/>
            </w:tcBorders>
            <w:shd w:val="clear" w:color="auto" w:fill="D2D2D2"/>
          </w:tcPr>
          <w:p>
            <w:pPr/>
          </w:p>
        </w:tc>
        <w:tc>
          <w:tcPr>
            <w:tcW w:w="978" w:type="dxa"/>
            <w:gridSpan w:val="2"/>
            <w:vMerge w:val="restart"/>
            <w:tcBorders>
              <w:top w:val="single" w:sz="4" w:space="0" w:color="000000"/>
              <w:left w:val="single" w:sz="9"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31,729</w:t>
            </w:r>
          </w:p>
        </w:tc>
        <w:tc>
          <w:tcPr>
            <w:tcW w:w="143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61" w:type="dxa"/>
            <w:gridSpan w:val="2"/>
            <w:vMerge w:val="restart"/>
            <w:tcBorders>
              <w:top w:val="single" w:sz="4" w:space="0" w:color="000000"/>
              <w:left w:val="single" w:sz="9"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4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 w:right="-13"/>
              <w:jc w:val="left"/>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股东总数（如有）</w:t>
            </w:r>
          </w:p>
          <w:p>
            <w:pPr>
              <w:pStyle w:val="TableParagraph"/>
              <w:spacing w:line="240" w:lineRule="auto" w:before="19"/>
              <w:ind w:left="11"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932" w:type="dxa"/>
            <w:vMerge w:val="restart"/>
            <w:tcBorders>
              <w:top w:val="single" w:sz="4" w:space="0" w:color="000000"/>
              <w:left w:val="single" w:sz="12"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415" w:type="dxa"/>
            <w:gridSpan w:val="3"/>
            <w:vMerge/>
            <w:tcBorders>
              <w:left w:val="single" w:sz="4" w:space="0" w:color="000000"/>
              <w:bottom w:val="nil" w:sz="6" w:space="0" w:color="auto"/>
              <w:right w:val="single" w:sz="4" w:space="0" w:color="000000"/>
            </w:tcBorders>
            <w:shd w:val="clear" w:color="auto" w:fill="D2D2D2"/>
          </w:tcPr>
          <w:p>
            <w:pPr/>
          </w:p>
        </w:tc>
        <w:tc>
          <w:tcPr>
            <w:tcW w:w="978" w:type="dxa"/>
            <w:gridSpan w:val="2"/>
            <w:vMerge/>
            <w:tcBorders>
              <w:left w:val="single" w:sz="9" w:space="0" w:color="D2D2D2"/>
              <w:right w:val="single" w:sz="10" w:space="0" w:color="D2D2D2"/>
            </w:tcBorders>
          </w:tcPr>
          <w:p>
            <w:pPr/>
          </w:p>
        </w:tc>
        <w:tc>
          <w:tcPr>
            <w:tcW w:w="143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 w:right="11"/>
              <w:jc w:val="left"/>
              <w:rPr>
                <w:rFonts w:ascii="宋体" w:hAnsi="宋体" w:cs="宋体" w:eastAsia="宋体" w:hint="default"/>
                <w:sz w:val="18"/>
                <w:szCs w:val="18"/>
              </w:rPr>
            </w:pPr>
            <w:r>
              <w:rPr>
                <w:rFonts w:ascii="宋体" w:hAnsi="宋体" w:cs="宋体" w:eastAsia="宋体" w:hint="default"/>
                <w:sz w:val="18"/>
                <w:szCs w:val="18"/>
              </w:rPr>
              <w:t>报告期末表决权 恢复的优先股股 </w:t>
            </w:r>
            <w:r>
              <w:rPr>
                <w:rFonts w:ascii="宋体" w:hAnsi="宋体" w:cs="宋体" w:eastAsia="宋体" w:hint="default"/>
                <w:spacing w:val="-25"/>
                <w:sz w:val="18"/>
                <w:szCs w:val="18"/>
              </w:rPr>
              <w:t>东总数（如有）（参</w:t>
            </w:r>
            <w:r>
              <w:rPr>
                <w:rFonts w:ascii="宋体" w:hAnsi="宋体" w:cs="宋体" w:eastAsia="宋体" w:hint="default"/>
                <w:sz w:val="18"/>
                <w:szCs w:val="18"/>
              </w:rPr>
              <w:t> 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961" w:type="dxa"/>
            <w:gridSpan w:val="2"/>
            <w:vMerge/>
            <w:tcBorders>
              <w:left w:val="single" w:sz="9" w:space="0" w:color="D2D2D2"/>
              <w:right w:val="single" w:sz="13" w:space="0" w:color="D2D2D2"/>
            </w:tcBorders>
          </w:tcPr>
          <w:p>
            <w:pPr/>
          </w:p>
        </w:tc>
        <w:tc>
          <w:tcPr>
            <w:tcW w:w="1449" w:type="dxa"/>
            <w:gridSpan w:val="3"/>
            <w:vMerge/>
            <w:tcBorders>
              <w:left w:val="single" w:sz="4" w:space="0" w:color="000000"/>
              <w:right w:val="single" w:sz="4" w:space="0" w:color="000000"/>
            </w:tcBorders>
            <w:shd w:val="clear" w:color="auto" w:fill="D2D2D2"/>
          </w:tcPr>
          <w:p>
            <w:pPr/>
          </w:p>
        </w:tc>
        <w:tc>
          <w:tcPr>
            <w:tcW w:w="932" w:type="dxa"/>
            <w:vMerge/>
            <w:tcBorders>
              <w:left w:val="single" w:sz="12" w:space="0" w:color="D2D2D2"/>
              <w:right w:val="single" w:sz="4" w:space="0" w:color="000000"/>
            </w:tcBorders>
          </w:tcPr>
          <w:p>
            <w:pPr/>
          </w:p>
        </w:tc>
      </w:tr>
      <w:tr>
        <w:trPr>
          <w:trHeight w:val="156"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415"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 w:right="131"/>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978" w:type="dxa"/>
            <w:gridSpan w:val="2"/>
            <w:vMerge/>
            <w:tcBorders>
              <w:left w:val="single" w:sz="9" w:space="0" w:color="D2D2D2"/>
              <w:right w:val="single" w:sz="10" w:space="0" w:color="D2D2D2"/>
            </w:tcBorders>
          </w:tcPr>
          <w:p>
            <w:pPr/>
          </w:p>
        </w:tc>
        <w:tc>
          <w:tcPr>
            <w:tcW w:w="1432" w:type="dxa"/>
            <w:gridSpan w:val="2"/>
            <w:vMerge/>
            <w:tcBorders>
              <w:left w:val="single" w:sz="4" w:space="0" w:color="000000"/>
              <w:right w:val="single" w:sz="4" w:space="0" w:color="000000"/>
            </w:tcBorders>
            <w:shd w:val="clear" w:color="auto" w:fill="D2D2D2"/>
          </w:tcPr>
          <w:p>
            <w:pPr/>
          </w:p>
        </w:tc>
        <w:tc>
          <w:tcPr>
            <w:tcW w:w="961" w:type="dxa"/>
            <w:gridSpan w:val="2"/>
            <w:vMerge/>
            <w:tcBorders>
              <w:left w:val="single" w:sz="9" w:space="0" w:color="D2D2D2"/>
              <w:right w:val="single" w:sz="13" w:space="0" w:color="D2D2D2"/>
            </w:tcBorders>
          </w:tcPr>
          <w:p>
            <w:pPr/>
          </w:p>
        </w:tc>
        <w:tc>
          <w:tcPr>
            <w:tcW w:w="1449" w:type="dxa"/>
            <w:gridSpan w:val="3"/>
            <w:vMerge/>
            <w:tcBorders>
              <w:left w:val="single" w:sz="4" w:space="0" w:color="000000"/>
              <w:right w:val="single" w:sz="4" w:space="0" w:color="000000"/>
            </w:tcBorders>
            <w:shd w:val="clear" w:color="auto" w:fill="D2D2D2"/>
          </w:tcPr>
          <w:p>
            <w:pPr/>
          </w:p>
        </w:tc>
        <w:tc>
          <w:tcPr>
            <w:tcW w:w="932" w:type="dxa"/>
            <w:vMerge/>
            <w:tcBorders>
              <w:left w:val="single" w:sz="12" w:space="0" w:color="D2D2D2"/>
              <w:right w:val="single" w:sz="4" w:space="0" w:color="000000"/>
            </w:tcBorders>
          </w:tcPr>
          <w:p>
            <w:pPr/>
          </w:p>
        </w:tc>
      </w:tr>
      <w:tr>
        <w:trPr>
          <w:trHeight w:val="703"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7" w:type="dxa"/>
            <w:gridSpan w:val="2"/>
            <w:vMerge/>
            <w:tcBorders>
              <w:left w:val="single" w:sz="9" w:space="0" w:color="D2D2D2"/>
              <w:right w:val="single" w:sz="9" w:space="0" w:color="D2D2D2"/>
            </w:tcBorders>
          </w:tcPr>
          <w:p>
            <w:pPr/>
          </w:p>
        </w:tc>
        <w:tc>
          <w:tcPr>
            <w:tcW w:w="1415" w:type="dxa"/>
            <w:gridSpan w:val="3"/>
            <w:vMerge/>
            <w:tcBorders>
              <w:left w:val="single" w:sz="4" w:space="0" w:color="000000"/>
              <w:right w:val="single" w:sz="4" w:space="0" w:color="000000"/>
            </w:tcBorders>
            <w:shd w:val="clear" w:color="auto" w:fill="D2D2D2"/>
          </w:tcPr>
          <w:p>
            <w:pPr/>
          </w:p>
        </w:tc>
        <w:tc>
          <w:tcPr>
            <w:tcW w:w="978" w:type="dxa"/>
            <w:gridSpan w:val="2"/>
            <w:vMerge/>
            <w:tcBorders>
              <w:left w:val="single" w:sz="9" w:space="0" w:color="D2D2D2"/>
              <w:right w:val="single" w:sz="10" w:space="0" w:color="D2D2D2"/>
            </w:tcBorders>
          </w:tcPr>
          <w:p>
            <w:pPr/>
          </w:p>
        </w:tc>
        <w:tc>
          <w:tcPr>
            <w:tcW w:w="1432" w:type="dxa"/>
            <w:gridSpan w:val="2"/>
            <w:vMerge/>
            <w:tcBorders>
              <w:left w:val="single" w:sz="4" w:space="0" w:color="000000"/>
              <w:right w:val="single" w:sz="4" w:space="0" w:color="000000"/>
            </w:tcBorders>
            <w:shd w:val="clear" w:color="auto" w:fill="D2D2D2"/>
          </w:tcPr>
          <w:p>
            <w:pPr/>
          </w:p>
        </w:tc>
        <w:tc>
          <w:tcPr>
            <w:tcW w:w="961" w:type="dxa"/>
            <w:gridSpan w:val="2"/>
            <w:vMerge/>
            <w:tcBorders>
              <w:left w:val="single" w:sz="9" w:space="0" w:color="D2D2D2"/>
              <w:right w:val="single" w:sz="13" w:space="0" w:color="D2D2D2"/>
            </w:tcBorders>
          </w:tcPr>
          <w:p>
            <w:pPr/>
          </w:p>
        </w:tc>
        <w:tc>
          <w:tcPr>
            <w:tcW w:w="1449" w:type="dxa"/>
            <w:gridSpan w:val="3"/>
            <w:vMerge/>
            <w:tcBorders>
              <w:left w:val="single" w:sz="4" w:space="0" w:color="000000"/>
              <w:right w:val="single" w:sz="4" w:space="0" w:color="000000"/>
            </w:tcBorders>
            <w:shd w:val="clear" w:color="auto" w:fill="D2D2D2"/>
          </w:tcPr>
          <w:p>
            <w:pPr/>
          </w:p>
        </w:tc>
        <w:tc>
          <w:tcPr>
            <w:tcW w:w="932" w:type="dxa"/>
            <w:vMerge/>
            <w:tcBorders>
              <w:left w:val="single" w:sz="12" w:space="0" w:color="D2D2D2"/>
              <w:right w:val="single" w:sz="4" w:space="0" w:color="000000"/>
            </w:tcBorders>
          </w:tcPr>
          <w:p>
            <w:pPr/>
          </w:p>
        </w:tc>
      </w:tr>
      <w:tr>
        <w:trPr>
          <w:trHeight w:val="156"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415" w:type="dxa"/>
            <w:gridSpan w:val="3"/>
            <w:vMerge/>
            <w:tcBorders>
              <w:left w:val="single" w:sz="4" w:space="0" w:color="000000"/>
              <w:bottom w:val="nil" w:sz="6" w:space="0" w:color="auto"/>
              <w:right w:val="single" w:sz="4" w:space="0" w:color="000000"/>
            </w:tcBorders>
            <w:shd w:val="clear" w:color="auto" w:fill="D2D2D2"/>
          </w:tcPr>
          <w:p>
            <w:pPr/>
          </w:p>
        </w:tc>
        <w:tc>
          <w:tcPr>
            <w:tcW w:w="978" w:type="dxa"/>
            <w:gridSpan w:val="2"/>
            <w:vMerge/>
            <w:tcBorders>
              <w:left w:val="single" w:sz="9" w:space="0" w:color="D2D2D2"/>
              <w:right w:val="single" w:sz="10" w:space="0" w:color="D2D2D2"/>
            </w:tcBorders>
          </w:tcPr>
          <w:p>
            <w:pPr/>
          </w:p>
        </w:tc>
        <w:tc>
          <w:tcPr>
            <w:tcW w:w="1432" w:type="dxa"/>
            <w:gridSpan w:val="2"/>
            <w:vMerge/>
            <w:tcBorders>
              <w:left w:val="single" w:sz="4" w:space="0" w:color="000000"/>
              <w:right w:val="single" w:sz="4" w:space="0" w:color="000000"/>
            </w:tcBorders>
            <w:shd w:val="clear" w:color="auto" w:fill="D2D2D2"/>
          </w:tcPr>
          <w:p>
            <w:pPr/>
          </w:p>
        </w:tc>
        <w:tc>
          <w:tcPr>
            <w:tcW w:w="961" w:type="dxa"/>
            <w:gridSpan w:val="2"/>
            <w:vMerge/>
            <w:tcBorders>
              <w:left w:val="single" w:sz="9" w:space="0" w:color="D2D2D2"/>
              <w:right w:val="single" w:sz="13" w:space="0" w:color="D2D2D2"/>
            </w:tcBorders>
          </w:tcPr>
          <w:p>
            <w:pPr/>
          </w:p>
        </w:tc>
        <w:tc>
          <w:tcPr>
            <w:tcW w:w="1449" w:type="dxa"/>
            <w:gridSpan w:val="3"/>
            <w:vMerge/>
            <w:tcBorders>
              <w:left w:val="single" w:sz="4" w:space="0" w:color="000000"/>
              <w:right w:val="single" w:sz="4" w:space="0" w:color="000000"/>
            </w:tcBorders>
            <w:shd w:val="clear" w:color="auto" w:fill="D2D2D2"/>
          </w:tcPr>
          <w:p>
            <w:pPr/>
          </w:p>
        </w:tc>
        <w:tc>
          <w:tcPr>
            <w:tcW w:w="932" w:type="dxa"/>
            <w:vMerge/>
            <w:tcBorders>
              <w:left w:val="single" w:sz="12" w:space="0" w:color="D2D2D2"/>
              <w:right w:val="single" w:sz="4" w:space="0" w:color="000000"/>
            </w:tcBorders>
          </w:tcPr>
          <w:p>
            <w:pP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415" w:type="dxa"/>
            <w:gridSpan w:val="3"/>
            <w:vMerge w:val="restart"/>
            <w:tcBorders>
              <w:top w:val="nil" w:sz="6" w:space="0" w:color="auto"/>
              <w:left w:val="single" w:sz="4" w:space="0" w:color="000000"/>
              <w:right w:val="single" w:sz="4" w:space="0" w:color="000000"/>
            </w:tcBorders>
            <w:shd w:val="clear" w:color="auto" w:fill="D2D2D2"/>
          </w:tcPr>
          <w:p>
            <w:pPr/>
          </w:p>
        </w:tc>
        <w:tc>
          <w:tcPr>
            <w:tcW w:w="978" w:type="dxa"/>
            <w:gridSpan w:val="2"/>
            <w:vMerge/>
            <w:tcBorders>
              <w:left w:val="single" w:sz="9" w:space="0" w:color="D2D2D2"/>
              <w:right w:val="single" w:sz="10" w:space="0" w:color="D2D2D2"/>
            </w:tcBorders>
          </w:tcPr>
          <w:p>
            <w:pPr/>
          </w:p>
        </w:tc>
        <w:tc>
          <w:tcPr>
            <w:tcW w:w="1432" w:type="dxa"/>
            <w:gridSpan w:val="2"/>
            <w:vMerge/>
            <w:tcBorders>
              <w:left w:val="single" w:sz="4" w:space="0" w:color="000000"/>
              <w:bottom w:val="nil" w:sz="6" w:space="0" w:color="auto"/>
              <w:right w:val="single" w:sz="4" w:space="0" w:color="000000"/>
            </w:tcBorders>
            <w:shd w:val="clear" w:color="auto" w:fill="D2D2D2"/>
          </w:tcPr>
          <w:p>
            <w:pPr/>
          </w:p>
        </w:tc>
        <w:tc>
          <w:tcPr>
            <w:tcW w:w="961" w:type="dxa"/>
            <w:gridSpan w:val="2"/>
            <w:vMerge/>
            <w:tcBorders>
              <w:left w:val="single" w:sz="9" w:space="0" w:color="D2D2D2"/>
              <w:right w:val="single" w:sz="13" w:space="0" w:color="D2D2D2"/>
            </w:tcBorders>
          </w:tcPr>
          <w:p>
            <w:pPr/>
          </w:p>
        </w:tc>
        <w:tc>
          <w:tcPr>
            <w:tcW w:w="1449" w:type="dxa"/>
            <w:gridSpan w:val="3"/>
            <w:vMerge/>
            <w:tcBorders>
              <w:left w:val="single" w:sz="4" w:space="0" w:color="000000"/>
              <w:right w:val="single" w:sz="4" w:space="0" w:color="000000"/>
            </w:tcBorders>
            <w:shd w:val="clear" w:color="auto" w:fill="D2D2D2"/>
          </w:tcPr>
          <w:p>
            <w:pPr/>
          </w:p>
        </w:tc>
        <w:tc>
          <w:tcPr>
            <w:tcW w:w="932" w:type="dxa"/>
            <w:vMerge/>
            <w:tcBorders>
              <w:left w:val="single" w:sz="12" w:space="0" w:color="D2D2D2"/>
              <w:right w:val="single" w:sz="4" w:space="0" w:color="000000"/>
            </w:tcBorders>
          </w:tcPr>
          <w:p>
            <w:pPr/>
          </w:p>
        </w:tc>
      </w:tr>
      <w:tr>
        <w:trPr>
          <w:trHeight w:val="166"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07" w:type="dxa"/>
            <w:gridSpan w:val="2"/>
            <w:vMerge/>
            <w:tcBorders>
              <w:left w:val="single" w:sz="9" w:space="0" w:color="D2D2D2"/>
              <w:bottom w:val="single" w:sz="4" w:space="0" w:color="000000"/>
              <w:right w:val="single" w:sz="9" w:space="0" w:color="D2D2D2"/>
            </w:tcBorders>
          </w:tcPr>
          <w:p>
            <w:pPr/>
          </w:p>
        </w:tc>
        <w:tc>
          <w:tcPr>
            <w:tcW w:w="1415" w:type="dxa"/>
            <w:gridSpan w:val="3"/>
            <w:vMerge/>
            <w:tcBorders>
              <w:left w:val="single" w:sz="4" w:space="0" w:color="000000"/>
              <w:bottom w:val="single" w:sz="4" w:space="0" w:color="000000"/>
              <w:right w:val="single" w:sz="4" w:space="0" w:color="000000"/>
            </w:tcBorders>
            <w:shd w:val="clear" w:color="auto" w:fill="D2D2D2"/>
          </w:tcPr>
          <w:p>
            <w:pPr/>
          </w:p>
        </w:tc>
        <w:tc>
          <w:tcPr>
            <w:tcW w:w="978" w:type="dxa"/>
            <w:gridSpan w:val="2"/>
            <w:vMerge/>
            <w:tcBorders>
              <w:left w:val="single" w:sz="9" w:space="0" w:color="D2D2D2"/>
              <w:bottom w:val="single" w:sz="4" w:space="0" w:color="000000"/>
              <w:right w:val="single" w:sz="10" w:space="0" w:color="D2D2D2"/>
            </w:tcBorders>
          </w:tcPr>
          <w:p>
            <w:pPr/>
          </w:p>
        </w:tc>
        <w:tc>
          <w:tcPr>
            <w:tcW w:w="143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61" w:type="dxa"/>
            <w:gridSpan w:val="2"/>
            <w:vMerge/>
            <w:tcBorders>
              <w:left w:val="single" w:sz="9" w:space="0" w:color="D2D2D2"/>
              <w:bottom w:val="single" w:sz="4" w:space="0" w:color="000000"/>
              <w:right w:val="single" w:sz="13" w:space="0" w:color="D2D2D2"/>
            </w:tcBorders>
          </w:tcPr>
          <w:p>
            <w:pPr/>
          </w:p>
        </w:tc>
        <w:tc>
          <w:tcPr>
            <w:tcW w:w="1449" w:type="dxa"/>
            <w:gridSpan w:val="3"/>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12" w:space="0" w:color="D2D2D2"/>
              <w:bottom w:val="single" w:sz="4" w:space="0" w:color="000000"/>
              <w:right w:val="single" w:sz="4" w:space="0" w:color="000000"/>
            </w:tcBorders>
          </w:tcPr>
          <w:p>
            <w:pPr/>
          </w:p>
        </w:tc>
      </w:tr>
      <w:tr>
        <w:trPr>
          <w:trHeight w:val="394" w:hRule="exact"/>
        </w:trPr>
        <w:tc>
          <w:tcPr>
            <w:tcW w:w="9571" w:type="dxa"/>
            <w:gridSpan w:val="1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702" w:type="dxa"/>
            <w:gridSpan w:val="2"/>
            <w:vMerge w:val="restart"/>
            <w:tcBorders>
              <w:top w:val="single" w:sz="4" w:space="0" w:color="000000"/>
              <w:left w:val="single" w:sz="4" w:space="0" w:color="000000"/>
              <w:right w:val="single" w:sz="4" w:space="0" w:color="000000"/>
            </w:tcBorders>
            <w:shd w:val="clear" w:color="auto" w:fill="D2D2D2"/>
          </w:tcPr>
          <w:p>
            <w:pPr/>
          </w:p>
        </w:tc>
        <w:tc>
          <w:tcPr>
            <w:tcW w:w="1133" w:type="dxa"/>
            <w:gridSpan w:val="2"/>
            <w:vMerge w:val="restart"/>
            <w:tcBorders>
              <w:top w:val="single" w:sz="4" w:space="0" w:color="000000"/>
              <w:left w:val="single" w:sz="4" w:space="0" w:color="000000"/>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60" w:right="60"/>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99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40" w:right="38"/>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113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112" w:right="108"/>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205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6"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702" w:type="dxa"/>
            <w:gridSpan w:val="2"/>
            <w:vMerge/>
            <w:tcBorders>
              <w:left w:val="single" w:sz="4" w:space="0" w:color="000000"/>
              <w:bottom w:val="nil" w:sz="6" w:space="0" w:color="auto"/>
              <w:right w:val="single" w:sz="4" w:space="0" w:color="000000"/>
            </w:tcBorders>
            <w:shd w:val="clear" w:color="auto" w:fill="D2D2D2"/>
          </w:tcPr>
          <w:p>
            <w:pPr/>
          </w:p>
        </w:tc>
        <w:tc>
          <w:tcPr>
            <w:tcW w:w="1133" w:type="dxa"/>
            <w:gridSpan w:val="2"/>
            <w:vMerge/>
            <w:tcBorders>
              <w:left w:val="single" w:sz="4" w:space="0" w:color="000000"/>
              <w:bottom w:val="nil" w:sz="6" w:space="0" w:color="auto"/>
              <w:right w:val="single" w:sz="4" w:space="0" w:color="000000"/>
            </w:tcBorders>
            <w:shd w:val="clear" w:color="auto" w:fill="D2D2D2"/>
          </w:tcPr>
          <w:p>
            <w:pP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259" w:right="79"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99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220" w:right="38"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852" w:type="dxa"/>
            <w:gridSpan w:val="2"/>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1133" w:type="dxa"/>
            <w:gridSpan w:val="2"/>
            <w:vMerge/>
            <w:tcBorders>
              <w:left w:val="single" w:sz="4" w:space="0" w:color="000000"/>
              <w:right w:val="single" w:sz="4" w:space="0" w:color="000000"/>
            </w:tcBorders>
            <w:shd w:val="clear" w:color="auto" w:fill="D2D2D2"/>
          </w:tcPr>
          <w:p>
            <w:pPr/>
          </w:p>
        </w:tc>
        <w:tc>
          <w:tcPr>
            <w:tcW w:w="2057" w:type="dxa"/>
            <w:gridSpan w:val="3"/>
            <w:vMerge/>
            <w:tcBorders>
              <w:left w:val="single" w:sz="4" w:space="0" w:color="000000"/>
              <w:right w:val="single" w:sz="4" w:space="0" w:color="000000"/>
            </w:tcBorders>
            <w:shd w:val="clear" w:color="auto" w:fill="D2D2D2"/>
          </w:tcPr>
          <w:p>
            <w:pPr/>
          </w:p>
        </w:tc>
      </w:tr>
      <w:tr>
        <w:trPr>
          <w:trHeight w:val="140" w:hRule="exact"/>
        </w:trPr>
        <w:tc>
          <w:tcPr>
            <w:tcW w:w="170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8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3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10" w:type="dxa"/>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852" w:type="dxa"/>
            <w:gridSpan w:val="2"/>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1133" w:type="dxa"/>
            <w:gridSpan w:val="2"/>
            <w:vMerge/>
            <w:tcBorders>
              <w:left w:val="single" w:sz="4" w:space="0" w:color="000000"/>
              <w:right w:val="single" w:sz="4" w:space="0" w:color="000000"/>
            </w:tcBorders>
            <w:shd w:val="clear" w:color="auto" w:fill="D2D2D2"/>
          </w:tcPr>
          <w:p>
            <w:pPr/>
          </w:p>
        </w:tc>
        <w:tc>
          <w:tcPr>
            <w:tcW w:w="2057" w:type="dxa"/>
            <w:gridSpan w:val="3"/>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702" w:type="dxa"/>
            <w:gridSpan w:val="2"/>
            <w:vMerge/>
            <w:tcBorders>
              <w:left w:val="single" w:sz="4" w:space="0" w:color="000000"/>
              <w:bottom w:val="nil" w:sz="6" w:space="0" w:color="auto"/>
              <w:right w:val="single" w:sz="4" w:space="0" w:color="000000"/>
            </w:tcBorders>
            <w:shd w:val="clear" w:color="auto" w:fill="D2D2D2"/>
          </w:tcPr>
          <w:p>
            <w:pPr/>
          </w:p>
        </w:tc>
        <w:tc>
          <w:tcPr>
            <w:tcW w:w="1133" w:type="dxa"/>
            <w:gridSpan w:val="2"/>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852" w:type="dxa"/>
            <w:gridSpan w:val="2"/>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1133" w:type="dxa"/>
            <w:gridSpan w:val="2"/>
            <w:vMerge/>
            <w:tcBorders>
              <w:left w:val="single" w:sz="4" w:space="0" w:color="000000"/>
              <w:right w:val="single" w:sz="4" w:space="0" w:color="000000"/>
            </w:tcBorders>
            <w:shd w:val="clear" w:color="auto" w:fill="D2D2D2"/>
          </w:tcPr>
          <w:p>
            <w:pPr/>
          </w:p>
        </w:tc>
        <w:tc>
          <w:tcPr>
            <w:tcW w:w="8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62"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20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702" w:type="dxa"/>
            <w:gridSpan w:val="2"/>
            <w:vMerge w:val="restart"/>
            <w:tcBorders>
              <w:top w:val="nil" w:sz="6" w:space="0" w:color="auto"/>
              <w:left w:val="single" w:sz="4" w:space="0" w:color="000000"/>
              <w:right w:val="single" w:sz="4" w:space="0" w:color="000000"/>
            </w:tcBorders>
            <w:shd w:val="clear" w:color="auto" w:fill="D2D2D2"/>
          </w:tcPr>
          <w:p>
            <w:pPr/>
          </w:p>
        </w:tc>
        <w:tc>
          <w:tcPr>
            <w:tcW w:w="1133" w:type="dxa"/>
            <w:gridSpan w:val="2"/>
            <w:vMerge w:val="restart"/>
            <w:tcBorders>
              <w:top w:val="nil" w:sz="6" w:space="0" w:color="auto"/>
              <w:left w:val="single" w:sz="4" w:space="0" w:color="000000"/>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991" w:type="dxa"/>
            <w:gridSpan w:val="2"/>
            <w:vMerge/>
            <w:tcBorders>
              <w:left w:val="single" w:sz="4" w:space="0" w:color="000000"/>
              <w:bottom w:val="nil" w:sz="6" w:space="0" w:color="auto"/>
              <w:right w:val="single" w:sz="4" w:space="0" w:color="000000"/>
            </w:tcBorders>
            <w:shd w:val="clear" w:color="auto" w:fill="D2D2D2"/>
          </w:tcPr>
          <w:p>
            <w:pPr/>
          </w:p>
        </w:tc>
        <w:tc>
          <w:tcPr>
            <w:tcW w:w="852" w:type="dxa"/>
            <w:gridSpan w:val="2"/>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1133" w:type="dxa"/>
            <w:gridSpan w:val="2"/>
            <w:vMerge/>
            <w:tcBorders>
              <w:left w:val="single" w:sz="4" w:space="0" w:color="000000"/>
              <w:right w:val="single" w:sz="4" w:space="0" w:color="000000"/>
            </w:tcBorders>
            <w:shd w:val="clear" w:color="auto" w:fill="D2D2D2"/>
          </w:tcPr>
          <w:p>
            <w:pPr/>
          </w:p>
        </w:tc>
        <w:tc>
          <w:tcPr>
            <w:tcW w:w="853" w:type="dxa"/>
            <w:vMerge/>
            <w:tcBorders>
              <w:left w:val="single" w:sz="4" w:space="0" w:color="000000"/>
              <w:right w:val="single" w:sz="4" w:space="0" w:color="000000"/>
            </w:tcBorders>
            <w:shd w:val="clear" w:color="auto" w:fill="D2D2D2"/>
          </w:tcPr>
          <w:p>
            <w:pPr/>
          </w:p>
        </w:tc>
        <w:tc>
          <w:tcPr>
            <w:tcW w:w="1205" w:type="dxa"/>
            <w:gridSpan w:val="2"/>
            <w:vMerge/>
            <w:tcBorders>
              <w:left w:val="single" w:sz="4" w:space="0" w:color="000000"/>
              <w:right w:val="single" w:sz="4" w:space="0" w:color="000000"/>
            </w:tcBorders>
            <w:shd w:val="clear" w:color="auto" w:fill="D2D2D2"/>
          </w:tcPr>
          <w:p>
            <w:pPr/>
          </w:p>
        </w:tc>
      </w:tr>
      <w:tr>
        <w:trPr>
          <w:trHeight w:val="161" w:hRule="exact"/>
        </w:trPr>
        <w:tc>
          <w:tcPr>
            <w:tcW w:w="1702" w:type="dxa"/>
            <w:gridSpan w:val="2"/>
            <w:vMerge/>
            <w:tcBorders>
              <w:left w:val="single" w:sz="4" w:space="0" w:color="000000"/>
              <w:bottom w:val="single" w:sz="4" w:space="0" w:color="000000"/>
              <w:right w:val="single" w:sz="4" w:space="0" w:color="000000"/>
            </w:tcBorders>
            <w:shd w:val="clear" w:color="auto" w:fill="D2D2D2"/>
          </w:tcPr>
          <w:p>
            <w:pPr/>
          </w:p>
        </w:tc>
        <w:tc>
          <w:tcPr>
            <w:tcW w:w="1133" w:type="dxa"/>
            <w:gridSpan w:val="2"/>
            <w:vMerge/>
            <w:tcBorders>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gridSpan w:val="2"/>
            <w:vMerge/>
            <w:tcBorders>
              <w:left w:val="single" w:sz="4" w:space="0" w:color="000000"/>
              <w:bottom w:val="single" w:sz="4" w:space="0" w:color="000000"/>
              <w:right w:val="single" w:sz="4" w:space="0" w:color="000000"/>
            </w:tcBorders>
            <w:shd w:val="clear" w:color="auto" w:fill="D2D2D2"/>
          </w:tcPr>
          <w:p>
            <w:pPr/>
          </w:p>
        </w:tc>
        <w:tc>
          <w:tcPr>
            <w:tcW w:w="991" w:type="dxa"/>
            <w:gridSpan w:val="2"/>
            <w:vMerge/>
            <w:tcBorders>
              <w:left w:val="single" w:sz="4" w:space="0" w:color="000000"/>
              <w:bottom w:val="single" w:sz="4" w:space="0" w:color="000000"/>
              <w:right w:val="single" w:sz="4" w:space="0" w:color="000000"/>
            </w:tcBorders>
            <w:shd w:val="clear" w:color="auto" w:fill="D2D2D2"/>
          </w:tcPr>
          <w:p>
            <w:pPr/>
          </w:p>
        </w:tc>
        <w:tc>
          <w:tcPr>
            <w:tcW w:w="1133" w:type="dxa"/>
            <w:gridSpan w:val="2"/>
            <w:vMerge/>
            <w:tcBorders>
              <w:left w:val="single" w:sz="4" w:space="0" w:color="000000"/>
              <w:bottom w:val="single" w:sz="4" w:space="0" w:color="000000"/>
              <w:right w:val="single" w:sz="4" w:space="0" w:color="000000"/>
            </w:tcBorders>
            <w:shd w:val="clear" w:color="auto" w:fill="D2D2D2"/>
          </w:tcPr>
          <w:p>
            <w:pPr/>
          </w:p>
        </w:tc>
        <w:tc>
          <w:tcPr>
            <w:tcW w:w="853" w:type="dxa"/>
            <w:vMerge/>
            <w:tcBorders>
              <w:left w:val="single" w:sz="4" w:space="0" w:color="000000"/>
              <w:bottom w:val="single" w:sz="4" w:space="0" w:color="000000"/>
              <w:right w:val="single" w:sz="4" w:space="0" w:color="000000"/>
            </w:tcBorders>
            <w:shd w:val="clear" w:color="auto" w:fill="D2D2D2"/>
          </w:tcPr>
          <w:p>
            <w:pPr/>
          </w:p>
        </w:tc>
        <w:tc>
          <w:tcPr>
            <w:tcW w:w="1205" w:type="dxa"/>
            <w:gridSpan w:val="2"/>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吴培服</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27.32%</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315,946,969</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236,960,226</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78,986,743</w:t>
            </w:r>
          </w:p>
        </w:tc>
        <w:tc>
          <w:tcPr>
            <w:tcW w:w="853" w:type="dxa"/>
            <w:tcBorders>
              <w:top w:val="single" w:sz="44" w:space="0" w:color="D2D2D2"/>
              <w:left w:val="single" w:sz="4" w:space="0" w:color="000000"/>
              <w:bottom w:val="single" w:sz="4" w:space="0" w:color="000000"/>
              <w:right w:val="single" w:sz="4" w:space="0" w:color="000000"/>
            </w:tcBorders>
          </w:tcPr>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205" w:type="dxa"/>
            <w:gridSpan w:val="2"/>
            <w:tcBorders>
              <w:top w:val="single" w:sz="44" w:space="0" w:color="D2D2D2"/>
              <w:left w:val="single" w:sz="4" w:space="0" w:color="000000"/>
              <w:bottom w:val="single" w:sz="4" w:space="0" w:color="000000"/>
              <w:right w:val="single" w:sz="4" w:space="0" w:color="000000"/>
            </w:tcBorders>
          </w:tcPr>
          <w:p>
            <w:pPr>
              <w:pStyle w:val="TableParagraph"/>
              <w:spacing w:line="240" w:lineRule="auto" w:before="40"/>
              <w:ind w:left="271" w:right="0"/>
              <w:jc w:val="left"/>
              <w:rPr>
                <w:rFonts w:ascii="Times New Roman" w:hAnsi="Times New Roman" w:cs="Times New Roman" w:eastAsia="Times New Roman" w:hint="default"/>
                <w:sz w:val="18"/>
                <w:szCs w:val="18"/>
              </w:rPr>
            </w:pPr>
            <w:r>
              <w:rPr>
                <w:rFonts w:ascii="Times New Roman"/>
                <w:sz w:val="18"/>
              </w:rPr>
              <w:t>182,000,000</w:t>
            </w:r>
          </w:p>
        </w:tc>
      </w:tr>
      <w:tr>
        <w:trPr>
          <w:trHeight w:val="401" w:hRule="exact"/>
        </w:trPr>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吴迪</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5.82%</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67,255,646</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67,223,146</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7" w:right="0"/>
              <w:jc w:val="left"/>
              <w:rPr>
                <w:rFonts w:ascii="Times New Roman" w:hAnsi="Times New Roman" w:cs="Times New Roman" w:eastAsia="Times New Roman" w:hint="default"/>
                <w:sz w:val="18"/>
                <w:szCs w:val="18"/>
              </w:rPr>
            </w:pPr>
            <w:r>
              <w:rPr>
                <w:rFonts w:ascii="Times New Roman"/>
                <w:sz w:val="18"/>
              </w:rPr>
              <w:t>32,500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205" w:type="dxa"/>
            <w:gridSpan w:val="2"/>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6"/>
              <w:jc w:val="left"/>
              <w:rPr>
                <w:rFonts w:ascii="宋体" w:hAnsi="宋体" w:cs="宋体" w:eastAsia="宋体" w:hint="default"/>
                <w:sz w:val="18"/>
                <w:szCs w:val="18"/>
              </w:rPr>
            </w:pPr>
            <w:r>
              <w:rPr>
                <w:rFonts w:ascii="宋体" w:hAnsi="宋体" w:cs="宋体" w:eastAsia="宋体" w:hint="default"/>
                <w:sz w:val="18"/>
                <w:szCs w:val="18"/>
              </w:rPr>
              <w:t>宿迁市迪智成投资咨 询有限公司</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5.26%</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60,840,000</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60,840,000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2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46,150,000</w:t>
            </w:r>
          </w:p>
        </w:tc>
      </w:tr>
      <w:tr>
        <w:trPr>
          <w:trHeight w:val="713" w:hRule="exact"/>
        </w:trPr>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7"/>
              <w:jc w:val="left"/>
              <w:rPr>
                <w:rFonts w:ascii="宋体" w:hAnsi="宋体" w:cs="宋体" w:eastAsia="宋体" w:hint="default"/>
                <w:sz w:val="18"/>
                <w:szCs w:val="18"/>
              </w:rPr>
            </w:pPr>
            <w:r>
              <w:rPr>
                <w:rFonts w:ascii="宋体" w:hAnsi="宋体" w:cs="宋体" w:eastAsia="宋体" w:hint="default"/>
                <w:sz w:val="18"/>
                <w:szCs w:val="18"/>
              </w:rPr>
              <w:t>宿迁市启恒投资有限 公司</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5.26%</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60,840,000</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60,840,000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2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58,600,000</w:t>
            </w:r>
          </w:p>
        </w:tc>
      </w:tr>
      <w:tr>
        <w:trPr>
          <w:trHeight w:val="403" w:hRule="exact"/>
        </w:trPr>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吕志炎</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2.99%</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34,529,057</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30,414,630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4,114,427</w:t>
            </w:r>
          </w:p>
        </w:tc>
        <w:tc>
          <w:tcPr>
            <w:tcW w:w="853" w:type="dxa"/>
            <w:tcBorders>
              <w:top w:val="single" w:sz="4" w:space="0" w:color="000000"/>
              <w:left w:val="single" w:sz="4" w:space="0" w:color="000000"/>
              <w:bottom w:val="single" w:sz="4" w:space="0" w:color="000000"/>
              <w:right w:val="single" w:sz="4" w:space="0" w:color="000000"/>
            </w:tcBorders>
          </w:tcPr>
          <w:p>
            <w:pPr/>
          </w:p>
        </w:tc>
        <w:tc>
          <w:tcPr>
            <w:tcW w:w="1205" w:type="dxa"/>
            <w:gridSpan w:val="2"/>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6"/>
              <w:jc w:val="both"/>
              <w:rPr>
                <w:rFonts w:ascii="宋体" w:hAnsi="宋体" w:cs="宋体" w:eastAsia="宋体" w:hint="default"/>
                <w:sz w:val="18"/>
                <w:szCs w:val="18"/>
              </w:rPr>
            </w:pPr>
            <w:r>
              <w:rPr>
                <w:rFonts w:ascii="宋体" w:hAnsi="宋体" w:cs="宋体" w:eastAsia="宋体" w:hint="default"/>
                <w:sz w:val="18"/>
                <w:szCs w:val="18"/>
              </w:rPr>
              <w:t>交通银行股份有限公 司－汇丰晋信双核策 略混合型证券投资基 金</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2.97%</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34,397,556</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34,397,556</w:t>
            </w:r>
          </w:p>
        </w:tc>
        <w:tc>
          <w:tcPr>
            <w:tcW w:w="853" w:type="dxa"/>
            <w:tcBorders>
              <w:top w:val="single" w:sz="4" w:space="0" w:color="000000"/>
              <w:left w:val="single" w:sz="4" w:space="0" w:color="000000"/>
              <w:bottom w:val="single" w:sz="4" w:space="0" w:color="000000"/>
              <w:right w:val="single" w:sz="4" w:space="0" w:color="000000"/>
            </w:tcBorders>
          </w:tcPr>
          <w:p>
            <w:pPr/>
          </w:p>
        </w:tc>
        <w:tc>
          <w:tcPr>
            <w:tcW w:w="1205" w:type="dxa"/>
            <w:gridSpan w:val="2"/>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47"/>
              <w:jc w:val="left"/>
              <w:rPr>
                <w:rFonts w:ascii="宋体" w:hAnsi="宋体" w:cs="宋体" w:eastAsia="宋体" w:hint="default"/>
                <w:sz w:val="18"/>
                <w:szCs w:val="18"/>
              </w:rPr>
            </w:pPr>
            <w:r>
              <w:rPr>
                <w:rFonts w:ascii="宋体" w:hAnsi="宋体" w:cs="宋体" w:eastAsia="宋体" w:hint="default"/>
                <w:sz w:val="18"/>
                <w:szCs w:val="18"/>
              </w:rPr>
              <w:t>交通银行股份有限公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汇丰晋信大盘股 票型证券投资基金</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31,203,461</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31,203,461</w:t>
            </w:r>
          </w:p>
        </w:tc>
        <w:tc>
          <w:tcPr>
            <w:tcW w:w="853" w:type="dxa"/>
            <w:tcBorders>
              <w:top w:val="single" w:sz="4" w:space="0" w:color="000000"/>
              <w:left w:val="single" w:sz="4" w:space="0" w:color="000000"/>
              <w:bottom w:val="single" w:sz="4" w:space="0" w:color="000000"/>
              <w:right w:val="single" w:sz="4" w:space="0" w:color="000000"/>
            </w:tcBorders>
          </w:tcPr>
          <w:p>
            <w:pPr/>
          </w:p>
        </w:tc>
        <w:tc>
          <w:tcPr>
            <w:tcW w:w="1205" w:type="dxa"/>
            <w:gridSpan w:val="2"/>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宋体" w:hAnsi="宋体" w:cs="宋体" w:eastAsia="宋体" w:hint="default"/>
                <w:sz w:val="18"/>
                <w:szCs w:val="18"/>
              </w:rPr>
              <w:t>安信基金－招商银行</w:t>
            </w:r>
          </w:p>
          <w:p>
            <w:pPr>
              <w:pStyle w:val="TableParagraph"/>
              <w:spacing w:line="309" w:lineRule="auto" w:before="76"/>
              <w:ind w:left="24" w:right="19"/>
              <w:jc w:val="both"/>
              <w:rPr>
                <w:rFonts w:ascii="宋体" w:hAnsi="宋体" w:cs="宋体" w:eastAsia="宋体" w:hint="default"/>
                <w:sz w:val="18"/>
                <w:szCs w:val="18"/>
              </w:rPr>
            </w:pPr>
            <w:r>
              <w:rPr>
                <w:rFonts w:ascii="宋体" w:hAnsi="宋体" w:cs="宋体" w:eastAsia="宋体" w:hint="default"/>
                <w:sz w:val="18"/>
                <w:szCs w:val="18"/>
              </w:rPr>
              <w:t>－广东粤财信托－粤 财信托</w:t>
            </w:r>
            <w:r>
              <w:rPr>
                <w:rFonts w:ascii="Times New Roman" w:hAnsi="Times New Roman" w:cs="Times New Roman" w:eastAsia="Times New Roman" w:hint="default"/>
                <w:sz w:val="18"/>
                <w:szCs w:val="18"/>
              </w:rPr>
              <w:t>·</w:t>
            </w:r>
            <w:r>
              <w:rPr>
                <w:rFonts w:ascii="宋体" w:hAnsi="宋体" w:cs="宋体" w:eastAsia="宋体" w:hint="default"/>
                <w:sz w:val="18"/>
                <w:szCs w:val="18"/>
              </w:rPr>
              <w:t>菁英</w:t>
            </w:r>
            <w:r>
              <w:rPr>
                <w:rFonts w:ascii="宋体" w:hAnsi="宋体" w:cs="宋体" w:eastAsia="宋体" w:hint="default"/>
                <w:spacing w:val="-59"/>
                <w:sz w:val="18"/>
                <w:szCs w:val="18"/>
              </w:rPr>
              <w:t> </w:t>
            </w:r>
            <w:r>
              <w:rPr>
                <w:rFonts w:ascii="Times New Roman" w:hAnsi="Times New Roman" w:cs="Times New Roman" w:eastAsia="Times New Roman" w:hint="default"/>
                <w:spacing w:val="-3"/>
                <w:sz w:val="18"/>
                <w:szCs w:val="18"/>
              </w:rPr>
              <w:t>116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期单 一资金信托计划</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2.32%</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26,850,257</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26,850,257</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
        </w:tc>
        <w:tc>
          <w:tcPr>
            <w:tcW w:w="1205" w:type="dxa"/>
            <w:gridSpan w:val="2"/>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7"/>
              <w:jc w:val="left"/>
              <w:rPr>
                <w:rFonts w:ascii="宋体" w:hAnsi="宋体" w:cs="宋体" w:eastAsia="宋体" w:hint="default"/>
                <w:sz w:val="18"/>
                <w:szCs w:val="18"/>
              </w:rPr>
            </w:pPr>
            <w:r>
              <w:rPr>
                <w:rFonts w:ascii="宋体" w:hAnsi="宋体" w:cs="宋体" w:eastAsia="宋体" w:hint="default"/>
                <w:sz w:val="18"/>
                <w:szCs w:val="18"/>
              </w:rPr>
              <w:t>山东省农村经济开发 投资公司</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23,112,122</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23,112,122</w:t>
            </w:r>
          </w:p>
        </w:tc>
        <w:tc>
          <w:tcPr>
            <w:tcW w:w="853" w:type="dxa"/>
            <w:tcBorders>
              <w:top w:val="single" w:sz="4" w:space="0" w:color="000000"/>
              <w:left w:val="single" w:sz="4" w:space="0" w:color="000000"/>
              <w:bottom w:val="single" w:sz="4" w:space="0" w:color="000000"/>
              <w:right w:val="single" w:sz="4" w:space="0" w:color="000000"/>
            </w:tcBorders>
          </w:tcPr>
          <w:p>
            <w:pPr/>
          </w:p>
        </w:tc>
        <w:tc>
          <w:tcPr>
            <w:tcW w:w="1205" w:type="dxa"/>
            <w:gridSpan w:val="2"/>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702" w:type="dxa"/>
            <w:gridSpan w:val="2"/>
            <w:tcBorders>
              <w:top w:val="single" w:sz="4" w:space="0" w:color="000000"/>
              <w:left w:val="single" w:sz="4" w:space="0" w:color="000000"/>
              <w:bottom w:val="single" w:sz="12" w:space="0" w:color="D2D2D2"/>
              <w:right w:val="single" w:sz="4" w:space="0" w:color="000000"/>
            </w:tcBorders>
          </w:tcPr>
          <w:p>
            <w:pPr>
              <w:pStyle w:val="TableParagraph"/>
              <w:spacing w:line="309" w:lineRule="auto" w:before="49"/>
              <w:ind w:left="24" w:right="43"/>
              <w:jc w:val="left"/>
              <w:rPr>
                <w:rFonts w:ascii="宋体" w:hAnsi="宋体" w:cs="宋体" w:eastAsia="宋体" w:hint="default"/>
                <w:sz w:val="18"/>
                <w:szCs w:val="18"/>
              </w:rPr>
            </w:pPr>
            <w:r>
              <w:rPr>
                <w:rFonts w:ascii="宋体" w:hAnsi="宋体" w:cs="宋体" w:eastAsia="宋体" w:hint="default"/>
                <w:sz w:val="18"/>
                <w:szCs w:val="18"/>
              </w:rPr>
              <w:t>北信瑞丰基金－招商 银行－华润深国投信 托－华润信托</w:t>
            </w:r>
            <w:r>
              <w:rPr>
                <w:rFonts w:ascii="Times New Roman" w:hAnsi="Times New Roman" w:cs="Times New Roman" w:eastAsia="Times New Roman" w:hint="default"/>
                <w:sz w:val="18"/>
                <w:szCs w:val="18"/>
              </w:rPr>
              <w:t>·</w:t>
            </w:r>
            <w:r>
              <w:rPr>
                <w:rFonts w:ascii="宋体" w:hAnsi="宋体" w:cs="宋体" w:eastAsia="宋体" w:hint="default"/>
                <w:sz w:val="18"/>
                <w:szCs w:val="18"/>
              </w:rPr>
              <w:t>皓熙 定增</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号集合资金信 托计划</w:t>
            </w:r>
          </w:p>
        </w:tc>
        <w:tc>
          <w:tcPr>
            <w:tcW w:w="1133" w:type="dxa"/>
            <w:gridSpan w:val="2"/>
            <w:tcBorders>
              <w:top w:val="single" w:sz="4" w:space="0" w:color="000000"/>
              <w:left w:val="single" w:sz="4" w:space="0" w:color="000000"/>
              <w:bottom w:val="single" w:sz="12"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1.51%</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17,452,668</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17,452,668</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
        </w:tc>
        <w:tc>
          <w:tcPr>
            <w:tcW w:w="1205"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w:t>
            </w:r>
          </w:p>
        </w:tc>
        <w:tc>
          <w:tcPr>
            <w:tcW w:w="6735" w:type="dxa"/>
            <w:gridSpan w:val="1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825"/>
        <w:gridCol w:w="296"/>
        <w:gridCol w:w="3752"/>
        <w:gridCol w:w="1349"/>
        <w:gridCol w:w="1349"/>
      </w:tblGrid>
      <w:tr>
        <w:trPr>
          <w:trHeight w:val="675" w:hRule="exact"/>
        </w:trPr>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24" w:right="9"/>
              <w:jc w:val="left"/>
              <w:rPr>
                <w:rFonts w:ascii="宋体" w:hAnsi="宋体" w:cs="宋体" w:eastAsia="宋体" w:hint="default"/>
                <w:sz w:val="18"/>
                <w:szCs w:val="18"/>
              </w:rPr>
            </w:pPr>
            <w:r>
              <w:rPr>
                <w:rFonts w:ascii="宋体" w:hAnsi="宋体" w:cs="宋体" w:eastAsia="宋体" w:hint="default"/>
                <w:sz w:val="18"/>
                <w:szCs w:val="18"/>
              </w:rPr>
              <w:t>成为前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pacing w:val="-17"/>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746" w:type="dxa"/>
            <w:gridSpan w:val="4"/>
            <w:tcBorders>
              <w:top w:val="single" w:sz="4" w:space="0" w:color="000000"/>
              <w:left w:val="single" w:sz="10" w:space="0" w:color="D2D2D2"/>
              <w:bottom w:val="single" w:sz="4" w:space="0" w:color="000000"/>
              <w:right w:val="single" w:sz="4" w:space="0" w:color="000000"/>
            </w:tcBorders>
          </w:tcPr>
          <w:p>
            <w:pPr/>
          </w:p>
        </w:tc>
      </w:tr>
      <w:tr>
        <w:trPr>
          <w:trHeight w:val="713" w:hRule="exact"/>
        </w:trPr>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746" w:type="dxa"/>
            <w:gridSpan w:val="4"/>
            <w:tcBorders>
              <w:top w:val="single" w:sz="4" w:space="0" w:color="000000"/>
              <w:left w:val="single" w:sz="10" w:space="0" w:color="D2D2D2"/>
              <w:bottom w:val="single" w:sz="4" w:space="0" w:color="000000"/>
              <w:right w:val="single" w:sz="4" w:space="0" w:color="000000"/>
            </w:tcBorders>
          </w:tcPr>
          <w:p>
            <w:pPr>
              <w:pStyle w:val="TableParagraph"/>
              <w:spacing w:line="316" w:lineRule="auto" w:before="49"/>
              <w:ind w:left="27" w:right="39"/>
              <w:jc w:val="left"/>
              <w:rPr>
                <w:rFonts w:ascii="宋体" w:hAnsi="宋体" w:cs="宋体" w:eastAsia="宋体" w:hint="default"/>
                <w:sz w:val="18"/>
                <w:szCs w:val="18"/>
              </w:rPr>
            </w:pPr>
            <w:r>
              <w:rPr>
                <w:rFonts w:ascii="宋体" w:hAnsi="宋体" w:cs="宋体" w:eastAsia="宋体" w:hint="default"/>
                <w:sz w:val="18"/>
                <w:szCs w:val="18"/>
              </w:rPr>
              <w:t>吴培服为宿迁市迪智成投资咨询有限公司和宿迁市启恒投资有限公司控股股东。吴迪 为吴培服之子，视为一致行动人。</w:t>
            </w:r>
          </w:p>
        </w:tc>
      </w:tr>
      <w:tr>
        <w:trPr>
          <w:trHeight w:val="403"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312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752" w:type="dxa"/>
            <w:tcBorders>
              <w:top w:val="single" w:sz="4" w:space="0" w:color="000000"/>
              <w:left w:val="single" w:sz="4" w:space="0" w:color="000000"/>
              <w:bottom w:val="nil" w:sz="6" w:space="0" w:color="auto"/>
              <w:right w:val="single" w:sz="4" w:space="0" w:color="000000"/>
            </w:tcBorders>
            <w:shd w:val="clear" w:color="auto" w:fill="D2D2D2"/>
          </w:tcPr>
          <w:p>
            <w:pPr/>
          </w:p>
        </w:tc>
        <w:tc>
          <w:tcPr>
            <w:tcW w:w="269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0" w:hRule="exact"/>
        </w:trPr>
        <w:tc>
          <w:tcPr>
            <w:tcW w:w="312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7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3121" w:type="dxa"/>
            <w:gridSpan w:val="2"/>
            <w:vMerge/>
            <w:tcBorders>
              <w:left w:val="single" w:sz="4" w:space="0" w:color="000000"/>
              <w:bottom w:val="nil" w:sz="6" w:space="0" w:color="auto"/>
              <w:right w:val="single" w:sz="4" w:space="0" w:color="000000"/>
            </w:tcBorders>
            <w:shd w:val="clear" w:color="auto" w:fill="D2D2D2"/>
          </w:tcPr>
          <w:p>
            <w:pPr/>
          </w:p>
        </w:tc>
        <w:tc>
          <w:tcPr>
            <w:tcW w:w="3752" w:type="dxa"/>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312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7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1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吴培服</w:t>
            </w:r>
          </w:p>
        </w:tc>
        <w:tc>
          <w:tcPr>
            <w:tcW w:w="3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78,986,743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78,986,743</w:t>
            </w:r>
          </w:p>
        </w:tc>
      </w:tr>
      <w:tr>
        <w:trPr>
          <w:trHeight w:val="403" w:hRule="exact"/>
        </w:trPr>
        <w:tc>
          <w:tcPr>
            <w:tcW w:w="31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宿迁市迪智成投资咨询有限公司</w:t>
            </w:r>
          </w:p>
        </w:tc>
        <w:tc>
          <w:tcPr>
            <w:tcW w:w="3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60,840,000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60,840,000</w:t>
            </w:r>
          </w:p>
        </w:tc>
      </w:tr>
      <w:tr>
        <w:trPr>
          <w:trHeight w:val="401" w:hRule="exact"/>
        </w:trPr>
        <w:tc>
          <w:tcPr>
            <w:tcW w:w="31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宿迁市启恒投资有限公司</w:t>
            </w:r>
          </w:p>
        </w:tc>
        <w:tc>
          <w:tcPr>
            <w:tcW w:w="3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60,840,000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60,840,000</w:t>
            </w:r>
          </w:p>
        </w:tc>
      </w:tr>
      <w:tr>
        <w:trPr>
          <w:trHeight w:val="716" w:hRule="exact"/>
        </w:trPr>
        <w:tc>
          <w:tcPr>
            <w:tcW w:w="312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5"/>
              <w:jc w:val="left"/>
              <w:rPr>
                <w:rFonts w:ascii="宋体" w:hAnsi="宋体" w:cs="宋体" w:eastAsia="宋体" w:hint="default"/>
                <w:sz w:val="18"/>
                <w:szCs w:val="18"/>
              </w:rPr>
            </w:pPr>
            <w:r>
              <w:rPr>
                <w:rFonts w:ascii="宋体" w:hAnsi="宋体" w:cs="宋体" w:eastAsia="宋体" w:hint="default"/>
                <w:sz w:val="18"/>
                <w:szCs w:val="18"/>
              </w:rPr>
              <w:t>交通银行股份有限公司－汇丰晋信双核 策略混合型证券投资基金</w:t>
            </w:r>
          </w:p>
        </w:tc>
        <w:tc>
          <w:tcPr>
            <w:tcW w:w="3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34,397,556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34,397,556</w:t>
            </w:r>
          </w:p>
        </w:tc>
      </w:tr>
      <w:tr>
        <w:trPr>
          <w:trHeight w:val="713" w:hRule="exact"/>
        </w:trPr>
        <w:tc>
          <w:tcPr>
            <w:tcW w:w="312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46"/>
              <w:jc w:val="left"/>
              <w:rPr>
                <w:rFonts w:ascii="宋体" w:hAnsi="宋体" w:cs="宋体" w:eastAsia="宋体" w:hint="default"/>
                <w:sz w:val="18"/>
                <w:szCs w:val="18"/>
              </w:rPr>
            </w:pPr>
            <w:r>
              <w:rPr>
                <w:rFonts w:ascii="宋体" w:hAnsi="宋体" w:cs="宋体" w:eastAsia="宋体" w:hint="default"/>
                <w:sz w:val="18"/>
                <w:szCs w:val="18"/>
              </w:rPr>
              <w:t>交通银行股份有限公司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汇丰晋信大盘 股票型证券投资基金</w:t>
            </w:r>
          </w:p>
        </w:tc>
        <w:tc>
          <w:tcPr>
            <w:tcW w:w="3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31,203,461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31,203,461</w:t>
            </w:r>
          </w:p>
        </w:tc>
      </w:tr>
      <w:tr>
        <w:trPr>
          <w:trHeight w:val="403" w:hRule="exact"/>
        </w:trPr>
        <w:tc>
          <w:tcPr>
            <w:tcW w:w="31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山东省农村经济开发投资公司</w:t>
            </w:r>
          </w:p>
        </w:tc>
        <w:tc>
          <w:tcPr>
            <w:tcW w:w="3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23,112,122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23,112,122</w:t>
            </w:r>
          </w:p>
        </w:tc>
      </w:tr>
      <w:tr>
        <w:trPr>
          <w:trHeight w:val="713" w:hRule="exact"/>
        </w:trPr>
        <w:tc>
          <w:tcPr>
            <w:tcW w:w="312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5"/>
              <w:jc w:val="left"/>
              <w:rPr>
                <w:rFonts w:ascii="宋体" w:hAnsi="宋体" w:cs="宋体" w:eastAsia="宋体" w:hint="default"/>
                <w:sz w:val="18"/>
                <w:szCs w:val="18"/>
              </w:rPr>
            </w:pPr>
            <w:r>
              <w:rPr>
                <w:rFonts w:ascii="宋体" w:hAnsi="宋体" w:cs="宋体" w:eastAsia="宋体" w:hint="default"/>
                <w:sz w:val="18"/>
                <w:szCs w:val="18"/>
              </w:rPr>
              <w:t>平安大华基金－平安银行－平安大华沃 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号资产管理计划</w:t>
            </w:r>
          </w:p>
        </w:tc>
        <w:tc>
          <w:tcPr>
            <w:tcW w:w="3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11,274,458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11,274,458</w:t>
            </w:r>
          </w:p>
        </w:tc>
      </w:tr>
      <w:tr>
        <w:trPr>
          <w:trHeight w:val="403" w:hRule="exact"/>
        </w:trPr>
        <w:tc>
          <w:tcPr>
            <w:tcW w:w="31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3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8,222,240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8,222,240</w:t>
            </w:r>
          </w:p>
        </w:tc>
      </w:tr>
      <w:tr>
        <w:trPr>
          <w:trHeight w:val="713" w:hRule="exact"/>
        </w:trPr>
        <w:tc>
          <w:tcPr>
            <w:tcW w:w="312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2"/>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皓熙股权投资管理（上海）有限公司－</w:t>
            </w:r>
            <w:r>
              <w:rPr>
                <w:rFonts w:ascii="宋体" w:hAnsi="宋体" w:cs="宋体" w:eastAsia="宋体" w:hint="default"/>
                <w:sz w:val="18"/>
                <w:szCs w:val="18"/>
              </w:rPr>
              <w:t> 南京高科皓熙定增私募证券投资基金</w:t>
            </w:r>
          </w:p>
        </w:tc>
        <w:tc>
          <w:tcPr>
            <w:tcW w:w="3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6,861,190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6,861,190</w:t>
            </w:r>
          </w:p>
        </w:tc>
      </w:tr>
      <w:tr>
        <w:trPr>
          <w:trHeight w:val="403" w:hRule="exact"/>
        </w:trPr>
        <w:tc>
          <w:tcPr>
            <w:tcW w:w="31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庄泽玲</w:t>
            </w:r>
          </w:p>
        </w:tc>
        <w:tc>
          <w:tcPr>
            <w:tcW w:w="3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6,552,284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6,552,284</w:t>
            </w:r>
          </w:p>
        </w:tc>
      </w:tr>
      <w:tr>
        <w:trPr>
          <w:trHeight w:val="1025" w:hRule="exact"/>
        </w:trPr>
        <w:tc>
          <w:tcPr>
            <w:tcW w:w="31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w:t>
            </w:r>
            <w:r>
              <w:rPr>
                <w:rFonts w:ascii="宋体" w:hAnsi="宋体" w:cs="宋体" w:eastAsia="宋体" w:hint="default"/>
                <w:spacing w:val="-3"/>
                <w:sz w:val="18"/>
                <w:szCs w:val="18"/>
              </w:rPr>
              <w:t>间</w:t>
            </w:r>
            <w:r>
              <w:rPr>
                <w:rFonts w:ascii="宋体" w:hAnsi="宋体" w:cs="宋体" w:eastAsia="宋体" w:hint="default"/>
                <w:spacing w:val="-87"/>
                <w:sz w:val="18"/>
                <w:szCs w:val="18"/>
              </w:rPr>
              <w:t>，</w:t>
            </w:r>
            <w:r>
              <w:rPr>
                <w:rFonts w:ascii="宋体" w:hAnsi="宋体" w:cs="宋体" w:eastAsia="宋体" w:hint="default"/>
                <w:sz w:val="18"/>
                <w:szCs w:val="18"/>
              </w:rPr>
              <w:t>以及前</w:t>
            </w:r>
          </w:p>
          <w:p>
            <w:pPr>
              <w:pStyle w:val="TableParagraph"/>
              <w:spacing w:line="300" w:lineRule="auto" w:before="63"/>
              <w:ind w:left="24" w:right="68"/>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 之间关联关系或一致行动的说明</w:t>
            </w:r>
          </w:p>
        </w:tc>
        <w:tc>
          <w:tcPr>
            <w:tcW w:w="64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pacing w:val="-3"/>
                <w:sz w:val="18"/>
                <w:szCs w:val="18"/>
              </w:rPr>
              <w:t>吴培服为宿迁市迪智成投资咨询有限公司和宿迁市启恒投资有限公司控股股东。吴</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迪为吴培服之子，为一致行动人。</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3"/>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before="101"/>
        <w:ind w:left="152" w:right="153"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2"/>
        <w:rPr>
          <w:rFonts w:ascii="宋体" w:hAnsi="宋体" w:cs="宋体" w:eastAsia="宋体" w:hint="default"/>
          <w:sz w:val="26"/>
          <w:szCs w:val="26"/>
        </w:rPr>
      </w:pPr>
    </w:p>
    <w:p>
      <w:pPr>
        <w:pStyle w:val="Heading4"/>
        <w:spacing w:line="240" w:lineRule="auto"/>
        <w:ind w:right="153"/>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spacing w:line="360" w:lineRule="auto" w:before="0"/>
        <w:ind w:left="152" w:right="7614"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控股股东类型：自然人</w:t>
      </w:r>
    </w:p>
    <w:tbl>
      <w:tblPr>
        <w:tblW w:w="0" w:type="auto"/>
        <w:jc w:val="left"/>
        <w:tblInd w:w="148" w:type="dxa"/>
        <w:tblLayout w:type="fixed"/>
        <w:tblCellMar>
          <w:top w:w="0" w:type="dxa"/>
          <w:left w:w="0" w:type="dxa"/>
          <w:bottom w:w="0" w:type="dxa"/>
          <w:right w:w="0" w:type="dxa"/>
        </w:tblCellMar>
        <w:tblLook w:val="01E0"/>
      </w:tblPr>
      <w:tblGrid>
        <w:gridCol w:w="3419"/>
        <w:gridCol w:w="2302"/>
        <w:gridCol w:w="3850"/>
      </w:tblGrid>
      <w:tr>
        <w:trPr>
          <w:trHeight w:val="403"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9"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吴培服</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江苏双星彩塑新材料股份有限公司董事长、总经理</w:t>
            </w:r>
          </w:p>
        </w:tc>
      </w:tr>
      <w:tr>
        <w:trPr>
          <w:trHeight w:val="713"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67"/>
        <w:ind w:left="152" w:right="153"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spacing w:line="340" w:lineRule="auto" w:before="44"/>
        <w:ind w:left="152" w:right="70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公司报告期控股股东未发生变更。</w:t>
      </w:r>
    </w:p>
    <w:p>
      <w:pPr>
        <w:spacing w:line="240" w:lineRule="auto" w:before="3"/>
        <w:rPr>
          <w:rFonts w:ascii="宋体" w:hAnsi="宋体" w:cs="宋体" w:eastAsia="宋体" w:hint="default"/>
          <w:sz w:val="21"/>
          <w:szCs w:val="21"/>
        </w:rPr>
      </w:pPr>
    </w:p>
    <w:p>
      <w:pPr>
        <w:pStyle w:val="Heading4"/>
        <w:spacing w:line="240" w:lineRule="auto"/>
        <w:ind w:right="153"/>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4"/>
        <w:rPr>
          <w:rFonts w:ascii="宋体" w:hAnsi="宋体" w:cs="宋体" w:eastAsia="宋体" w:hint="default"/>
          <w:b/>
          <w:bCs/>
          <w:sz w:val="26"/>
          <w:szCs w:val="26"/>
        </w:rPr>
      </w:pPr>
    </w:p>
    <w:p>
      <w:pPr>
        <w:spacing w:line="360" w:lineRule="auto" w:before="0"/>
        <w:ind w:left="152" w:right="7434"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tbl>
      <w:tblPr>
        <w:tblW w:w="0" w:type="auto"/>
        <w:jc w:val="left"/>
        <w:tblInd w:w="148" w:type="dxa"/>
        <w:tblLayout w:type="fixed"/>
        <w:tblCellMar>
          <w:top w:w="0" w:type="dxa"/>
          <w:left w:w="0" w:type="dxa"/>
          <w:bottom w:w="0" w:type="dxa"/>
          <w:right w:w="0" w:type="dxa"/>
        </w:tblCellMar>
        <w:tblLook w:val="01E0"/>
      </w:tblPr>
      <w:tblGrid>
        <w:gridCol w:w="3419"/>
        <w:gridCol w:w="2302"/>
        <w:gridCol w:w="3850"/>
      </w:tblGrid>
      <w:tr>
        <w:trPr>
          <w:trHeight w:val="401"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75"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9"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吴培服</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江苏双星彩塑新材料股份有限公司董事长、总经理</w:t>
            </w:r>
          </w:p>
        </w:tc>
      </w:tr>
      <w:tr>
        <w:trPr>
          <w:trHeight w:val="403"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68"/>
        <w:ind w:left="152" w:right="153"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48" w:lineRule="auto" w:before="115"/>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line="240" w:lineRule="auto" w:before="12"/>
        <w:rPr>
          <w:rFonts w:ascii="宋体" w:hAnsi="宋体" w:cs="宋体" w:eastAsia="宋体" w:hint="default"/>
          <w:sz w:val="18"/>
          <w:szCs w:val="18"/>
        </w:rPr>
      </w:pPr>
    </w:p>
    <w:p>
      <w:pPr>
        <w:spacing w:line="5805" w:lineRule="exact"/>
        <w:ind w:left="1355" w:right="0" w:firstLine="0"/>
        <w:rPr>
          <w:rFonts w:ascii="宋体" w:hAnsi="宋体" w:cs="宋体" w:eastAsia="宋体" w:hint="default"/>
          <w:sz w:val="20"/>
          <w:szCs w:val="20"/>
        </w:rPr>
      </w:pPr>
      <w:r>
        <w:rPr>
          <w:rFonts w:ascii="宋体" w:hAnsi="宋体" w:cs="宋体" w:eastAsia="宋体" w:hint="default"/>
          <w:position w:val="-115"/>
          <w:sz w:val="20"/>
          <w:szCs w:val="20"/>
        </w:rPr>
        <w:drawing>
          <wp:inline distT="0" distB="0" distL="0" distR="0">
            <wp:extent cx="4590894" cy="3686175"/>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3" cstate="print"/>
                    <a:stretch>
                      <a:fillRect/>
                    </a:stretch>
                  </pic:blipFill>
                  <pic:spPr>
                    <a:xfrm>
                      <a:off x="0" y="0"/>
                      <a:ext cx="4590894" cy="3686175"/>
                    </a:xfrm>
                    <a:prstGeom prst="rect">
                      <a:avLst/>
                    </a:prstGeom>
                  </pic:spPr>
                </pic:pic>
              </a:graphicData>
            </a:graphic>
          </wp:inline>
        </w:drawing>
      </w:r>
      <w:r>
        <w:rPr>
          <w:rFonts w:ascii="宋体" w:hAnsi="宋体" w:cs="宋体" w:eastAsia="宋体" w:hint="default"/>
          <w:position w:val="-115"/>
          <w:sz w:val="20"/>
          <w:szCs w:val="20"/>
        </w:rPr>
      </w:r>
    </w:p>
    <w:p>
      <w:pPr>
        <w:spacing w:line="240" w:lineRule="auto" w:before="4"/>
        <w:rPr>
          <w:rFonts w:ascii="宋体" w:hAnsi="宋体" w:cs="宋体" w:eastAsia="宋体" w:hint="default"/>
          <w:sz w:val="17"/>
          <w:szCs w:val="17"/>
        </w:rPr>
      </w:pPr>
    </w:p>
    <w:p>
      <w:pPr>
        <w:pStyle w:val="Heading3"/>
        <w:spacing w:line="240" w:lineRule="auto"/>
        <w:ind w:right="153"/>
        <w:jc w:val="left"/>
      </w:pPr>
      <w:r>
        <w:rPr/>
        <w:t>实际控制人通过信托或其他资产管理方式控制公司</w:t>
      </w:r>
    </w:p>
    <w:p>
      <w:pPr>
        <w:spacing w:line="240" w:lineRule="auto" w:before="8"/>
        <w:rPr>
          <w:rFonts w:ascii="宋体" w:hAnsi="宋体" w:cs="宋体" w:eastAsia="宋体" w:hint="default"/>
          <w:sz w:val="18"/>
          <w:szCs w:val="18"/>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153"/>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153"/>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5"/>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285" w:right="153"/>
        <w:jc w:val="left"/>
        <w:rPr>
          <w:b w:val="0"/>
          <w:bCs w:val="0"/>
        </w:rPr>
      </w:pPr>
      <w:bookmarkStart w:name="_bookmark5" w:id="6"/>
      <w:bookmarkEnd w:id="6"/>
      <w:r>
        <w:rPr>
          <w:b w:val="0"/>
          <w:bCs w:val="0"/>
        </w:rPr>
      </w:r>
      <w:r>
        <w:rPr/>
        <w:t>第七节</w:t>
      </w:r>
      <w:r>
        <w:rPr>
          <w:spacing w:val="-6"/>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spacing w:line="338" w:lineRule="auto" w:before="44"/>
        <w:ind w:left="152" w:right="76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679" w:right="101"/>
        <w:jc w:val="left"/>
        <w:rPr>
          <w:b w:val="0"/>
          <w:bCs w:val="0"/>
        </w:rPr>
      </w:pPr>
      <w:bookmarkStart w:name="_bookmark6" w:id="7"/>
      <w:bookmarkEnd w:id="7"/>
      <w:r>
        <w:rPr>
          <w:b w:val="0"/>
          <w:bCs w:val="0"/>
        </w:rPr>
      </w:r>
      <w:r>
        <w:rPr/>
        <w:t>第八节</w:t>
      </w:r>
      <w:r>
        <w:rPr>
          <w:spacing w:val="-9"/>
        </w:rPr>
        <w:t> </w:t>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01"/>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555"/>
        <w:gridCol w:w="569"/>
        <w:gridCol w:w="850"/>
        <w:gridCol w:w="711"/>
        <w:gridCol w:w="720"/>
        <w:gridCol w:w="839"/>
        <w:gridCol w:w="709"/>
        <w:gridCol w:w="850"/>
        <w:gridCol w:w="992"/>
        <w:gridCol w:w="1172"/>
        <w:gridCol w:w="798"/>
        <w:gridCol w:w="797"/>
      </w:tblGrid>
      <w:tr>
        <w:trPr>
          <w:trHeight w:val="161" w:hRule="exact"/>
        </w:trPr>
        <w:tc>
          <w:tcPr>
            <w:tcW w:w="555" w:type="dxa"/>
            <w:tcBorders>
              <w:top w:val="single" w:sz="4" w:space="0" w:color="000000"/>
              <w:left w:val="single" w:sz="4" w:space="0" w:color="000000"/>
              <w:bottom w:val="nil" w:sz="6" w:space="0" w:color="auto"/>
              <w:right w:val="single" w:sz="4" w:space="0" w:color="000000"/>
            </w:tcBorders>
            <w:shd w:val="clear" w:color="auto" w:fill="D2D2D2"/>
          </w:tcPr>
          <w:p>
            <w:pPr/>
          </w:p>
        </w:tc>
        <w:tc>
          <w:tcPr>
            <w:tcW w:w="569"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tcBorders>
              <w:top w:val="single" w:sz="4" w:space="0" w:color="000000"/>
              <w:left w:val="single" w:sz="4" w:space="0" w:color="000000"/>
              <w:bottom w:val="nil" w:sz="6" w:space="0" w:color="auto"/>
              <w:right w:val="single" w:sz="4" w:space="0" w:color="000000"/>
            </w:tcBorders>
            <w:shd w:val="clear" w:color="auto" w:fill="D2D2D2"/>
          </w:tcPr>
          <w:p>
            <w:pPr/>
          </w:p>
        </w:tc>
        <w:tc>
          <w:tcPr>
            <w:tcW w:w="83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28" w:right="59"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8" w:right="79"/>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59" w:right="58"/>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3" w:right="41" w:firstLine="16"/>
              <w:jc w:val="left"/>
              <w:rPr>
                <w:rFonts w:ascii="宋体" w:hAnsi="宋体" w:cs="宋体" w:eastAsia="宋体" w:hint="default"/>
                <w:sz w:val="18"/>
                <w:szCs w:val="18"/>
              </w:rPr>
            </w:pPr>
            <w:r>
              <w:rPr>
                <w:rFonts w:ascii="宋体" w:hAnsi="宋体" w:cs="宋体" w:eastAsia="宋体" w:hint="default"/>
                <w:sz w:val="18"/>
                <w:szCs w:val="18"/>
              </w:rPr>
              <w:t>本期增持股 </w:t>
            </w:r>
            <w:r>
              <w:rPr>
                <w:rFonts w:ascii="宋体" w:hAnsi="宋体" w:cs="宋体" w:eastAsia="宋体" w:hint="default"/>
                <w:spacing w:val="-12"/>
                <w:sz w:val="18"/>
                <w:szCs w:val="18"/>
              </w:rPr>
              <w:t>份数量（股</w:t>
            </w:r>
          </w:p>
        </w:tc>
        <w:tc>
          <w:tcPr>
            <w:tcW w:w="11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9" w:right="0"/>
              <w:jc w:val="left"/>
              <w:rPr>
                <w:rFonts w:ascii="宋体" w:hAnsi="宋体" w:cs="宋体" w:eastAsia="宋体" w:hint="default"/>
                <w:sz w:val="18"/>
                <w:szCs w:val="18"/>
              </w:rPr>
            </w:pPr>
            <w:r>
              <w:rPr>
                <w:rFonts w:ascii="宋体" w:hAnsi="宋体" w:cs="宋体" w:eastAsia="宋体" w:hint="default"/>
                <w:sz w:val="18"/>
                <w:szCs w:val="18"/>
              </w:rPr>
              <w:t>本期减持股份</w:t>
            </w:r>
          </w:p>
          <w:p>
            <w:pPr>
              <w:pStyle w:val="TableParagraph"/>
              <w:spacing w:line="229" w:lineRule="exact" w:before="76"/>
              <w:ind w:left="-1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6"/>
                <w:sz w:val="18"/>
                <w:szCs w:val="18"/>
              </w:rPr>
              <w:t> </w:t>
            </w:r>
            <w:r>
              <w:rPr>
                <w:rFonts w:ascii="宋体" w:hAnsi="宋体" w:cs="宋体" w:eastAsia="宋体" w:hint="default"/>
                <w:sz w:val="18"/>
                <w:szCs w:val="18"/>
              </w:rPr>
              <w:t>数量（股）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2" w:right="-44" w:firstLine="9"/>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2" w:lineRule="exact" w:before="9"/>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394" w:hRule="exact"/>
        </w:trPr>
        <w:tc>
          <w:tcPr>
            <w:tcW w:w="5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5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7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7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年龄</w:t>
            </w:r>
          </w:p>
        </w:tc>
        <w:tc>
          <w:tcPr>
            <w:tcW w:w="839"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1172"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555" w:type="dxa"/>
            <w:tcBorders>
              <w:top w:val="nil" w:sz="6" w:space="0" w:color="auto"/>
              <w:left w:val="single" w:sz="4" w:space="0" w:color="000000"/>
              <w:bottom w:val="single" w:sz="4" w:space="0" w:color="000000"/>
              <w:right w:val="single" w:sz="4" w:space="0" w:color="000000"/>
            </w:tcBorders>
            <w:shd w:val="clear" w:color="auto" w:fill="D2D2D2"/>
          </w:tcPr>
          <w:p>
            <w:pPr/>
          </w:p>
        </w:tc>
        <w:tc>
          <w:tcPr>
            <w:tcW w:w="569"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tcBorders>
              <w:top w:val="nil" w:sz="6" w:space="0" w:color="auto"/>
              <w:left w:val="single" w:sz="4" w:space="0" w:color="000000"/>
              <w:bottom w:val="single" w:sz="4" w:space="0" w:color="000000"/>
              <w:right w:val="single" w:sz="4" w:space="0" w:color="000000"/>
            </w:tcBorders>
            <w:shd w:val="clear" w:color="auto" w:fill="D2D2D2"/>
          </w:tcPr>
          <w:p>
            <w:pPr/>
          </w:p>
        </w:tc>
        <w:tc>
          <w:tcPr>
            <w:tcW w:w="839"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11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7"/>
              <w:jc w:val="center"/>
              <w:rPr>
                <w:rFonts w:ascii="Times New Roman" w:hAnsi="Times New Roman" w:cs="Times New Roman" w:eastAsia="Times New Roman" w:hint="default"/>
                <w:sz w:val="18"/>
                <w:szCs w:val="18"/>
              </w:rPr>
            </w:pPr>
            <w:r>
              <w:rPr>
                <w:rFonts w:ascii="Times New Roman"/>
                <w:sz w:val="18"/>
              </w:rPr>
              <w:t>--</w:t>
            </w:r>
          </w:p>
        </w:tc>
        <w:tc>
          <w:tcPr>
            <w:tcW w:w="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b/>
          <w:bCs/>
          <w:sz w:val="18"/>
          <w:szCs w:val="18"/>
        </w:rPr>
      </w:pPr>
    </w:p>
    <w:p>
      <w:pPr>
        <w:pStyle w:val="Heading2"/>
        <w:spacing w:line="240" w:lineRule="auto" w:before="26"/>
        <w:ind w:right="101"/>
        <w:jc w:val="left"/>
        <w:rPr>
          <w:b w:val="0"/>
          <w:bCs w:val="0"/>
        </w:rPr>
      </w:pP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spacing w:before="0"/>
        <w:ind w:left="152" w:right="10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01"/>
        <w:jc w:val="left"/>
        <w:rPr>
          <w:b w:val="0"/>
          <w:bCs w:val="0"/>
        </w:rPr>
      </w:pPr>
      <w:r>
        <w:rPr/>
        <w:t>三、任职情况</w:t>
      </w:r>
      <w:r>
        <w:rPr>
          <w:b w:val="0"/>
          <w:bCs w:val="0"/>
        </w:rPr>
      </w:r>
    </w:p>
    <w:p>
      <w:pPr>
        <w:spacing w:line="240" w:lineRule="auto" w:before="6"/>
        <w:rPr>
          <w:rFonts w:ascii="宋体" w:hAnsi="宋体" w:cs="宋体" w:eastAsia="宋体" w:hint="default"/>
          <w:b/>
          <w:bCs/>
          <w:sz w:val="26"/>
          <w:szCs w:val="26"/>
        </w:rPr>
      </w:pPr>
    </w:p>
    <w:p>
      <w:pPr>
        <w:spacing w:before="0"/>
        <w:ind w:left="152" w:right="101"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spacing w:line="240" w:lineRule="auto" w:before="8"/>
        <w:rPr>
          <w:rFonts w:ascii="宋体" w:hAnsi="宋体" w:cs="宋体" w:eastAsia="宋体" w:hint="default"/>
          <w:sz w:val="13"/>
          <w:szCs w:val="13"/>
        </w:rPr>
      </w:pPr>
    </w:p>
    <w:p>
      <w:pPr>
        <w:pStyle w:val="BodyText"/>
        <w:spacing w:line="240" w:lineRule="auto"/>
        <w:ind w:left="573" w:right="101"/>
        <w:jc w:val="left"/>
      </w:pPr>
      <w:r>
        <w:rPr>
          <w:rFonts w:ascii="Times New Roman" w:hAnsi="Times New Roman" w:cs="Times New Roman" w:eastAsia="Times New Roman" w:hint="default"/>
        </w:rPr>
        <w:t>1</w:t>
      </w:r>
      <w:r>
        <w:rPr/>
        <w:t>、董事</w:t>
      </w:r>
    </w:p>
    <w:p>
      <w:pPr>
        <w:pStyle w:val="BodyText"/>
        <w:spacing w:line="264" w:lineRule="auto" w:before="139"/>
        <w:ind w:right="101" w:firstLine="420"/>
        <w:jc w:val="left"/>
      </w:pPr>
      <w:r>
        <w:rPr>
          <w:spacing w:val="-2"/>
        </w:rPr>
        <w:t>（</w:t>
      </w:r>
      <w:r>
        <w:rPr>
          <w:rFonts w:ascii="Times New Roman" w:hAnsi="Times New Roman" w:cs="Times New Roman" w:eastAsia="Times New Roman" w:hint="default"/>
          <w:spacing w:val="-2"/>
        </w:rPr>
        <w:t>1</w:t>
      </w:r>
      <w:r>
        <w:rPr>
          <w:spacing w:val="-2"/>
        </w:rPr>
        <w:t>）吴培服：男，</w:t>
      </w:r>
      <w:r>
        <w:rPr>
          <w:rFonts w:ascii="Times New Roman" w:hAnsi="Times New Roman" w:cs="Times New Roman" w:eastAsia="Times New Roman" w:hint="default"/>
          <w:spacing w:val="-2"/>
        </w:rPr>
        <w:t>1961</w:t>
      </w:r>
      <w:r>
        <w:rPr>
          <w:spacing w:val="-2"/>
        </w:rPr>
        <w:t>年</w:t>
      </w:r>
      <w:r>
        <w:rPr>
          <w:rFonts w:ascii="Times New Roman" w:hAnsi="Times New Roman" w:cs="Times New Roman" w:eastAsia="Times New Roman" w:hint="default"/>
          <w:spacing w:val="-2"/>
        </w:rPr>
        <w:t>10</w:t>
      </w:r>
      <w:r>
        <w:rPr>
          <w:spacing w:val="-2"/>
        </w:rPr>
        <w:t>月出生，中国籍，无永久境外居留权，大专学历。历任井头综合厂钳工、</w:t>
      </w:r>
      <w:r>
        <w:rPr>
          <w:w w:val="100"/>
        </w:rPr>
        <w:t> </w:t>
      </w:r>
      <w:r>
        <w:rPr>
          <w:spacing w:val="-2"/>
        </w:rPr>
        <w:t>井头乡井头村村长、宿迁市新型包装材料厂厂长、宿迁市铝型材厂厂长、宿迁市电池配件厂厂长、宿迁市</w:t>
      </w:r>
      <w:r>
        <w:rPr>
          <w:spacing w:val="-50"/>
        </w:rPr>
        <w:t> </w:t>
      </w:r>
      <w:r>
        <w:rPr>
          <w:spacing w:val="-50"/>
        </w:rPr>
      </w:r>
      <w:r>
        <w:rPr/>
        <w:t>彩塑包装有限公司执行董事，现任本公司董事长、总经理。</w:t>
      </w:r>
    </w:p>
    <w:p>
      <w:pPr>
        <w:pStyle w:val="BodyText"/>
        <w:spacing w:line="256" w:lineRule="auto" w:before="136"/>
        <w:ind w:right="206" w:firstLine="420"/>
        <w:jc w:val="both"/>
      </w:pPr>
      <w:r>
        <w:rPr>
          <w:spacing w:val="-2"/>
        </w:rPr>
        <w:t>（</w:t>
      </w:r>
      <w:r>
        <w:rPr>
          <w:rFonts w:ascii="Times New Roman" w:hAnsi="Times New Roman" w:cs="Times New Roman" w:eastAsia="Times New Roman" w:hint="default"/>
          <w:spacing w:val="-2"/>
        </w:rPr>
        <w:t>2</w:t>
      </w:r>
      <w:r>
        <w:rPr>
          <w:spacing w:val="-2"/>
        </w:rPr>
        <w:t>）吴迪：男，</w:t>
      </w:r>
      <w:r>
        <w:rPr>
          <w:rFonts w:ascii="Times New Roman" w:hAnsi="Times New Roman" w:cs="Times New Roman" w:eastAsia="Times New Roman" w:hint="default"/>
          <w:spacing w:val="-2"/>
        </w:rPr>
        <w:t>1982</w:t>
      </w:r>
      <w:r>
        <w:rPr>
          <w:spacing w:val="-2"/>
        </w:rPr>
        <w:t>年</w:t>
      </w:r>
      <w:r>
        <w:rPr>
          <w:rFonts w:ascii="Times New Roman" w:hAnsi="Times New Roman" w:cs="Times New Roman" w:eastAsia="Times New Roman" w:hint="default"/>
          <w:spacing w:val="-2"/>
        </w:rPr>
        <w:t>9</w:t>
      </w:r>
      <w:r>
        <w:rPr>
          <w:spacing w:val="-2"/>
        </w:rPr>
        <w:t>月出生，中国籍，无永久境外居留权，本科学历。历任宿迁市彩塑包装有限</w:t>
      </w:r>
      <w:r>
        <w:rPr>
          <w:w w:val="100"/>
        </w:rPr>
        <w:t> </w:t>
      </w:r>
      <w:r>
        <w:rPr/>
        <w:t>公司副总经理。现任本公司董事、董事会秘书、副总经理。</w:t>
      </w:r>
    </w:p>
    <w:p>
      <w:pPr>
        <w:pStyle w:val="BodyText"/>
        <w:spacing w:line="256" w:lineRule="auto" w:before="143"/>
        <w:ind w:right="206" w:firstLine="420"/>
        <w:jc w:val="both"/>
      </w:pPr>
      <w:r>
        <w:rPr>
          <w:spacing w:val="-2"/>
        </w:rPr>
        <w:t>（</w:t>
      </w:r>
      <w:r>
        <w:rPr>
          <w:rFonts w:ascii="Times New Roman" w:hAnsi="Times New Roman" w:cs="Times New Roman" w:eastAsia="Times New Roman" w:hint="default"/>
          <w:spacing w:val="-2"/>
        </w:rPr>
        <w:t>3</w:t>
      </w:r>
      <w:r>
        <w:rPr>
          <w:spacing w:val="-2"/>
        </w:rPr>
        <w:t>）曹薇：女，</w:t>
      </w:r>
      <w:r>
        <w:rPr>
          <w:rFonts w:ascii="Times New Roman" w:hAnsi="Times New Roman" w:cs="Times New Roman" w:eastAsia="Times New Roman" w:hint="default"/>
          <w:spacing w:val="-2"/>
        </w:rPr>
        <w:t>1968</w:t>
      </w:r>
      <w:r>
        <w:rPr>
          <w:spacing w:val="-2"/>
        </w:rPr>
        <w:t>年</w:t>
      </w:r>
      <w:r>
        <w:rPr>
          <w:rFonts w:ascii="Times New Roman" w:hAnsi="Times New Roman" w:cs="Times New Roman" w:eastAsia="Times New Roman" w:hint="default"/>
          <w:spacing w:val="-2"/>
        </w:rPr>
        <w:t>3</w:t>
      </w:r>
      <w:r>
        <w:rPr>
          <w:spacing w:val="-2"/>
        </w:rPr>
        <w:t>月出生，中国籍，无永久境外居留权，大专学历。历任宿迁市彩塑包装有限</w:t>
      </w:r>
      <w:r>
        <w:rPr>
          <w:w w:val="100"/>
        </w:rPr>
        <w:t> </w:t>
      </w:r>
      <w:r>
        <w:rPr/>
        <w:t>公司监事，现任本公司董事。</w:t>
      </w:r>
    </w:p>
    <w:p>
      <w:pPr>
        <w:pStyle w:val="BodyText"/>
        <w:spacing w:line="256" w:lineRule="auto" w:before="142"/>
        <w:ind w:right="208" w:firstLine="420"/>
        <w:jc w:val="both"/>
      </w:pPr>
      <w:r>
        <w:rPr>
          <w:spacing w:val="-2"/>
        </w:rPr>
        <w:t>（</w:t>
      </w:r>
      <w:r>
        <w:rPr>
          <w:rFonts w:ascii="Times New Roman" w:hAnsi="Times New Roman" w:cs="Times New Roman" w:eastAsia="Times New Roman" w:hint="default"/>
          <w:spacing w:val="-2"/>
        </w:rPr>
        <w:t>4</w:t>
      </w:r>
      <w:r>
        <w:rPr>
          <w:spacing w:val="-2"/>
        </w:rPr>
        <w:t>）周海燕：女，</w:t>
      </w:r>
      <w:r>
        <w:rPr>
          <w:rFonts w:ascii="Times New Roman" w:hAnsi="Times New Roman" w:cs="Times New Roman" w:eastAsia="Times New Roman" w:hint="default"/>
          <w:spacing w:val="-2"/>
        </w:rPr>
        <w:t>1975</w:t>
      </w:r>
      <w:r>
        <w:rPr>
          <w:spacing w:val="-2"/>
        </w:rPr>
        <w:t>年</w:t>
      </w:r>
      <w:r>
        <w:rPr>
          <w:rFonts w:ascii="Times New Roman" w:hAnsi="Times New Roman" w:cs="Times New Roman" w:eastAsia="Times New Roman" w:hint="default"/>
          <w:spacing w:val="-2"/>
        </w:rPr>
        <w:t>1</w:t>
      </w:r>
      <w:r>
        <w:rPr>
          <w:spacing w:val="-2"/>
        </w:rPr>
        <w:t>月出生，中国籍，无永久境外居留权，本科学历。历任宿迁市彩塑包装有</w:t>
      </w:r>
      <w:r>
        <w:rPr>
          <w:w w:val="100"/>
        </w:rPr>
        <w:t> </w:t>
      </w:r>
      <w:r>
        <w:rPr/>
        <w:t>限公司副总经理、财务经理。现任本公司董事、副总经理、财务总监。</w:t>
      </w:r>
    </w:p>
    <w:p>
      <w:pPr>
        <w:pStyle w:val="BodyText"/>
        <w:spacing w:line="266" w:lineRule="auto" w:before="142"/>
        <w:ind w:right="184" w:firstLine="420"/>
        <w:jc w:val="both"/>
      </w:pPr>
      <w:r>
        <w:rPr>
          <w:spacing w:val="-2"/>
        </w:rPr>
        <w:t>（</w:t>
      </w:r>
      <w:r>
        <w:rPr>
          <w:rFonts w:ascii="Times New Roman" w:hAnsi="Times New Roman" w:cs="Times New Roman" w:eastAsia="Times New Roman" w:hint="default"/>
          <w:spacing w:val="-2"/>
        </w:rPr>
        <w:t>5</w:t>
      </w:r>
      <w:r>
        <w:rPr>
          <w:spacing w:val="-2"/>
        </w:rPr>
        <w:t>）蓝海林：男，</w:t>
      </w:r>
      <w:r>
        <w:rPr>
          <w:rFonts w:ascii="Times New Roman" w:hAnsi="Times New Roman" w:cs="Times New Roman" w:eastAsia="Times New Roman" w:hint="default"/>
          <w:spacing w:val="-2"/>
        </w:rPr>
        <w:t>1959</w:t>
      </w:r>
      <w:r>
        <w:rPr>
          <w:spacing w:val="-2"/>
        </w:rPr>
        <w:t>年</w:t>
      </w:r>
      <w:r>
        <w:rPr>
          <w:rFonts w:ascii="Times New Roman" w:hAnsi="Times New Roman" w:cs="Times New Roman" w:eastAsia="Times New Roman" w:hint="default"/>
          <w:spacing w:val="-2"/>
        </w:rPr>
        <w:t>8</w:t>
      </w:r>
      <w:r>
        <w:rPr>
          <w:spacing w:val="-2"/>
        </w:rPr>
        <w:t>月出生，中国籍，无永久境外居留权，博士学历。现为华南理工大学工商</w:t>
      </w:r>
      <w:r>
        <w:rPr>
          <w:w w:val="100"/>
        </w:rPr>
        <w:t> </w:t>
      </w:r>
      <w:r>
        <w:rPr>
          <w:spacing w:val="-2"/>
        </w:rPr>
        <w:t>管理学院教授、博士生导师，同时担任中国企业战略管理研究中心、广东省中小企业研究咨询中心主任，</w:t>
      </w:r>
      <w:r>
        <w:rPr>
          <w:spacing w:val="-21"/>
        </w:rPr>
        <w:t> </w:t>
      </w:r>
      <w:r>
        <w:rPr>
          <w:spacing w:val="-21"/>
        </w:rPr>
      </w:r>
      <w:r>
        <w:rPr/>
        <w:t>国家</w:t>
      </w:r>
      <w:r>
        <w:rPr>
          <w:rFonts w:ascii="Times New Roman" w:hAnsi="Times New Roman" w:cs="Times New Roman" w:eastAsia="Times New Roman" w:hint="default"/>
        </w:rPr>
        <w:t>985</w:t>
      </w:r>
      <w:r>
        <w:rPr/>
        <w:t>二期新型工业化发展创新研究基地管理委员会首席科学家兼委员会主任，政协广东省第九届委员</w:t>
      </w:r>
      <w:r>
        <w:rPr>
          <w:spacing w:val="-27"/>
        </w:rPr>
        <w:t> </w:t>
      </w:r>
      <w:r>
        <w:rPr>
          <w:spacing w:val="-27"/>
        </w:rPr>
      </w:r>
      <w:r>
        <w:rPr>
          <w:spacing w:val="-2"/>
        </w:rPr>
        <w:t>会委员、第十届和第十一届委员会特聘委员等。目前担任广东天龙油墨集团股份有限公司独立董事、广州</w:t>
      </w:r>
      <w:r>
        <w:rPr>
          <w:spacing w:val="-43"/>
        </w:rPr>
        <w:t> </w:t>
      </w:r>
      <w:r>
        <w:rPr>
          <w:spacing w:val="-43"/>
        </w:rPr>
      </w:r>
      <w:r>
        <w:rPr>
          <w:spacing w:val="-2"/>
        </w:rPr>
        <w:t>汽车集团股份有限公司独立董事、广东新宝电器股份有限公司独立董事、广东万家乐股份有限公司独立董</w:t>
      </w:r>
      <w:r>
        <w:rPr>
          <w:spacing w:val="-44"/>
        </w:rPr>
        <w:t> </w:t>
      </w:r>
      <w:r>
        <w:rPr>
          <w:spacing w:val="-44"/>
        </w:rPr>
      </w:r>
      <w:r>
        <w:rPr/>
        <w:t>事。现任本公司独立董事。</w:t>
      </w:r>
    </w:p>
    <w:p>
      <w:pPr>
        <w:pStyle w:val="BodyText"/>
        <w:spacing w:line="261" w:lineRule="auto" w:before="134"/>
        <w:ind w:right="207" w:firstLine="420"/>
        <w:jc w:val="both"/>
      </w:pPr>
      <w:r>
        <w:rPr/>
        <w:t>（</w:t>
      </w:r>
      <w:r>
        <w:rPr>
          <w:rFonts w:ascii="Times New Roman" w:hAnsi="Times New Roman" w:cs="Times New Roman" w:eastAsia="Times New Roman" w:hint="default"/>
        </w:rPr>
        <w:t>6</w:t>
      </w:r>
      <w:r>
        <w:rPr/>
        <w:t>）程银春：男，</w:t>
      </w:r>
      <w:r>
        <w:rPr>
          <w:rFonts w:ascii="Times New Roman" w:hAnsi="Times New Roman" w:cs="Times New Roman" w:eastAsia="Times New Roman" w:hint="default"/>
        </w:rPr>
        <w:t>1966</w:t>
      </w:r>
      <w:r>
        <w:rPr/>
        <w:t>年</w:t>
      </w:r>
      <w:r>
        <w:rPr>
          <w:rFonts w:ascii="Times New Roman" w:hAnsi="Times New Roman" w:cs="Times New Roman" w:eastAsia="Times New Roman" w:hint="default"/>
        </w:rPr>
        <w:t>6</w:t>
      </w:r>
      <w:r>
        <w:rPr/>
        <w:t>月出生，中国籍，无永久境外居留权，专科学历。</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9</w:t>
      </w:r>
      <w:r>
        <w:rPr>
          <w:rFonts w:ascii="Times New Roman" w:hAnsi="Times New Roman" w:cs="Times New Roman" w:eastAsia="Times New Roman" w:hint="default"/>
          <w:w w:val="100"/>
        </w:rPr>
        <w:t> </w:t>
      </w:r>
      <w:r>
        <w:rPr>
          <w:spacing w:val="-2"/>
        </w:rPr>
        <w:t>月担任芜湖会计师事务所项目经理、部门经理、所长助理、副所长，</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10</w:t>
      </w:r>
      <w:r>
        <w:rPr>
          <w:spacing w:val="-2"/>
        </w:rPr>
        <w:t>月至今担任珠海会计师事务</w:t>
      </w:r>
      <w:r>
        <w:rPr>
          <w:spacing w:val="-42"/>
        </w:rPr>
        <w:t> </w:t>
      </w:r>
      <w:r>
        <w:rPr>
          <w:spacing w:val="-42"/>
        </w:rPr>
      </w:r>
      <w:r>
        <w:rPr>
          <w:spacing w:val="-2"/>
        </w:rPr>
        <w:t>所（现为大华会计师事务所）专业标准部经理、所长助理、副所长、合伙人。目前担任蒙娜丽莎集团股份</w:t>
      </w:r>
      <w:r>
        <w:rPr>
          <w:spacing w:val="-42"/>
        </w:rPr>
        <w:t> </w:t>
      </w:r>
      <w:r>
        <w:rPr>
          <w:spacing w:val="-42"/>
        </w:rPr>
      </w:r>
      <w:r>
        <w:rPr/>
        <w:t>有限公司独立董事。现任本公司独立董事。</w:t>
      </w:r>
    </w:p>
    <w:p>
      <w:pPr>
        <w:pStyle w:val="BodyText"/>
        <w:spacing w:line="256" w:lineRule="auto" w:before="138"/>
        <w:ind w:right="206" w:firstLine="420"/>
        <w:jc w:val="both"/>
      </w:pPr>
      <w:r>
        <w:rPr>
          <w:spacing w:val="-2"/>
        </w:rPr>
        <w:t>（</w:t>
      </w:r>
      <w:r>
        <w:rPr>
          <w:rFonts w:ascii="Times New Roman" w:hAnsi="Times New Roman" w:cs="Times New Roman" w:eastAsia="Times New Roman" w:hint="default"/>
          <w:spacing w:val="-2"/>
        </w:rPr>
        <w:t>7</w:t>
      </w:r>
      <w:r>
        <w:rPr>
          <w:spacing w:val="-2"/>
        </w:rPr>
        <w:t>）李小虎：男，</w:t>
      </w:r>
      <w:r>
        <w:rPr>
          <w:rFonts w:ascii="Times New Roman" w:hAnsi="Times New Roman" w:cs="Times New Roman" w:eastAsia="Times New Roman" w:hint="default"/>
          <w:spacing w:val="-2"/>
        </w:rPr>
        <w:t>1957</w:t>
      </w:r>
      <w:r>
        <w:rPr>
          <w:spacing w:val="-2"/>
        </w:rPr>
        <w:t>年</w:t>
      </w:r>
      <w:r>
        <w:rPr>
          <w:rFonts w:ascii="Times New Roman" w:hAnsi="Times New Roman" w:cs="Times New Roman" w:eastAsia="Times New Roman" w:hint="default"/>
          <w:spacing w:val="-2"/>
        </w:rPr>
        <w:t>6</w:t>
      </w:r>
      <w:r>
        <w:rPr>
          <w:spacing w:val="-2"/>
        </w:rPr>
        <w:t>月出生，美国籍，博士后学历。历任美国哥伦布世纪国际集团公司研发总</w:t>
      </w:r>
      <w:r>
        <w:rPr>
          <w:w w:val="100"/>
        </w:rPr>
        <w:t> </w:t>
      </w:r>
      <w:r>
        <w:rPr/>
        <w:t>监、美国波士胶（</w:t>
      </w:r>
      <w:r>
        <w:rPr>
          <w:rFonts w:ascii="Times New Roman" w:hAnsi="Times New Roman" w:cs="Times New Roman" w:eastAsia="Times New Roman" w:hint="default"/>
        </w:rPr>
        <w:t>Bostik</w:t>
      </w:r>
      <w:r>
        <w:rPr/>
        <w:t>）公司技术经理与业务总监、美国奥麒化工有限公司中国及亚太区总裁、美国阿</w:t>
      </w:r>
      <w:r>
        <w:rPr>
          <w:spacing w:val="-47"/>
        </w:rPr>
        <w:t> </w:t>
      </w:r>
      <w:r>
        <w:rPr>
          <w:spacing w:val="-47"/>
        </w:rPr>
      </w:r>
      <w:r>
        <w:rPr>
          <w:spacing w:val="-2"/>
        </w:rPr>
        <w:t>森纳资本合伙人，现任江苏以诺投资管理有限公司管理合伙人。目前担任句容宁武新材料股份有限公司独</w:t>
      </w:r>
    </w:p>
    <w:p>
      <w:pPr>
        <w:spacing w:after="0" w:line="256" w:lineRule="auto"/>
        <w:jc w:val="both"/>
        <w:sectPr>
          <w:pgSz w:w="11910" w:h="16840"/>
          <w:pgMar w:header="745" w:footer="980" w:top="1060" w:bottom="1160" w:left="980" w:right="920"/>
        </w:sectPr>
      </w:pPr>
    </w:p>
    <w:p>
      <w:pPr>
        <w:spacing w:line="240" w:lineRule="auto" w:before="10"/>
        <w:rPr>
          <w:rFonts w:ascii="宋体" w:hAnsi="宋体" w:cs="宋体" w:eastAsia="宋体" w:hint="default"/>
          <w:sz w:val="24"/>
          <w:szCs w:val="24"/>
        </w:rPr>
      </w:pPr>
    </w:p>
    <w:p>
      <w:pPr>
        <w:pStyle w:val="BodyText"/>
        <w:spacing w:line="240" w:lineRule="auto" w:before="36"/>
        <w:ind w:right="101"/>
        <w:jc w:val="left"/>
      </w:pPr>
      <w:r>
        <w:rPr/>
        <w:t>立董事。现任本公司独立董事。</w:t>
      </w:r>
    </w:p>
    <w:p>
      <w:pPr>
        <w:pStyle w:val="BodyText"/>
        <w:spacing w:line="240" w:lineRule="auto" w:before="157"/>
        <w:ind w:left="573" w:right="101"/>
        <w:jc w:val="left"/>
      </w:pPr>
      <w:r>
        <w:rPr>
          <w:rFonts w:ascii="Times New Roman" w:hAnsi="Times New Roman" w:cs="Times New Roman" w:eastAsia="Times New Roman" w:hint="default"/>
        </w:rPr>
        <w:t>2</w:t>
      </w:r>
      <w:r>
        <w:rPr/>
        <w:t>、监事</w:t>
      </w:r>
    </w:p>
    <w:p>
      <w:pPr>
        <w:pStyle w:val="BodyText"/>
        <w:spacing w:line="256" w:lineRule="auto" w:before="141"/>
        <w:ind w:right="101" w:firstLine="420"/>
        <w:jc w:val="left"/>
      </w:pPr>
      <w:r>
        <w:rPr>
          <w:spacing w:val="-2"/>
        </w:rPr>
        <w:t>（</w:t>
      </w:r>
      <w:r>
        <w:rPr>
          <w:rFonts w:ascii="Times New Roman" w:hAnsi="Times New Roman" w:cs="Times New Roman" w:eastAsia="Times New Roman" w:hint="default"/>
          <w:spacing w:val="-2"/>
        </w:rPr>
        <w:t>1</w:t>
      </w:r>
      <w:r>
        <w:rPr>
          <w:spacing w:val="-2"/>
        </w:rPr>
        <w:t>）金叶：女，</w:t>
      </w:r>
      <w:r>
        <w:rPr>
          <w:rFonts w:ascii="Times New Roman" w:hAnsi="Times New Roman" w:cs="Times New Roman" w:eastAsia="Times New Roman" w:hint="default"/>
          <w:spacing w:val="-2"/>
        </w:rPr>
        <w:t>1987</w:t>
      </w:r>
      <w:r>
        <w:rPr>
          <w:spacing w:val="-2"/>
        </w:rPr>
        <w:t>年</w:t>
      </w:r>
      <w:r>
        <w:rPr>
          <w:rFonts w:ascii="Times New Roman" w:hAnsi="Times New Roman" w:cs="Times New Roman" w:eastAsia="Times New Roman" w:hint="default"/>
          <w:spacing w:val="-2"/>
        </w:rPr>
        <w:t>1</w:t>
      </w:r>
      <w:r>
        <w:rPr>
          <w:spacing w:val="-2"/>
        </w:rPr>
        <w:t>月出生，中国籍，无永久境外居留权，本科学历。</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2</w:t>
      </w:r>
      <w:r>
        <w:rPr>
          <w:spacing w:val="-2"/>
        </w:rPr>
        <w:t>月至</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5</w:t>
      </w:r>
      <w:r>
        <w:rPr>
          <w:spacing w:val="-2"/>
        </w:rPr>
        <w:t>月为</w:t>
      </w:r>
      <w:r>
        <w:rPr>
          <w:w w:val="100"/>
        </w:rPr>
        <w:t> </w:t>
      </w:r>
      <w:r>
        <w:rPr/>
        <w:t>宿迁市彩塑包装有限公司员工。现任本公司监事会主席。</w:t>
      </w:r>
    </w:p>
    <w:p>
      <w:pPr>
        <w:pStyle w:val="BodyText"/>
        <w:spacing w:line="256" w:lineRule="auto" w:before="142"/>
        <w:ind w:right="101" w:firstLine="420"/>
        <w:jc w:val="left"/>
      </w:pPr>
      <w:r>
        <w:rPr>
          <w:spacing w:val="-2"/>
        </w:rPr>
        <w:t>（</w:t>
      </w:r>
      <w:r>
        <w:rPr>
          <w:rFonts w:ascii="Times New Roman" w:hAnsi="Times New Roman" w:cs="Times New Roman" w:eastAsia="Times New Roman" w:hint="default"/>
          <w:spacing w:val="-2"/>
        </w:rPr>
        <w:t>2</w:t>
      </w:r>
      <w:r>
        <w:rPr>
          <w:spacing w:val="-2"/>
        </w:rPr>
        <w:t>）池卫，女，</w:t>
      </w:r>
      <w:r>
        <w:rPr>
          <w:rFonts w:ascii="Times New Roman" w:hAnsi="Times New Roman" w:cs="Times New Roman" w:eastAsia="Times New Roman" w:hint="default"/>
          <w:spacing w:val="-2"/>
        </w:rPr>
        <w:t>1985</w:t>
      </w:r>
      <w:r>
        <w:rPr>
          <w:spacing w:val="-2"/>
        </w:rPr>
        <w:t>年</w:t>
      </w:r>
      <w:r>
        <w:rPr>
          <w:rFonts w:ascii="Times New Roman" w:hAnsi="Times New Roman" w:cs="Times New Roman" w:eastAsia="Times New Roman" w:hint="default"/>
          <w:spacing w:val="-2"/>
        </w:rPr>
        <w:t>11</w:t>
      </w:r>
      <w:r>
        <w:rPr>
          <w:spacing w:val="-2"/>
        </w:rPr>
        <w:t>月出生，中国籍，无永久境外居留权，本科学历。</w:t>
      </w:r>
      <w:r>
        <w:rPr>
          <w:rFonts w:ascii="Times New Roman" w:hAnsi="Times New Roman" w:cs="Times New Roman" w:eastAsia="Times New Roman" w:hint="default"/>
          <w:spacing w:val="-2"/>
        </w:rPr>
        <w:t>2006</w:t>
      </w:r>
      <w:r>
        <w:rPr>
          <w:spacing w:val="-2"/>
        </w:rPr>
        <w:t>年至</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5</w:t>
      </w:r>
      <w:r>
        <w:rPr>
          <w:spacing w:val="-2"/>
        </w:rPr>
        <w:t>月为宿</w:t>
      </w:r>
      <w:r>
        <w:rPr>
          <w:w w:val="100"/>
        </w:rPr>
        <w:t> </w:t>
      </w:r>
      <w:r>
        <w:rPr/>
        <w:t>迁市彩塑包装有限公司员工。现任本公司知识产权部部长、监事。</w:t>
      </w:r>
    </w:p>
    <w:p>
      <w:pPr>
        <w:pStyle w:val="BodyText"/>
        <w:spacing w:line="256" w:lineRule="auto" w:before="142"/>
        <w:ind w:right="101" w:firstLine="420"/>
        <w:jc w:val="left"/>
      </w:pPr>
      <w:r>
        <w:rPr/>
        <w:t>（</w:t>
      </w:r>
      <w:r>
        <w:rPr>
          <w:rFonts w:ascii="Times New Roman" w:hAnsi="Times New Roman" w:cs="Times New Roman" w:eastAsia="Times New Roman" w:hint="default"/>
        </w:rPr>
        <w:t>3</w:t>
      </w:r>
      <w:r>
        <w:rPr/>
        <w:t>）郑卫：男，</w:t>
      </w:r>
      <w:r>
        <w:rPr>
          <w:rFonts w:ascii="Times New Roman" w:hAnsi="Times New Roman" w:cs="Times New Roman" w:eastAsia="Times New Roman" w:hint="default"/>
        </w:rPr>
        <w:t>1986</w:t>
      </w:r>
      <w:r>
        <w:rPr/>
        <w:t>年</w:t>
      </w:r>
      <w:r>
        <w:rPr>
          <w:rFonts w:ascii="Times New Roman" w:hAnsi="Times New Roman" w:cs="Times New Roman" w:eastAsia="Times New Roman" w:hint="default"/>
        </w:rPr>
        <w:t>6</w:t>
      </w:r>
      <w:r>
        <w:rPr/>
        <w:t>月出生，中国籍，无永久境外居留权，本科学历。</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5</w:t>
      </w:r>
      <w:r>
        <w:rPr/>
        <w:t>月</w:t>
      </w:r>
      <w:r>
        <w:rPr>
          <w:w w:val="100"/>
        </w:rPr>
        <w:t> </w:t>
      </w:r>
      <w:r>
        <w:rPr/>
        <w:t>为宿迁市彩塑包装有限公司员工。现任本公司监事。</w:t>
      </w:r>
    </w:p>
    <w:p>
      <w:pPr>
        <w:pStyle w:val="BodyText"/>
        <w:spacing w:line="240" w:lineRule="auto" w:before="142"/>
        <w:ind w:left="573" w:right="101"/>
        <w:jc w:val="left"/>
      </w:pPr>
      <w:r>
        <w:rPr>
          <w:rFonts w:ascii="Times New Roman" w:hAnsi="Times New Roman" w:cs="Times New Roman" w:eastAsia="Times New Roman" w:hint="default"/>
        </w:rPr>
        <w:t>3</w:t>
      </w:r>
      <w:r>
        <w:rPr/>
        <w:t>、高级管理人员</w:t>
      </w:r>
    </w:p>
    <w:p>
      <w:pPr>
        <w:pStyle w:val="BodyText"/>
        <w:spacing w:line="266" w:lineRule="auto" w:before="141"/>
        <w:ind w:right="101" w:firstLine="420"/>
        <w:jc w:val="left"/>
      </w:pPr>
      <w:r>
        <w:rPr>
          <w:spacing w:val="-2"/>
        </w:rPr>
        <w:t>（</w:t>
      </w:r>
      <w:r>
        <w:rPr>
          <w:rFonts w:ascii="Times New Roman" w:hAnsi="Times New Roman" w:cs="Times New Roman" w:eastAsia="Times New Roman" w:hint="default"/>
          <w:spacing w:val="-2"/>
        </w:rPr>
        <w:t>1</w:t>
      </w:r>
      <w:r>
        <w:rPr>
          <w:spacing w:val="-2"/>
        </w:rPr>
        <w:t>）吴培服：男，</w:t>
      </w:r>
      <w:r>
        <w:rPr>
          <w:rFonts w:ascii="Times New Roman" w:hAnsi="Times New Roman" w:cs="Times New Roman" w:eastAsia="Times New Roman" w:hint="default"/>
          <w:spacing w:val="-2"/>
        </w:rPr>
        <w:t>1961</w:t>
      </w:r>
      <w:r>
        <w:rPr>
          <w:spacing w:val="-2"/>
        </w:rPr>
        <w:t>年</w:t>
      </w:r>
      <w:r>
        <w:rPr>
          <w:rFonts w:ascii="Times New Roman" w:hAnsi="Times New Roman" w:cs="Times New Roman" w:eastAsia="Times New Roman" w:hint="default"/>
          <w:spacing w:val="-2"/>
        </w:rPr>
        <w:t>10</w:t>
      </w:r>
      <w:r>
        <w:rPr>
          <w:spacing w:val="-2"/>
        </w:rPr>
        <w:t>月出生，中国籍，无永久境外居留权，大专学历。历任井头综合厂钳工、</w:t>
      </w:r>
      <w:r>
        <w:rPr>
          <w:w w:val="100"/>
        </w:rPr>
        <w:t> </w:t>
      </w:r>
      <w:r>
        <w:rPr>
          <w:spacing w:val="-2"/>
        </w:rPr>
        <w:t>井头乡井头村村长、宿迁市新型包装材料厂厂长、宿迁市铝型材厂厂长、宿迁市电池配件厂厂长、宿迁市</w:t>
      </w:r>
      <w:r>
        <w:rPr>
          <w:spacing w:val="-50"/>
        </w:rPr>
        <w:t> </w:t>
      </w:r>
      <w:r>
        <w:rPr>
          <w:spacing w:val="-50"/>
        </w:rPr>
      </w:r>
      <w:r>
        <w:rPr/>
        <w:t>彩塑包装有限公司执行董事，现任本公司董事长、总经理。</w:t>
      </w:r>
    </w:p>
    <w:p>
      <w:pPr>
        <w:pStyle w:val="BodyText"/>
        <w:spacing w:line="256" w:lineRule="auto" w:before="134"/>
        <w:ind w:right="101" w:firstLine="420"/>
        <w:jc w:val="left"/>
      </w:pPr>
      <w:r>
        <w:rPr>
          <w:spacing w:val="-2"/>
        </w:rPr>
        <w:t>（</w:t>
      </w:r>
      <w:r>
        <w:rPr>
          <w:rFonts w:ascii="Times New Roman" w:hAnsi="Times New Roman" w:cs="Times New Roman" w:eastAsia="Times New Roman" w:hint="default"/>
          <w:spacing w:val="-2"/>
        </w:rPr>
        <w:t>2</w:t>
      </w:r>
      <w:r>
        <w:rPr>
          <w:spacing w:val="-2"/>
        </w:rPr>
        <w:t>）吴迪：男，</w:t>
      </w:r>
      <w:r>
        <w:rPr>
          <w:rFonts w:ascii="Times New Roman" w:hAnsi="Times New Roman" w:cs="Times New Roman" w:eastAsia="Times New Roman" w:hint="default"/>
          <w:spacing w:val="-2"/>
        </w:rPr>
        <w:t>1982</w:t>
      </w:r>
      <w:r>
        <w:rPr>
          <w:spacing w:val="-2"/>
        </w:rPr>
        <w:t>年</w:t>
      </w:r>
      <w:r>
        <w:rPr>
          <w:rFonts w:ascii="Times New Roman" w:hAnsi="Times New Roman" w:cs="Times New Roman" w:eastAsia="Times New Roman" w:hint="default"/>
          <w:spacing w:val="-2"/>
        </w:rPr>
        <w:t>9</w:t>
      </w:r>
      <w:r>
        <w:rPr>
          <w:spacing w:val="-2"/>
        </w:rPr>
        <w:t>月出生，中国籍，无永久境外居留权，本科学历。历任宿迁市彩塑包装有限</w:t>
      </w:r>
      <w:r>
        <w:rPr>
          <w:w w:val="100"/>
        </w:rPr>
        <w:t> </w:t>
      </w:r>
      <w:r>
        <w:rPr/>
        <w:t>公司副总经理。现任本公司董事、董事会秘书、副总经理。</w:t>
      </w:r>
    </w:p>
    <w:p>
      <w:pPr>
        <w:pStyle w:val="BodyText"/>
        <w:spacing w:line="256" w:lineRule="auto" w:before="142"/>
        <w:ind w:right="101" w:firstLine="420"/>
        <w:jc w:val="left"/>
      </w:pPr>
      <w:r>
        <w:rPr>
          <w:spacing w:val="-2"/>
        </w:rPr>
        <w:t>（</w:t>
      </w:r>
      <w:r>
        <w:rPr>
          <w:rFonts w:ascii="Times New Roman" w:hAnsi="Times New Roman" w:cs="Times New Roman" w:eastAsia="Times New Roman" w:hint="default"/>
          <w:spacing w:val="-2"/>
        </w:rPr>
        <w:t>3</w:t>
      </w:r>
      <w:r>
        <w:rPr>
          <w:spacing w:val="-2"/>
        </w:rPr>
        <w:t>）周海燕：女，</w:t>
      </w:r>
      <w:r>
        <w:rPr>
          <w:rFonts w:ascii="Times New Roman" w:hAnsi="Times New Roman" w:cs="Times New Roman" w:eastAsia="Times New Roman" w:hint="default"/>
          <w:spacing w:val="-2"/>
        </w:rPr>
        <w:t>1975</w:t>
      </w:r>
      <w:r>
        <w:rPr>
          <w:spacing w:val="-2"/>
        </w:rPr>
        <w:t>年</w:t>
      </w:r>
      <w:r>
        <w:rPr>
          <w:rFonts w:ascii="Times New Roman" w:hAnsi="Times New Roman" w:cs="Times New Roman" w:eastAsia="Times New Roman" w:hint="default"/>
          <w:spacing w:val="-2"/>
        </w:rPr>
        <w:t>1</w:t>
      </w:r>
      <w:r>
        <w:rPr>
          <w:spacing w:val="-2"/>
        </w:rPr>
        <w:t>月出生，中国籍，无永久境外居留权，本科学历。历任宿迁市彩塑包装有</w:t>
      </w:r>
      <w:r>
        <w:rPr>
          <w:w w:val="100"/>
        </w:rPr>
        <w:t> </w:t>
      </w:r>
      <w:r>
        <w:rPr/>
        <w:t>限公司副总经理、财务经理。现任本公司董事、副总经理、财务总监。</w:t>
      </w:r>
    </w:p>
    <w:p>
      <w:pPr>
        <w:pStyle w:val="BodyText"/>
        <w:spacing w:line="256" w:lineRule="auto" w:before="142"/>
        <w:ind w:right="101" w:firstLine="420"/>
        <w:jc w:val="left"/>
      </w:pPr>
      <w:r>
        <w:rPr/>
        <w:t>（</w:t>
      </w:r>
      <w:r>
        <w:rPr>
          <w:rFonts w:ascii="Times New Roman" w:hAnsi="Times New Roman" w:cs="Times New Roman" w:eastAsia="Times New Roman" w:hint="default"/>
        </w:rPr>
        <w:t>4</w:t>
      </w:r>
      <w:r>
        <w:rPr/>
        <w:t>）潘建忠：男，</w:t>
      </w:r>
      <w:r>
        <w:rPr>
          <w:rFonts w:ascii="Times New Roman" w:hAnsi="Times New Roman" w:cs="Times New Roman" w:eastAsia="Times New Roman" w:hint="default"/>
        </w:rPr>
        <w:t>1972</w:t>
      </w:r>
      <w:r>
        <w:rPr/>
        <w:t>年</w:t>
      </w:r>
      <w:r>
        <w:rPr>
          <w:rFonts w:ascii="Times New Roman" w:hAnsi="Times New Roman" w:cs="Times New Roman" w:eastAsia="Times New Roman" w:hint="default"/>
        </w:rPr>
        <w:t>11</w:t>
      </w:r>
      <w:r>
        <w:rPr/>
        <w:t>月出生，中国籍，无永久境外居留权，本科学历。历任宁波包装材料有</w:t>
      </w:r>
      <w:r>
        <w:rPr>
          <w:w w:val="100"/>
        </w:rPr>
        <w:t> </w:t>
      </w:r>
      <w:r>
        <w:rPr>
          <w:spacing w:val="-5"/>
        </w:rPr>
        <w:t>限公司技术部副经理、江苏琼花集团副总经理、宿迁市彩塑包装有限公司副总经理。现任本公司副总经理。</w:t>
      </w:r>
    </w:p>
    <w:p>
      <w:pPr>
        <w:pStyle w:val="BodyText"/>
        <w:spacing w:line="256" w:lineRule="auto" w:before="142"/>
        <w:ind w:right="101" w:firstLine="420"/>
        <w:jc w:val="left"/>
      </w:pPr>
      <w:r>
        <w:rPr>
          <w:spacing w:val="-4"/>
        </w:rPr>
        <w:t>（</w:t>
      </w:r>
      <w:r>
        <w:rPr>
          <w:rFonts w:ascii="Times New Roman" w:hAnsi="Times New Roman" w:cs="Times New Roman" w:eastAsia="Times New Roman" w:hint="default"/>
          <w:spacing w:val="-4"/>
        </w:rPr>
        <w:t>5</w:t>
      </w:r>
      <w:r>
        <w:rPr>
          <w:spacing w:val="-4"/>
        </w:rPr>
        <w:t>）邹兆云：男，</w:t>
      </w:r>
      <w:r>
        <w:rPr>
          <w:rFonts w:ascii="Times New Roman" w:hAnsi="Times New Roman" w:cs="Times New Roman" w:eastAsia="Times New Roman" w:hint="default"/>
          <w:spacing w:val="-4"/>
        </w:rPr>
        <w:t>1966</w:t>
      </w:r>
      <w:r>
        <w:rPr>
          <w:spacing w:val="-4"/>
        </w:rPr>
        <w:t>年</w:t>
      </w:r>
      <w:r>
        <w:rPr>
          <w:rFonts w:ascii="Times New Roman" w:hAnsi="Times New Roman" w:cs="Times New Roman" w:eastAsia="Times New Roman" w:hint="default"/>
          <w:spacing w:val="-4"/>
        </w:rPr>
        <w:t>4</w:t>
      </w:r>
      <w:r>
        <w:rPr>
          <w:spacing w:val="-4"/>
        </w:rPr>
        <w:t>月出生，中国籍，无永久境外居留权，高中学历。历任宿迁市卫生局员工、</w:t>
      </w:r>
      <w:r>
        <w:rPr>
          <w:w w:val="100"/>
        </w:rPr>
        <w:t> </w:t>
      </w:r>
      <w:r>
        <w:rPr/>
        <w:t>宿迁市彩塑包装有限公司副总经理、营销部主管。现任本公司副总经理。</w:t>
      </w:r>
    </w:p>
    <w:p>
      <w:pPr>
        <w:pStyle w:val="BodyText"/>
        <w:spacing w:line="256" w:lineRule="auto" w:before="142"/>
        <w:ind w:right="101" w:firstLine="420"/>
        <w:jc w:val="left"/>
      </w:pPr>
      <w:r>
        <w:rPr>
          <w:spacing w:val="-2"/>
        </w:rPr>
        <w:t>（</w:t>
      </w:r>
      <w:r>
        <w:rPr>
          <w:rFonts w:ascii="Times New Roman" w:hAnsi="Times New Roman" w:cs="Times New Roman" w:eastAsia="Times New Roman" w:hint="default"/>
          <w:spacing w:val="-2"/>
        </w:rPr>
        <w:t>6</w:t>
      </w:r>
      <w:r>
        <w:rPr>
          <w:spacing w:val="-2"/>
        </w:rPr>
        <w:t>）杨淑侠：女，</w:t>
      </w:r>
      <w:r>
        <w:rPr>
          <w:rFonts w:ascii="Times New Roman" w:hAnsi="Times New Roman" w:cs="Times New Roman" w:eastAsia="Times New Roman" w:hint="default"/>
          <w:spacing w:val="-2"/>
        </w:rPr>
        <w:t>1966</w:t>
      </w:r>
      <w:r>
        <w:rPr>
          <w:spacing w:val="-2"/>
        </w:rPr>
        <w:t>年</w:t>
      </w:r>
      <w:r>
        <w:rPr>
          <w:rFonts w:ascii="Times New Roman" w:hAnsi="Times New Roman" w:cs="Times New Roman" w:eastAsia="Times New Roman" w:hint="default"/>
          <w:spacing w:val="-2"/>
        </w:rPr>
        <w:t>1</w:t>
      </w:r>
      <w:r>
        <w:rPr>
          <w:spacing w:val="-2"/>
        </w:rPr>
        <w:t>月出生，中国籍，无永久境外居留权，高中学历。历任宿迁市彩塑包装有</w:t>
      </w:r>
      <w:r>
        <w:rPr>
          <w:w w:val="100"/>
        </w:rPr>
        <w:t> </w:t>
      </w:r>
      <w:r>
        <w:rPr/>
        <w:t>限公司副总经理。现任本公司副总经理。</w:t>
      </w:r>
    </w:p>
    <w:p>
      <w:pPr>
        <w:pStyle w:val="BodyText"/>
        <w:spacing w:line="256" w:lineRule="auto" w:before="142"/>
        <w:ind w:right="101" w:firstLine="420"/>
        <w:jc w:val="left"/>
      </w:pPr>
      <w:r>
        <w:rPr/>
        <w:t>（</w:t>
      </w:r>
      <w:r>
        <w:rPr>
          <w:rFonts w:ascii="Times New Roman" w:hAnsi="Times New Roman" w:cs="Times New Roman" w:eastAsia="Times New Roman" w:hint="default"/>
        </w:rPr>
        <w:t>7</w:t>
      </w:r>
      <w:r>
        <w:rPr/>
        <w:t>）葛林：男，</w:t>
      </w:r>
      <w:r>
        <w:rPr>
          <w:rFonts w:ascii="Times New Roman" w:hAnsi="Times New Roman" w:cs="Times New Roman" w:eastAsia="Times New Roman" w:hint="default"/>
        </w:rPr>
        <w:t>1975</w:t>
      </w:r>
      <w:r>
        <w:rPr/>
        <w:t>年</w:t>
      </w:r>
      <w:r>
        <w:rPr>
          <w:rFonts w:ascii="Times New Roman" w:hAnsi="Times New Roman" w:cs="Times New Roman" w:eastAsia="Times New Roman" w:hint="default"/>
        </w:rPr>
        <w:t>10</w:t>
      </w:r>
      <w:r>
        <w:rPr/>
        <w:t>月出生，中国籍，无永久境外居留权，专科学历。历任宿迁市制鞋总厂车</w:t>
      </w:r>
      <w:r>
        <w:rPr>
          <w:w w:val="100"/>
        </w:rPr>
        <w:t> </w:t>
      </w:r>
      <w:r>
        <w:rPr/>
        <w:t>间主任、宿迁市彩塑包装有限公司副总经理。现任本公司副总经理。</w:t>
      </w:r>
    </w:p>
    <w:p>
      <w:pPr>
        <w:pStyle w:val="BodyText"/>
        <w:spacing w:line="256" w:lineRule="auto" w:before="142"/>
        <w:ind w:right="101" w:firstLine="420"/>
        <w:jc w:val="left"/>
      </w:pPr>
      <w:r>
        <w:rPr>
          <w:spacing w:val="-2"/>
        </w:rPr>
        <w:t>（</w:t>
      </w:r>
      <w:r>
        <w:rPr>
          <w:rFonts w:ascii="Times New Roman" w:hAnsi="Times New Roman" w:cs="Times New Roman" w:eastAsia="Times New Roman" w:hint="default"/>
          <w:spacing w:val="-2"/>
        </w:rPr>
        <w:t>8</w:t>
      </w:r>
      <w:r>
        <w:rPr>
          <w:spacing w:val="-2"/>
        </w:rPr>
        <w:t>）葛俊生：男，</w:t>
      </w:r>
      <w:r>
        <w:rPr>
          <w:rFonts w:ascii="Times New Roman" w:hAnsi="Times New Roman" w:cs="Times New Roman" w:eastAsia="Times New Roman" w:hint="default"/>
          <w:spacing w:val="-2"/>
        </w:rPr>
        <w:t>1967</w:t>
      </w:r>
      <w:r>
        <w:rPr>
          <w:spacing w:val="-2"/>
        </w:rPr>
        <w:t>年</w:t>
      </w:r>
      <w:r>
        <w:rPr>
          <w:rFonts w:ascii="Times New Roman" w:hAnsi="Times New Roman" w:cs="Times New Roman" w:eastAsia="Times New Roman" w:hint="default"/>
          <w:spacing w:val="-2"/>
        </w:rPr>
        <w:t>9</w:t>
      </w:r>
      <w:r>
        <w:rPr>
          <w:spacing w:val="-2"/>
        </w:rPr>
        <w:t>月出生，中国籍，无永久境外居留权，高中学历。历任井头乡副食品厂工</w:t>
      </w:r>
      <w:r>
        <w:rPr>
          <w:w w:val="100"/>
        </w:rPr>
        <w:t> </w:t>
      </w:r>
      <w:r>
        <w:rPr/>
        <w:t>人、宿迁市彩塑包装有限公司副总经理、技术部主管。现任本公司副总经理。</w:t>
      </w:r>
    </w:p>
    <w:p>
      <w:pPr>
        <w:pStyle w:val="BodyText"/>
        <w:spacing w:line="256" w:lineRule="auto" w:before="142"/>
        <w:ind w:right="101" w:firstLine="420"/>
        <w:jc w:val="left"/>
      </w:pPr>
      <w:r>
        <w:rPr/>
        <w:t>（</w:t>
      </w:r>
      <w:r>
        <w:rPr>
          <w:rFonts w:ascii="Times New Roman" w:hAnsi="Times New Roman" w:cs="Times New Roman" w:eastAsia="Times New Roman" w:hint="default"/>
        </w:rPr>
        <w:t>9</w:t>
      </w:r>
      <w:r>
        <w:rPr/>
        <w:t>）陆敬权：男，</w:t>
      </w:r>
      <w:r>
        <w:rPr>
          <w:rFonts w:ascii="Times New Roman" w:hAnsi="Times New Roman" w:cs="Times New Roman" w:eastAsia="Times New Roman" w:hint="default"/>
        </w:rPr>
        <w:t>1980</w:t>
      </w:r>
      <w:r>
        <w:rPr/>
        <w:t>年</w:t>
      </w:r>
      <w:r>
        <w:rPr>
          <w:rFonts w:ascii="Times New Roman" w:hAnsi="Times New Roman" w:cs="Times New Roman" w:eastAsia="Times New Roman" w:hint="default"/>
        </w:rPr>
        <w:t>10</w:t>
      </w:r>
      <w:r>
        <w:rPr/>
        <w:t>月出生，中国籍，无永久境外居留权，专科学历。历任宿迁市彩塑包装</w:t>
      </w:r>
      <w:r>
        <w:rPr>
          <w:w w:val="100"/>
        </w:rPr>
        <w:t> </w:t>
      </w:r>
      <w:r>
        <w:rPr/>
        <w:t>有限公司项目经理。现任本公司副总经理。</w:t>
      </w:r>
    </w:p>
    <w:p>
      <w:pPr>
        <w:pStyle w:val="BodyText"/>
        <w:spacing w:line="256" w:lineRule="auto" w:before="142"/>
        <w:ind w:right="101" w:firstLine="420"/>
        <w:jc w:val="left"/>
      </w:pPr>
      <w:r>
        <w:rPr/>
        <w:t>（</w:t>
      </w:r>
      <w:r>
        <w:rPr>
          <w:rFonts w:ascii="Times New Roman" w:hAnsi="Times New Roman" w:cs="Times New Roman" w:eastAsia="Times New Roman" w:hint="default"/>
        </w:rPr>
        <w:t>10</w:t>
      </w:r>
      <w:r>
        <w:rPr/>
        <w:t>）孙化斌：男，</w:t>
      </w:r>
      <w:r>
        <w:rPr>
          <w:rFonts w:ascii="Times New Roman" w:hAnsi="Times New Roman" w:cs="Times New Roman" w:eastAsia="Times New Roman" w:hint="default"/>
        </w:rPr>
        <w:t>1965</w:t>
      </w:r>
      <w:r>
        <w:rPr/>
        <w:t>年</w:t>
      </w:r>
      <w:r>
        <w:rPr>
          <w:rFonts w:ascii="Times New Roman" w:hAnsi="Times New Roman" w:cs="Times New Roman" w:eastAsia="Times New Roman" w:hint="default"/>
        </w:rPr>
        <w:t>9</w:t>
      </w:r>
      <w:r>
        <w:rPr/>
        <w:t>月出生，中国籍，无永久境外居留权，高中学历。历任宿迁市铝合金厂</w:t>
      </w:r>
      <w:r>
        <w:rPr>
          <w:w w:val="100"/>
        </w:rPr>
        <w:t> </w:t>
      </w:r>
      <w:r>
        <w:rPr/>
        <w:t>电工、宿迁市彩塑包装有限公司车间主任、项目经理。现任本公司副总经理。</w:t>
      </w:r>
    </w:p>
    <w:p>
      <w:pPr>
        <w:pStyle w:val="BodyText"/>
        <w:spacing w:line="259" w:lineRule="auto" w:before="142"/>
        <w:ind w:right="101" w:firstLine="420"/>
        <w:jc w:val="left"/>
      </w:pPr>
      <w:r>
        <w:rPr/>
        <w:t>（</w:t>
      </w:r>
      <w:r>
        <w:rPr>
          <w:rFonts w:ascii="Times New Roman" w:hAnsi="Times New Roman" w:cs="Times New Roman" w:eastAsia="Times New Roman" w:hint="default"/>
        </w:rPr>
        <w:t>11</w:t>
      </w:r>
      <w:r>
        <w:rPr/>
        <w:t>）李平：女，</w:t>
      </w:r>
      <w:r>
        <w:rPr>
          <w:rFonts w:ascii="Times New Roman" w:hAnsi="Times New Roman" w:cs="Times New Roman" w:eastAsia="Times New Roman" w:hint="default"/>
        </w:rPr>
        <w:t>1983</w:t>
      </w:r>
      <w:r>
        <w:rPr/>
        <w:t>年</w:t>
      </w:r>
      <w:r>
        <w:rPr>
          <w:rFonts w:ascii="Times New Roman" w:hAnsi="Times New Roman" w:cs="Times New Roman" w:eastAsia="Times New Roman" w:hint="default"/>
        </w:rPr>
        <w:t>6</w:t>
      </w:r>
      <w:r>
        <w:rPr/>
        <w:t>月出生，中国籍，本科学历。历任宿迁市彩塑包装有限公司总经理助理，</w:t>
      </w:r>
      <w:r>
        <w:rPr>
          <w:w w:val="100"/>
        </w:rPr>
        <w:t> </w:t>
      </w:r>
      <w:r>
        <w:rPr/>
        <w:t>现任公司副总经理。</w:t>
      </w:r>
    </w:p>
    <w:p>
      <w:pPr>
        <w:spacing w:before="161"/>
        <w:ind w:left="152" w:right="101"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7"/>
        <w:ind w:left="152" w:right="10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76"/>
        <w:gridCol w:w="1700"/>
        <w:gridCol w:w="1987"/>
        <w:gridCol w:w="1558"/>
        <w:gridCol w:w="1563"/>
        <w:gridCol w:w="1486"/>
      </w:tblGrid>
      <w:tr>
        <w:trPr>
          <w:trHeight w:val="715"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在股东单位担任的职务</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96" w:right="107" w:hanging="89"/>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1"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吴培服</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启恒投资</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2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77"/>
        <w:gridCol w:w="1700"/>
        <w:gridCol w:w="1987"/>
        <w:gridCol w:w="1558"/>
        <w:gridCol w:w="1563"/>
        <w:gridCol w:w="1486"/>
      </w:tblGrid>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吴培服</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迪智成投资</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周海燕</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启恒投资</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吴迪</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迪智成投资</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5"/>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34"/>
        <w:gridCol w:w="2878"/>
        <w:gridCol w:w="1491"/>
        <w:gridCol w:w="1229"/>
        <w:gridCol w:w="1361"/>
        <w:gridCol w:w="1375"/>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95"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70" w:right="108" w:hanging="360"/>
              <w:jc w:val="left"/>
              <w:rPr>
                <w:rFonts w:ascii="宋体" w:hAnsi="宋体" w:cs="宋体" w:eastAsia="宋体" w:hint="default"/>
                <w:sz w:val="18"/>
                <w:szCs w:val="18"/>
              </w:rPr>
            </w:pPr>
            <w:r>
              <w:rPr>
                <w:rFonts w:ascii="宋体" w:hAnsi="宋体" w:cs="宋体" w:eastAsia="宋体" w:hint="default"/>
                <w:sz w:val="18"/>
                <w:szCs w:val="18"/>
              </w:rPr>
              <w:t>在其他单位担任 的职务</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43" w:right="50"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蓝海林</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华南理工大学工商管理学院</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教授、博士生导师</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蓝海林</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广东天龙油墨集团股份有限公司</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蓝海林</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广州汽车集团股份有限公司</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蓝海林</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广东新宝电器股份有限公司</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蓝海林</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广东万家乐股份有限公司</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程银春</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大华会计师事务所</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副所长、合伙人</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程银春</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蒙娜丽莎集团股份有限公司</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李小虎</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江苏以诺投资管理有限公司</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管理合伙人</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李小虎</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句容宁武新材料股份有限公司</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5"/>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19"/>
          <w:szCs w:val="19"/>
        </w:rPr>
      </w:pPr>
    </w:p>
    <w:p>
      <w:pPr>
        <w:pStyle w:val="Heading2"/>
        <w:spacing w:line="240" w:lineRule="auto"/>
        <w:ind w:right="153"/>
        <w:jc w:val="left"/>
        <w:rPr>
          <w:b w:val="0"/>
          <w:bCs w:val="0"/>
        </w:rPr>
      </w:pPr>
      <w:r>
        <w:rPr/>
        <w:t>四、董事、监事、高级管理人员报酬情况</w:t>
      </w:r>
      <w:r>
        <w:rPr>
          <w:b w:val="0"/>
          <w:bCs w:val="0"/>
        </w:rPr>
      </w:r>
    </w:p>
    <w:p>
      <w:pPr>
        <w:spacing w:line="240" w:lineRule="auto" w:before="10"/>
        <w:rPr>
          <w:rFonts w:ascii="宋体" w:hAnsi="宋体" w:cs="宋体" w:eastAsia="宋体" w:hint="default"/>
          <w:b/>
          <w:bCs/>
          <w:sz w:val="21"/>
          <w:szCs w:val="21"/>
        </w:rPr>
      </w:pPr>
    </w:p>
    <w:p>
      <w:pPr>
        <w:spacing w:before="0"/>
        <w:ind w:left="152" w:right="153"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pStyle w:val="BodyText"/>
        <w:spacing w:line="273" w:lineRule="auto" w:before="96"/>
        <w:ind w:right="153"/>
        <w:jc w:val="left"/>
      </w:pPr>
      <w:r>
        <w:rPr>
          <w:spacing w:val="-2"/>
        </w:rPr>
        <w:t>根据公司《公司董事、监事及高级管理人员薪酬考核办法》等相关规定，公司按不同的职务、不同的岗位</w:t>
      </w:r>
      <w:r>
        <w:rPr>
          <w:spacing w:val="-43"/>
        </w:rPr>
        <w:t> </w:t>
      </w:r>
      <w:r>
        <w:rPr>
          <w:spacing w:val="-43"/>
        </w:rPr>
      </w:r>
      <w:r>
        <w:rPr/>
        <w:t>职责，结合个人工作业绩以及完成任务的情况确认公司高管人员的报酬。</w:t>
      </w:r>
    </w:p>
    <w:p>
      <w:pPr>
        <w:spacing w:before="69"/>
        <w:ind w:left="152" w:right="153"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5"/>
        <w:ind w:left="0" w:right="69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2461"/>
        <w:gridCol w:w="991"/>
        <w:gridCol w:w="852"/>
        <w:gridCol w:w="1166"/>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2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吴培服</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57</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 </w:t>
            </w:r>
            <w:r>
              <w:rPr>
                <w:rFonts w:ascii="宋体" w:hAnsi="宋体" w:cs="宋体" w:eastAsia="宋体" w:hint="default"/>
                <w:spacing w:val="2"/>
                <w:sz w:val="18"/>
                <w:szCs w:val="18"/>
              </w:rPr>
              <w:t> </w:t>
            </w:r>
            <w:r>
              <w:rPr>
                <w:rFonts w:ascii="宋体" w:hAnsi="宋体" w:cs="宋体" w:eastAsia="宋体" w:hint="default"/>
                <w:sz w:val="18"/>
                <w:szCs w:val="18"/>
              </w:rPr>
              <w:t>迪</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董事、董事会秘书、副总经理</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36</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周海燕</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董事、财务总监、副总经理</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43</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曹 </w:t>
            </w:r>
            <w:r>
              <w:rPr>
                <w:rFonts w:ascii="宋体" w:hAnsi="宋体" w:cs="宋体" w:eastAsia="宋体" w:hint="default"/>
                <w:spacing w:val="2"/>
                <w:sz w:val="18"/>
                <w:szCs w:val="18"/>
              </w:rPr>
              <w:t> </w:t>
            </w:r>
            <w:r>
              <w:rPr>
                <w:rFonts w:ascii="宋体" w:hAnsi="宋体" w:cs="宋体" w:eastAsia="宋体" w:hint="default"/>
                <w:sz w:val="18"/>
                <w:szCs w:val="18"/>
              </w:rPr>
              <w:t>薇</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蓝海林</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59</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程银春</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52</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李小虎</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61</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2"/>
                <w:sz w:val="18"/>
                <w:szCs w:val="18"/>
              </w:rPr>
              <w:t> </w:t>
            </w:r>
            <w:r>
              <w:rPr>
                <w:rFonts w:ascii="宋体" w:hAnsi="宋体" w:cs="宋体" w:eastAsia="宋体" w:hint="default"/>
                <w:sz w:val="18"/>
                <w:szCs w:val="18"/>
              </w:rPr>
              <w:t>叶</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31</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池 </w:t>
            </w:r>
            <w:r>
              <w:rPr>
                <w:rFonts w:ascii="宋体" w:hAnsi="宋体" w:cs="宋体" w:eastAsia="宋体" w:hint="default"/>
                <w:spacing w:val="2"/>
                <w:sz w:val="18"/>
                <w:szCs w:val="18"/>
              </w:rPr>
              <w:t> </w:t>
            </w:r>
            <w:r>
              <w:rPr>
                <w:rFonts w:ascii="宋体" w:hAnsi="宋体" w:cs="宋体" w:eastAsia="宋体" w:hint="default"/>
                <w:sz w:val="18"/>
                <w:szCs w:val="18"/>
              </w:rPr>
              <w:t>卫</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33</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11.88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2461"/>
        <w:gridCol w:w="991"/>
        <w:gridCol w:w="852"/>
        <w:gridCol w:w="1166"/>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 </w:t>
            </w:r>
            <w:r>
              <w:rPr>
                <w:rFonts w:ascii="宋体" w:hAnsi="宋体" w:cs="宋体" w:eastAsia="宋体" w:hint="default"/>
                <w:spacing w:val="2"/>
                <w:sz w:val="18"/>
                <w:szCs w:val="18"/>
              </w:rPr>
              <w:t> </w:t>
            </w:r>
            <w:r>
              <w:rPr>
                <w:rFonts w:ascii="宋体" w:hAnsi="宋体" w:cs="宋体" w:eastAsia="宋体" w:hint="default"/>
                <w:sz w:val="18"/>
                <w:szCs w:val="18"/>
              </w:rPr>
              <w:t>卫</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32</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潘建忠</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46</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邹兆云</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52</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杨淑侠</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52</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葛 </w:t>
            </w:r>
            <w:r>
              <w:rPr>
                <w:rFonts w:ascii="宋体" w:hAnsi="宋体" w:cs="宋体" w:eastAsia="宋体" w:hint="default"/>
                <w:spacing w:val="2"/>
                <w:sz w:val="18"/>
                <w:szCs w:val="18"/>
              </w:rPr>
              <w:t> </w:t>
            </w:r>
            <w:r>
              <w:rPr>
                <w:rFonts w:ascii="宋体" w:hAnsi="宋体" w:cs="宋体" w:eastAsia="宋体" w:hint="default"/>
                <w:sz w:val="18"/>
                <w:szCs w:val="18"/>
              </w:rPr>
              <w:t>林</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43</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葛俊生</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60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陆敬权</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38</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孙化斌</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53</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李平</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35</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408.38</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before="115"/>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53"/>
        <w:jc w:val="left"/>
        <w:rPr>
          <w:b w:val="0"/>
          <w:bCs w:val="0"/>
        </w:rPr>
      </w:pPr>
      <w:r>
        <w:rPr/>
        <w:t>五、公司员工情况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53"/>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5"/>
        <w:gridCol w:w="4794"/>
      </w:tblGrid>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1,058</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1,218</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1,218</w:t>
            </w:r>
          </w:p>
        </w:tc>
      </w:tr>
      <w:tr>
        <w:trPr>
          <w:trHeight w:val="406"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94"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6"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670</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358</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w:t>
            </w:r>
          </w:p>
        </w:tc>
      </w:tr>
      <w:tr>
        <w:trPr>
          <w:trHeight w:val="406"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1,218</w:t>
            </w:r>
          </w:p>
        </w:tc>
      </w:tr>
      <w:tr>
        <w:trPr>
          <w:trHeight w:val="394"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6"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本科以上</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372</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758</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1,218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b/>
          <w:bCs/>
          <w:sz w:val="24"/>
          <w:szCs w:val="24"/>
        </w:rPr>
      </w:pPr>
    </w:p>
    <w:p>
      <w:pPr>
        <w:pStyle w:val="Heading4"/>
        <w:spacing w:line="240" w:lineRule="auto" w:before="36"/>
        <w:ind w:right="91"/>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5"/>
        <w:rPr>
          <w:rFonts w:ascii="宋体" w:hAnsi="宋体" w:cs="宋体" w:eastAsia="宋体" w:hint="default"/>
          <w:b/>
          <w:bCs/>
          <w:sz w:val="26"/>
          <w:szCs w:val="26"/>
        </w:rPr>
      </w:pPr>
    </w:p>
    <w:p>
      <w:pPr>
        <w:spacing w:before="0"/>
        <w:ind w:left="152" w:right="91" w:firstLine="0"/>
        <w:jc w:val="left"/>
        <w:rPr>
          <w:rFonts w:ascii="宋体" w:hAnsi="宋体" w:cs="宋体" w:eastAsia="宋体" w:hint="default"/>
          <w:sz w:val="18"/>
          <w:szCs w:val="18"/>
        </w:rPr>
      </w:pPr>
      <w:r>
        <w:rPr>
          <w:rFonts w:ascii="宋体" w:hAnsi="宋体" w:cs="宋体" w:eastAsia="宋体" w:hint="default"/>
          <w:sz w:val="18"/>
          <w:szCs w:val="18"/>
        </w:rPr>
        <w:t>根据公司薪酬与绩效考核管理的相应制度进行。</w:t>
      </w:r>
    </w:p>
    <w:p>
      <w:pPr>
        <w:spacing w:line="240" w:lineRule="auto" w:before="0"/>
        <w:rPr>
          <w:rFonts w:ascii="宋体" w:hAnsi="宋体" w:cs="宋体" w:eastAsia="宋体" w:hint="default"/>
          <w:sz w:val="18"/>
          <w:szCs w:val="18"/>
        </w:rPr>
      </w:pPr>
    </w:p>
    <w:p>
      <w:pPr>
        <w:pStyle w:val="Heading4"/>
        <w:spacing w:line="240" w:lineRule="auto" w:before="120"/>
        <w:ind w:right="91"/>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2"/>
        <w:rPr>
          <w:rFonts w:ascii="宋体" w:hAnsi="宋体" w:cs="宋体" w:eastAsia="宋体" w:hint="default"/>
          <w:b/>
          <w:bCs/>
          <w:sz w:val="26"/>
          <w:szCs w:val="26"/>
        </w:rPr>
      </w:pPr>
    </w:p>
    <w:p>
      <w:pPr>
        <w:spacing w:line="316" w:lineRule="auto" w:before="0"/>
        <w:ind w:left="152" w:right="94" w:firstLine="360"/>
        <w:jc w:val="left"/>
        <w:rPr>
          <w:rFonts w:ascii="宋体" w:hAnsi="宋体" w:cs="宋体" w:eastAsia="宋体" w:hint="default"/>
          <w:sz w:val="18"/>
          <w:szCs w:val="18"/>
        </w:rPr>
      </w:pPr>
      <w:r>
        <w:rPr>
          <w:rFonts w:ascii="宋体" w:hAnsi="宋体" w:cs="宋体" w:eastAsia="宋体" w:hint="default"/>
          <w:spacing w:val="-2"/>
          <w:sz w:val="18"/>
          <w:szCs w:val="18"/>
        </w:rPr>
        <w:t>围绕公司发展战略指导思想和经营目标，结合企业实际情况，为满足公司战略发展对人力资源的要求，为员工职业</w:t>
      </w:r>
      <w:r>
        <w:rPr>
          <w:rFonts w:ascii="宋体" w:hAnsi="宋体" w:cs="宋体" w:eastAsia="宋体" w:hint="default"/>
          <w:color w:val="212121"/>
          <w:spacing w:val="-2"/>
          <w:sz w:val="18"/>
          <w:szCs w:val="18"/>
        </w:rPr>
        <w:t>生涯</w:t>
      </w:r>
      <w:r>
        <w:rPr>
          <w:rFonts w:ascii="宋体" w:hAnsi="宋体" w:cs="宋体" w:eastAsia="宋体" w:hint="default"/>
          <w:color w:val="212121"/>
          <w:sz w:val="18"/>
          <w:szCs w:val="18"/>
        </w:rPr>
        <w:t> </w:t>
      </w:r>
      <w:r>
        <w:rPr>
          <w:rFonts w:ascii="宋体" w:hAnsi="宋体" w:cs="宋体" w:eastAsia="宋体" w:hint="default"/>
          <w:color w:val="212121"/>
          <w:spacing w:val="-2"/>
          <w:sz w:val="18"/>
          <w:szCs w:val="18"/>
        </w:rPr>
        <w:t>规划提供方向，为企业发展提供人才保证。公司</w:t>
      </w:r>
      <w:r>
        <w:rPr>
          <w:rFonts w:ascii="宋体" w:hAnsi="宋体" w:cs="宋体" w:eastAsia="宋体" w:hint="default"/>
          <w:spacing w:val="-2"/>
          <w:sz w:val="18"/>
          <w:szCs w:val="18"/>
        </w:rPr>
        <w:t>以入职培训、岗位技能培训、经营理念培训为重点，以素质和能力建设为核</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心，逐步形成与企业发展相适应、符合员工成长规律的多层次、多类别、多形式、重实效的培训格局，建设一支学习型、实</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2"/>
          <w:sz w:val="18"/>
          <w:szCs w:val="18"/>
        </w:rPr>
        <w:t>干型、创新型的员工队伍。一是一线员工技术、技能掊训使其进一步提高；二是营销模式创新，加强营销售人员培训，激发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活力。三是管理人员业务技能培训，提升业务水平和技能。四是创新及精细化管理培训，提高执行力。四是开展全员培训， 确保安全生产。</w:t>
      </w:r>
    </w:p>
    <w:p>
      <w:pPr>
        <w:spacing w:line="240" w:lineRule="auto" w:before="11"/>
        <w:rPr>
          <w:rFonts w:ascii="宋体" w:hAnsi="宋体" w:cs="宋体" w:eastAsia="宋体" w:hint="default"/>
          <w:sz w:val="22"/>
          <w:szCs w:val="22"/>
        </w:rPr>
      </w:pPr>
    </w:p>
    <w:p>
      <w:pPr>
        <w:pStyle w:val="Heading4"/>
        <w:spacing w:line="240" w:lineRule="auto"/>
        <w:ind w:right="91"/>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4"/>
        <w:rPr>
          <w:rFonts w:ascii="宋体" w:hAnsi="宋体" w:cs="宋体" w:eastAsia="宋体" w:hint="default"/>
          <w:b/>
          <w:bCs/>
          <w:sz w:val="26"/>
          <w:szCs w:val="26"/>
        </w:rPr>
      </w:pPr>
    </w:p>
    <w:p>
      <w:pPr>
        <w:spacing w:before="0"/>
        <w:ind w:left="152" w:right="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429" w:right="3485"/>
        <w:jc w:val="center"/>
        <w:rPr>
          <w:b w:val="0"/>
          <w:bCs w:val="0"/>
        </w:rPr>
      </w:pPr>
      <w:bookmarkStart w:name="_bookmark7" w:id="8"/>
      <w:bookmarkEnd w:id="8"/>
      <w:r>
        <w:rPr>
          <w:b w:val="0"/>
          <w:bCs w:val="0"/>
        </w:rPr>
      </w:r>
      <w:r>
        <w:rPr/>
        <w:t>第九节</w:t>
      </w:r>
      <w:r>
        <w:rPr>
          <w:spacing w:val="-2"/>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01"/>
        <w:jc w:val="left"/>
        <w:rPr>
          <w:b w:val="0"/>
          <w:bCs w:val="0"/>
        </w:rPr>
      </w:pPr>
      <w:r>
        <w:rPr/>
        <w:t>一、公司治理的基本状况</w:t>
      </w:r>
      <w:r>
        <w:rPr>
          <w:b w:val="0"/>
          <w:bCs w:val="0"/>
        </w:rPr>
      </w:r>
    </w:p>
    <w:p>
      <w:pPr>
        <w:spacing w:line="240" w:lineRule="auto" w:before="9"/>
        <w:rPr>
          <w:rFonts w:ascii="宋体" w:hAnsi="宋体" w:cs="宋体" w:eastAsia="宋体" w:hint="default"/>
          <w:b/>
          <w:bCs/>
          <w:sz w:val="24"/>
          <w:szCs w:val="24"/>
        </w:rPr>
      </w:pPr>
    </w:p>
    <w:p>
      <w:pPr>
        <w:pStyle w:val="BodyText"/>
        <w:spacing w:line="273" w:lineRule="auto"/>
        <w:ind w:right="101" w:firstLine="420"/>
        <w:jc w:val="left"/>
      </w:pPr>
      <w:r>
        <w:rPr/>
        <w:t>报告期内，公司严格按照《公司法》、《证券法》、《上市公司治理准则》、《深圳证券交易所股票</w:t>
      </w:r>
      <w:r>
        <w:rPr>
          <w:w w:val="100"/>
        </w:rPr>
        <w:t> </w:t>
      </w:r>
      <w:r>
        <w:rPr>
          <w:spacing w:val="-5"/>
        </w:rPr>
        <w:t>上市规则》、《深圳证券交易所中小企业板上市公司规范运作指引》和中国证监会有关法律法规等的要求，</w:t>
      </w:r>
      <w:r>
        <w:rPr>
          <w:spacing w:val="-9"/>
        </w:rPr>
        <w:t> </w:t>
      </w:r>
      <w:r>
        <w:rPr>
          <w:spacing w:val="-9"/>
        </w:rPr>
      </w:r>
      <w:r>
        <w:rPr>
          <w:spacing w:val="-2"/>
        </w:rPr>
        <w:t>不断完善公司治理结构，建立健全内部管理和控制制度，持续深入开展公司治理活动，以进一步规范公司</w:t>
      </w:r>
      <w:r>
        <w:rPr>
          <w:spacing w:val="-44"/>
        </w:rPr>
        <w:t> </w:t>
      </w:r>
      <w:r>
        <w:rPr>
          <w:spacing w:val="-44"/>
        </w:rPr>
      </w:r>
      <w:r>
        <w:rPr/>
        <w:t>运作，提高了公司治理水平。</w:t>
      </w:r>
    </w:p>
    <w:p>
      <w:pPr>
        <w:spacing w:line="240" w:lineRule="auto" w:before="1"/>
        <w:rPr>
          <w:rFonts w:ascii="宋体" w:hAnsi="宋体" w:cs="宋体" w:eastAsia="宋体" w:hint="default"/>
          <w:sz w:val="14"/>
          <w:szCs w:val="14"/>
        </w:rPr>
      </w:pPr>
    </w:p>
    <w:p>
      <w:pPr>
        <w:spacing w:before="0"/>
        <w:ind w:left="152" w:right="101" w:firstLine="0"/>
        <w:jc w:val="left"/>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38" w:lineRule="auto" w:before="117"/>
        <w:ind w:left="152" w:right="26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8"/>
        <w:rPr>
          <w:rFonts w:ascii="宋体" w:hAnsi="宋体" w:cs="宋体" w:eastAsia="宋体" w:hint="default"/>
          <w:sz w:val="19"/>
          <w:szCs w:val="19"/>
        </w:rPr>
      </w:pPr>
    </w:p>
    <w:p>
      <w:pPr>
        <w:pStyle w:val="Heading2"/>
        <w:spacing w:line="240" w:lineRule="auto"/>
        <w:ind w:right="101"/>
        <w:jc w:val="left"/>
        <w:rPr>
          <w:b w:val="0"/>
          <w:bCs w:val="0"/>
        </w:rPr>
      </w:pPr>
      <w:r>
        <w:rPr/>
        <w:t>二、公司相对于控股股东在业务、人员、资产、机构、财务等方面的独立情况</w:t>
      </w:r>
      <w:r>
        <w:rPr>
          <w:b w:val="0"/>
          <w:bCs w:val="0"/>
        </w:rPr>
      </w:r>
    </w:p>
    <w:p>
      <w:pPr>
        <w:spacing w:line="240" w:lineRule="auto" w:before="12"/>
        <w:rPr>
          <w:rFonts w:ascii="宋体" w:hAnsi="宋体" w:cs="宋体" w:eastAsia="宋体" w:hint="default"/>
          <w:b/>
          <w:bCs/>
          <w:sz w:val="24"/>
          <w:szCs w:val="24"/>
        </w:rPr>
      </w:pPr>
    </w:p>
    <w:p>
      <w:pPr>
        <w:pStyle w:val="BodyText"/>
        <w:spacing w:line="273" w:lineRule="auto"/>
        <w:ind w:right="101" w:firstLine="420"/>
        <w:jc w:val="left"/>
      </w:pPr>
      <w:r>
        <w:rPr/>
        <w:t>公司自成立以来，严格按照《公司法》、《证券法》等有关法律、法规和《公司章程》的要求规范运</w:t>
      </w:r>
      <w:r>
        <w:rPr>
          <w:w w:val="100"/>
        </w:rPr>
        <w:t> </w:t>
      </w:r>
      <w:r>
        <w:rPr>
          <w:spacing w:val="-5"/>
        </w:rPr>
        <w:t>作，与控股股东在业务、人员、资产、机构、财务等方面完全分开，具有独立完整的业务及自主经营能力。</w:t>
      </w:r>
    </w:p>
    <w:p>
      <w:pPr>
        <w:pStyle w:val="BodyText"/>
        <w:spacing w:line="273" w:lineRule="auto" w:before="7"/>
        <w:ind w:right="101"/>
        <w:jc w:val="left"/>
      </w:pPr>
      <w:r>
        <w:rPr/>
        <w:t>（一）业务独立情况：公司业务独立于控股股东及其下属企业，拥有独立完整的供应、生产和销售系统，</w:t>
      </w:r>
      <w:r>
        <w:rPr>
          <w:w w:val="100"/>
        </w:rPr>
        <w:t> </w:t>
      </w:r>
      <w:r>
        <w:rPr>
          <w:spacing w:val="-2"/>
        </w:rPr>
        <w:t>独立开展业务，不依赖于股东或其它任何关联方。公司股东及其他关联方目前业务均与本公司不同，而且</w:t>
      </w:r>
      <w:r>
        <w:rPr>
          <w:spacing w:val="-43"/>
        </w:rPr>
        <w:t> </w:t>
      </w:r>
      <w:r>
        <w:rPr>
          <w:spacing w:val="-43"/>
        </w:rPr>
      </w:r>
      <w:r>
        <w:rPr>
          <w:spacing w:val="-2"/>
        </w:rPr>
        <w:t>向本公司出具了《避免同业竞争的承诺函》。（二）人员独立情况：公司人员、劳动、人事及工资完全独</w:t>
      </w:r>
      <w:r>
        <w:rPr>
          <w:spacing w:val="-49"/>
        </w:rPr>
        <w:t> </w:t>
      </w:r>
      <w:r>
        <w:rPr>
          <w:spacing w:val="-49"/>
        </w:rPr>
      </w:r>
      <w:r>
        <w:rPr>
          <w:spacing w:val="-2"/>
        </w:rPr>
        <w:t>立。公司总经理、副总经理、董事会秘书、财务负责人等高级管理人员均在公司工作并领取薪酬，未在控</w:t>
      </w:r>
      <w:r>
        <w:rPr>
          <w:spacing w:val="-43"/>
        </w:rPr>
        <w:t> </w:t>
      </w:r>
      <w:r>
        <w:rPr>
          <w:spacing w:val="-43"/>
        </w:rPr>
      </w:r>
      <w:r>
        <w:rPr>
          <w:spacing w:val="-2"/>
        </w:rPr>
        <w:t>股股东及其下属企业担任职务和领取报酬。（三）资产独立情况：公司拥有独立于控股股东的生产经营场</w:t>
      </w:r>
      <w:r>
        <w:rPr>
          <w:spacing w:val="-44"/>
        </w:rPr>
        <w:t> </w:t>
      </w:r>
      <w:r>
        <w:rPr>
          <w:spacing w:val="-44"/>
        </w:rPr>
      </w:r>
      <w:r>
        <w:rPr>
          <w:spacing w:val="-2"/>
        </w:rPr>
        <w:t>所，拥有独立完整的资产结构，拥有独立的生产系统、辅助生产系统和配套设施、土地使用权、房屋所有</w:t>
      </w:r>
      <w:r>
        <w:rPr>
          <w:spacing w:val="-43"/>
        </w:rPr>
        <w:t> </w:t>
      </w:r>
      <w:r>
        <w:rPr>
          <w:spacing w:val="-43"/>
        </w:rPr>
      </w:r>
      <w:r>
        <w:rPr>
          <w:spacing w:val="-2"/>
        </w:rPr>
        <w:t>权等资产，拥有独立的采购和销售系统。（四）机构独立情况：公司设立了健全的组织机构体系，独立运</w:t>
      </w:r>
      <w:r>
        <w:rPr>
          <w:spacing w:val="-45"/>
        </w:rPr>
        <w:t> </w:t>
      </w:r>
      <w:r>
        <w:rPr>
          <w:spacing w:val="-45"/>
        </w:rPr>
      </w:r>
      <w:r>
        <w:rPr>
          <w:spacing w:val="-5"/>
        </w:rPr>
        <w:t>作，不存在与控股股东或其职能部门之间的从属关系。（五）财务独立情况：公司有独立的财务会计部门，</w:t>
      </w:r>
      <w:r>
        <w:rPr>
          <w:spacing w:val="-3"/>
        </w:rPr>
        <w:t> </w:t>
      </w:r>
      <w:r>
        <w:rPr>
          <w:spacing w:val="-3"/>
        </w:rPr>
      </w:r>
      <w:r>
        <w:rPr/>
        <w:t>建立了独立的会计核算体系和财务管理制度，独立进行财务决策。公司独立开设银行账户，独立纳税。</w:t>
      </w:r>
    </w:p>
    <w:p>
      <w:pPr>
        <w:spacing w:line="240" w:lineRule="auto" w:before="8"/>
        <w:rPr>
          <w:rFonts w:ascii="宋体" w:hAnsi="宋体" w:cs="宋体" w:eastAsia="宋体" w:hint="default"/>
          <w:sz w:val="21"/>
          <w:szCs w:val="21"/>
        </w:rPr>
      </w:pPr>
    </w:p>
    <w:p>
      <w:pPr>
        <w:pStyle w:val="Heading2"/>
        <w:spacing w:line="240" w:lineRule="auto"/>
        <w:ind w:right="101"/>
        <w:jc w:val="left"/>
        <w:rPr>
          <w:b w:val="0"/>
          <w:bCs w:val="0"/>
        </w:rPr>
      </w:pPr>
      <w:r>
        <w:rPr/>
        <w:t>三、同业竞争情况</w:t>
      </w:r>
      <w:r>
        <w:rPr>
          <w:b w:val="0"/>
          <w:bCs w:val="0"/>
        </w:rPr>
      </w:r>
    </w:p>
    <w:p>
      <w:pPr>
        <w:spacing w:line="240" w:lineRule="auto" w:before="6"/>
        <w:rPr>
          <w:rFonts w:ascii="宋体" w:hAnsi="宋体" w:cs="宋体" w:eastAsia="宋体" w:hint="default"/>
          <w:b/>
          <w:bCs/>
          <w:sz w:val="26"/>
          <w:szCs w:val="26"/>
        </w:rPr>
      </w:pPr>
    </w:p>
    <w:p>
      <w:pPr>
        <w:spacing w:before="0"/>
        <w:ind w:left="152" w:right="10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01"/>
        <w:jc w:val="left"/>
        <w:rPr>
          <w:b w:val="0"/>
          <w:bCs w:val="0"/>
        </w:rPr>
      </w:pP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01"/>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239"/>
        <w:gridCol w:w="1418"/>
        <w:gridCol w:w="1560"/>
        <w:gridCol w:w="1558"/>
        <w:gridCol w:w="2197"/>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2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96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年年股东大会</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right="99"/>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47.56%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20"/>
              <w:jc w:val="both"/>
              <w:rPr>
                <w:rFonts w:ascii="宋体" w:hAnsi="宋体" w:cs="宋体" w:eastAsia="宋体" w:hint="default"/>
                <w:sz w:val="18"/>
                <w:szCs w:val="18"/>
              </w:rPr>
            </w:pPr>
            <w:r>
              <w:rPr>
                <w:rFonts w:ascii="宋体" w:hAnsi="宋体" w:cs="宋体" w:eastAsia="宋体" w:hint="default"/>
                <w:spacing w:val="-2"/>
                <w:sz w:val="18"/>
                <w:szCs w:val="18"/>
              </w:rPr>
              <w:t>公告名称：《江苏双星彩塑</w:t>
            </w:r>
            <w:r>
              <w:rPr>
                <w:rFonts w:ascii="宋体" w:hAnsi="宋体" w:cs="宋体" w:eastAsia="宋体" w:hint="default"/>
                <w:sz w:val="18"/>
                <w:szCs w:val="18"/>
              </w:rPr>
              <w:t> </w:t>
            </w:r>
            <w:r>
              <w:rPr>
                <w:rFonts w:ascii="宋体" w:hAnsi="宋体" w:cs="宋体" w:eastAsia="宋体" w:hint="default"/>
                <w:spacing w:val="6"/>
                <w:sz w:val="18"/>
                <w:szCs w:val="18"/>
              </w:rPr>
              <w:t>新材料股份有限公司</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度</w:t>
            </w:r>
            <w:r>
              <w:rPr>
                <w:rFonts w:ascii="宋体" w:hAnsi="宋体" w:cs="宋体" w:eastAsia="宋体" w:hint="default"/>
                <w:spacing w:val="-52"/>
                <w:sz w:val="18"/>
                <w:szCs w:val="18"/>
              </w:rPr>
              <w:t> </w:t>
            </w:r>
            <w:r>
              <w:rPr>
                <w:rFonts w:ascii="宋体" w:hAnsi="宋体" w:cs="宋体" w:eastAsia="宋体" w:hint="default"/>
                <w:sz w:val="18"/>
                <w:szCs w:val="18"/>
              </w:rPr>
              <w:t>股</w:t>
            </w:r>
            <w:r>
              <w:rPr>
                <w:rFonts w:ascii="宋体" w:hAnsi="宋体" w:cs="宋体" w:eastAsia="宋体" w:hint="default"/>
                <w:spacing w:val="-52"/>
                <w:sz w:val="18"/>
                <w:szCs w:val="18"/>
              </w:rPr>
              <w:t> </w:t>
            </w:r>
            <w:r>
              <w:rPr>
                <w:rFonts w:ascii="宋体" w:hAnsi="宋体" w:cs="宋体" w:eastAsia="宋体" w:hint="default"/>
                <w:sz w:val="18"/>
                <w:szCs w:val="18"/>
              </w:rPr>
              <w:t>东</w:t>
            </w:r>
            <w:r>
              <w:rPr>
                <w:rFonts w:ascii="宋体" w:hAnsi="宋体" w:cs="宋体" w:eastAsia="宋体" w:hint="default"/>
                <w:spacing w:val="-55"/>
                <w:sz w:val="18"/>
                <w:szCs w:val="18"/>
              </w:rPr>
              <w:t> </w:t>
            </w:r>
            <w:r>
              <w:rPr>
                <w:rFonts w:ascii="宋体" w:hAnsi="宋体" w:cs="宋体" w:eastAsia="宋体" w:hint="default"/>
                <w:sz w:val="18"/>
                <w:szCs w:val="18"/>
              </w:rPr>
              <w:t>大</w:t>
            </w:r>
            <w:r>
              <w:rPr>
                <w:rFonts w:ascii="宋体" w:hAnsi="宋体" w:cs="宋体" w:eastAsia="宋体" w:hint="default"/>
                <w:spacing w:val="-52"/>
                <w:sz w:val="18"/>
                <w:szCs w:val="18"/>
              </w:rPr>
              <w:t> </w:t>
            </w:r>
            <w:r>
              <w:rPr>
                <w:rFonts w:ascii="宋体" w:hAnsi="宋体" w:cs="宋体" w:eastAsia="宋体" w:hint="default"/>
                <w:sz w:val="18"/>
                <w:szCs w:val="18"/>
              </w:rPr>
              <w:t>会</w:t>
            </w:r>
            <w:r>
              <w:rPr>
                <w:rFonts w:ascii="宋体" w:hAnsi="宋体" w:cs="宋体" w:eastAsia="宋体" w:hint="default"/>
                <w:spacing w:val="-52"/>
                <w:sz w:val="18"/>
                <w:szCs w:val="18"/>
              </w:rPr>
              <w:t> </w:t>
            </w:r>
            <w:r>
              <w:rPr>
                <w:rFonts w:ascii="宋体" w:hAnsi="宋体" w:cs="宋体" w:eastAsia="宋体" w:hint="default"/>
                <w:sz w:val="18"/>
                <w:szCs w:val="18"/>
              </w:rPr>
              <w:t>决</w:t>
            </w:r>
            <w:r>
              <w:rPr>
                <w:rFonts w:ascii="宋体" w:hAnsi="宋体" w:cs="宋体" w:eastAsia="宋体" w:hint="default"/>
                <w:spacing w:val="-55"/>
                <w:sz w:val="18"/>
                <w:szCs w:val="18"/>
              </w:rPr>
              <w:t> </w:t>
            </w:r>
            <w:r>
              <w:rPr>
                <w:rFonts w:ascii="宋体" w:hAnsi="宋体" w:cs="宋体" w:eastAsia="宋体" w:hint="default"/>
                <w:sz w:val="18"/>
                <w:szCs w:val="18"/>
              </w:rPr>
              <w:t>议</w:t>
            </w:r>
            <w:r>
              <w:rPr>
                <w:rFonts w:ascii="宋体" w:hAnsi="宋体" w:cs="宋体" w:eastAsia="宋体" w:hint="default"/>
                <w:spacing w:val="-52"/>
                <w:sz w:val="18"/>
                <w:szCs w:val="18"/>
              </w:rPr>
              <w:t> </w:t>
            </w:r>
            <w:r>
              <w:rPr>
                <w:rFonts w:ascii="宋体" w:hAnsi="宋体" w:cs="宋体" w:eastAsia="宋体" w:hint="default"/>
                <w:sz w:val="18"/>
                <w:szCs w:val="18"/>
              </w:rPr>
              <w:t>公</w:t>
            </w:r>
            <w:r>
              <w:rPr>
                <w:rFonts w:ascii="宋体" w:hAnsi="宋体" w:cs="宋体" w:eastAsia="宋体" w:hint="default"/>
                <w:sz w:val="18"/>
                <w:szCs w:val="18"/>
              </w:rPr>
              <w:t> 告</w:t>
            </w:r>
            <w:r>
              <w:rPr>
                <w:rFonts w:ascii="宋体" w:hAnsi="宋体" w:cs="宋体" w:eastAsia="宋体" w:hint="default"/>
                <w:spacing w:val="19"/>
                <w:sz w:val="18"/>
                <w:szCs w:val="18"/>
              </w:rPr>
              <w:t> </w:t>
            </w:r>
            <w:r>
              <w:rPr>
                <w:rFonts w:ascii="宋体" w:hAnsi="宋体" w:cs="宋体" w:eastAsia="宋体" w:hint="default"/>
                <w:spacing w:val="2"/>
                <w:sz w:val="18"/>
                <w:szCs w:val="18"/>
              </w:rPr>
              <w:t>》公告编号：</w:t>
            </w:r>
            <w:r>
              <w:rPr>
                <w:rFonts w:ascii="Times New Roman" w:hAnsi="Times New Roman" w:cs="Times New Roman" w:eastAsia="Times New Roman" w:hint="default"/>
                <w:spacing w:val="2"/>
                <w:sz w:val="18"/>
                <w:szCs w:val="18"/>
              </w:rPr>
              <w:t>2017-025.</w:t>
            </w:r>
            <w:r>
              <w:rPr>
                <w:rFonts w:ascii="Times New Roman" w:hAnsi="Times New Roman" w:cs="Times New Roman" w:eastAsia="Times New Roman" w:hint="default"/>
                <w:sz w:val="18"/>
                <w:szCs w:val="18"/>
              </w:rPr>
              <w:t> </w:t>
            </w:r>
            <w:r>
              <w:rPr>
                <w:rFonts w:ascii="宋体" w:hAnsi="宋体" w:cs="宋体" w:eastAsia="宋体" w:hint="default"/>
                <w:sz w:val="18"/>
                <w:szCs w:val="18"/>
              </w:rPr>
              <w:t>信</w:t>
            </w:r>
            <w:r>
              <w:rPr>
                <w:rFonts w:ascii="宋体" w:hAnsi="宋体" w:cs="宋体" w:eastAsia="宋体" w:hint="default"/>
                <w:spacing w:val="-67"/>
                <w:sz w:val="18"/>
                <w:szCs w:val="18"/>
              </w:rPr>
              <w:t> </w:t>
            </w:r>
            <w:r>
              <w:rPr>
                <w:rFonts w:ascii="宋体" w:hAnsi="宋体" w:cs="宋体" w:eastAsia="宋体" w:hint="default"/>
                <w:sz w:val="18"/>
                <w:szCs w:val="18"/>
              </w:rPr>
              <w:t>息</w:t>
            </w:r>
            <w:r>
              <w:rPr>
                <w:rFonts w:ascii="宋体" w:hAnsi="宋体" w:cs="宋体" w:eastAsia="宋体" w:hint="default"/>
                <w:spacing w:val="-67"/>
                <w:sz w:val="18"/>
                <w:szCs w:val="18"/>
              </w:rPr>
              <w:t> </w:t>
            </w:r>
            <w:r>
              <w:rPr>
                <w:rFonts w:ascii="宋体" w:hAnsi="宋体" w:cs="宋体" w:eastAsia="宋体" w:hint="default"/>
                <w:sz w:val="18"/>
                <w:szCs w:val="18"/>
              </w:rPr>
              <w:t>披</w:t>
            </w:r>
            <w:r>
              <w:rPr>
                <w:rFonts w:ascii="宋体" w:hAnsi="宋体" w:cs="宋体" w:eastAsia="宋体" w:hint="default"/>
                <w:spacing w:val="-64"/>
                <w:sz w:val="18"/>
                <w:szCs w:val="18"/>
              </w:rPr>
              <w:t> </w:t>
            </w:r>
            <w:r>
              <w:rPr>
                <w:rFonts w:ascii="宋体" w:hAnsi="宋体" w:cs="宋体" w:eastAsia="宋体" w:hint="default"/>
                <w:sz w:val="18"/>
                <w:szCs w:val="18"/>
              </w:rPr>
              <w:t>露</w:t>
            </w:r>
            <w:r>
              <w:rPr>
                <w:rFonts w:ascii="宋体" w:hAnsi="宋体" w:cs="宋体" w:eastAsia="宋体" w:hint="default"/>
                <w:spacing w:val="-67"/>
                <w:sz w:val="18"/>
                <w:szCs w:val="18"/>
              </w:rPr>
              <w:t> </w:t>
            </w:r>
            <w:r>
              <w:rPr>
                <w:rFonts w:ascii="宋体" w:hAnsi="宋体" w:cs="宋体" w:eastAsia="宋体" w:hint="default"/>
                <w:sz w:val="18"/>
                <w:szCs w:val="18"/>
              </w:rPr>
              <w:t>媒</w:t>
            </w:r>
            <w:r>
              <w:rPr>
                <w:rFonts w:ascii="宋体" w:hAnsi="宋体" w:cs="宋体" w:eastAsia="宋体" w:hint="default"/>
                <w:spacing w:val="-67"/>
                <w:sz w:val="18"/>
                <w:szCs w:val="18"/>
              </w:rPr>
              <w:t> </w:t>
            </w:r>
            <w:r>
              <w:rPr>
                <w:rFonts w:ascii="宋体" w:hAnsi="宋体" w:cs="宋体" w:eastAsia="宋体" w:hint="default"/>
                <w:sz w:val="18"/>
                <w:szCs w:val="18"/>
              </w:rPr>
              <w:t>体</w:t>
            </w:r>
            <w:r>
              <w:rPr>
                <w:rFonts w:ascii="宋体" w:hAnsi="宋体" w:cs="宋体" w:eastAsia="宋体" w:hint="default"/>
                <w:spacing w:val="-67"/>
                <w:sz w:val="18"/>
                <w:szCs w:val="18"/>
              </w:rPr>
              <w:t> </w:t>
            </w:r>
            <w:r>
              <w:rPr>
                <w:rFonts w:ascii="宋体" w:hAnsi="宋体" w:cs="宋体" w:eastAsia="宋体" w:hint="default"/>
                <w:spacing w:val="-32"/>
                <w:sz w:val="18"/>
                <w:szCs w:val="18"/>
              </w:rPr>
              <w:t>：《</w:t>
            </w:r>
            <w:r>
              <w:rPr>
                <w:rFonts w:ascii="宋体" w:hAnsi="宋体" w:cs="宋体" w:eastAsia="宋体" w:hint="default"/>
                <w:spacing w:val="-67"/>
                <w:sz w:val="18"/>
                <w:szCs w:val="18"/>
              </w:rPr>
              <w:t> </w:t>
            </w:r>
            <w:r>
              <w:rPr>
                <w:rFonts w:ascii="宋体" w:hAnsi="宋体" w:cs="宋体" w:eastAsia="宋体" w:hint="default"/>
                <w:sz w:val="18"/>
                <w:szCs w:val="18"/>
              </w:rPr>
              <w:t>证</w:t>
            </w:r>
            <w:r>
              <w:rPr>
                <w:rFonts w:ascii="宋体" w:hAnsi="宋体" w:cs="宋体" w:eastAsia="宋体" w:hint="default"/>
                <w:spacing w:val="-67"/>
                <w:sz w:val="18"/>
                <w:szCs w:val="18"/>
              </w:rPr>
              <w:t> </w:t>
            </w:r>
            <w:r>
              <w:rPr>
                <w:rFonts w:ascii="宋体" w:hAnsi="宋体" w:cs="宋体" w:eastAsia="宋体" w:hint="default"/>
                <w:sz w:val="18"/>
                <w:szCs w:val="18"/>
              </w:rPr>
              <w:t>券</w:t>
            </w:r>
            <w:r>
              <w:rPr>
                <w:rFonts w:ascii="宋体" w:hAnsi="宋体" w:cs="宋体" w:eastAsia="宋体" w:hint="default"/>
                <w:spacing w:val="-67"/>
                <w:sz w:val="18"/>
                <w:szCs w:val="18"/>
              </w:rPr>
              <w:t> </w:t>
            </w:r>
            <w:r>
              <w:rPr>
                <w:rFonts w:ascii="宋体" w:hAnsi="宋体" w:cs="宋体" w:eastAsia="宋体" w:hint="default"/>
                <w:sz w:val="18"/>
                <w:szCs w:val="18"/>
              </w:rPr>
              <w:t>时</w:t>
            </w:r>
            <w:r>
              <w:rPr>
                <w:rFonts w:ascii="宋体" w:hAnsi="宋体" w:cs="宋体" w:eastAsia="宋体" w:hint="default"/>
                <w:sz w:val="18"/>
                <w:szCs w:val="18"/>
              </w:rPr>
              <w:t> </w:t>
            </w:r>
            <w:r>
              <w:rPr>
                <w:rFonts w:ascii="宋体" w:hAnsi="宋体" w:cs="宋体" w:eastAsia="宋体" w:hint="default"/>
                <w:spacing w:val="-11"/>
                <w:sz w:val="18"/>
                <w:szCs w:val="18"/>
              </w:rPr>
              <w:t>报》、巨潮资讯网。</w:t>
            </w:r>
          </w:p>
        </w:tc>
      </w:tr>
    </w:tbl>
    <w:p>
      <w:pPr>
        <w:spacing w:after="0" w:line="312" w:lineRule="auto"/>
        <w:jc w:val="both"/>
        <w:rPr>
          <w:rFonts w:ascii="宋体" w:hAnsi="宋体" w:cs="宋体" w:eastAsia="宋体" w:hint="default"/>
          <w:sz w:val="18"/>
          <w:szCs w:val="18"/>
        </w:rPr>
        <w:sectPr>
          <w:pgSz w:w="11910" w:h="16840"/>
          <w:pgMar w:header="745" w:footer="980" w:top="1060" w:bottom="1160" w:left="980" w:right="9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4"/>
          <w:szCs w:val="24"/>
        </w:rPr>
      </w:pPr>
    </w:p>
    <w:p>
      <w:pPr>
        <w:spacing w:before="44"/>
        <w:ind w:left="0" w:right="158" w:firstLine="0"/>
        <w:jc w:val="right"/>
        <w:rPr>
          <w:rFonts w:ascii="宋体" w:hAnsi="宋体" w:cs="宋体" w:eastAsia="宋体" w:hint="default"/>
          <w:sz w:val="18"/>
          <w:szCs w:val="18"/>
        </w:rPr>
      </w:pPr>
      <w:r>
        <w:rPr/>
        <w:pict>
          <v:shape style="position:absolute;margin-left:56.400002pt;margin-top:-63.148285pt;width:479.15pt;height:98.7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239"/>
                    <w:gridCol w:w="1418"/>
                    <w:gridCol w:w="1560"/>
                    <w:gridCol w:w="1558"/>
                    <w:gridCol w:w="2197"/>
                  </w:tblGrid>
                  <w:tr>
                    <w:trPr>
                      <w:trHeight w:val="196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00" w:lineRule="auto"/>
                          <w:ind w:left="24" w:right="18"/>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年第一次临时 股东大会</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49.62%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0"/>
                          <w:jc w:val="both"/>
                          <w:rPr>
                            <w:rFonts w:ascii="宋体" w:hAnsi="宋体" w:cs="宋体" w:eastAsia="宋体" w:hint="default"/>
                            <w:sz w:val="18"/>
                            <w:szCs w:val="18"/>
                          </w:rPr>
                        </w:pPr>
                        <w:r>
                          <w:rPr>
                            <w:rFonts w:ascii="宋体" w:hAnsi="宋体" w:cs="宋体" w:eastAsia="宋体" w:hint="default"/>
                            <w:spacing w:val="-2"/>
                            <w:sz w:val="18"/>
                            <w:szCs w:val="18"/>
                          </w:rPr>
                          <w:t>公告名称：《江苏双星彩塑</w:t>
                        </w:r>
                        <w:r>
                          <w:rPr>
                            <w:rFonts w:ascii="宋体" w:hAnsi="宋体" w:cs="宋体" w:eastAsia="宋体" w:hint="default"/>
                            <w:sz w:val="18"/>
                            <w:szCs w:val="18"/>
                          </w:rPr>
                          <w:t> </w:t>
                        </w:r>
                        <w:r>
                          <w:rPr>
                            <w:rFonts w:ascii="宋体" w:hAnsi="宋体" w:cs="宋体" w:eastAsia="宋体" w:hint="default"/>
                            <w:spacing w:val="6"/>
                            <w:sz w:val="18"/>
                            <w:szCs w:val="18"/>
                          </w:rPr>
                          <w:t>新材料股份有限公司</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pacing w:val="14"/>
                            <w:sz w:val="18"/>
                            <w:szCs w:val="18"/>
                          </w:rPr>
                          <w:t>年第一次临时股东大会决</w:t>
                        </w:r>
                        <w:r>
                          <w:rPr>
                            <w:rFonts w:ascii="宋体" w:hAnsi="宋体" w:cs="宋体" w:eastAsia="宋体" w:hint="default"/>
                            <w:sz w:val="18"/>
                            <w:szCs w:val="18"/>
                          </w:rPr>
                          <w:t> </w:t>
                        </w:r>
                        <w:r>
                          <w:rPr>
                            <w:rFonts w:ascii="宋体" w:hAnsi="宋体" w:cs="宋体" w:eastAsia="宋体" w:hint="default"/>
                            <w:spacing w:val="32"/>
                            <w:sz w:val="18"/>
                            <w:szCs w:val="18"/>
                          </w:rPr>
                          <w:t>议公告</w:t>
                        </w:r>
                        <w:r>
                          <w:rPr>
                            <w:rFonts w:ascii="宋体" w:hAnsi="宋体" w:cs="宋体" w:eastAsia="宋体" w:hint="default"/>
                            <w:spacing w:val="97"/>
                            <w:sz w:val="18"/>
                            <w:szCs w:val="18"/>
                          </w:rPr>
                          <w:t> </w:t>
                        </w:r>
                        <w:r>
                          <w:rPr>
                            <w:rFonts w:ascii="宋体" w:hAnsi="宋体" w:cs="宋体" w:eastAsia="宋体" w:hint="default"/>
                            <w:sz w:val="18"/>
                            <w:szCs w:val="18"/>
                          </w:rPr>
                          <w:t>》</w:t>
                        </w:r>
                        <w:r>
                          <w:rPr>
                            <w:rFonts w:ascii="宋体" w:hAnsi="宋体" w:cs="宋体" w:eastAsia="宋体" w:hint="default"/>
                            <w:spacing w:val="-43"/>
                            <w:sz w:val="18"/>
                            <w:szCs w:val="18"/>
                          </w:rPr>
                          <w:t> </w:t>
                        </w:r>
                        <w:r>
                          <w:rPr>
                            <w:rFonts w:ascii="宋体" w:hAnsi="宋体" w:cs="宋体" w:eastAsia="宋体" w:hint="default"/>
                            <w:sz w:val="18"/>
                            <w:szCs w:val="18"/>
                          </w:rPr>
                          <w:t>公</w:t>
                        </w:r>
                        <w:r>
                          <w:rPr>
                            <w:rFonts w:ascii="宋体" w:hAnsi="宋体" w:cs="宋体" w:eastAsia="宋体" w:hint="default"/>
                            <w:spacing w:val="-43"/>
                            <w:sz w:val="18"/>
                            <w:szCs w:val="18"/>
                          </w:rPr>
                          <w:t> </w:t>
                        </w:r>
                        <w:r>
                          <w:rPr>
                            <w:rFonts w:ascii="宋体" w:hAnsi="宋体" w:cs="宋体" w:eastAsia="宋体" w:hint="default"/>
                            <w:sz w:val="18"/>
                            <w:szCs w:val="18"/>
                          </w:rPr>
                          <w:t>告</w:t>
                        </w:r>
                        <w:r>
                          <w:rPr>
                            <w:rFonts w:ascii="宋体" w:hAnsi="宋体" w:cs="宋体" w:eastAsia="宋体" w:hint="default"/>
                            <w:spacing w:val="-45"/>
                            <w:sz w:val="18"/>
                            <w:szCs w:val="18"/>
                          </w:rPr>
                          <w:t> </w:t>
                        </w:r>
                        <w:r>
                          <w:rPr>
                            <w:rFonts w:ascii="宋体" w:hAnsi="宋体" w:cs="宋体" w:eastAsia="宋体" w:hint="default"/>
                            <w:sz w:val="18"/>
                            <w:szCs w:val="18"/>
                          </w:rPr>
                          <w:t>编</w:t>
                        </w:r>
                        <w:r>
                          <w:rPr>
                            <w:rFonts w:ascii="宋体" w:hAnsi="宋体" w:cs="宋体" w:eastAsia="宋体" w:hint="default"/>
                            <w:spacing w:val="-43"/>
                            <w:sz w:val="18"/>
                            <w:szCs w:val="18"/>
                          </w:rPr>
                          <w:t> </w:t>
                        </w:r>
                        <w:r>
                          <w:rPr>
                            <w:rFonts w:ascii="宋体" w:hAnsi="宋体" w:cs="宋体" w:eastAsia="宋体" w:hint="default"/>
                            <w:sz w:val="18"/>
                            <w:szCs w:val="18"/>
                          </w:rPr>
                          <w:t>号</w:t>
                        </w:r>
                        <w:r>
                          <w:rPr>
                            <w:rFonts w:ascii="宋体" w:hAnsi="宋体" w:cs="宋体" w:eastAsia="宋体" w:hint="default"/>
                            <w:spacing w:val="-43"/>
                            <w:sz w:val="18"/>
                            <w:szCs w:val="18"/>
                          </w:rPr>
                          <w:t> </w:t>
                        </w:r>
                        <w:r>
                          <w:rPr>
                            <w:rFonts w:ascii="宋体" w:hAnsi="宋体" w:cs="宋体" w:eastAsia="宋体" w:hint="default"/>
                            <w:sz w:val="18"/>
                            <w:szCs w:val="18"/>
                          </w:rPr>
                          <w:t>：</w:t>
                        </w:r>
                        <w:r>
                          <w:rPr>
                            <w:rFonts w:ascii="宋体" w:hAnsi="宋体" w:cs="宋体" w:eastAsia="宋体" w:hint="default"/>
                            <w:sz w:val="18"/>
                            <w:szCs w:val="18"/>
                          </w:rPr>
                          <w:t> </w:t>
                        </w:r>
                        <w:r>
                          <w:rPr>
                            <w:rFonts w:ascii="Times New Roman" w:hAnsi="Times New Roman" w:cs="Times New Roman" w:eastAsia="Times New Roman" w:hint="default"/>
                            <w:sz w:val="18"/>
                            <w:szCs w:val="18"/>
                          </w:rPr>
                          <w:t>2017-063.</w:t>
                        </w:r>
                        <w:r>
                          <w:rPr>
                            <w:rFonts w:ascii="Times New Roman" w:hAnsi="Times New Roman" w:cs="Times New Roman" w:eastAsia="Times New Roman" w:hint="default"/>
                            <w:spacing w:val="-10"/>
                            <w:sz w:val="18"/>
                            <w:szCs w:val="18"/>
                          </w:rPr>
                          <w:t> </w:t>
                        </w:r>
                        <w:r>
                          <w:rPr>
                            <w:rFonts w:ascii="宋体" w:hAnsi="宋体" w:cs="宋体" w:eastAsia="宋体" w:hint="default"/>
                            <w:spacing w:val="27"/>
                            <w:sz w:val="18"/>
                            <w:szCs w:val="18"/>
                          </w:rPr>
                          <w:t>信息披露媒体</w:t>
                        </w:r>
                        <w:r>
                          <w:rPr>
                            <w:rFonts w:ascii="宋体" w:hAnsi="宋体" w:cs="宋体" w:eastAsia="宋体" w:hint="default"/>
                            <w:spacing w:val="-57"/>
                            <w:sz w:val="18"/>
                            <w:szCs w:val="18"/>
                          </w:rPr>
                          <w:t> </w:t>
                        </w:r>
                        <w:r>
                          <w:rPr>
                            <w:rFonts w:ascii="宋体" w:hAnsi="宋体" w:cs="宋体" w:eastAsia="宋体" w:hint="default"/>
                            <w:sz w:val="18"/>
                            <w:szCs w:val="18"/>
                          </w:rPr>
                        </w:r>
                      </w:p>
                      <w:p>
                        <w:pPr>
                          <w:pStyle w:val="TableParagraph"/>
                          <w:spacing w:line="240" w:lineRule="auto" w:before="1"/>
                          <w:ind w:left="23" w:right="0"/>
                          <w:jc w:val="both"/>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pacing w:val="-22"/>
                            <w:sz w:val="18"/>
                            <w:szCs w:val="18"/>
                          </w:rPr>
                          <w:t>、</w:t>
                        </w:r>
                        <w:r>
                          <w:rPr>
                            <w:rFonts w:ascii="宋体" w:hAnsi="宋体" w:cs="宋体" w:eastAsia="宋体" w:hint="default"/>
                            <w:sz w:val="18"/>
                            <w:szCs w:val="18"/>
                          </w:rPr>
                          <w:t>巨潮资讯网</w:t>
                        </w:r>
                      </w:p>
                    </w:tc>
                  </w:tr>
                </w:tbl>
                <w:p>
                  <w:pPr/>
                </w:p>
              </w:txbxContent>
            </v:textbox>
            <w10:wrap type="none"/>
          </v:shape>
        </w:pict>
      </w:r>
      <w:r>
        <w:rPr>
          <w:rFonts w:ascii="宋体" w:hAnsi="宋体" w:cs="宋体" w:eastAsia="宋体" w:hint="default"/>
          <w:sz w:val="18"/>
          <w:szCs w:val="18"/>
        </w:rPr>
        <w:t>：</w:t>
      </w:r>
    </w:p>
    <w:p>
      <w:pPr>
        <w:spacing w:before="76"/>
        <w:ind w:left="0" w:right="163"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4"/>
        <w:rPr>
          <w:rFonts w:ascii="宋体" w:hAnsi="宋体" w:cs="宋体" w:eastAsia="宋体" w:hint="default"/>
          <w:sz w:val="28"/>
          <w:szCs w:val="28"/>
        </w:rPr>
      </w:pPr>
    </w:p>
    <w:p>
      <w:pPr>
        <w:pStyle w:val="Heading4"/>
        <w:spacing w:line="240" w:lineRule="auto" w:before="36"/>
        <w:ind w:right="153"/>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2"/>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53"/>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53"/>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5"/>
        <w:gridCol w:w="1162"/>
        <w:gridCol w:w="1164"/>
        <w:gridCol w:w="864"/>
        <w:gridCol w:w="1561"/>
        <w:gridCol w:w="1066"/>
      </w:tblGrid>
      <w:tr>
        <w:trPr>
          <w:trHeight w:val="403"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07" w:right="34"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58" w:right="65" w:hanging="92"/>
              <w:jc w:val="left"/>
              <w:rPr>
                <w:rFonts w:ascii="宋体" w:hAnsi="宋体" w:cs="宋体" w:eastAsia="宋体" w:hint="default"/>
                <w:sz w:val="18"/>
                <w:szCs w:val="18"/>
              </w:rPr>
            </w:pPr>
            <w:r>
              <w:rPr>
                <w:rFonts w:ascii="宋体" w:hAnsi="宋体" w:cs="宋体" w:eastAsia="宋体" w:hint="default"/>
                <w:sz w:val="18"/>
                <w:szCs w:val="18"/>
              </w:rPr>
              <w:t>缺席董事 会次数</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5" w:right="53"/>
              <w:jc w:val="left"/>
              <w:rPr>
                <w:rFonts w:ascii="宋体" w:hAnsi="宋体" w:cs="宋体" w:eastAsia="宋体" w:hint="default"/>
                <w:sz w:val="18"/>
                <w:szCs w:val="18"/>
              </w:rPr>
            </w:pPr>
            <w:r>
              <w:rPr>
                <w:rFonts w:ascii="宋体" w:hAnsi="宋体" w:cs="宋体" w:eastAsia="宋体" w:hint="default"/>
                <w:sz w:val="18"/>
                <w:szCs w:val="18"/>
              </w:rPr>
              <w:t>是否连续两次未亲 自参加董事会会议</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6" w:right="77" w:hanging="180"/>
              <w:jc w:val="left"/>
              <w:rPr>
                <w:rFonts w:ascii="宋体" w:hAnsi="宋体" w:cs="宋体" w:eastAsia="宋体" w:hint="default"/>
                <w:sz w:val="18"/>
                <w:szCs w:val="18"/>
              </w:rPr>
            </w:pPr>
            <w:r>
              <w:rPr>
                <w:rFonts w:ascii="宋体" w:hAnsi="宋体" w:cs="宋体" w:eastAsia="宋体" w:hint="default"/>
                <w:sz w:val="18"/>
                <w:szCs w:val="18"/>
              </w:rPr>
              <w:t>出席股东大 会次数</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蓝海林</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程银春</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李小虎</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w:t>
      </w:r>
    </w:p>
    <w:p>
      <w:pPr>
        <w:spacing w:line="240" w:lineRule="auto" w:before="0"/>
        <w:rPr>
          <w:rFonts w:ascii="宋体" w:hAnsi="宋体" w:cs="宋体" w:eastAsia="宋体" w:hint="default"/>
          <w:sz w:val="18"/>
          <w:szCs w:val="18"/>
        </w:rPr>
      </w:pPr>
    </w:p>
    <w:p>
      <w:pPr>
        <w:pStyle w:val="Heading4"/>
        <w:spacing w:line="240" w:lineRule="auto" w:before="118"/>
        <w:ind w:right="153"/>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5"/>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38" w:lineRule="auto" w:before="117"/>
        <w:ind w:left="152" w:right="59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报告期内独立董事对公司有关事项未提出异议。</w:t>
      </w:r>
    </w:p>
    <w:p>
      <w:pPr>
        <w:spacing w:line="240" w:lineRule="auto" w:before="7"/>
        <w:rPr>
          <w:rFonts w:ascii="宋体" w:hAnsi="宋体" w:cs="宋体" w:eastAsia="宋体" w:hint="default"/>
          <w:sz w:val="21"/>
          <w:szCs w:val="21"/>
        </w:rPr>
      </w:pPr>
    </w:p>
    <w:p>
      <w:pPr>
        <w:pStyle w:val="Heading4"/>
        <w:spacing w:line="240" w:lineRule="auto"/>
        <w:ind w:right="153"/>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48" w:lineRule="auto" w:before="117"/>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独立董事对公司有关建议被采纳或未被采纳的说明 无</w:t>
      </w:r>
    </w:p>
    <w:p>
      <w:pPr>
        <w:spacing w:line="240" w:lineRule="auto" w:before="1"/>
        <w:rPr>
          <w:rFonts w:ascii="宋体" w:hAnsi="宋体" w:cs="宋体" w:eastAsia="宋体" w:hint="default"/>
          <w:sz w:val="19"/>
          <w:szCs w:val="19"/>
        </w:rPr>
      </w:pPr>
    </w:p>
    <w:p>
      <w:pPr>
        <w:pStyle w:val="Heading2"/>
        <w:spacing w:line="240" w:lineRule="auto"/>
        <w:ind w:right="153"/>
        <w:jc w:val="left"/>
        <w:rPr>
          <w:b w:val="0"/>
          <w:bCs w:val="0"/>
        </w:rPr>
      </w:pPr>
      <w:r>
        <w:rPr/>
        <w:t>六、董事会下设专门委员会在报告期内履行职责情况</w:t>
      </w:r>
      <w:r>
        <w:rPr>
          <w:b w:val="0"/>
          <w:bCs w:val="0"/>
        </w:rPr>
      </w:r>
    </w:p>
    <w:p>
      <w:pPr>
        <w:spacing w:line="240" w:lineRule="auto" w:before="12"/>
        <w:rPr>
          <w:rFonts w:ascii="宋体" w:hAnsi="宋体" w:cs="宋体" w:eastAsia="宋体" w:hint="default"/>
          <w:b/>
          <w:bCs/>
          <w:sz w:val="24"/>
          <w:szCs w:val="24"/>
        </w:rPr>
      </w:pPr>
    </w:p>
    <w:p>
      <w:pPr>
        <w:pStyle w:val="BodyText"/>
        <w:spacing w:line="357" w:lineRule="auto"/>
        <w:ind w:left="573" w:right="153"/>
        <w:jc w:val="left"/>
      </w:pPr>
      <w:r>
        <w:rPr>
          <w:rFonts w:ascii="Times New Roman" w:hAnsi="Times New Roman" w:cs="Times New Roman" w:eastAsia="Times New Roman" w:hint="default"/>
        </w:rPr>
        <w:t>1</w:t>
      </w:r>
      <w:r>
        <w:rPr/>
        <w:t>、董事会审计委员会的履职情况</w:t>
      </w:r>
      <w:r>
        <w:rPr>
          <w:w w:val="100"/>
        </w:rPr>
        <w:t> </w:t>
      </w:r>
      <w:r>
        <w:rPr>
          <w:spacing w:val="-2"/>
        </w:rPr>
        <w:t>报告期内，审计委员会根据《董事会审计委员会实施细则》赋予的职责和权限，认真履行职责，切实</w:t>
      </w:r>
    </w:p>
    <w:p>
      <w:pPr>
        <w:pStyle w:val="BodyText"/>
        <w:spacing w:line="209" w:lineRule="exact"/>
        <w:ind w:right="153"/>
        <w:jc w:val="left"/>
      </w:pPr>
      <w:r>
        <w:rPr/>
        <w:t>发挥了审计委员会的专业职能。</w:t>
      </w:r>
    </w:p>
    <w:p>
      <w:pPr>
        <w:spacing w:after="0" w:line="209" w:lineRule="exact"/>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BodyText"/>
        <w:spacing w:line="273" w:lineRule="auto" w:before="36"/>
        <w:ind w:right="146" w:firstLine="420"/>
        <w:jc w:val="both"/>
      </w:pPr>
      <w:r>
        <w:rPr>
          <w:spacing w:val="-2"/>
        </w:rPr>
        <w:t>日常工作：审议公司审计部提交的审计计划和工作报告、审核公司的财务信息及其披露、监督公司的</w:t>
      </w:r>
      <w:r>
        <w:rPr>
          <w:w w:val="100"/>
        </w:rPr>
        <w:t> </w:t>
      </w:r>
      <w:r>
        <w:rPr/>
        <w:t>内部审计制度及实施、负责内部审计与外部审计沟通。</w:t>
      </w:r>
    </w:p>
    <w:p>
      <w:pPr>
        <w:pStyle w:val="BodyText"/>
        <w:spacing w:line="240" w:lineRule="auto" w:before="127"/>
        <w:ind w:left="573" w:right="0"/>
        <w:jc w:val="left"/>
      </w:pPr>
      <w:r>
        <w:rPr>
          <w:rFonts w:ascii="Times New Roman" w:hAnsi="Times New Roman" w:cs="Times New Roman" w:eastAsia="Times New Roman" w:hint="default"/>
        </w:rPr>
        <w:t>2017</w:t>
      </w:r>
      <w:r>
        <w:rPr/>
        <w:t>年年报审计工作：在与</w:t>
      </w:r>
      <w:r>
        <w:rPr>
          <w:rFonts w:ascii="Times New Roman" w:hAnsi="Times New Roman" w:cs="Times New Roman" w:eastAsia="Times New Roman" w:hint="default"/>
        </w:rPr>
        <w:t>2017</w:t>
      </w:r>
      <w:r>
        <w:rPr/>
        <w:t>年年度审计机构上海众华沪银会计师事务所充分沟通的基础上，确定</w:t>
      </w:r>
    </w:p>
    <w:p>
      <w:pPr>
        <w:pStyle w:val="BodyText"/>
        <w:spacing w:line="266" w:lineRule="auto" w:before="21"/>
        <w:ind w:right="146"/>
        <w:jc w:val="both"/>
      </w:pPr>
      <w:r>
        <w:rPr>
          <w:rFonts w:ascii="Times New Roman" w:hAnsi="Times New Roman" w:cs="Times New Roman" w:eastAsia="Times New Roman" w:hint="default"/>
          <w:spacing w:val="-2"/>
        </w:rPr>
        <w:t>2017</w:t>
      </w:r>
      <w:r>
        <w:rPr>
          <w:spacing w:val="-2"/>
        </w:rPr>
        <w:t>年度财务报告审计工作的进度安排；审计委员会在年审注册会计师进场前审阅了公司编制的财务会计</w:t>
      </w:r>
      <w:r>
        <w:rPr>
          <w:spacing w:val="-39"/>
        </w:rPr>
        <w:t> </w:t>
      </w:r>
      <w:r>
        <w:rPr>
          <w:spacing w:val="-39"/>
        </w:rPr>
      </w:r>
      <w:r>
        <w:rPr>
          <w:spacing w:val="-2"/>
        </w:rPr>
        <w:t>报告后，同意将公司按照《企业会计准则》及有关补充规定编制的财务报告提交会计师事务所审计；审计</w:t>
      </w:r>
      <w:r>
        <w:rPr>
          <w:spacing w:val="-47"/>
        </w:rPr>
        <w:t> </w:t>
      </w:r>
      <w:r>
        <w:rPr>
          <w:spacing w:val="-47"/>
        </w:rPr>
      </w:r>
      <w:r>
        <w:rPr>
          <w:spacing w:val="-2"/>
        </w:rPr>
        <w:t>委员会审阅了注册会计师出具的初步审计意见后形成书面审核意见：经会计师事务所初步审计，同意审计</w:t>
      </w:r>
      <w:r>
        <w:rPr>
          <w:spacing w:val="-43"/>
        </w:rPr>
        <w:t> </w:t>
      </w:r>
      <w:r>
        <w:rPr>
          <w:spacing w:val="-43"/>
        </w:rPr>
      </w:r>
      <w:r>
        <w:rPr/>
        <w:t>结果，确保了审计的独立性和审计工作的如期完成。</w:t>
      </w:r>
    </w:p>
    <w:p>
      <w:pPr>
        <w:pStyle w:val="BodyText"/>
        <w:spacing w:line="432" w:lineRule="exact" w:before="33"/>
        <w:ind w:left="573" w:right="153"/>
        <w:jc w:val="left"/>
        <w:rPr>
          <w:rFonts w:ascii="Times New Roman" w:hAnsi="Times New Roman" w:cs="Times New Roman" w:eastAsia="Times New Roman" w:hint="default"/>
        </w:rPr>
      </w:pPr>
      <w:r>
        <w:rPr>
          <w:rFonts w:ascii="Times New Roman" w:hAnsi="Times New Roman" w:cs="Times New Roman" w:eastAsia="Times New Roman" w:hint="default"/>
        </w:rPr>
        <w:t>2</w:t>
      </w:r>
      <w:r>
        <w:rPr/>
        <w:t>、薪酬与考核委员会</w:t>
      </w:r>
      <w:r>
        <w:rPr>
          <w:w w:val="100"/>
        </w:rPr>
        <w:t> </w:t>
      </w:r>
      <w:r>
        <w:rPr>
          <w:spacing w:val="-7"/>
        </w:rPr>
        <w:t>严格按照公司《董事会薪酬与考核委员会实施细则》开展工作，对公司董事、监事和高级管理人员</w:t>
      </w:r>
      <w:r>
        <w:rPr>
          <w:rFonts w:ascii="Times New Roman" w:hAnsi="Times New Roman" w:cs="Times New Roman" w:eastAsia="Times New Roman" w:hint="default"/>
          <w:spacing w:val="-7"/>
        </w:rPr>
        <w:t>2017</w:t>
      </w:r>
    </w:p>
    <w:p>
      <w:pPr>
        <w:pStyle w:val="BodyText"/>
        <w:spacing w:line="255" w:lineRule="exact"/>
        <w:ind w:right="0"/>
        <w:jc w:val="both"/>
      </w:pPr>
      <w:r>
        <w:rPr/>
        <w:t>年度的薪酬进行了核查，认为：薪酬数据合理、真实，公司为董事、独立董事、监事、高级管理人员所发</w:t>
      </w:r>
    </w:p>
    <w:p>
      <w:pPr>
        <w:pStyle w:val="BodyText"/>
        <w:spacing w:line="240" w:lineRule="auto" w:before="37"/>
        <w:ind w:right="0"/>
        <w:jc w:val="both"/>
      </w:pPr>
      <w:r>
        <w:rPr/>
        <w:t>放的薪酬符合规定，与其履职尽责情况匹配。</w:t>
      </w:r>
    </w:p>
    <w:p>
      <w:pPr>
        <w:pStyle w:val="BodyText"/>
        <w:spacing w:line="357" w:lineRule="auto" w:before="157"/>
        <w:ind w:left="573" w:right="153"/>
        <w:jc w:val="left"/>
      </w:pPr>
      <w:r>
        <w:rPr>
          <w:rFonts w:ascii="Times New Roman" w:hAnsi="Times New Roman" w:cs="Times New Roman" w:eastAsia="Times New Roman" w:hint="default"/>
        </w:rPr>
        <w:t>3</w:t>
      </w:r>
      <w:r>
        <w:rPr/>
        <w:t>、提名委员会</w:t>
      </w:r>
      <w:r>
        <w:rPr>
          <w:w w:val="100"/>
        </w:rPr>
        <w:t> </w:t>
      </w:r>
      <w:r>
        <w:rPr>
          <w:spacing w:val="-3"/>
        </w:rPr>
        <w:t>严格按照公司《董事会提名委员会实施细则》开展工作，对公司管理层成员的选聘提交了方案，为公</w:t>
      </w:r>
    </w:p>
    <w:p>
      <w:pPr>
        <w:pStyle w:val="BodyText"/>
        <w:spacing w:line="209" w:lineRule="exact"/>
        <w:ind w:right="0"/>
        <w:jc w:val="both"/>
      </w:pPr>
      <w:r>
        <w:rPr/>
        <w:t>司提供了业务素质与职业道德高且任职资格合法合规的管理层人选。</w:t>
      </w:r>
    </w:p>
    <w:p>
      <w:pPr>
        <w:pStyle w:val="BodyText"/>
        <w:spacing w:line="357" w:lineRule="auto" w:before="157"/>
        <w:ind w:left="573" w:right="153"/>
        <w:jc w:val="left"/>
      </w:pPr>
      <w:r>
        <w:rPr>
          <w:rFonts w:ascii="Times New Roman" w:hAnsi="Times New Roman" w:cs="Times New Roman" w:eastAsia="Times New Roman" w:hint="default"/>
        </w:rPr>
        <w:t>4</w:t>
      </w:r>
      <w:r>
        <w:rPr/>
        <w:t>、战略委员会</w:t>
      </w:r>
      <w:r>
        <w:rPr>
          <w:w w:val="100"/>
        </w:rPr>
        <w:t> </w:t>
      </w:r>
      <w:r>
        <w:rPr>
          <w:spacing w:val="-3"/>
        </w:rPr>
        <w:t>严格按照公司《董事会战略委员会实施细则》开展工作，对公司的发展战略提交了方案，为公司提供</w:t>
      </w:r>
    </w:p>
    <w:p>
      <w:pPr>
        <w:pStyle w:val="BodyText"/>
        <w:spacing w:line="209" w:lineRule="exact"/>
        <w:ind w:right="0"/>
        <w:jc w:val="both"/>
      </w:pPr>
      <w:r>
        <w:rPr/>
        <w:t>了适应公司发展的有效战略。</w:t>
      </w:r>
    </w:p>
    <w:p>
      <w:pPr>
        <w:spacing w:line="240" w:lineRule="auto" w:before="11"/>
        <w:rPr>
          <w:rFonts w:ascii="宋体" w:hAnsi="宋体" w:cs="宋体" w:eastAsia="宋体" w:hint="default"/>
          <w:sz w:val="23"/>
          <w:szCs w:val="23"/>
        </w:rPr>
      </w:pPr>
    </w:p>
    <w:p>
      <w:pPr>
        <w:pStyle w:val="Heading2"/>
        <w:spacing w:line="240" w:lineRule="auto"/>
        <w:ind w:right="0"/>
        <w:jc w:val="both"/>
        <w:rPr>
          <w:b w:val="0"/>
          <w:bCs w:val="0"/>
        </w:rPr>
      </w:pPr>
      <w:r>
        <w:rPr/>
        <w:t>七、监事会工作情况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40" w:lineRule="auto" w:before="115"/>
        <w:ind w:left="152" w:right="67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监事会对报告期内的监督事项无异议。</w:t>
      </w:r>
    </w:p>
    <w:p>
      <w:pPr>
        <w:spacing w:line="240" w:lineRule="auto" w:before="7"/>
        <w:rPr>
          <w:rFonts w:ascii="宋体" w:hAnsi="宋体" w:cs="宋体" w:eastAsia="宋体" w:hint="default"/>
          <w:sz w:val="19"/>
          <w:szCs w:val="19"/>
        </w:rPr>
      </w:pPr>
    </w:p>
    <w:p>
      <w:pPr>
        <w:pStyle w:val="Heading2"/>
        <w:spacing w:line="240" w:lineRule="auto"/>
        <w:ind w:right="0"/>
        <w:jc w:val="both"/>
        <w:rPr>
          <w:b w:val="0"/>
          <w:bCs w:val="0"/>
        </w:rPr>
      </w:pPr>
      <w:r>
        <w:rPr/>
        <w:t>八、高级管理人员的考评及激励情况</w:t>
      </w:r>
      <w:r>
        <w:rPr>
          <w:b w:val="0"/>
          <w:bCs w:val="0"/>
        </w:rPr>
      </w:r>
    </w:p>
    <w:p>
      <w:pPr>
        <w:spacing w:line="240" w:lineRule="auto" w:before="9"/>
        <w:rPr>
          <w:rFonts w:ascii="宋体" w:hAnsi="宋体" w:cs="宋体" w:eastAsia="宋体" w:hint="default"/>
          <w:b/>
          <w:bCs/>
          <w:sz w:val="24"/>
          <w:szCs w:val="24"/>
        </w:rPr>
      </w:pPr>
    </w:p>
    <w:p>
      <w:pPr>
        <w:pStyle w:val="BodyText"/>
        <w:spacing w:line="273" w:lineRule="auto"/>
        <w:ind w:right="146" w:firstLine="420"/>
        <w:jc w:val="both"/>
      </w:pPr>
      <w:r>
        <w:rPr>
          <w:spacing w:val="-2"/>
        </w:rPr>
        <w:t>公司建立了高级管理人员的选择、考评、激励与约束机制并不断完善。公司高级管理人员全部由董事</w:t>
      </w:r>
      <w:r>
        <w:rPr>
          <w:w w:val="100"/>
        </w:rPr>
        <w:t> </w:t>
      </w:r>
      <w:r>
        <w:rPr>
          <w:spacing w:val="-2"/>
        </w:rPr>
        <w:t>会聘任，直接对董事会负责，承担董事会下达的经营指标。董事会下设的薪酬与考核委员会负责对高级管</w:t>
      </w:r>
      <w:r>
        <w:rPr>
          <w:spacing w:val="-42"/>
        </w:rPr>
        <w:t> </w:t>
      </w:r>
      <w:r>
        <w:rPr>
          <w:spacing w:val="-42"/>
        </w:rPr>
      </w:r>
      <w:r>
        <w:rPr>
          <w:spacing w:val="-2"/>
        </w:rPr>
        <w:t>理人员的工作能力、履职情况、责任目标完成情况，制定薪酬方案并报董事会审批。报告期内，高级管理</w:t>
      </w:r>
      <w:r>
        <w:rPr>
          <w:spacing w:val="-43"/>
        </w:rPr>
        <w:t> </w:t>
      </w:r>
      <w:r>
        <w:rPr>
          <w:spacing w:val="-43"/>
        </w:rPr>
      </w:r>
      <w:r>
        <w:rPr>
          <w:spacing w:val="-2"/>
        </w:rPr>
        <w:t>人员能够严格按照《公司法》、《公司章程》及国家有关法律法规认真履行职责，积极落实公司股东大会</w:t>
      </w:r>
      <w:r>
        <w:rPr>
          <w:spacing w:val="-45"/>
        </w:rPr>
        <w:t> </w:t>
      </w:r>
      <w:r>
        <w:rPr>
          <w:spacing w:val="-45"/>
        </w:rPr>
      </w:r>
      <w:r>
        <w:rPr>
          <w:spacing w:val="-2"/>
        </w:rPr>
        <w:t>和董事会相关决议，在董事会的正确指导下积极调整经营思路，优化产品结构，不断加强内部管理，较好</w:t>
      </w:r>
      <w:r>
        <w:rPr>
          <w:spacing w:val="-46"/>
        </w:rPr>
        <w:t> </w:t>
      </w:r>
      <w:r>
        <w:rPr>
          <w:spacing w:val="-46"/>
        </w:rPr>
      </w:r>
      <w:r>
        <w:rPr/>
        <w:t>地完成了本年度的各项任务。</w:t>
      </w:r>
    </w:p>
    <w:p>
      <w:pPr>
        <w:spacing w:line="240" w:lineRule="auto" w:before="8"/>
        <w:rPr>
          <w:rFonts w:ascii="宋体" w:hAnsi="宋体" w:cs="宋体" w:eastAsia="宋体" w:hint="default"/>
          <w:sz w:val="21"/>
          <w:szCs w:val="21"/>
        </w:rPr>
      </w:pPr>
    </w:p>
    <w:p>
      <w:pPr>
        <w:pStyle w:val="Heading2"/>
        <w:spacing w:line="240" w:lineRule="auto"/>
        <w:ind w:right="0"/>
        <w:jc w:val="both"/>
        <w:rPr>
          <w:b w:val="0"/>
          <w:bCs w:val="0"/>
        </w:rPr>
      </w:pP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both"/>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r>
        <w:rPr/>
        <w:pict>
          <v:group style="position:absolute;margin-left:384.070007pt;margin-top:573.549988pt;width:154.25pt;height:15.6pt;mso-position-horizontal-relative:page;mso-position-vertical-relative:page;z-index:-757888" coordorigin="7681,11471" coordsize="3085,312">
            <v:group style="position:absolute;left:7681;top:11471;width:2994;height:312" coordorigin="7681,11471" coordsize="2994,312">
              <v:shape style="position:absolute;left:7681;top:11471;width:2994;height:312" coordorigin="7681,11471" coordsize="2994,312" path="m7681,11783l10675,11783,10675,11471,7681,11471,7681,11783xe" filled="true" fillcolor="#ffffff" stroked="false">
                <v:path arrowok="t"/>
                <v:fill type="solid"/>
              </v:shape>
              <v:shape style="position:absolute;left:10586;top:11535;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w10:wrap type="none"/>
          </v:group>
        </w:pict>
      </w:r>
    </w:p>
    <w:p>
      <w:pPr>
        <w:pStyle w:val="Heading4"/>
        <w:spacing w:line="240" w:lineRule="auto" w:before="36"/>
        <w:ind w:right="153"/>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835"/>
        <w:gridCol w:w="360"/>
        <w:gridCol w:w="3322"/>
        <w:gridCol w:w="3053"/>
      </w:tblGrid>
      <w:tr>
        <w:trPr>
          <w:trHeight w:val="401" w:hRule="exact"/>
        </w:trPr>
        <w:tc>
          <w:tcPr>
            <w:tcW w:w="31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161" w:hRule="exact"/>
        </w:trPr>
        <w:tc>
          <w:tcPr>
            <w:tcW w:w="319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375" w:type="dxa"/>
            <w:gridSpan w:val="2"/>
            <w:vMerge w:val="restart"/>
            <w:tcBorders>
              <w:top w:val="single" w:sz="4" w:space="0" w:color="000000"/>
              <w:left w:val="single" w:sz="9" w:space="0" w:color="D2D2D2"/>
              <w:right w:val="single" w:sz="4" w:space="0" w:color="000000"/>
            </w:tcBorders>
          </w:tcPr>
          <w:p>
            <w:pPr>
              <w:pStyle w:val="TableParagraph"/>
              <w:spacing w:line="300" w:lineRule="auto" w:before="49"/>
              <w:ind w:left="18" w:right="20"/>
              <w:jc w:val="left"/>
              <w:rPr>
                <w:rFonts w:ascii="宋体" w:hAnsi="宋体" w:cs="宋体" w:eastAsia="宋体" w:hint="default"/>
                <w:sz w:val="18"/>
                <w:szCs w:val="18"/>
              </w:rPr>
            </w:pPr>
            <w:r>
              <w:rPr>
                <w:rFonts w:ascii="宋体" w:hAnsi="宋体" w:cs="宋体" w:eastAsia="宋体" w:hint="default"/>
                <w:sz w:val="18"/>
                <w:szCs w:val="18"/>
              </w:rPr>
              <w:t>刊登在巨潮资讯网</w:t>
            </w:r>
            <w:r>
              <w:rPr>
                <w:rFonts w:ascii="宋体" w:hAnsi="宋体" w:cs="宋体" w:eastAsia="宋体" w:hint="default"/>
                <w:spacing w:val="-41"/>
                <w:sz w:val="18"/>
                <w:szCs w:val="18"/>
              </w:rPr>
              <w:t> </w:t>
            </w:r>
            <w:hyperlink r:id="rId12">
              <w:r>
                <w:rPr>
                  <w:rFonts w:ascii="Times New Roman" w:hAnsi="Times New Roman" w:cs="Times New Roman" w:eastAsia="Times New Roman" w:hint="default"/>
                  <w:sz w:val="18"/>
                  <w:szCs w:val="18"/>
                </w:rPr>
                <w:t>http://www.cninfo.com.cn</w:t>
              </w:r>
            </w:hyperlink>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上的《江苏双星彩塑新材料股份有限 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年度内部控制评价报告》</w:t>
            </w:r>
          </w:p>
        </w:tc>
      </w:tr>
      <w:tr>
        <w:trPr>
          <w:trHeight w:val="394" w:hRule="exact"/>
        </w:trPr>
        <w:tc>
          <w:tcPr>
            <w:tcW w:w="3195"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5" w:type="dxa"/>
            <w:gridSpan w:val="2"/>
            <w:vMerge/>
            <w:tcBorders>
              <w:left w:val="single" w:sz="9" w:space="0" w:color="D2D2D2"/>
              <w:right w:val="single" w:sz="4" w:space="0" w:color="000000"/>
            </w:tcBorders>
          </w:tcPr>
          <w:p>
            <w:pPr/>
          </w:p>
        </w:tc>
      </w:tr>
      <w:tr>
        <w:trPr>
          <w:trHeight w:val="161" w:hRule="exact"/>
        </w:trPr>
        <w:tc>
          <w:tcPr>
            <w:tcW w:w="319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375" w:type="dxa"/>
            <w:gridSpan w:val="2"/>
            <w:vMerge/>
            <w:tcBorders>
              <w:left w:val="single" w:sz="9" w:space="0" w:color="D2D2D2"/>
              <w:bottom w:val="single" w:sz="4" w:space="0" w:color="000000"/>
              <w:right w:val="single" w:sz="4" w:space="0" w:color="000000"/>
            </w:tcBorders>
          </w:tcPr>
          <w:p>
            <w:pPr/>
          </w:p>
        </w:tc>
      </w:tr>
      <w:tr>
        <w:trPr>
          <w:trHeight w:val="713" w:hRule="exact"/>
        </w:trPr>
        <w:tc>
          <w:tcPr>
            <w:tcW w:w="31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9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5"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8" w:right="0"/>
              <w:jc w:val="left"/>
              <w:rPr>
                <w:rFonts w:ascii="Times New Roman" w:hAnsi="Times New Roman" w:cs="Times New Roman" w:eastAsia="Times New Roman" w:hint="default"/>
                <w:sz w:val="18"/>
                <w:szCs w:val="18"/>
              </w:rPr>
            </w:pPr>
            <w:r>
              <w:rPr>
                <w:rFonts w:ascii="Times New Roman"/>
                <w:sz w:val="18"/>
              </w:rPr>
              <w:t>100.00%</w:t>
            </w:r>
          </w:p>
        </w:tc>
      </w:tr>
      <w:tr>
        <w:trPr>
          <w:trHeight w:val="715" w:hRule="exact"/>
        </w:trPr>
        <w:tc>
          <w:tcPr>
            <w:tcW w:w="31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9"/>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5"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8" w:right="0"/>
              <w:jc w:val="left"/>
              <w:rPr>
                <w:rFonts w:ascii="Times New Roman" w:hAnsi="Times New Roman" w:cs="Times New Roman" w:eastAsia="Times New Roman" w:hint="default"/>
                <w:sz w:val="18"/>
                <w:szCs w:val="18"/>
              </w:rPr>
            </w:pPr>
            <w:r>
              <w:rPr>
                <w:rFonts w:ascii="Times New Roman"/>
                <w:sz w:val="18"/>
              </w:rPr>
              <w:t>100.00%</w:t>
            </w:r>
          </w:p>
        </w:tc>
      </w:tr>
      <w:tr>
        <w:trPr>
          <w:trHeight w:val="396"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8"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6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033" w:hRule="exact"/>
        </w:trPr>
        <w:tc>
          <w:tcPr>
            <w:tcW w:w="2835" w:type="dxa"/>
            <w:tcBorders>
              <w:top w:val="single" w:sz="4" w:space="0" w:color="000000"/>
              <w:left w:val="single" w:sz="4" w:space="0" w:color="000000"/>
              <w:bottom w:val="nil" w:sz="6" w:space="0" w:color="auto"/>
              <w:right w:val="single" w:sz="4" w:space="0" w:color="000000"/>
            </w:tcBorders>
            <w:shd w:val="clear" w:color="auto" w:fill="D2D2D2"/>
          </w:tcPr>
          <w:p>
            <w:pPr/>
          </w:p>
        </w:tc>
        <w:tc>
          <w:tcPr>
            <w:tcW w:w="3682" w:type="dxa"/>
            <w:gridSpan w:val="2"/>
            <w:vMerge w:val="restart"/>
            <w:tcBorders>
              <w:top w:val="single" w:sz="4" w:space="0" w:color="000000"/>
              <w:left w:val="single" w:sz="10" w:space="0" w:color="D2D2D2"/>
              <w:right w:val="single" w:sz="4" w:space="0" w:color="000000"/>
            </w:tcBorders>
          </w:tcPr>
          <w:p>
            <w:pPr>
              <w:pStyle w:val="TableParagraph"/>
              <w:spacing w:line="316" w:lineRule="auto" w:before="49"/>
              <w:ind w:left="16" w:right="47"/>
              <w:jc w:val="left"/>
              <w:rPr>
                <w:rFonts w:ascii="宋体" w:hAnsi="宋体" w:cs="宋体" w:eastAsia="宋体" w:hint="default"/>
                <w:sz w:val="18"/>
                <w:szCs w:val="18"/>
              </w:rPr>
            </w:pPr>
            <w:r>
              <w:rPr>
                <w:rFonts w:ascii="宋体" w:hAnsi="宋体" w:cs="宋体" w:eastAsia="宋体" w:hint="default"/>
                <w:sz w:val="18"/>
                <w:szCs w:val="18"/>
              </w:rPr>
              <w:t>公司董事、监事和高级管理人员的舞弊行为； 公司更正已公布的财务报告；注册会计师发现 的却未被公司目标控制识别的当期财务报告中 的重大错报；审计委员会和审计部对公司的对 外财务报告和财务报告内部控制监督无效；公 司主要会计政策、会计估计变更或会计差错更 正事项未按规定披露。财务报告重要缺陷的迹 象包括：未依照公认会计准则选择和应用会计 政策；未建立反舞弊程序和控制措施；对于非 常规和特殊交易的账务处理没有建立相应的控 制机制或没有实施且没有相应的补偿性控制； 对于期末财务报告过程的控制存在一项或多项 缺陷且不能合理保证编制的财务报表达到真 实、完整的目标。</w:t>
            </w:r>
          </w:p>
        </w:tc>
        <w:tc>
          <w:tcPr>
            <w:tcW w:w="30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26" w:right="20"/>
              <w:jc w:val="left"/>
              <w:rPr>
                <w:rFonts w:ascii="宋体" w:hAnsi="宋体" w:cs="宋体" w:eastAsia="宋体" w:hint="default"/>
                <w:sz w:val="18"/>
                <w:szCs w:val="18"/>
              </w:rPr>
            </w:pPr>
            <w:r>
              <w:rPr>
                <w:rFonts w:ascii="宋体" w:hAnsi="宋体" w:cs="宋体" w:eastAsia="宋体" w:hint="default"/>
                <w:sz w:val="18"/>
                <w:szCs w:val="18"/>
              </w:rPr>
              <w:t>非财务报告的缺陷认定主要以缺陷对 </w:t>
            </w:r>
            <w:r>
              <w:rPr>
                <w:rFonts w:ascii="宋体" w:hAnsi="宋体" w:cs="宋体" w:eastAsia="宋体" w:hint="default"/>
                <w:spacing w:val="-4"/>
                <w:sz w:val="18"/>
                <w:szCs w:val="18"/>
              </w:rPr>
              <w:t>业务流程的影响程度、发生的可能性作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判定。如果缺陷发生的可能性较小，会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降低工作效率或效果，或加大效果的不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确定性、或使之偏离预期目标为一般缺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陷；如果缺陷发生的可能性较高，会显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著降低工作效率或效果，或显著加大效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果的不确定性、或使之显著偏离预期目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标为重要缺陷；如果缺陷发生的可能性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高，会严重降低工作效率或效果，或严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重加大效果的不确定性、或使之严重偏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离预期目标为重大缺陷。</w:t>
            </w:r>
          </w:p>
        </w:tc>
      </w:tr>
      <w:tr>
        <w:trPr>
          <w:trHeight w:val="391" w:hRule="exact"/>
        </w:trPr>
        <w:tc>
          <w:tcPr>
            <w:tcW w:w="28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682" w:type="dxa"/>
            <w:gridSpan w:val="2"/>
            <w:vMerge/>
            <w:tcBorders>
              <w:left w:val="single" w:sz="10" w:space="0" w:color="D2D2D2"/>
              <w:right w:val="single" w:sz="4" w:space="0" w:color="000000"/>
            </w:tcBorders>
          </w:tcPr>
          <w:p>
            <w:pPr/>
          </w:p>
        </w:tc>
        <w:tc>
          <w:tcPr>
            <w:tcW w:w="3053" w:type="dxa"/>
            <w:vMerge/>
            <w:tcBorders>
              <w:left w:val="single" w:sz="4" w:space="0" w:color="000000"/>
              <w:right w:val="single" w:sz="4" w:space="0" w:color="000000"/>
            </w:tcBorders>
          </w:tcPr>
          <w:p>
            <w:pPr/>
          </w:p>
        </w:tc>
      </w:tr>
      <w:tr>
        <w:trPr>
          <w:trHeight w:val="2033" w:hRule="exact"/>
        </w:trPr>
        <w:tc>
          <w:tcPr>
            <w:tcW w:w="2835" w:type="dxa"/>
            <w:tcBorders>
              <w:top w:val="nil" w:sz="6" w:space="0" w:color="auto"/>
              <w:left w:val="single" w:sz="4" w:space="0" w:color="000000"/>
              <w:bottom w:val="single" w:sz="4" w:space="0" w:color="000000"/>
              <w:right w:val="single" w:sz="4" w:space="0" w:color="000000"/>
            </w:tcBorders>
            <w:shd w:val="clear" w:color="auto" w:fill="D2D2D2"/>
          </w:tcPr>
          <w:p>
            <w:pPr/>
          </w:p>
        </w:tc>
        <w:tc>
          <w:tcPr>
            <w:tcW w:w="3682" w:type="dxa"/>
            <w:gridSpan w:val="2"/>
            <w:vMerge/>
            <w:tcBorders>
              <w:left w:val="single" w:sz="10" w:space="0" w:color="D2D2D2"/>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r>
        <w:trPr>
          <w:trHeight w:val="2189" w:hRule="exact"/>
        </w:trPr>
        <w:tc>
          <w:tcPr>
            <w:tcW w:w="2835" w:type="dxa"/>
            <w:tcBorders>
              <w:top w:val="single" w:sz="4" w:space="0" w:color="000000"/>
              <w:left w:val="single" w:sz="4" w:space="0" w:color="000000"/>
              <w:bottom w:val="nil" w:sz="6" w:space="0" w:color="auto"/>
              <w:right w:val="single" w:sz="4" w:space="0" w:color="000000"/>
            </w:tcBorders>
            <w:shd w:val="clear" w:color="auto" w:fill="D2D2D2"/>
          </w:tcPr>
          <w:p>
            <w:pPr/>
          </w:p>
        </w:tc>
        <w:tc>
          <w:tcPr>
            <w:tcW w:w="3682" w:type="dxa"/>
            <w:gridSpan w:val="2"/>
            <w:vMerge w:val="restart"/>
            <w:tcBorders>
              <w:top w:val="single" w:sz="4" w:space="0" w:color="000000"/>
              <w:left w:val="single" w:sz="10" w:space="0" w:color="D2D2D2"/>
              <w:right w:val="single" w:sz="14" w:space="0" w:color="FFFFF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9" w:lineRule="auto" w:before="125"/>
              <w:ind w:left="16" w:right="-50"/>
              <w:jc w:val="left"/>
              <w:rPr>
                <w:rFonts w:ascii="宋体" w:hAnsi="宋体" w:cs="宋体" w:eastAsia="宋体" w:hint="default"/>
                <w:sz w:val="18"/>
                <w:szCs w:val="18"/>
              </w:rPr>
            </w:pPr>
            <w:r>
              <w:rPr>
                <w:rFonts w:ascii="宋体" w:hAnsi="宋体" w:cs="宋体" w:eastAsia="宋体" w:hint="default"/>
                <w:sz w:val="18"/>
                <w:szCs w:val="18"/>
              </w:rPr>
              <w:t>内部控制缺陷可能导致或导致的损失与利润相 关的，以税前利润指标衡量：如果该缺陷单独 或连同其他缺陷可能导致的财务报告错报金额 小于税前利润的</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5%</w:t>
            </w:r>
            <w:r>
              <w:rPr>
                <w:rFonts w:ascii="宋体" w:hAnsi="宋体" w:cs="宋体" w:eastAsia="宋体" w:hint="default"/>
                <w:spacing w:val="-6"/>
                <w:sz w:val="18"/>
                <w:szCs w:val="18"/>
              </w:rPr>
              <w:t>，则认定为一般缺陷；如果</w:t>
            </w:r>
            <w:r>
              <w:rPr>
                <w:rFonts w:ascii="宋体" w:hAnsi="宋体" w:cs="宋体" w:eastAsia="宋体" w:hint="default"/>
                <w:sz w:val="18"/>
                <w:szCs w:val="18"/>
              </w:rPr>
              <w:t> 超过税前利润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，小于</w:t>
            </w:r>
            <w:r>
              <w:rPr>
                <w:rFonts w:ascii="宋体" w:hAnsi="宋体" w:cs="宋体" w:eastAsia="宋体" w:hint="default"/>
                <w:spacing w:val="-44"/>
                <w:sz w:val="18"/>
                <w:szCs w:val="18"/>
              </w:rPr>
              <w:t> </w:t>
            </w:r>
            <w:r>
              <w:rPr>
                <w:rFonts w:ascii="Times New Roman" w:hAnsi="Times New Roman" w:cs="Times New Roman" w:eastAsia="Times New Roman" w:hint="default"/>
                <w:spacing w:val="-4"/>
                <w:sz w:val="18"/>
                <w:szCs w:val="18"/>
              </w:rPr>
              <w:t>10%</w:t>
            </w:r>
            <w:r>
              <w:rPr>
                <w:rFonts w:ascii="宋体" w:hAnsi="宋体" w:cs="宋体" w:eastAsia="宋体" w:hint="default"/>
                <w:spacing w:val="-4"/>
                <w:sz w:val="18"/>
                <w:szCs w:val="18"/>
              </w:rPr>
              <w:t>认定为重要缺陷；</w:t>
            </w:r>
            <w:r>
              <w:rPr>
                <w:rFonts w:ascii="宋体" w:hAnsi="宋体" w:cs="宋体" w:eastAsia="宋体" w:hint="default"/>
                <w:spacing w:val="-31"/>
                <w:sz w:val="18"/>
                <w:szCs w:val="18"/>
              </w:rPr>
              <w:t> </w:t>
            </w:r>
            <w:r>
              <w:rPr>
                <w:rFonts w:ascii="宋体" w:hAnsi="宋体" w:cs="宋体" w:eastAsia="宋体" w:hint="default"/>
                <w:sz w:val="18"/>
                <w:szCs w:val="18"/>
              </w:rPr>
              <w:t>如果超过税前利润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则认定为重大缺陷。内 部控制缺陷可能导致或导致的损失与资产管理 相关的，以资产总额指标衡量：如果该缺陷单 独或连同其他缺陷可能导致的财务报告错报金 额小于资产总额的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，则认定为一般缺陷； 如果超过资产总额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，小于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认定为重要 缺陷；如果超过资产总额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则认定为重大缺 陷。</w:t>
            </w:r>
          </w:p>
        </w:tc>
        <w:tc>
          <w:tcPr>
            <w:tcW w:w="3053" w:type="dxa"/>
            <w:vMerge w:val="restart"/>
            <w:tcBorders>
              <w:top w:val="single" w:sz="4" w:space="0" w:color="000000"/>
              <w:left w:val="single" w:sz="14" w:space="0" w:color="FFFFFF"/>
              <w:right w:val="nil" w:sz="6" w:space="0" w:color="auto"/>
            </w:tcBorders>
          </w:tcPr>
          <w:p>
            <w:pPr>
              <w:pStyle w:val="TableParagraph"/>
              <w:spacing w:line="309" w:lineRule="auto" w:before="49"/>
              <w:ind w:left="13" w:right="-38"/>
              <w:jc w:val="left"/>
              <w:rPr>
                <w:rFonts w:ascii="宋体" w:hAnsi="宋体" w:cs="宋体" w:eastAsia="宋体" w:hint="default"/>
                <w:sz w:val="18"/>
                <w:szCs w:val="18"/>
              </w:rPr>
            </w:pPr>
            <w:r>
              <w:rPr>
                <w:rFonts w:ascii="宋体" w:hAnsi="宋体" w:cs="宋体" w:eastAsia="宋体" w:hint="default"/>
                <w:sz w:val="18"/>
                <w:szCs w:val="18"/>
              </w:rPr>
              <w:t>内部控制缺陷可能导致或导致的损失 与利润相关的，以税前利润指标衡量： 如果该缺陷单独或连同其他缺陷可能 导致的直接财产损失小于税前利润的 </w:t>
            </w:r>
            <w:r>
              <w:rPr>
                <w:rFonts w:ascii="Times New Roman" w:hAnsi="Times New Roman" w:cs="Times New Roman" w:eastAsia="Times New Roman" w:hint="default"/>
                <w:sz w:val="18"/>
                <w:szCs w:val="18"/>
              </w:rPr>
              <w:t>5%</w:t>
            </w:r>
            <w:r>
              <w:rPr>
                <w:rFonts w:ascii="宋体" w:hAnsi="宋体" w:cs="宋体" w:eastAsia="宋体" w:hint="default"/>
                <w:sz w:val="18"/>
                <w:szCs w:val="18"/>
              </w:rPr>
              <w:t>，则认定为一般缺陷；如果超过税 前利润</w:t>
            </w:r>
            <w:r>
              <w:rPr>
                <w:rFonts w:ascii="宋体" w:hAnsi="宋体" w:cs="宋体" w:eastAsia="宋体" w:hint="default"/>
                <w:spacing w:val="-46"/>
                <w:sz w:val="18"/>
                <w:szCs w:val="18"/>
              </w:rPr>
              <w:t> </w:t>
            </w:r>
            <w:r>
              <w:rPr>
                <w:rFonts w:ascii="Times New Roman" w:hAnsi="Times New Roman" w:cs="Times New Roman" w:eastAsia="Times New Roman" w:hint="default"/>
                <w:spacing w:val="-19"/>
                <w:sz w:val="18"/>
                <w:szCs w:val="18"/>
              </w:rPr>
              <w:t>5%</w:t>
            </w:r>
            <w:r>
              <w:rPr>
                <w:rFonts w:ascii="宋体" w:hAnsi="宋体" w:cs="宋体" w:eastAsia="宋体" w:hint="default"/>
                <w:spacing w:val="-19"/>
                <w:sz w:val="18"/>
                <w:szCs w:val="18"/>
              </w:rPr>
              <w:t>，小于</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认定为重要缺陷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如果超过税前利润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则认定为重大 </w:t>
            </w:r>
            <w:r>
              <w:rPr>
                <w:rFonts w:ascii="宋体" w:hAnsi="宋体" w:cs="宋体" w:eastAsia="宋体" w:hint="default"/>
                <w:spacing w:val="-4"/>
                <w:sz w:val="18"/>
                <w:szCs w:val="18"/>
              </w:rPr>
              <w:t>缺陷。内部控制缺陷可能导致或导致的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损失与资产管理相关的，以资产总额指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标衡量：如果该缺陷单独或连同其他缺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陷可能导致的直接财产损失小于资产 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，则认定为一般缺陷；如 果超过资产总额</w:t>
            </w:r>
            <w:r>
              <w:rPr>
                <w:rFonts w:ascii="宋体" w:hAnsi="宋体" w:cs="宋体" w:eastAsia="宋体" w:hint="default"/>
                <w:spacing w:val="-44"/>
                <w:sz w:val="18"/>
                <w:szCs w:val="18"/>
              </w:rPr>
              <w:t> </w:t>
            </w:r>
            <w:r>
              <w:rPr>
                <w:rFonts w:ascii="Times New Roman" w:hAnsi="Times New Roman" w:cs="Times New Roman" w:eastAsia="Times New Roman" w:hint="default"/>
                <w:spacing w:val="-8"/>
                <w:sz w:val="18"/>
                <w:szCs w:val="18"/>
              </w:rPr>
              <w:t>0.5%</w:t>
            </w:r>
            <w:r>
              <w:rPr>
                <w:rFonts w:ascii="宋体" w:hAnsi="宋体" w:cs="宋体" w:eastAsia="宋体" w:hint="default"/>
                <w:spacing w:val="-8"/>
                <w:sz w:val="18"/>
                <w:szCs w:val="18"/>
              </w:rPr>
              <w:t>，小于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认定为 重要缺陷；如果超过资产总额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 定为重大缺陷。</w:t>
            </w:r>
          </w:p>
        </w:tc>
      </w:tr>
      <w:tr>
        <w:trPr>
          <w:trHeight w:val="394" w:hRule="exact"/>
        </w:trPr>
        <w:tc>
          <w:tcPr>
            <w:tcW w:w="28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682" w:type="dxa"/>
            <w:gridSpan w:val="2"/>
            <w:vMerge/>
            <w:tcBorders>
              <w:left w:val="single" w:sz="10" w:space="0" w:color="D2D2D2"/>
              <w:right w:val="single" w:sz="14" w:space="0" w:color="FFFFFF"/>
            </w:tcBorders>
          </w:tcPr>
          <w:p>
            <w:pPr/>
          </w:p>
        </w:tc>
        <w:tc>
          <w:tcPr>
            <w:tcW w:w="3053" w:type="dxa"/>
            <w:vMerge/>
            <w:tcBorders>
              <w:left w:val="single" w:sz="14" w:space="0" w:color="FFFFFF"/>
              <w:right w:val="nil" w:sz="6" w:space="0" w:color="auto"/>
            </w:tcBorders>
          </w:tcPr>
          <w:p>
            <w:pPr/>
          </w:p>
        </w:tc>
      </w:tr>
      <w:tr>
        <w:trPr>
          <w:trHeight w:val="2187" w:hRule="exact"/>
        </w:trPr>
        <w:tc>
          <w:tcPr>
            <w:tcW w:w="2835" w:type="dxa"/>
            <w:tcBorders>
              <w:top w:val="nil" w:sz="6" w:space="0" w:color="auto"/>
              <w:left w:val="single" w:sz="4" w:space="0" w:color="000000"/>
              <w:bottom w:val="single" w:sz="4" w:space="0" w:color="000000"/>
              <w:right w:val="single" w:sz="4" w:space="0" w:color="000000"/>
            </w:tcBorders>
            <w:shd w:val="clear" w:color="auto" w:fill="D2D2D2"/>
          </w:tcPr>
          <w:p>
            <w:pPr/>
          </w:p>
        </w:tc>
        <w:tc>
          <w:tcPr>
            <w:tcW w:w="3682" w:type="dxa"/>
            <w:gridSpan w:val="2"/>
            <w:vMerge/>
            <w:tcBorders>
              <w:left w:val="single" w:sz="10" w:space="0" w:color="D2D2D2"/>
              <w:bottom w:val="single" w:sz="4" w:space="0" w:color="000000"/>
              <w:right w:val="single" w:sz="14" w:space="0" w:color="FFFFFF"/>
            </w:tcBorders>
          </w:tcPr>
          <w:p>
            <w:pPr/>
          </w:p>
        </w:tc>
        <w:tc>
          <w:tcPr>
            <w:tcW w:w="3053" w:type="dxa"/>
            <w:vMerge/>
            <w:tcBorders>
              <w:left w:val="single" w:sz="14" w:space="0" w:color="FFFFFF"/>
              <w:bottom w:val="single" w:sz="4" w:space="0" w:color="000000"/>
              <w:right w:val="nil" w:sz="6" w:space="0" w:color="auto"/>
            </w:tcBorders>
          </w:tcPr>
          <w:p>
            <w:pP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735"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2823"/>
        <w:gridCol w:w="6746"/>
      </w:tblGrid>
      <w:tr>
        <w:trPr>
          <w:trHeight w:val="401" w:hRule="exact"/>
        </w:trPr>
        <w:tc>
          <w:tcPr>
            <w:tcW w:w="2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7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2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7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7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b/>
          <w:bCs/>
          <w:sz w:val="18"/>
          <w:szCs w:val="18"/>
        </w:rPr>
      </w:pPr>
    </w:p>
    <w:p>
      <w:pPr>
        <w:pStyle w:val="Heading2"/>
        <w:spacing w:line="240" w:lineRule="auto" w:before="26"/>
        <w:ind w:right="153"/>
        <w:jc w:val="left"/>
        <w:rPr>
          <w:b w:val="0"/>
          <w:bCs w:val="0"/>
        </w:rPr>
      </w:pPr>
      <w:r>
        <w:rPr/>
        <w:t>十、内部控制审计报告或鉴证报告</w:t>
      </w:r>
      <w:r>
        <w:rPr>
          <w:b w:val="0"/>
          <w:bCs w:val="0"/>
        </w:rPr>
      </w:r>
    </w:p>
    <w:p>
      <w:pPr>
        <w:spacing w:line="240" w:lineRule="auto" w:before="4"/>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宋体" w:hAnsi="宋体" w:cs="宋体" w:eastAsia="宋体" w:hint="default"/>
          <w:sz w:val="18"/>
          <w:szCs w:val="18"/>
        </w:rPr>
        <w:t>内部控制鉴证报告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before="0"/>
        <w:ind w:left="0" w:right="160" w:firstLine="0"/>
        <w:jc w:val="right"/>
        <w:rPr>
          <w:rFonts w:ascii="宋体" w:hAnsi="宋体" w:cs="宋体" w:eastAsia="宋体" w:hint="default"/>
          <w:sz w:val="18"/>
          <w:szCs w:val="18"/>
        </w:rPr>
      </w:pPr>
      <w:r>
        <w:rPr/>
        <w:pict>
          <v:shape style="position:absolute;margin-left:56.400002pt;margin-top:-147.798279pt;width:479.3pt;height:344.1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62"/>
                    <w:gridCol w:w="6909"/>
                  </w:tblGrid>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4148"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tabs>
                            <w:tab w:pos="9172" w:val="left" w:leader="none"/>
                          </w:tabs>
                          <w:spacing w:line="297"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内部控制鉴证报告众会字</w:t>
                        </w:r>
                        <w:r>
                          <w:rPr>
                            <w:rFonts w:ascii="Times New Roman" w:hAnsi="Times New Roman" w:cs="Times New Roman" w:eastAsia="Times New Roman" w:hint="default"/>
                            <w:sz w:val="18"/>
                            <w:szCs w:val="18"/>
                          </w:rPr>
                          <w:t>(2018)</w:t>
                        </w:r>
                        <w:r>
                          <w:rPr>
                            <w:rFonts w:ascii="宋体" w:hAnsi="宋体" w:cs="宋体" w:eastAsia="宋体" w:hint="default"/>
                            <w:sz w:val="18"/>
                            <w:szCs w:val="18"/>
                          </w:rPr>
                          <w:t>第</w:t>
                        </w:r>
                        <w:r>
                          <w:rPr>
                            <w:rFonts w:ascii="宋体" w:hAnsi="宋体" w:cs="宋体" w:eastAsia="宋体" w:hint="default"/>
                            <w:spacing w:val="-71"/>
                            <w:sz w:val="18"/>
                            <w:szCs w:val="18"/>
                          </w:rPr>
                          <w:t> </w:t>
                        </w:r>
                        <w:r>
                          <w:rPr>
                            <w:rFonts w:ascii="Times New Roman" w:hAnsi="Times New Roman" w:cs="Times New Roman" w:eastAsia="Times New Roman" w:hint="default"/>
                            <w:sz w:val="18"/>
                            <w:szCs w:val="18"/>
                          </w:rPr>
                          <w:t>3552</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号江苏双星彩塑新材料股份有限公司全体股东：我们审核了江苏双星彩塑新材料股 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双星新材</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日财务报告内部控制的有效性。一、管理层对内部控制的责任</w:t>
                          <w:tab/>
                        </w:r>
                        <w:r>
                          <w:rPr>
                            <w:rFonts w:ascii="宋体" w:hAnsi="宋体" w:cs="宋体" w:eastAsia="宋体" w:hint="default"/>
                            <w:spacing w:val="-3"/>
                            <w:sz w:val="18"/>
                            <w:szCs w:val="18"/>
                          </w:rPr>
                          <w:t>按照</w:t>
                        </w:r>
                        <w:r>
                          <w:rPr>
                            <w:rFonts w:ascii="宋体" w:hAnsi="宋体" w:cs="宋体" w:eastAsia="宋体" w:hint="default"/>
                            <w:sz w:val="18"/>
                            <w:szCs w:val="18"/>
                          </w:rPr>
                        </w:r>
                      </w:p>
                      <w:p>
                        <w:pPr>
                          <w:pStyle w:val="TableParagraph"/>
                          <w:tabs>
                            <w:tab w:pos="746" w:val="left" w:leader="none"/>
                            <w:tab w:pos="2177" w:val="left" w:leader="none"/>
                          </w:tabs>
                          <w:spacing w:line="314" w:lineRule="auto" w:before="15"/>
                          <w:ind w:left="24" w:right="-5"/>
                          <w:jc w:val="left"/>
                          <w:rPr>
                            <w:rFonts w:ascii="Times New Roman" w:hAnsi="Times New Roman" w:cs="Times New Roman" w:eastAsia="Times New Roman" w:hint="default"/>
                            <w:sz w:val="18"/>
                            <w:szCs w:val="18"/>
                          </w:rPr>
                        </w:pPr>
                        <w:r>
                          <w:rPr>
                            <w:rFonts w:ascii="宋体" w:hAnsi="宋体" w:cs="宋体" w:eastAsia="宋体" w:hint="default"/>
                            <w:sz w:val="18"/>
                            <w:szCs w:val="18"/>
                          </w:rPr>
                          <w:t>《企业内部控制基本规范》及相关规定，设计、实施和维护有效的内部控制，并评估其有效性是双星新材管理层的责任。 </w:t>
                        </w:r>
                        <w:r>
                          <w:rPr>
                            <w:rFonts w:ascii="宋体" w:hAnsi="宋体" w:cs="宋体" w:eastAsia="宋体" w:hint="default"/>
                            <w:spacing w:val="-1"/>
                            <w:sz w:val="18"/>
                            <w:szCs w:val="18"/>
                          </w:rPr>
                          <w:t>二、注册会计师的责任</w:t>
                          <w:tab/>
                          <w:t>我们的责任是在实施鉴证工作的基础上对财务报告内部控制的有效性发表鉴证意见。三、工作</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概述</w:t>
                          <w:tab/>
                          <w:t>我们按照《中国注册会计师其他鉴证业务准则第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历史财务信息审计和审阅以外的鉴证业务》的规定执行 </w:t>
                        </w:r>
                        <w:r>
                          <w:rPr>
                            <w:rFonts w:ascii="宋体" w:hAnsi="宋体" w:cs="宋体" w:eastAsia="宋体" w:hint="default"/>
                            <w:spacing w:val="-6"/>
                            <w:sz w:val="18"/>
                            <w:szCs w:val="18"/>
                          </w:rPr>
                          <w:t>了鉴证工作。《中国注册会计师其他鉴证业务准则第</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3101</w:t>
                        </w:r>
                        <w:r>
                          <w:rPr>
                            <w:rFonts w:ascii="Times New Roman" w:hAnsi="Times New Roman" w:cs="Times New Roman" w:eastAsia="Times New Roman" w:hint="default"/>
                            <w:spacing w:val="6"/>
                            <w:sz w:val="18"/>
                            <w:szCs w:val="18"/>
                          </w:rPr>
                          <w:t> </w:t>
                        </w:r>
                        <w:r>
                          <w:rPr>
                            <w:rFonts w:ascii="宋体" w:hAnsi="宋体" w:cs="宋体" w:eastAsia="宋体" w:hint="default"/>
                            <w:spacing w:val="-2"/>
                            <w:sz w:val="18"/>
                            <w:szCs w:val="18"/>
                          </w:rPr>
                          <w:t>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历史财务信息审计和审阅以外的鉴证业务》要求我们计划和实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施鉴证工作，以对财务报告内部控制的有效性是否不存在重大错报获取合理保证。在鉴证过程中，我们实施了包括了解、 </w:t>
                        </w:r>
                        <w:r>
                          <w:rPr>
                            <w:rFonts w:ascii="宋体" w:hAnsi="宋体" w:cs="宋体" w:eastAsia="宋体" w:hint="default"/>
                            <w:spacing w:val="-1"/>
                            <w:sz w:val="18"/>
                            <w:szCs w:val="18"/>
                          </w:rPr>
                          <w:t>测试和评价财务报告内部控制设计的合理性和运行的有效性，以及我们认为必要的其他程序。我们相信，我们的鉴证工作</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为发表意见提供了合理的基础。四、内部控制的固有局限性内部控制具有固有局限性，存在不能防止和发现错报的可能性</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1"/>
                            <w:sz w:val="18"/>
                            <w:szCs w:val="18"/>
                          </w:rPr>
                          <w:t>此外，由于情况的变化可能导致内部控制变得不恰当，或对控制政策和程序遵循的程度较低，根据内部控制鉴证结果推测</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5"/>
                            <w:sz w:val="18"/>
                            <w:szCs w:val="18"/>
                          </w:rPr>
                          <w:t>未来内部控制的有效性具有一定风险。五、鉴证结论我们认为，双星新材按照《企业内部控制基本规范》及相关规定于</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2017</w:t>
                        </w:r>
                      </w:p>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日在所有重大方面保持了有效的财务报告内部控制。</w:t>
                        </w:r>
                        <w:r>
                          <w:rPr>
                            <w:rFonts w:ascii="宋体" w:hAnsi="宋体" w:cs="宋体" w:eastAsia="宋体" w:hint="default"/>
                            <w:spacing w:val="-1"/>
                            <w:sz w:val="18"/>
                            <w:szCs w:val="18"/>
                          </w:rPr>
                          <w:t> </w:t>
                        </w:r>
                        <w:r>
                          <w:rPr>
                            <w:rFonts w:ascii="宋体" w:hAnsi="宋体" w:cs="宋体" w:eastAsia="宋体" w:hint="default"/>
                            <w:sz w:val="18"/>
                            <w:szCs w:val="18"/>
                          </w:rPr>
                          <w:t>六、对报告使用者和使用目的的限定本报告仅供双星新</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年度年报披露之目的使用，未经我所书面同意，不得用作任何其他目的。</w:t>
                        </w:r>
                      </w:p>
                    </w:tc>
                  </w:tr>
                  <w:tr>
                    <w:trPr>
                      <w:trHeight w:val="401"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71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38"/>
                          <w:jc w:val="left"/>
                          <w:rPr>
                            <w:rFonts w:ascii="宋体" w:hAnsi="宋体" w:cs="宋体" w:eastAsia="宋体" w:hint="default"/>
                            <w:sz w:val="18"/>
                            <w:szCs w:val="18"/>
                          </w:rPr>
                        </w:pPr>
                        <w:r>
                          <w:rPr>
                            <w:rFonts w:ascii="宋体" w:hAnsi="宋体" w:cs="宋体" w:eastAsia="宋体" w:hint="default"/>
                            <w:sz w:val="18"/>
                            <w:szCs w:val="18"/>
                          </w:rPr>
                          <w:t>刊登在巨潮资讯网</w:t>
                        </w:r>
                        <w:r>
                          <w:rPr>
                            <w:rFonts w:ascii="宋体" w:hAnsi="宋体" w:cs="宋体" w:eastAsia="宋体" w:hint="default"/>
                            <w:spacing w:val="-54"/>
                            <w:sz w:val="18"/>
                            <w:szCs w:val="18"/>
                          </w:rPr>
                          <w:t> </w:t>
                        </w:r>
                        <w:hyperlink r:id="rId12">
                          <w:r>
                            <w:rPr>
                              <w:rFonts w:ascii="Times New Roman" w:hAnsi="Times New Roman" w:cs="Times New Roman" w:eastAsia="Times New Roman" w:hint="default"/>
                              <w:sz w:val="18"/>
                              <w:szCs w:val="18"/>
                            </w:rPr>
                            <w:t>http://www.cninfo.com.cn</w:t>
                          </w:r>
                        </w:hyperlink>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上的《关于江苏双星彩塑新材料股份有限公 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日的内部控制鉴证报告 》</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spacing w:before="44"/>
        <w:ind w:left="152" w:right="153" w:firstLine="0"/>
        <w:jc w:val="left"/>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会计师事务所是否出具非标准意见的内部控制鉴证报告</w:t>
      </w:r>
    </w:p>
    <w:p>
      <w:pPr>
        <w:spacing w:line="340" w:lineRule="auto" w:before="115"/>
        <w:ind w:left="152" w:right="36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会计师事务所出具的内部控制鉴证报告与董事会的自我评价报告意见是否一致</w:t>
      </w:r>
    </w:p>
    <w:p>
      <w:pPr>
        <w:spacing w:before="39"/>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125" w:right="153"/>
        <w:jc w:val="left"/>
        <w:rPr>
          <w:b w:val="0"/>
          <w:bCs w:val="0"/>
        </w:rPr>
      </w:pPr>
      <w:bookmarkStart w:name="_bookmark8" w:id="9"/>
      <w:bookmarkEnd w:id="9"/>
      <w:r>
        <w:rPr>
          <w:b w:val="0"/>
          <w:bCs w:val="0"/>
        </w:rPr>
      </w:r>
      <w:r>
        <w:rPr/>
        <w:t>第十节</w:t>
      </w:r>
      <w:r>
        <w:rPr>
          <w:spacing w:val="-6"/>
        </w:rPr>
        <w:t> </w:t>
      </w:r>
      <w:r>
        <w:rPr/>
        <w:t>公司债券相关情况</w:t>
      </w:r>
      <w:r>
        <w:rPr>
          <w:b w:val="0"/>
          <w:bCs w:val="0"/>
        </w:rPr>
      </w:r>
    </w:p>
    <w:p>
      <w:pPr>
        <w:spacing w:line="240" w:lineRule="auto" w:before="9"/>
        <w:rPr>
          <w:rFonts w:ascii="宋体" w:hAnsi="宋体" w:cs="宋体" w:eastAsia="宋体" w:hint="default"/>
          <w:b/>
          <w:bCs/>
          <w:sz w:val="42"/>
          <w:szCs w:val="42"/>
        </w:rPr>
      </w:pPr>
    </w:p>
    <w:p>
      <w:pPr>
        <w:spacing w:line="357" w:lineRule="auto" w:before="0"/>
        <w:ind w:left="152" w:right="1134"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是</w:t>
      </w:r>
    </w:p>
    <w:p>
      <w:pPr>
        <w:spacing w:line="240" w:lineRule="auto" w:before="7"/>
        <w:rPr>
          <w:rFonts w:ascii="宋体" w:hAnsi="宋体" w:cs="宋体" w:eastAsia="宋体" w:hint="default"/>
          <w:sz w:val="18"/>
          <w:szCs w:val="18"/>
        </w:rPr>
      </w:pPr>
    </w:p>
    <w:p>
      <w:pPr>
        <w:pStyle w:val="Heading2"/>
        <w:spacing w:line="240" w:lineRule="auto"/>
        <w:ind w:right="153"/>
        <w:jc w:val="left"/>
        <w:rPr>
          <w:b w:val="0"/>
          <w:bCs w:val="0"/>
        </w:rPr>
      </w:pPr>
      <w:r>
        <w:rPr/>
        <w:t>一、公司债券基本信息</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6"/>
        <w:gridCol w:w="1195"/>
        <w:gridCol w:w="1198"/>
        <w:gridCol w:w="1390"/>
        <w:gridCol w:w="711"/>
        <w:gridCol w:w="1488"/>
      </w:tblGrid>
      <w:tr>
        <w:trPr>
          <w:trHeight w:val="401"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债券简称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债券代码</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4" w:right="0"/>
              <w:jc w:val="left"/>
              <w:rPr>
                <w:rFonts w:ascii="宋体" w:hAnsi="宋体" w:cs="宋体" w:eastAsia="宋体" w:hint="default"/>
                <w:sz w:val="18"/>
                <w:szCs w:val="18"/>
              </w:rPr>
            </w:pPr>
            <w:r>
              <w:rPr>
                <w:rFonts w:ascii="宋体" w:hAnsi="宋体" w:cs="宋体" w:eastAsia="宋体" w:hint="default"/>
                <w:sz w:val="18"/>
                <w:szCs w:val="18"/>
              </w:rPr>
              <w:t>发行日</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3"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3"/>
                <w:sz w:val="18"/>
                <w:szCs w:val="18"/>
              </w:rPr>
              <w:t>债券余额（万元</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20"/>
                <w:sz w:val="18"/>
                <w:szCs w:val="18"/>
              </w:rPr>
              <w:t> </w:t>
            </w:r>
            <w:r>
              <w:rPr>
                <w:rFonts w:ascii="宋体" w:hAnsi="宋体" w:cs="宋体" w:eastAsia="宋体" w:hint="default"/>
                <w:sz w:val="18"/>
                <w:szCs w:val="18"/>
              </w:rPr>
              <w:t>利率</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还本付息方式</w:t>
            </w:r>
          </w:p>
        </w:tc>
      </w:tr>
      <w:tr>
        <w:trPr>
          <w:trHeight w:val="165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2" w:lineRule="auto"/>
              <w:ind w:left="24"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年面向 合格投资者公 开发行公司债 券（第一期）</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 </w:t>
            </w:r>
            <w:r>
              <w:rPr>
                <w:rFonts w:ascii="宋体" w:hAnsi="宋体" w:cs="宋体" w:eastAsia="宋体" w:hint="default"/>
                <w:sz w:val="18"/>
                <w:szCs w:val="18"/>
              </w:rPr>
              <w:t>彩塑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112466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863" w:right="0"/>
              <w:jc w:val="left"/>
              <w:rPr>
                <w:rFonts w:ascii="Times New Roman" w:hAnsi="Times New Roman" w:cs="Times New Roman" w:eastAsia="Times New Roman" w:hint="default"/>
                <w:sz w:val="18"/>
                <w:szCs w:val="18"/>
              </w:rPr>
            </w:pPr>
            <w:r>
              <w:rPr>
                <w:rFonts w:ascii="Times New Roman"/>
                <w:sz w:val="18"/>
              </w:rPr>
              <w:t>80,000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4.09%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按年计息，每年付 息一次，到期一次 还本，最后一期利 息随本金的兑付 一起支付。</w:t>
            </w:r>
          </w:p>
        </w:tc>
      </w:tr>
      <w:tr>
        <w:trPr>
          <w:trHeight w:val="713" w:hRule="exact"/>
        </w:trPr>
        <w:tc>
          <w:tcPr>
            <w:tcW w:w="23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公司债券上市或转让的交易 场所</w:t>
            </w:r>
          </w:p>
        </w:tc>
        <w:tc>
          <w:tcPr>
            <w:tcW w:w="717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715" w:hRule="exact"/>
        </w:trPr>
        <w:tc>
          <w:tcPr>
            <w:tcW w:w="23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报告期内公司债券的付息兑 付情况</w:t>
            </w:r>
          </w:p>
        </w:tc>
        <w:tc>
          <w:tcPr>
            <w:tcW w:w="717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年面向合格投资者公开发行公司债券（第一期）已于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日支付</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日期间的利息。</w:t>
            </w:r>
          </w:p>
        </w:tc>
      </w:tr>
    </w:tbl>
    <w:p>
      <w:pPr>
        <w:spacing w:line="240" w:lineRule="auto" w:before="1"/>
        <w:rPr>
          <w:rFonts w:ascii="宋体" w:hAnsi="宋体" w:cs="宋体" w:eastAsia="宋体" w:hint="default"/>
          <w:b/>
          <w:bCs/>
          <w:sz w:val="18"/>
          <w:szCs w:val="18"/>
        </w:rPr>
      </w:pPr>
    </w:p>
    <w:p>
      <w:pPr>
        <w:pStyle w:val="Heading2"/>
        <w:spacing w:line="240" w:lineRule="auto" w:before="26"/>
        <w:ind w:right="153"/>
        <w:jc w:val="left"/>
        <w:rPr>
          <w:b w:val="0"/>
          <w:bCs w:val="0"/>
        </w:rPr>
      </w:pPr>
      <w:r>
        <w:rPr/>
        <w:t>二、债券受托管理人和资信评级机构信息</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1191"/>
        <w:gridCol w:w="1195"/>
        <w:gridCol w:w="1167"/>
        <w:gridCol w:w="1226"/>
        <w:gridCol w:w="1196"/>
        <w:gridCol w:w="1195"/>
        <w:gridCol w:w="1196"/>
        <w:gridCol w:w="1198"/>
      </w:tblGrid>
      <w:tr>
        <w:trPr>
          <w:trHeight w:val="397" w:hRule="exact"/>
        </w:trPr>
        <w:tc>
          <w:tcPr>
            <w:tcW w:w="956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债券受托管理人：</w:t>
            </w:r>
          </w:p>
        </w:tc>
      </w:tr>
      <w:tr>
        <w:trPr>
          <w:trHeight w:val="166" w:hRule="exact"/>
        </w:trPr>
        <w:tc>
          <w:tcPr>
            <w:tcW w:w="1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9" w:space="0" w:color="D2D2D2"/>
              <w:right w:val="single" w:sz="9" w:space="0" w:color="D2D2D2"/>
            </w:tcBorders>
          </w:tcPr>
          <w:p>
            <w:pPr>
              <w:pStyle w:val="TableParagraph"/>
              <w:spacing w:line="316" w:lineRule="auto" w:before="54"/>
              <w:ind w:left="18" w:right="73"/>
              <w:jc w:val="left"/>
              <w:rPr>
                <w:rFonts w:ascii="宋体" w:hAnsi="宋体" w:cs="宋体" w:eastAsia="宋体" w:hint="default"/>
                <w:sz w:val="18"/>
                <w:szCs w:val="18"/>
              </w:rPr>
            </w:pPr>
            <w:r>
              <w:rPr>
                <w:rFonts w:ascii="宋体" w:hAnsi="宋体" w:cs="宋体" w:eastAsia="宋体" w:hint="default"/>
                <w:sz w:val="18"/>
                <w:szCs w:val="18"/>
              </w:rPr>
              <w:t>光大证券股份 有限公司</w:t>
            </w:r>
          </w:p>
        </w:tc>
        <w:tc>
          <w:tcPr>
            <w:tcW w:w="11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26" w:type="dxa"/>
            <w:vMerge w:val="restart"/>
            <w:tcBorders>
              <w:top w:val="single" w:sz="4" w:space="0" w:color="000000"/>
              <w:left w:val="single" w:sz="10" w:space="0" w:color="D2D2D2"/>
              <w:right w:val="single" w:sz="10" w:space="0" w:color="D2D2D2"/>
            </w:tcBorders>
          </w:tcPr>
          <w:p>
            <w:pPr>
              <w:pStyle w:val="TableParagraph"/>
              <w:spacing w:line="316" w:lineRule="auto" w:before="54"/>
              <w:ind w:left="48" w:right="11"/>
              <w:jc w:val="left"/>
              <w:rPr>
                <w:rFonts w:ascii="宋体" w:hAnsi="宋体" w:cs="宋体" w:eastAsia="宋体" w:hint="default"/>
                <w:sz w:val="18"/>
                <w:szCs w:val="18"/>
              </w:rPr>
            </w:pPr>
            <w:r>
              <w:rPr>
                <w:rFonts w:ascii="宋体" w:hAnsi="宋体" w:cs="宋体" w:eastAsia="宋体" w:hint="default"/>
                <w:sz w:val="18"/>
                <w:szCs w:val="18"/>
              </w:rPr>
              <w:t>上海市静安区 新闸路</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1508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号</w:t>
            </w: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9" w:space="0" w:color="D2D2D2"/>
              <w:right w:val="single" w:sz="9" w:space="0" w:color="D2D2D2"/>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朱晓霞</w:t>
            </w: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vMerge w:val="restart"/>
            <w:tcBorders>
              <w:top w:val="single" w:sz="4" w:space="0" w:color="000000"/>
              <w:left w:val="single" w:sz="10" w:space="0" w:color="D2D2D2"/>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sz w:val="18"/>
              </w:rPr>
              <w:t>021-22169401</w:t>
            </w:r>
          </w:p>
        </w:tc>
      </w:tr>
      <w:tr>
        <w:trPr>
          <w:trHeight w:val="392" w:hRule="exact"/>
        </w:trPr>
        <w:tc>
          <w:tcPr>
            <w:tcW w:w="1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1195" w:type="dxa"/>
            <w:vMerge/>
            <w:tcBorders>
              <w:left w:val="single" w:sz="9" w:space="0" w:color="D2D2D2"/>
              <w:right w:val="single" w:sz="9" w:space="0" w:color="D2D2D2"/>
            </w:tcBorders>
          </w:tcPr>
          <w:p>
            <w:pPr/>
          </w:p>
        </w:tc>
        <w:tc>
          <w:tcPr>
            <w:tcW w:w="11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1226" w:type="dxa"/>
            <w:vMerge/>
            <w:tcBorders>
              <w:left w:val="single" w:sz="10" w:space="0" w:color="D2D2D2"/>
              <w:right w:val="single" w:sz="10" w:space="0" w:color="D2D2D2"/>
            </w:tcBorders>
          </w:tcPr>
          <w:p>
            <w:pP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联系人</w:t>
            </w:r>
          </w:p>
        </w:tc>
        <w:tc>
          <w:tcPr>
            <w:tcW w:w="1195" w:type="dxa"/>
            <w:vMerge/>
            <w:tcBorders>
              <w:left w:val="single" w:sz="9" w:space="0" w:color="D2D2D2"/>
              <w:right w:val="single" w:sz="9" w:space="0" w:color="D2D2D2"/>
            </w:tcBorders>
          </w:tcPr>
          <w:p>
            <w:pP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联系人电话</w:t>
            </w:r>
          </w:p>
        </w:tc>
        <w:tc>
          <w:tcPr>
            <w:tcW w:w="1198" w:type="dxa"/>
            <w:vMerge/>
            <w:tcBorders>
              <w:left w:val="single" w:sz="10" w:space="0" w:color="D2D2D2"/>
              <w:right w:val="single" w:sz="4" w:space="0" w:color="000000"/>
            </w:tcBorders>
          </w:tcPr>
          <w:p>
            <w:pPr/>
          </w:p>
        </w:tc>
      </w:tr>
      <w:tr>
        <w:trPr>
          <w:trHeight w:val="168" w:hRule="exact"/>
        </w:trPr>
        <w:tc>
          <w:tcPr>
            <w:tcW w:w="1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9" w:space="0" w:color="D2D2D2"/>
              <w:bottom w:val="single" w:sz="4" w:space="0" w:color="000000"/>
              <w:right w:val="single" w:sz="9" w:space="0" w:color="D2D2D2"/>
            </w:tcBorders>
          </w:tcPr>
          <w:p>
            <w:pPr/>
          </w:p>
        </w:tc>
        <w:tc>
          <w:tcPr>
            <w:tcW w:w="11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26" w:type="dxa"/>
            <w:vMerge/>
            <w:tcBorders>
              <w:left w:val="single" w:sz="10" w:space="0" w:color="D2D2D2"/>
              <w:bottom w:val="single" w:sz="4" w:space="0" w:color="000000"/>
              <w:right w:val="single" w:sz="10" w:space="0" w:color="D2D2D2"/>
            </w:tcBorders>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9" w:space="0" w:color="D2D2D2"/>
              <w:bottom w:val="single" w:sz="4" w:space="0" w:color="000000"/>
              <w:right w:val="single" w:sz="9" w:space="0" w:color="D2D2D2"/>
            </w:tcBorders>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vMerge/>
            <w:tcBorders>
              <w:left w:val="single" w:sz="10" w:space="0" w:color="D2D2D2"/>
              <w:bottom w:val="single" w:sz="4" w:space="0" w:color="000000"/>
              <w:right w:val="single" w:sz="4" w:space="0" w:color="000000"/>
            </w:tcBorders>
          </w:tcPr>
          <w:p>
            <w:pPr/>
          </w:p>
        </w:tc>
      </w:tr>
      <w:tr>
        <w:trPr>
          <w:trHeight w:val="391" w:hRule="exact"/>
        </w:trPr>
        <w:tc>
          <w:tcPr>
            <w:tcW w:w="956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报告期内对公司债券进行跟踪评级的资信评级机构：</w:t>
            </w:r>
          </w:p>
        </w:tc>
      </w:tr>
      <w:tr>
        <w:trPr>
          <w:trHeight w:val="166" w:hRule="exact"/>
        </w:trPr>
        <w:tc>
          <w:tcPr>
            <w:tcW w:w="1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9" w:type="dxa"/>
            <w:gridSpan w:val="3"/>
            <w:vMerge w:val="restart"/>
            <w:tcBorders>
              <w:top w:val="single" w:sz="4" w:space="0" w:color="000000"/>
              <w:left w:val="single" w:sz="9" w:space="0" w:color="D2D2D2"/>
              <w:right w:val="single" w:sz="10" w:space="0" w:color="D2D2D2"/>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鹏元资信评估有限公司</w:t>
            </w: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9" w:type="dxa"/>
            <w:gridSpan w:val="3"/>
            <w:vMerge w:val="restart"/>
            <w:tcBorders>
              <w:top w:val="single" w:sz="4" w:space="0" w:color="000000"/>
              <w:left w:val="single" w:sz="9" w:space="0" w:color="D2D2D2"/>
              <w:right w:val="single" w:sz="4" w:space="0" w:color="000000"/>
            </w:tcBorders>
          </w:tcPr>
          <w:p>
            <w:pPr>
              <w:pStyle w:val="TableParagraph"/>
              <w:spacing w:line="300" w:lineRule="auto" w:before="53"/>
              <w:ind w:left="18" w:right="38"/>
              <w:jc w:val="left"/>
              <w:rPr>
                <w:rFonts w:ascii="宋体" w:hAnsi="宋体" w:cs="宋体" w:eastAsia="宋体" w:hint="default"/>
                <w:sz w:val="18"/>
                <w:szCs w:val="18"/>
              </w:rPr>
            </w:pPr>
            <w:r>
              <w:rPr>
                <w:rFonts w:ascii="宋体" w:hAnsi="宋体" w:cs="宋体" w:eastAsia="宋体" w:hint="default"/>
                <w:sz w:val="18"/>
                <w:szCs w:val="18"/>
              </w:rPr>
              <w:t>上海市浦东新区东三里桥路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号上海数字 产业园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r>
      <w:tr>
        <w:trPr>
          <w:trHeight w:val="391" w:hRule="exact"/>
        </w:trPr>
        <w:tc>
          <w:tcPr>
            <w:tcW w:w="1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3589" w:type="dxa"/>
            <w:gridSpan w:val="3"/>
            <w:vMerge/>
            <w:tcBorders>
              <w:left w:val="single" w:sz="9" w:space="0" w:color="D2D2D2"/>
              <w:right w:val="single" w:sz="10" w:space="0" w:color="D2D2D2"/>
            </w:tcBorders>
          </w:tcPr>
          <w:p>
            <w:pP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3589" w:type="dxa"/>
            <w:gridSpan w:val="3"/>
            <w:vMerge/>
            <w:tcBorders>
              <w:left w:val="single" w:sz="9" w:space="0" w:color="D2D2D2"/>
              <w:right w:val="single" w:sz="4" w:space="0" w:color="000000"/>
            </w:tcBorders>
          </w:tcPr>
          <w:p>
            <w:pPr/>
          </w:p>
        </w:tc>
      </w:tr>
      <w:tr>
        <w:trPr>
          <w:trHeight w:val="161" w:hRule="exact"/>
        </w:trPr>
        <w:tc>
          <w:tcPr>
            <w:tcW w:w="1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589" w:type="dxa"/>
            <w:gridSpan w:val="3"/>
            <w:vMerge/>
            <w:tcBorders>
              <w:left w:val="single" w:sz="9" w:space="0" w:color="D2D2D2"/>
              <w:bottom w:val="single" w:sz="4" w:space="0" w:color="000000"/>
              <w:right w:val="single" w:sz="10" w:space="0" w:color="D2D2D2"/>
            </w:tcBorders>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3589" w:type="dxa"/>
            <w:gridSpan w:val="3"/>
            <w:vMerge/>
            <w:tcBorders>
              <w:left w:val="single" w:sz="9" w:space="0" w:color="D2D2D2"/>
              <w:bottom w:val="single" w:sz="4" w:space="0" w:color="000000"/>
              <w:right w:val="single" w:sz="4" w:space="0" w:color="000000"/>
            </w:tcBorders>
          </w:tcPr>
          <w:p>
            <w:pPr/>
          </w:p>
        </w:tc>
      </w:tr>
      <w:tr>
        <w:trPr>
          <w:trHeight w:val="1027" w:hRule="exact"/>
        </w:trPr>
        <w:tc>
          <w:tcPr>
            <w:tcW w:w="355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09"/>
              <w:jc w:val="both"/>
              <w:rPr>
                <w:rFonts w:ascii="宋体" w:hAnsi="宋体" w:cs="宋体" w:eastAsia="宋体" w:hint="default"/>
                <w:sz w:val="18"/>
                <w:szCs w:val="18"/>
              </w:rPr>
            </w:pPr>
            <w:r>
              <w:rPr>
                <w:rFonts w:ascii="宋体" w:hAnsi="宋体" w:cs="宋体" w:eastAsia="宋体" w:hint="default"/>
                <w:sz w:val="18"/>
                <w:szCs w:val="18"/>
              </w:rPr>
              <w:t>报告期内公司聘请的债券受托管理人、资信 评级机构发生变更的，变更的原因、履行的 程序、对投资者利益的影响等（如适用）</w:t>
            </w:r>
          </w:p>
        </w:tc>
        <w:tc>
          <w:tcPr>
            <w:tcW w:w="6011"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8"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
        <w:rPr>
          <w:rFonts w:ascii="宋体" w:hAnsi="宋体" w:cs="宋体" w:eastAsia="宋体" w:hint="default"/>
          <w:b/>
          <w:bCs/>
          <w:sz w:val="18"/>
          <w:szCs w:val="18"/>
        </w:rPr>
      </w:pPr>
    </w:p>
    <w:p>
      <w:pPr>
        <w:pStyle w:val="Heading2"/>
        <w:spacing w:line="240" w:lineRule="auto" w:before="26"/>
        <w:ind w:right="153"/>
        <w:jc w:val="left"/>
        <w:rPr>
          <w:b w:val="0"/>
          <w:bCs w:val="0"/>
        </w:rPr>
      </w:pPr>
      <w:r>
        <w:rPr/>
        <w:t>三、公司债券募集资金使用情况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828"/>
        <w:gridCol w:w="5742"/>
      </w:tblGrid>
      <w:tr>
        <w:trPr>
          <w:trHeight w:val="401"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公司债券募集资金使用情况及履行的程序</w:t>
            </w:r>
          </w:p>
        </w:tc>
        <w:tc>
          <w:tcPr>
            <w:tcW w:w="5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公司债券的募集资金扣除发行费用后，已全部用于补充公司营运资金。</w:t>
            </w:r>
          </w:p>
        </w:tc>
      </w:tr>
      <w:tr>
        <w:trPr>
          <w:trHeight w:val="403"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年末余额（万元）</w:t>
            </w:r>
          </w:p>
        </w:tc>
        <w:tc>
          <w:tcPr>
            <w:tcW w:w="5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募集资金专项账户运作情况</w:t>
            </w:r>
          </w:p>
        </w:tc>
        <w:tc>
          <w:tcPr>
            <w:tcW w:w="57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pacing w:val="-3"/>
                <w:sz w:val="18"/>
                <w:szCs w:val="18"/>
              </w:rPr>
              <w:t>上述公司债券发行时，公司依照募集说明书的相关约定，指定专项账户归</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集募集资金；至报告期末，已全部用于补充公司流动资金。</w:t>
            </w:r>
          </w:p>
        </w:tc>
      </w:tr>
      <w:tr>
        <w:trPr>
          <w:trHeight w:val="715"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z w:val="18"/>
                <w:szCs w:val="18"/>
              </w:rPr>
              <w:t>募集资金使用是否与募集说明书承诺的用途、使 用计划及其他约定一致</w:t>
            </w:r>
          </w:p>
        </w:tc>
        <w:tc>
          <w:tcPr>
            <w:tcW w:w="5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一致</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8"/>
        <w:rPr>
          <w:rFonts w:ascii="宋体" w:hAnsi="宋体" w:cs="宋体" w:eastAsia="宋体" w:hint="default"/>
          <w:b/>
          <w:bCs/>
          <w:sz w:val="23"/>
          <w:szCs w:val="23"/>
        </w:rPr>
      </w:pPr>
    </w:p>
    <w:p>
      <w:pPr>
        <w:pStyle w:val="Heading2"/>
        <w:spacing w:line="240" w:lineRule="auto" w:before="26"/>
        <w:ind w:right="153"/>
        <w:jc w:val="left"/>
        <w:rPr>
          <w:b w:val="0"/>
          <w:bCs w:val="0"/>
        </w:rPr>
      </w:pPr>
      <w:r>
        <w:rPr/>
        <w:t>四、公司债券信息评级情况</w:t>
      </w:r>
      <w:r>
        <w:rPr>
          <w:b w:val="0"/>
          <w:bCs w:val="0"/>
        </w:rPr>
      </w:r>
    </w:p>
    <w:p>
      <w:pPr>
        <w:spacing w:line="240" w:lineRule="auto" w:before="7"/>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宋体" w:hAnsi="宋体" w:cs="宋体" w:eastAsia="宋体" w:hint="default"/>
          <w:sz w:val="18"/>
          <w:szCs w:val="18"/>
        </w:rPr>
        <w:t>经鹏元资信评估有限公司综合评定，公司主体长期信用等级为</w:t>
      </w:r>
      <w:r>
        <w:rPr>
          <w:rFonts w:ascii="Times New Roman" w:hAnsi="Times New Roman" w:cs="Times New Roman" w:eastAsia="Times New Roman" w:hint="default"/>
          <w:sz w:val="18"/>
          <w:szCs w:val="18"/>
        </w:rPr>
        <w:t>AA</w:t>
      </w:r>
      <w:r>
        <w:rPr>
          <w:rFonts w:ascii="宋体" w:hAnsi="宋体" w:cs="宋体" w:eastAsia="宋体" w:hint="default"/>
          <w:sz w:val="18"/>
          <w:szCs w:val="18"/>
        </w:rPr>
        <w:t>，本期债券等级为</w:t>
      </w:r>
      <w:r>
        <w:rPr>
          <w:rFonts w:ascii="Times New Roman" w:hAnsi="Times New Roman" w:cs="Times New Roman" w:eastAsia="Times New Roman" w:hint="default"/>
          <w:sz w:val="18"/>
          <w:szCs w:val="18"/>
        </w:rPr>
        <w:t>AA</w:t>
      </w:r>
      <w:r>
        <w:rPr>
          <w:rFonts w:ascii="宋体" w:hAnsi="宋体" w:cs="宋体" w:eastAsia="宋体" w:hint="default"/>
          <w:sz w:val="18"/>
          <w:szCs w:val="18"/>
        </w:rPr>
        <w:t>。</w:t>
      </w:r>
    </w:p>
    <w:p>
      <w:pPr>
        <w:spacing w:line="240" w:lineRule="auto" w:before="3"/>
        <w:rPr>
          <w:rFonts w:ascii="宋体" w:hAnsi="宋体" w:cs="宋体" w:eastAsia="宋体" w:hint="default"/>
          <w:sz w:val="24"/>
          <w:szCs w:val="24"/>
        </w:rPr>
      </w:pPr>
    </w:p>
    <w:p>
      <w:pPr>
        <w:pStyle w:val="Heading2"/>
        <w:spacing w:line="240" w:lineRule="auto"/>
        <w:ind w:right="153"/>
        <w:jc w:val="left"/>
        <w:rPr>
          <w:b w:val="0"/>
          <w:bCs w:val="0"/>
        </w:rPr>
      </w:pPr>
      <w:r>
        <w:rPr/>
        <w:t>五、</w:t>
      </w:r>
      <w:r>
        <w:rPr>
          <w:spacing w:val="-4"/>
        </w:rPr>
        <w:t> </w:t>
      </w:r>
      <w:r>
        <w:rPr/>
        <w:t>公司债券增信机制、偿债计划及其他偿债保障措施</w:t>
      </w:r>
      <w:r>
        <w:rPr>
          <w:b w:val="0"/>
          <w:bCs w:val="0"/>
        </w:rPr>
      </w:r>
    </w:p>
    <w:p>
      <w:pPr>
        <w:spacing w:line="240" w:lineRule="auto" w:before="4"/>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宋体" w:hAnsi="宋体" w:cs="宋体" w:eastAsia="宋体" w:hint="default"/>
          <w:sz w:val="18"/>
          <w:szCs w:val="18"/>
        </w:rPr>
        <w:t>报告期内未采取增信机制，偿债计划及其他偿债保障措施无变化。</w:t>
      </w:r>
    </w:p>
    <w:p>
      <w:pPr>
        <w:spacing w:line="240" w:lineRule="auto" w:before="3"/>
        <w:rPr>
          <w:rFonts w:ascii="宋体" w:hAnsi="宋体" w:cs="宋体" w:eastAsia="宋体" w:hint="default"/>
          <w:sz w:val="25"/>
          <w:szCs w:val="25"/>
        </w:rPr>
      </w:pPr>
    </w:p>
    <w:p>
      <w:pPr>
        <w:pStyle w:val="Heading2"/>
        <w:spacing w:line="240" w:lineRule="auto"/>
        <w:ind w:right="153"/>
        <w:jc w:val="left"/>
        <w:rPr>
          <w:b w:val="0"/>
          <w:bCs w:val="0"/>
        </w:rPr>
      </w:pPr>
      <w:r>
        <w:rPr/>
        <w:t>六、报告期内债券持有人会议的召开情况</w:t>
      </w:r>
      <w:r>
        <w:rPr>
          <w:b w:val="0"/>
          <w:bCs w:val="0"/>
        </w:rPr>
      </w:r>
    </w:p>
    <w:p>
      <w:pPr>
        <w:spacing w:line="240" w:lineRule="auto" w:before="6"/>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宋体" w:hAnsi="宋体" w:cs="宋体" w:eastAsia="宋体" w:hint="default"/>
          <w:sz w:val="18"/>
          <w:szCs w:val="18"/>
        </w:rPr>
        <w:t>报告期内未发生须召开债券持有人会议的事项，未召开债券持有人会议。</w:t>
      </w:r>
    </w:p>
    <w:p>
      <w:pPr>
        <w:spacing w:line="240" w:lineRule="auto" w:before="3"/>
        <w:rPr>
          <w:rFonts w:ascii="宋体" w:hAnsi="宋体" w:cs="宋体" w:eastAsia="宋体" w:hint="default"/>
          <w:sz w:val="25"/>
          <w:szCs w:val="25"/>
        </w:rPr>
      </w:pPr>
    </w:p>
    <w:p>
      <w:pPr>
        <w:pStyle w:val="Heading2"/>
        <w:spacing w:line="240" w:lineRule="auto"/>
        <w:ind w:right="153"/>
        <w:jc w:val="left"/>
        <w:rPr>
          <w:b w:val="0"/>
          <w:bCs w:val="0"/>
        </w:rPr>
      </w:pPr>
      <w:r>
        <w:rPr/>
        <w:t>七、报告期内债券受托管理人履行职责的情况</w:t>
      </w:r>
      <w:r>
        <w:rPr>
          <w:b w:val="0"/>
          <w:bCs w:val="0"/>
        </w:rPr>
      </w:r>
    </w:p>
    <w:p>
      <w:pPr>
        <w:spacing w:line="240" w:lineRule="auto" w:before="4"/>
        <w:rPr>
          <w:rFonts w:ascii="宋体" w:hAnsi="宋体" w:cs="宋体" w:eastAsia="宋体" w:hint="default"/>
          <w:b/>
          <w:bCs/>
          <w:sz w:val="26"/>
          <w:szCs w:val="26"/>
        </w:rPr>
      </w:pPr>
    </w:p>
    <w:p>
      <w:pPr>
        <w:spacing w:line="316" w:lineRule="auto" w:before="0"/>
        <w:ind w:left="152" w:right="142" w:firstLine="0"/>
        <w:jc w:val="left"/>
        <w:rPr>
          <w:rFonts w:ascii="宋体" w:hAnsi="宋体" w:cs="宋体" w:eastAsia="宋体" w:hint="default"/>
          <w:sz w:val="18"/>
          <w:szCs w:val="18"/>
        </w:rPr>
      </w:pPr>
      <w:r>
        <w:rPr>
          <w:rFonts w:ascii="宋体" w:hAnsi="宋体" w:cs="宋体" w:eastAsia="宋体" w:hint="default"/>
          <w:spacing w:val="-2"/>
          <w:sz w:val="18"/>
          <w:szCs w:val="18"/>
        </w:rPr>
        <w:t>报告期内债券受托管理人光大证券股份有限公司。报告期内，光大证券股份有限公司严格按照《债券受托管理人协议》约定</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履行受托管理人职责。</w:t>
      </w:r>
    </w:p>
    <w:p>
      <w:pPr>
        <w:spacing w:line="240" w:lineRule="auto" w:before="11"/>
        <w:rPr>
          <w:rFonts w:ascii="宋体" w:hAnsi="宋体" w:cs="宋体" w:eastAsia="宋体" w:hint="default"/>
          <w:sz w:val="20"/>
          <w:szCs w:val="20"/>
        </w:rPr>
      </w:pPr>
    </w:p>
    <w:p>
      <w:pPr>
        <w:pStyle w:val="Heading2"/>
        <w:spacing w:line="240" w:lineRule="auto"/>
        <w:ind w:right="153"/>
        <w:jc w:val="left"/>
        <w:rPr>
          <w:b w:val="0"/>
          <w:bCs w:val="0"/>
        </w:rPr>
      </w:pPr>
      <w:r>
        <w:rPr/>
        <w:t>八、截至报告期末公司近</w:t>
      </w:r>
      <w:r>
        <w:rPr>
          <w:spacing w:val="-60"/>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年的主要会计数据和财务指标</w:t>
      </w:r>
      <w:r>
        <w:rPr>
          <w:b w:val="0"/>
          <w:bCs w:val="0"/>
        </w:rPr>
      </w:r>
    </w:p>
    <w:p>
      <w:pPr>
        <w:spacing w:line="240" w:lineRule="auto" w:before="1"/>
        <w:rPr>
          <w:rFonts w:ascii="宋体" w:hAnsi="宋体" w:cs="宋体" w:eastAsia="宋体" w:hint="default"/>
          <w:b/>
          <w:bCs/>
          <w:sz w:val="25"/>
          <w:szCs w:val="25"/>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同期变动率</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息税折旧摊销前利润</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47,023.89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41,027.55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14.62%</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流动比率</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584.86%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622.88%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-38.02%</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-1.72%</w:t>
            </w:r>
          </w:p>
        </w:tc>
      </w:tr>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速动比率</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458.30%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466.82%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-8.52%</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全部债务比</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25.90%</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利息保障倍数</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-43.98%</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现金利息保障倍数</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-88.72%</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利息保障倍数</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-37.47%</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贷款偿还率</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利息偿付率</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上述会计数据和财务指标同比变动超过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的主要原因</w:t>
      </w:r>
    </w:p>
    <w:p>
      <w:pPr>
        <w:spacing w:line="321" w:lineRule="auto" w:before="101"/>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流动比率本期较上年同期减少</w:t>
      </w:r>
      <w:r>
        <w:rPr>
          <w:rFonts w:ascii="Times New Roman" w:hAnsi="Times New Roman" w:cs="Times New Roman" w:eastAsia="Times New Roman" w:hint="default"/>
          <w:sz w:val="18"/>
          <w:szCs w:val="18"/>
        </w:rPr>
        <w:t>38.02%</w:t>
      </w:r>
      <w:r>
        <w:rPr>
          <w:rFonts w:ascii="宋体" w:hAnsi="宋体" w:cs="宋体" w:eastAsia="宋体" w:hint="default"/>
          <w:sz w:val="18"/>
          <w:szCs w:val="18"/>
        </w:rPr>
        <w:t>，主要原因公司本期原料采购增加应付票据结算相应增加及项目建设款未到付款期较 上年同期增加所致。</w:t>
      </w:r>
    </w:p>
    <w:p>
      <w:pPr>
        <w:spacing w:line="300" w:lineRule="auto" w:before="56"/>
        <w:ind w:left="152" w:right="153" w:firstLine="0"/>
        <w:jc w:val="left"/>
        <w:rPr>
          <w:rFonts w:ascii="宋体" w:hAnsi="宋体" w:cs="宋体" w:eastAsia="宋体" w:hint="default"/>
          <w:sz w:val="18"/>
          <w:szCs w:val="18"/>
        </w:rPr>
      </w:pPr>
      <w:r>
        <w:rPr>
          <w:rFonts w:ascii="宋体" w:hAnsi="宋体" w:cs="宋体" w:eastAsia="宋体" w:hint="default"/>
          <w:spacing w:val="-1"/>
          <w:sz w:val="18"/>
          <w:szCs w:val="18"/>
        </w:rPr>
        <w:t>利息保障倍数本期较上年同期减少</w:t>
      </w:r>
      <w:r>
        <w:rPr>
          <w:rFonts w:ascii="Times New Roman" w:hAnsi="Times New Roman" w:cs="Times New Roman" w:eastAsia="Times New Roman" w:hint="default"/>
          <w:spacing w:val="-1"/>
          <w:sz w:val="18"/>
          <w:szCs w:val="18"/>
        </w:rPr>
        <w:t>43.98%</w:t>
      </w:r>
      <w:r>
        <w:rPr>
          <w:rFonts w:ascii="宋体" w:hAnsi="宋体" w:cs="宋体" w:eastAsia="宋体" w:hint="default"/>
          <w:spacing w:val="-1"/>
          <w:sz w:val="18"/>
          <w:szCs w:val="18"/>
        </w:rPr>
        <w:t>，主要原因公司本期偶发计提商誉减值准备</w:t>
      </w:r>
      <w:r>
        <w:rPr>
          <w:rFonts w:ascii="Times New Roman" w:hAnsi="Times New Roman" w:cs="Times New Roman" w:eastAsia="Times New Roman" w:hint="default"/>
          <w:spacing w:val="-1"/>
          <w:sz w:val="18"/>
          <w:szCs w:val="18"/>
        </w:rPr>
        <w:t>6489.9</w:t>
      </w:r>
      <w:r>
        <w:rPr>
          <w:rFonts w:ascii="宋体" w:hAnsi="宋体" w:cs="宋体" w:eastAsia="宋体" w:hint="default"/>
          <w:spacing w:val="-1"/>
          <w:sz w:val="18"/>
          <w:szCs w:val="18"/>
        </w:rPr>
        <w:t>万元，导致净利润减少</w:t>
      </w:r>
      <w:r>
        <w:rPr>
          <w:rFonts w:ascii="Times New Roman" w:hAnsi="Times New Roman" w:cs="Times New Roman" w:eastAsia="Times New Roman" w:hint="default"/>
          <w:spacing w:val="-1"/>
          <w:sz w:val="18"/>
          <w:szCs w:val="18"/>
        </w:rPr>
        <w:t>6489.9</w:t>
      </w:r>
      <w:r>
        <w:rPr>
          <w:rFonts w:ascii="宋体" w:hAnsi="宋体" w:cs="宋体" w:eastAsia="宋体" w:hint="default"/>
          <w:spacing w:val="-1"/>
          <w:sz w:val="18"/>
          <w:szCs w:val="18"/>
        </w:rPr>
        <w:t>万</w:t>
      </w:r>
      <w:r>
        <w:rPr>
          <w:rFonts w:ascii="宋体" w:hAnsi="宋体" w:cs="宋体" w:eastAsia="宋体" w:hint="default"/>
          <w:spacing w:val="-39"/>
          <w:sz w:val="18"/>
          <w:szCs w:val="18"/>
        </w:rPr>
        <w:t> </w:t>
      </w:r>
      <w:r>
        <w:rPr>
          <w:rFonts w:ascii="宋体" w:hAnsi="宋体" w:cs="宋体" w:eastAsia="宋体" w:hint="default"/>
          <w:sz w:val="18"/>
          <w:szCs w:val="18"/>
        </w:rPr>
        <w:t>元所致。</w:t>
      </w:r>
    </w:p>
    <w:p>
      <w:pPr>
        <w:spacing w:line="319" w:lineRule="auto" w:before="70"/>
        <w:ind w:left="152" w:right="153" w:firstLine="0"/>
        <w:jc w:val="left"/>
        <w:rPr>
          <w:rFonts w:ascii="宋体" w:hAnsi="宋体" w:cs="宋体" w:eastAsia="宋体" w:hint="default"/>
          <w:sz w:val="18"/>
          <w:szCs w:val="18"/>
        </w:rPr>
      </w:pPr>
      <w:r>
        <w:rPr>
          <w:rFonts w:ascii="宋体" w:hAnsi="宋体" w:cs="宋体" w:eastAsia="宋体" w:hint="default"/>
          <w:spacing w:val="-1"/>
          <w:sz w:val="18"/>
          <w:szCs w:val="18"/>
        </w:rPr>
        <w:t>现金利息保障倍数本期较上年同期减少</w:t>
      </w:r>
      <w:r>
        <w:rPr>
          <w:rFonts w:ascii="Times New Roman" w:hAnsi="Times New Roman" w:cs="Times New Roman" w:eastAsia="Times New Roman" w:hint="default"/>
          <w:spacing w:val="-1"/>
          <w:sz w:val="18"/>
          <w:szCs w:val="18"/>
        </w:rPr>
        <w:t>88.72%</w:t>
      </w:r>
      <w:r>
        <w:rPr>
          <w:rFonts w:ascii="宋体" w:hAnsi="宋体" w:cs="宋体" w:eastAsia="宋体" w:hint="default"/>
          <w:spacing w:val="-1"/>
          <w:sz w:val="18"/>
          <w:szCs w:val="18"/>
        </w:rPr>
        <w:t>，主要原因公司本期偶发计提商誉减值准备</w:t>
      </w:r>
      <w:r>
        <w:rPr>
          <w:rFonts w:ascii="Times New Roman" w:hAnsi="Times New Roman" w:cs="Times New Roman" w:eastAsia="Times New Roman" w:hint="default"/>
          <w:spacing w:val="-1"/>
          <w:sz w:val="18"/>
          <w:szCs w:val="18"/>
        </w:rPr>
        <w:t>6489.9</w:t>
      </w:r>
      <w:r>
        <w:rPr>
          <w:rFonts w:ascii="宋体" w:hAnsi="宋体" w:cs="宋体" w:eastAsia="宋体" w:hint="default"/>
          <w:spacing w:val="-1"/>
          <w:sz w:val="18"/>
          <w:szCs w:val="18"/>
        </w:rPr>
        <w:t>万元导致净利润减少</w:t>
      </w:r>
      <w:r>
        <w:rPr>
          <w:rFonts w:ascii="Times New Roman" w:hAnsi="Times New Roman" w:cs="Times New Roman" w:eastAsia="Times New Roman" w:hint="default"/>
          <w:spacing w:val="-1"/>
          <w:sz w:val="18"/>
          <w:szCs w:val="18"/>
        </w:rPr>
        <w:t>6489.9</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pacing w:val="8"/>
          <w:sz w:val="18"/>
          <w:szCs w:val="18"/>
        </w:rPr>
      </w:r>
      <w:r>
        <w:rPr>
          <w:rFonts w:ascii="宋体" w:hAnsi="宋体" w:cs="宋体" w:eastAsia="宋体" w:hint="default"/>
          <w:sz w:val="18"/>
          <w:szCs w:val="18"/>
        </w:rPr>
        <w:t>万元及本期公司债券应付利息较上年同期增长</w:t>
      </w:r>
      <w:r>
        <w:rPr>
          <w:rFonts w:ascii="Times New Roman" w:hAnsi="Times New Roman" w:cs="Times New Roman" w:eastAsia="Times New Roman" w:hint="default"/>
          <w:sz w:val="18"/>
          <w:szCs w:val="18"/>
        </w:rPr>
        <w:t>459%</w:t>
      </w:r>
      <w:r>
        <w:rPr>
          <w:rFonts w:ascii="宋体" w:hAnsi="宋体" w:cs="宋体" w:eastAsia="宋体" w:hint="default"/>
          <w:sz w:val="18"/>
          <w:szCs w:val="18"/>
        </w:rPr>
        <w:t>共同所致。 </w:t>
      </w:r>
      <w:r>
        <w:rPr>
          <w:rFonts w:ascii="宋体" w:hAnsi="宋体" w:cs="宋体" w:eastAsia="宋体" w:hint="default"/>
          <w:spacing w:val="-1"/>
          <w:sz w:val="18"/>
          <w:szCs w:val="18"/>
        </w:rPr>
        <w:t>利息保障倍数本期较上年同期减少</w:t>
      </w:r>
      <w:r>
        <w:rPr>
          <w:rFonts w:ascii="Times New Roman" w:hAnsi="Times New Roman" w:cs="Times New Roman" w:eastAsia="Times New Roman" w:hint="default"/>
          <w:spacing w:val="-1"/>
          <w:sz w:val="18"/>
          <w:szCs w:val="18"/>
        </w:rPr>
        <w:t>37.47%</w:t>
      </w:r>
      <w:r>
        <w:rPr>
          <w:rFonts w:ascii="宋体" w:hAnsi="宋体" w:cs="宋体" w:eastAsia="宋体" w:hint="default"/>
          <w:spacing w:val="-1"/>
          <w:sz w:val="18"/>
          <w:szCs w:val="18"/>
        </w:rPr>
        <w:t>，主要原因公司本期偶发计提商誉减值准备</w:t>
      </w:r>
      <w:r>
        <w:rPr>
          <w:rFonts w:ascii="Times New Roman" w:hAnsi="Times New Roman" w:cs="Times New Roman" w:eastAsia="Times New Roman" w:hint="default"/>
          <w:spacing w:val="-1"/>
          <w:sz w:val="18"/>
          <w:szCs w:val="18"/>
        </w:rPr>
        <w:t>6489.9</w:t>
      </w:r>
      <w:r>
        <w:rPr>
          <w:rFonts w:ascii="宋体" w:hAnsi="宋体" w:cs="宋体" w:eastAsia="宋体" w:hint="default"/>
          <w:spacing w:val="-1"/>
          <w:sz w:val="18"/>
          <w:szCs w:val="18"/>
        </w:rPr>
        <w:t>万元，导致净利润减少</w:t>
      </w:r>
      <w:r>
        <w:rPr>
          <w:rFonts w:ascii="Times New Roman" w:hAnsi="Times New Roman" w:cs="Times New Roman" w:eastAsia="Times New Roman" w:hint="default"/>
          <w:spacing w:val="-1"/>
          <w:sz w:val="18"/>
          <w:szCs w:val="18"/>
        </w:rPr>
        <w:t>6489.9</w:t>
      </w:r>
      <w:r>
        <w:rPr>
          <w:rFonts w:ascii="宋体" w:hAnsi="宋体" w:cs="宋体" w:eastAsia="宋体" w:hint="default"/>
          <w:spacing w:val="-1"/>
          <w:sz w:val="18"/>
          <w:szCs w:val="18"/>
        </w:rPr>
        <w:t>万</w:t>
      </w:r>
    </w:p>
    <w:p>
      <w:pPr>
        <w:spacing w:line="233" w:lineRule="exact" w:before="0"/>
        <w:ind w:left="152" w:right="153" w:firstLine="0"/>
        <w:jc w:val="left"/>
        <w:rPr>
          <w:rFonts w:ascii="宋体" w:hAnsi="宋体" w:cs="宋体" w:eastAsia="宋体" w:hint="default"/>
          <w:sz w:val="18"/>
          <w:szCs w:val="18"/>
        </w:rPr>
      </w:pPr>
      <w:r>
        <w:rPr>
          <w:rFonts w:ascii="宋体" w:hAnsi="宋体" w:cs="宋体" w:eastAsia="宋体" w:hint="default"/>
          <w:sz w:val="18"/>
          <w:szCs w:val="18"/>
        </w:rPr>
        <w:t>元所致。</w:t>
      </w:r>
    </w:p>
    <w:p>
      <w:pPr>
        <w:spacing w:after="0" w:line="233" w:lineRule="exact"/>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153"/>
        <w:jc w:val="left"/>
        <w:rPr>
          <w:b w:val="0"/>
          <w:bCs w:val="0"/>
        </w:rPr>
      </w:pPr>
      <w:r>
        <w:rPr/>
        <w:t>九、报告期内对其他债券和债务融资工具的付息兑付情况</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left="513" w:right="153"/>
        <w:jc w:val="left"/>
      </w:pPr>
      <w:r>
        <w:rPr/>
        <w:t>报告期内，公司按时足额完成了对其他债券和债务融资工具的付息兑付工作。</w:t>
      </w:r>
    </w:p>
    <w:p>
      <w:pPr>
        <w:spacing w:line="240" w:lineRule="auto" w:before="8"/>
        <w:rPr>
          <w:rFonts w:ascii="宋体" w:hAnsi="宋体" w:cs="宋体" w:eastAsia="宋体" w:hint="default"/>
          <w:sz w:val="23"/>
          <w:szCs w:val="23"/>
        </w:rPr>
      </w:pPr>
    </w:p>
    <w:p>
      <w:pPr>
        <w:pStyle w:val="Heading2"/>
        <w:spacing w:line="240" w:lineRule="auto"/>
        <w:ind w:right="153"/>
        <w:jc w:val="left"/>
        <w:rPr>
          <w:b w:val="0"/>
          <w:bCs w:val="0"/>
        </w:rPr>
      </w:pPr>
      <w:r>
        <w:rPr/>
        <w:t>十、报告期内获得的银行授信情况、使用情况以及偿还银行贷款的情况</w:t>
      </w:r>
      <w:r>
        <w:rPr>
          <w:b w:val="0"/>
          <w:bCs w:val="0"/>
        </w:rPr>
      </w:r>
    </w:p>
    <w:p>
      <w:pPr>
        <w:spacing w:line="240" w:lineRule="auto" w:before="12"/>
        <w:rPr>
          <w:rFonts w:ascii="宋体" w:hAnsi="宋体" w:cs="宋体" w:eastAsia="宋体" w:hint="default"/>
          <w:b/>
          <w:bCs/>
          <w:sz w:val="24"/>
          <w:szCs w:val="24"/>
        </w:rPr>
      </w:pPr>
    </w:p>
    <w:p>
      <w:pPr>
        <w:pStyle w:val="BodyText"/>
        <w:spacing w:line="264" w:lineRule="auto"/>
        <w:ind w:right="147" w:firstLine="360"/>
        <w:jc w:val="both"/>
      </w:pPr>
      <w:r>
        <w:rPr>
          <w:spacing w:val="-1"/>
        </w:rPr>
        <w:t>公司在各大银行等金融机构的资信状况很好，与国内主要商业银行一直保持长期合作伙伴关系并获得</w:t>
      </w:r>
      <w:r>
        <w:rPr>
          <w:w w:val="100"/>
        </w:rPr>
        <w:t> </w:t>
      </w:r>
      <w:r>
        <w:rPr>
          <w:spacing w:val="-2"/>
        </w:rPr>
        <w:t>了较高的授信额度，截至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日，公司已获得银行授信额度为</w:t>
      </w:r>
      <w:r>
        <w:rPr>
          <w:rFonts w:ascii="Times New Roman" w:hAnsi="Times New Roman" w:cs="Times New Roman" w:eastAsia="Times New Roman" w:hint="default"/>
          <w:spacing w:val="-2"/>
        </w:rPr>
        <w:t>260000</w:t>
      </w:r>
      <w:r>
        <w:rPr>
          <w:spacing w:val="-2"/>
        </w:rPr>
        <w:t>万元，其中，公司已使用授</w:t>
      </w:r>
      <w:r>
        <w:rPr>
          <w:spacing w:val="-34"/>
        </w:rPr>
        <w:t> </w:t>
      </w:r>
      <w:r>
        <w:rPr>
          <w:spacing w:val="-34"/>
        </w:rPr>
      </w:r>
      <w:r>
        <w:rPr/>
        <w:t>信额度</w:t>
      </w:r>
      <w:r>
        <w:rPr>
          <w:rFonts w:ascii="Times New Roman" w:hAnsi="Times New Roman" w:cs="Times New Roman" w:eastAsia="Times New Roman" w:hint="default"/>
        </w:rPr>
        <w:t>86000</w:t>
      </w:r>
      <w:r>
        <w:rPr/>
        <w:t>万元，公司可以在授信总额度内开展融资，以支持企业经营的发展。</w:t>
      </w:r>
    </w:p>
    <w:p>
      <w:pPr>
        <w:spacing w:line="240" w:lineRule="auto" w:before="11"/>
        <w:rPr>
          <w:rFonts w:ascii="宋体" w:hAnsi="宋体" w:cs="宋体" w:eastAsia="宋体" w:hint="default"/>
          <w:sz w:val="20"/>
          <w:szCs w:val="20"/>
        </w:rPr>
      </w:pPr>
    </w:p>
    <w:p>
      <w:pPr>
        <w:pStyle w:val="Heading2"/>
        <w:spacing w:line="240" w:lineRule="auto"/>
        <w:ind w:right="153"/>
        <w:jc w:val="left"/>
        <w:rPr>
          <w:b w:val="0"/>
          <w:bCs w:val="0"/>
        </w:rPr>
      </w:pPr>
      <w:r>
        <w:rPr/>
        <w:t>十一、报告期内执行公司债券募集说明书相关约定或承诺的情况</w:t>
      </w:r>
      <w:r>
        <w:rPr>
          <w:b w:val="0"/>
          <w:bCs w:val="0"/>
        </w:rPr>
      </w:r>
    </w:p>
    <w:p>
      <w:pPr>
        <w:spacing w:line="240" w:lineRule="auto" w:before="12"/>
        <w:rPr>
          <w:rFonts w:ascii="宋体" w:hAnsi="宋体" w:cs="宋体" w:eastAsia="宋体" w:hint="default"/>
          <w:b/>
          <w:bCs/>
          <w:sz w:val="24"/>
          <w:szCs w:val="24"/>
        </w:rPr>
      </w:pPr>
    </w:p>
    <w:p>
      <w:pPr>
        <w:pStyle w:val="BodyText"/>
        <w:spacing w:line="273" w:lineRule="auto"/>
        <w:ind w:right="125" w:firstLine="420"/>
        <w:jc w:val="both"/>
      </w:pPr>
      <w:r>
        <w:rPr>
          <w:spacing w:val="-2"/>
        </w:rPr>
        <w:t>报告期内，公司均严格履行公司债券募集说明书相关内容，合理使有用募集资金补充公司流动资金，</w:t>
      </w:r>
      <w:r>
        <w:rPr>
          <w:w w:val="100"/>
        </w:rPr>
        <w:t> </w:t>
      </w:r>
      <w:r>
        <w:rPr/>
        <w:t>按时兑付债券利息。</w:t>
      </w:r>
    </w:p>
    <w:p>
      <w:pPr>
        <w:spacing w:line="240" w:lineRule="auto" w:before="5"/>
        <w:rPr>
          <w:rFonts w:ascii="宋体" w:hAnsi="宋体" w:cs="宋体" w:eastAsia="宋体" w:hint="default"/>
          <w:sz w:val="21"/>
          <w:szCs w:val="21"/>
        </w:rPr>
      </w:pPr>
    </w:p>
    <w:p>
      <w:pPr>
        <w:pStyle w:val="Heading2"/>
        <w:spacing w:line="240" w:lineRule="auto"/>
        <w:ind w:right="153"/>
        <w:jc w:val="left"/>
        <w:rPr>
          <w:b w:val="0"/>
          <w:bCs w:val="0"/>
        </w:rPr>
      </w:pPr>
      <w:r>
        <w:rPr/>
        <w:t>十二、报告期内发生的重大事项</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left="573" w:right="153"/>
        <w:jc w:val="left"/>
      </w:pPr>
      <w:r>
        <w:rPr/>
        <w:t>报告期，公司未发生《公司债券发行与交易管理办法》第四十五条列示的重大事项。</w:t>
      </w:r>
    </w:p>
    <w:p>
      <w:pPr>
        <w:spacing w:line="240" w:lineRule="auto" w:before="11"/>
        <w:rPr>
          <w:rFonts w:ascii="宋体" w:hAnsi="宋体" w:cs="宋体" w:eastAsia="宋体" w:hint="default"/>
          <w:sz w:val="23"/>
          <w:szCs w:val="23"/>
        </w:rPr>
      </w:pPr>
    </w:p>
    <w:p>
      <w:pPr>
        <w:pStyle w:val="Heading2"/>
        <w:spacing w:line="240" w:lineRule="auto"/>
        <w:ind w:right="153"/>
        <w:jc w:val="left"/>
        <w:rPr>
          <w:b w:val="0"/>
          <w:bCs w:val="0"/>
        </w:rPr>
      </w:pPr>
      <w:r>
        <w:rPr/>
        <w:t>十三、公司债券是否存在保证人</w:t>
      </w:r>
      <w:r>
        <w:rPr>
          <w:b w:val="0"/>
          <w:bCs w:val="0"/>
        </w:rPr>
      </w:r>
    </w:p>
    <w:p>
      <w:pPr>
        <w:spacing w:line="240" w:lineRule="auto" w:before="6"/>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2242"/>
        <w:jc w:val="center"/>
        <w:rPr>
          <w:b w:val="0"/>
          <w:bCs w:val="0"/>
        </w:rPr>
      </w:pPr>
      <w:bookmarkStart w:name="_bookmark9" w:id="10"/>
      <w:bookmarkEnd w:id="10"/>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53"/>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众华会计师事务所（特殊普通合伙）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众会字</w:t>
            </w:r>
            <w:r>
              <w:rPr>
                <w:rFonts w:ascii="Times New Roman" w:hAnsi="Times New Roman" w:cs="Times New Roman" w:eastAsia="Times New Roman" w:hint="default"/>
                <w:sz w:val="18"/>
                <w:szCs w:val="18"/>
              </w:rPr>
              <w:t>(2018)</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3551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莫旭巍、李明</w:t>
            </w:r>
          </w:p>
        </w:tc>
      </w:tr>
    </w:tbl>
    <w:p>
      <w:pPr>
        <w:spacing w:before="49"/>
        <w:ind w:left="2241" w:right="2241"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before="28"/>
        <w:ind w:left="2241" w:right="2243" w:firstLine="0"/>
        <w:jc w:val="center"/>
        <w:rPr>
          <w:rFonts w:ascii="宋体" w:hAnsi="宋体" w:cs="宋体" w:eastAsia="宋体" w:hint="default"/>
          <w:sz w:val="48"/>
          <w:szCs w:val="48"/>
        </w:rPr>
      </w:pPr>
      <w:r>
        <w:rPr>
          <w:rFonts w:ascii="宋体" w:hAnsi="宋体" w:cs="宋体" w:eastAsia="宋体" w:hint="default"/>
          <w:b/>
          <w:bCs/>
          <w:sz w:val="48"/>
          <w:szCs w:val="48"/>
        </w:rPr>
        <w:t>审 计 报</w:t>
      </w:r>
      <w:r>
        <w:rPr>
          <w:rFonts w:ascii="宋体" w:hAnsi="宋体" w:cs="宋体" w:eastAsia="宋体" w:hint="default"/>
          <w:b/>
          <w:bCs/>
          <w:spacing w:val="-116"/>
          <w:sz w:val="48"/>
          <w:szCs w:val="48"/>
        </w:rPr>
        <w:t> </w:t>
      </w:r>
      <w:r>
        <w:rPr>
          <w:rFonts w:ascii="宋体" w:hAnsi="宋体" w:cs="宋体" w:eastAsia="宋体" w:hint="default"/>
          <w:b/>
          <w:bCs/>
          <w:sz w:val="48"/>
          <w:szCs w:val="48"/>
        </w:rPr>
        <w:t>告</w:t>
      </w:r>
      <w:r>
        <w:rPr>
          <w:rFonts w:ascii="宋体" w:hAnsi="宋体" w:cs="宋体" w:eastAsia="宋体" w:hint="default"/>
          <w:sz w:val="48"/>
          <w:szCs w:val="48"/>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9"/>
          <w:szCs w:val="29"/>
        </w:rPr>
      </w:pPr>
    </w:p>
    <w:p>
      <w:pPr>
        <w:pStyle w:val="BodyText"/>
        <w:spacing w:line="240" w:lineRule="auto" w:before="36"/>
        <w:ind w:left="0" w:right="148"/>
        <w:jc w:val="right"/>
      </w:pPr>
      <w:r>
        <w:rPr>
          <w:spacing w:val="-1"/>
        </w:rPr>
        <w:t>众会字</w:t>
      </w:r>
      <w:r>
        <w:rPr>
          <w:rFonts w:ascii="Times New Roman" w:hAnsi="Times New Roman" w:cs="Times New Roman" w:eastAsia="Times New Roman" w:hint="default"/>
          <w:spacing w:val="-1"/>
        </w:rPr>
        <w:t>(2018)</w:t>
      </w:r>
      <w:r>
        <w:rPr>
          <w:spacing w:val="-1"/>
        </w:rPr>
        <w:t>第</w:t>
      </w:r>
      <w:r>
        <w:rPr>
          <w:rFonts w:ascii="Times New Roman" w:hAnsi="Times New Roman" w:cs="Times New Roman" w:eastAsia="Times New Roman" w:hint="default"/>
          <w:spacing w:val="-1"/>
        </w:rPr>
        <w:t>3551</w:t>
      </w:r>
      <w:r>
        <w:rPr>
          <w:spacing w:val="-1"/>
        </w:rPr>
        <w:t>号</w:t>
      </w:r>
    </w:p>
    <w:p>
      <w:pPr>
        <w:spacing w:line="240" w:lineRule="auto" w:before="9"/>
        <w:rPr>
          <w:rFonts w:ascii="宋体" w:hAnsi="宋体" w:cs="宋体" w:eastAsia="宋体" w:hint="default"/>
          <w:sz w:val="22"/>
          <w:szCs w:val="22"/>
        </w:rPr>
      </w:pPr>
    </w:p>
    <w:p>
      <w:pPr>
        <w:pStyle w:val="Heading4"/>
        <w:spacing w:line="240" w:lineRule="auto" w:before="36"/>
        <w:ind w:right="153"/>
        <w:jc w:val="left"/>
        <w:rPr>
          <w:b w:val="0"/>
          <w:bCs w:val="0"/>
        </w:rPr>
      </w:pPr>
      <w:r>
        <w:rPr/>
        <w:t>江苏双星彩塑新材料股份有限公司全体股东：</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4"/>
        <w:spacing w:line="240" w:lineRule="auto" w:before="137"/>
        <w:ind w:left="573" w:right="153"/>
        <w:jc w:val="left"/>
        <w:rPr>
          <w:b w:val="0"/>
          <w:bCs w:val="0"/>
        </w:rPr>
      </w:pPr>
      <w:r>
        <w:rPr/>
        <w:t>一、对财务报表出具的审计报告</w:t>
      </w:r>
      <w:r>
        <w:rPr>
          <w:b w:val="0"/>
          <w:bCs w:val="0"/>
        </w:rPr>
      </w:r>
    </w:p>
    <w:p>
      <w:pPr>
        <w:pStyle w:val="BodyText"/>
        <w:spacing w:line="624" w:lineRule="exact" w:before="95"/>
        <w:ind w:left="573" w:right="153"/>
        <w:jc w:val="left"/>
        <w:rPr>
          <w:rFonts w:ascii="Times New Roman" w:hAnsi="Times New Roman" w:cs="Times New Roman" w:eastAsia="Times New Roman" w:hint="default"/>
        </w:rPr>
      </w:pPr>
      <w:r>
        <w:rPr>
          <w:rFonts w:ascii="宋体" w:hAnsi="宋体" w:cs="宋体" w:eastAsia="宋体" w:hint="default"/>
          <w:b/>
          <w:bCs/>
        </w:rPr>
        <w:t>（一）审计意见</w:t>
      </w:r>
      <w:r>
        <w:rPr>
          <w:rFonts w:ascii="宋体" w:hAnsi="宋体" w:cs="宋体" w:eastAsia="宋体" w:hint="default"/>
          <w:b/>
          <w:bCs/>
          <w:spacing w:val="-104"/>
        </w:rPr>
        <w:t> </w:t>
      </w:r>
      <w:r>
        <w:rPr/>
        <w:t>我们审计了后附的江苏双星彩塑新材料股份有限公司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双星新材</w:t>
      </w:r>
      <w:r>
        <w:rPr>
          <w:rFonts w:ascii="Times New Roman" w:hAnsi="Times New Roman" w:cs="Times New Roman" w:eastAsia="Times New Roman" w:hint="default"/>
        </w:rPr>
        <w:t>”)</w:t>
      </w:r>
      <w:r>
        <w:rPr/>
        <w:t>财务报表，包括</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p>
    <w:p>
      <w:pPr>
        <w:pStyle w:val="BodyText"/>
        <w:spacing w:line="233" w:lineRule="exact"/>
        <w:ind w:right="0"/>
        <w:jc w:val="left"/>
      </w:pPr>
      <w:r>
        <w:rPr/>
        <w:t>月</w:t>
      </w:r>
      <w:r>
        <w:rPr>
          <w:rFonts w:ascii="Times New Roman" w:hAnsi="Times New Roman" w:cs="Times New Roman" w:eastAsia="Times New Roman" w:hint="default"/>
        </w:rPr>
        <w:t>31</w:t>
      </w:r>
      <w:r>
        <w:rPr/>
        <w:t>日的合并及公司资产负债表，</w:t>
      </w:r>
      <w:r>
        <w:rPr>
          <w:rFonts w:ascii="Times New Roman" w:hAnsi="Times New Roman" w:cs="Times New Roman" w:eastAsia="Times New Roman" w:hint="default"/>
        </w:rPr>
        <w:t>2017</w:t>
      </w:r>
      <w:r>
        <w:rPr/>
        <w:t>年度的合并及公司利润表、合并及公司现金流量表、合并所有者权</w:t>
      </w:r>
    </w:p>
    <w:p>
      <w:pPr>
        <w:pStyle w:val="BodyText"/>
        <w:spacing w:line="273" w:lineRule="auto" w:before="21"/>
        <w:ind w:left="573" w:right="153" w:hanging="421"/>
        <w:jc w:val="left"/>
      </w:pPr>
      <w:r>
        <w:rPr/>
        <w:t>益变动表及公司所有者权益变动表以及财务报表附注。</w:t>
      </w:r>
      <w:r>
        <w:rPr>
          <w:w w:val="100"/>
        </w:rPr>
        <w:t> </w:t>
      </w:r>
      <w:r>
        <w:rPr>
          <w:spacing w:val="2"/>
        </w:rPr>
        <w:t>我们认为，双星新材财务报表在所有重大方面按照企业会计准则的规定编制，公允反映了双星新材</w:t>
      </w:r>
    </w:p>
    <w:p>
      <w:pPr>
        <w:pStyle w:val="BodyText"/>
        <w:spacing w:line="240" w:lineRule="auto" w:before="7"/>
        <w:ind w:right="153"/>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日的合并及公司财务状况以及</w:t>
      </w:r>
      <w:r>
        <w:rPr>
          <w:rFonts w:ascii="Times New Roman" w:hAnsi="Times New Roman" w:cs="Times New Roman" w:eastAsia="Times New Roman" w:hint="default"/>
        </w:rPr>
        <w:t>2017</w:t>
      </w:r>
      <w:r>
        <w:rPr/>
        <w:t>年度的合并及公司经营成果和现金流量。</w:t>
      </w:r>
    </w:p>
    <w:p>
      <w:pPr>
        <w:spacing w:line="624" w:lineRule="exact" w:before="79"/>
        <w:ind w:left="573" w:right="153" w:firstLine="0"/>
        <w:jc w:val="left"/>
        <w:rPr>
          <w:rFonts w:ascii="宋体" w:hAnsi="宋体" w:cs="宋体" w:eastAsia="宋体" w:hint="default"/>
          <w:sz w:val="21"/>
          <w:szCs w:val="21"/>
        </w:rPr>
      </w:pPr>
      <w:r>
        <w:rPr>
          <w:rFonts w:ascii="宋体" w:hAnsi="宋体" w:cs="宋体" w:eastAsia="宋体" w:hint="default"/>
          <w:b/>
          <w:bCs/>
          <w:sz w:val="21"/>
          <w:szCs w:val="21"/>
        </w:rPr>
        <w:t>（二）形成审计意见的基础</w:t>
      </w:r>
      <w:r>
        <w:rPr>
          <w:rFonts w:ascii="宋体" w:hAnsi="宋体" w:cs="宋体" w:eastAsia="宋体" w:hint="default"/>
          <w:b/>
          <w:bCs/>
          <w:w w:val="100"/>
          <w:sz w:val="21"/>
          <w:szCs w:val="21"/>
        </w:rPr>
        <w:t> </w:t>
      </w:r>
      <w:r>
        <w:rPr>
          <w:rFonts w:ascii="宋体" w:hAnsi="宋体" w:cs="宋体" w:eastAsia="宋体" w:hint="default"/>
          <w:sz w:val="21"/>
          <w:szCs w:val="21"/>
        </w:rPr>
        <w:t>我们按照中国注册会计师审计准则的规定执行了审计工作。审计报告的</w:t>
      </w:r>
      <w:r>
        <w:rPr>
          <w:rFonts w:ascii="Times New Roman" w:hAnsi="Times New Roman" w:cs="Times New Roman" w:eastAsia="Times New Roman" w:hint="default"/>
          <w:sz w:val="21"/>
          <w:szCs w:val="21"/>
        </w:rPr>
        <w:t>“</w:t>
      </w:r>
      <w:r>
        <w:rPr>
          <w:rFonts w:ascii="宋体" w:hAnsi="宋体" w:cs="宋体" w:eastAsia="宋体" w:hint="default"/>
          <w:sz w:val="21"/>
          <w:szCs w:val="21"/>
        </w:rPr>
        <w:t>注册会计师对财务报表审计</w:t>
      </w:r>
    </w:p>
    <w:p>
      <w:pPr>
        <w:pStyle w:val="BodyText"/>
        <w:spacing w:line="233" w:lineRule="exact"/>
        <w:ind w:right="153"/>
        <w:jc w:val="left"/>
      </w:pPr>
      <w:r>
        <w:rPr/>
        <w:t>的责任</w:t>
      </w:r>
      <w:r>
        <w:rPr>
          <w:rFonts w:ascii="Times New Roman" w:hAnsi="Times New Roman" w:cs="Times New Roman" w:eastAsia="Times New Roman" w:hint="default"/>
        </w:rPr>
        <w:t>”</w:t>
      </w:r>
      <w:r>
        <w:rPr/>
        <w:t>部分进一步阐述了我们在这些准则下的责任。按照中国注册会计师职业道德守则，我们独立于双</w:t>
      </w:r>
    </w:p>
    <w:p>
      <w:pPr>
        <w:pStyle w:val="BodyText"/>
        <w:spacing w:line="273" w:lineRule="auto" w:before="22"/>
        <w:ind w:right="153"/>
        <w:jc w:val="left"/>
      </w:pPr>
      <w:r>
        <w:rPr>
          <w:spacing w:val="-2"/>
        </w:rPr>
        <w:t>星新材，并履行了职业道德方面的其他责任。我们相信，我们获取的审计证据是充分、适当的，为发表审</w:t>
      </w:r>
      <w:r>
        <w:rPr>
          <w:spacing w:val="-43"/>
        </w:rPr>
        <w:t> </w:t>
      </w:r>
      <w:r>
        <w:rPr>
          <w:spacing w:val="-43"/>
        </w:rPr>
      </w:r>
      <w:r>
        <w:rPr/>
        <w:t>计意见提供了基础。</w:t>
      </w:r>
    </w:p>
    <w:p>
      <w:pPr>
        <w:spacing w:line="240" w:lineRule="auto" w:before="6"/>
        <w:rPr>
          <w:rFonts w:ascii="宋体" w:hAnsi="宋体" w:cs="宋体" w:eastAsia="宋体" w:hint="default"/>
          <w:sz w:val="24"/>
          <w:szCs w:val="24"/>
        </w:rPr>
      </w:pPr>
    </w:p>
    <w:p>
      <w:pPr>
        <w:pStyle w:val="BodyText"/>
        <w:spacing w:line="273" w:lineRule="auto"/>
        <w:ind w:left="573" w:right="153"/>
        <w:jc w:val="left"/>
      </w:pPr>
      <w:r>
        <w:rPr>
          <w:rFonts w:ascii="宋体" w:hAnsi="宋体" w:cs="宋体" w:eastAsia="宋体" w:hint="default"/>
          <w:b/>
          <w:bCs/>
        </w:rPr>
        <w:t>（三）关键审计事项</w:t>
      </w:r>
      <w:r>
        <w:rPr>
          <w:rFonts w:ascii="宋体" w:hAnsi="宋体" w:cs="宋体" w:eastAsia="宋体" w:hint="default"/>
          <w:b/>
          <w:bCs/>
          <w:spacing w:val="-103"/>
        </w:rPr>
        <w:t> </w:t>
      </w:r>
      <w:r>
        <w:rPr>
          <w:spacing w:val="-2"/>
        </w:rPr>
        <w:t>关键审计事项是我们根据职业判断，认为对本期财务报表审计最为重要的事项。这些事项的应对以对</w:t>
      </w:r>
    </w:p>
    <w:p>
      <w:pPr>
        <w:pStyle w:val="BodyText"/>
        <w:spacing w:line="240" w:lineRule="auto" w:before="7"/>
        <w:ind w:right="153"/>
        <w:jc w:val="left"/>
      </w:pPr>
      <w:r>
        <w:rPr/>
        <w:t>财务报表整体进行审计并形成审计意见为背景，我们不对这些事项单独发表意见。</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BodyText"/>
        <w:spacing w:line="273" w:lineRule="auto" w:before="36"/>
        <w:ind w:left="573" w:right="153"/>
        <w:jc w:val="left"/>
      </w:pPr>
      <w:r>
        <w:rPr/>
        <w:t>关键审计事项（一）：</w:t>
      </w:r>
      <w:r>
        <w:rPr>
          <w:w w:val="100"/>
        </w:rPr>
        <w:t> </w:t>
      </w:r>
      <w:r>
        <w:rPr/>
        <w:t>于二零一七年十二月三十一日，双星新材合并财务报表中商誉的账面价值为</w:t>
      </w:r>
      <w:r>
        <w:rPr>
          <w:rFonts w:ascii="Times New Roman" w:hAnsi="Times New Roman" w:cs="Times New Roman" w:eastAsia="Times New Roman" w:hint="default"/>
        </w:rPr>
        <w:t>8,489.90</w:t>
      </w:r>
      <w:r>
        <w:rPr/>
        <w:t>万元，商誉减值</w:t>
      </w:r>
    </w:p>
    <w:p>
      <w:pPr>
        <w:pStyle w:val="BodyText"/>
        <w:spacing w:line="271" w:lineRule="auto"/>
        <w:ind w:right="146"/>
        <w:jc w:val="both"/>
      </w:pPr>
      <w:r>
        <w:rPr/>
        <w:t>准备为</w:t>
      </w:r>
      <w:r>
        <w:rPr>
          <w:rFonts w:ascii="Times New Roman" w:hAnsi="Times New Roman" w:cs="Times New Roman" w:eastAsia="Times New Roman" w:hint="default"/>
        </w:rPr>
        <w:t>6,489.90</w:t>
      </w:r>
      <w:r>
        <w:rPr/>
        <w:t>万元。管理层对商誉至少每年进行减值测试。当出现事项或者情况发生变化导致出现潜在</w:t>
      </w:r>
      <w:r>
        <w:rPr>
          <w:spacing w:val="-27"/>
        </w:rPr>
        <w:t> </w:t>
      </w:r>
      <w:r>
        <w:rPr>
          <w:spacing w:val="-27"/>
        </w:rPr>
      </w:r>
      <w:r>
        <w:rPr>
          <w:spacing w:val="-2"/>
        </w:rPr>
        <w:t>减值迹象时，需要对商誉进行更加频繁的减值测试。减值测试要求估计包含商誉的相关资产组的可收回金</w:t>
      </w:r>
      <w:r>
        <w:rPr>
          <w:spacing w:val="-44"/>
        </w:rPr>
        <w:t> </w:t>
      </w:r>
      <w:r>
        <w:rPr>
          <w:spacing w:val="-44"/>
        </w:rPr>
      </w:r>
      <w:r>
        <w:rPr>
          <w:spacing w:val="-2"/>
        </w:rPr>
        <w:t>额，即相关资产组的公允价值减去处置费用后的净额与相关资产组预计未来现金流量的现值两者之中的较</w:t>
      </w:r>
      <w:r>
        <w:rPr>
          <w:spacing w:val="-43"/>
        </w:rPr>
        <w:t> </w:t>
      </w:r>
      <w:r>
        <w:rPr>
          <w:spacing w:val="-43"/>
        </w:rPr>
      </w:r>
      <w:r>
        <w:rPr>
          <w:spacing w:val="-2"/>
        </w:rPr>
        <w:t>高者。在确定相关资产组预计未来现金流量的现值时，管理层需要恰当的预测相关资产组未来现金流的长</w:t>
      </w:r>
      <w:r>
        <w:rPr>
          <w:spacing w:val="-43"/>
        </w:rPr>
        <w:t> </w:t>
      </w:r>
      <w:r>
        <w:rPr>
          <w:spacing w:val="-43"/>
        </w:rPr>
      </w:r>
      <w:r>
        <w:rPr>
          <w:spacing w:val="-2"/>
        </w:rPr>
        <w:t>期平均增长率和合理的确定计算相关资产组预计未来现金流量现值所采用的折现率，这涉及管理层运用重</w:t>
      </w:r>
      <w:r>
        <w:rPr>
          <w:spacing w:val="-43"/>
        </w:rPr>
        <w:t> </w:t>
      </w:r>
      <w:r>
        <w:rPr>
          <w:spacing w:val="-43"/>
        </w:rPr>
      </w:r>
      <w:r>
        <w:rPr>
          <w:spacing w:val="-2"/>
        </w:rPr>
        <w:t>大会计估计、判断和假设，特别是对于未来售价、生产成本、经营费用、折现率以及增长率等。由于减值</w:t>
      </w:r>
      <w:r>
        <w:rPr>
          <w:spacing w:val="-42"/>
        </w:rPr>
        <w:t> </w:t>
      </w:r>
      <w:r>
        <w:rPr>
          <w:spacing w:val="-42"/>
        </w:rPr>
      </w:r>
      <w:r>
        <w:rPr/>
        <w:t>测试过程较为复杂，同时涉及重大判断，年度商誉减值是我们审计中重要关注的事项。</w:t>
      </w:r>
    </w:p>
    <w:p>
      <w:pPr>
        <w:pStyle w:val="BodyText"/>
        <w:spacing w:line="240" w:lineRule="auto" w:before="10"/>
        <w:ind w:left="573" w:right="153"/>
        <w:jc w:val="left"/>
      </w:pPr>
      <w:r>
        <w:rPr/>
        <w:t>公司与商誉减值相关的信息披露在财务报告的</w:t>
      </w:r>
      <w:r>
        <w:rPr>
          <w:rFonts w:ascii="Times New Roman" w:hAnsi="Times New Roman" w:cs="Times New Roman" w:eastAsia="Times New Roman" w:hint="default"/>
        </w:rPr>
        <w:t>“</w:t>
      </w:r>
      <w:r>
        <w:rPr/>
        <w:t>合并财务报表附注</w:t>
      </w:r>
      <w:r>
        <w:rPr>
          <w:rFonts w:ascii="Times New Roman" w:hAnsi="Times New Roman" w:cs="Times New Roman" w:eastAsia="Times New Roman" w:hint="default"/>
        </w:rPr>
        <w:t>6.13”</w:t>
      </w:r>
      <w:r>
        <w:rPr/>
        <w:t>。</w:t>
      </w:r>
    </w:p>
    <w:p>
      <w:pPr>
        <w:spacing w:line="240" w:lineRule="auto" w:before="6"/>
        <w:rPr>
          <w:rFonts w:ascii="宋体" w:hAnsi="宋体" w:cs="宋体" w:eastAsia="宋体" w:hint="default"/>
          <w:sz w:val="25"/>
          <w:szCs w:val="25"/>
        </w:rPr>
      </w:pPr>
    </w:p>
    <w:p>
      <w:pPr>
        <w:pStyle w:val="BodyText"/>
        <w:spacing w:line="273" w:lineRule="auto"/>
        <w:ind w:left="525" w:right="153" w:firstLine="48"/>
        <w:jc w:val="left"/>
      </w:pPr>
      <w:r>
        <w:rPr/>
        <w:t>该事项在审计中如何应对：</w:t>
      </w:r>
      <w:r>
        <w:rPr>
          <w:w w:val="100"/>
        </w:rPr>
        <w:t> </w:t>
      </w:r>
      <w:r>
        <w:rPr>
          <w:spacing w:val="-1"/>
        </w:rPr>
        <w:t>我们评估了管理层计算被分配商誉后资产组的可收回金额的重要参数，包括考虑使用外部行业研究提</w:t>
      </w:r>
    </w:p>
    <w:p>
      <w:pPr>
        <w:pStyle w:val="BodyText"/>
        <w:spacing w:line="273" w:lineRule="auto" w:before="8"/>
        <w:ind w:right="146"/>
        <w:jc w:val="both"/>
      </w:pPr>
      <w:r>
        <w:rPr>
          <w:spacing w:val="-2"/>
        </w:rPr>
        <w:t>供的薄膜预测和市场趋势来评估未来预测的薄膜价格和增长率。我们也对其他重要参数进行了评估，包括</w:t>
      </w:r>
      <w:r>
        <w:rPr>
          <w:spacing w:val="-43"/>
        </w:rPr>
        <w:t> </w:t>
      </w:r>
      <w:r>
        <w:rPr>
          <w:spacing w:val="-43"/>
        </w:rPr>
      </w:r>
      <w:r>
        <w:rPr>
          <w:spacing w:val="-2"/>
        </w:rPr>
        <w:t>产量、生产成本、营业费用和折现率等。我们也利用了外部估值专家的工作，评估管理层的减值测试方法</w:t>
      </w:r>
      <w:r>
        <w:rPr>
          <w:spacing w:val="-47"/>
        </w:rPr>
        <w:t> </w:t>
      </w:r>
      <w:r>
        <w:rPr>
          <w:spacing w:val="-47"/>
        </w:rPr>
      </w:r>
      <w:r>
        <w:rPr>
          <w:spacing w:val="-2"/>
        </w:rPr>
        <w:t>和使用的折现率的合理性。此外，我们测试了商誉减值测试相关内部控制的设计和执行。我们也关注了财</w:t>
      </w:r>
      <w:r>
        <w:rPr>
          <w:spacing w:val="-43"/>
        </w:rPr>
        <w:t> </w:t>
      </w:r>
      <w:r>
        <w:rPr>
          <w:spacing w:val="-43"/>
        </w:rPr>
      </w:r>
      <w:r>
        <w:rPr/>
        <w:t>务报告中</w:t>
      </w:r>
      <w:r>
        <w:rPr>
          <w:rFonts w:ascii="Times New Roman" w:hAnsi="Times New Roman" w:cs="Times New Roman" w:eastAsia="Times New Roman" w:hint="default"/>
        </w:rPr>
        <w:t>“</w:t>
      </w:r>
      <w:r>
        <w:rPr/>
        <w:t>合并财务报表附注</w:t>
      </w:r>
      <w:r>
        <w:rPr>
          <w:rFonts w:ascii="Times New Roman" w:hAnsi="Times New Roman" w:cs="Times New Roman" w:eastAsia="Times New Roman" w:hint="default"/>
        </w:rPr>
        <w:t>6.13”</w:t>
      </w:r>
      <w:r>
        <w:rPr/>
        <w:t>中对商誉减值相关信息披露的充分性。</w:t>
      </w:r>
    </w:p>
    <w:p>
      <w:pPr>
        <w:spacing w:line="240" w:lineRule="auto" w:before="13"/>
        <w:rPr>
          <w:rFonts w:ascii="宋体" w:hAnsi="宋体" w:cs="宋体" w:eastAsia="宋体" w:hint="default"/>
          <w:sz w:val="22"/>
          <w:szCs w:val="22"/>
        </w:rPr>
      </w:pPr>
    </w:p>
    <w:p>
      <w:pPr>
        <w:pStyle w:val="BodyText"/>
        <w:spacing w:line="273" w:lineRule="auto"/>
        <w:ind w:left="518" w:right="153" w:firstLine="55"/>
        <w:jc w:val="left"/>
      </w:pPr>
      <w:r>
        <w:rPr/>
        <w:t>关键审计事项（二）：</w:t>
      </w:r>
      <w:r>
        <w:rPr>
          <w:w w:val="100"/>
        </w:rPr>
        <w:t> </w:t>
      </w:r>
      <w:r>
        <w:rPr>
          <w:spacing w:val="-3"/>
        </w:rPr>
        <w:t>双星新材与宿迁市彩缘置业有限公司（以下简称</w:t>
      </w:r>
      <w:r>
        <w:rPr>
          <w:rFonts w:ascii="Times New Roman" w:hAnsi="Times New Roman" w:cs="Times New Roman" w:eastAsia="Times New Roman" w:hint="default"/>
          <w:spacing w:val="-3"/>
        </w:rPr>
        <w:t>“</w:t>
      </w:r>
      <w:r>
        <w:rPr>
          <w:spacing w:val="-3"/>
        </w:rPr>
        <w:t>彩缘置业</w:t>
      </w:r>
      <w:r>
        <w:rPr>
          <w:rFonts w:ascii="Times New Roman" w:hAnsi="Times New Roman" w:cs="Times New Roman" w:eastAsia="Times New Roman" w:hint="default"/>
          <w:spacing w:val="-3"/>
        </w:rPr>
        <w:t>”</w:t>
      </w:r>
      <w:r>
        <w:rPr>
          <w:spacing w:val="-3"/>
        </w:rPr>
        <w:t>）于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8</w:t>
      </w:r>
      <w:r>
        <w:rPr>
          <w:spacing w:val="-3"/>
        </w:rPr>
        <w:t>日签署《关于购买宿迁市</w:t>
      </w:r>
    </w:p>
    <w:p>
      <w:pPr>
        <w:pStyle w:val="BodyText"/>
        <w:spacing w:line="266" w:lineRule="auto"/>
        <w:ind w:right="146"/>
        <w:jc w:val="both"/>
      </w:pPr>
      <w:r>
        <w:rPr>
          <w:spacing w:val="-2"/>
        </w:rPr>
        <w:t>彩缘置业有限公司办公楼及酒店式公寓楼协议》。根据该协议，彩缘置业将其持有的双星大厦办公楼及公</w:t>
      </w:r>
      <w:r>
        <w:rPr>
          <w:spacing w:val="-42"/>
        </w:rPr>
        <w:t> </w:t>
      </w:r>
      <w:r>
        <w:rPr>
          <w:spacing w:val="-42"/>
        </w:rPr>
      </w:r>
      <w:r>
        <w:rPr>
          <w:spacing w:val="-1"/>
        </w:rPr>
        <w:t>寓楼整体出售给双星新材，交易价格为</w:t>
      </w:r>
      <w:r>
        <w:rPr>
          <w:rFonts w:ascii="Times New Roman" w:hAnsi="Times New Roman" w:cs="Times New Roman" w:eastAsia="Times New Roman" w:hint="default"/>
          <w:spacing w:val="-1"/>
        </w:rPr>
        <w:t>1.86</w:t>
      </w:r>
      <w:r>
        <w:rPr>
          <w:spacing w:val="-1"/>
        </w:rPr>
        <w:t>亿元。交易标的为宿迁骆马湖外向型农业示范区金桂路以北的</w:t>
      </w:r>
      <w:r>
        <w:rPr>
          <w:spacing w:val="-27"/>
        </w:rPr>
        <w:t> </w:t>
      </w:r>
      <w:r>
        <w:rPr>
          <w:spacing w:val="-27"/>
        </w:rPr>
      </w:r>
      <w:r>
        <w:rPr>
          <w:spacing w:val="-2"/>
        </w:rPr>
        <w:t>公寓房屋建筑物（土建部分）、人防工程及土地使用权，和办公楼房屋建筑物（土建部分）、人防工程及</w:t>
      </w:r>
      <w:r>
        <w:rPr>
          <w:spacing w:val="-47"/>
        </w:rPr>
        <w:t> </w:t>
      </w:r>
      <w:r>
        <w:rPr>
          <w:spacing w:val="-47"/>
        </w:rPr>
      </w:r>
      <w:r>
        <w:rPr/>
        <w:t>土地使用权。</w:t>
      </w:r>
    </w:p>
    <w:p>
      <w:pPr>
        <w:pStyle w:val="BodyText"/>
        <w:spacing w:line="273" w:lineRule="auto" w:before="14"/>
        <w:ind w:left="518" w:right="1479" w:firstLine="55"/>
        <w:jc w:val="left"/>
      </w:pPr>
      <w:r>
        <w:rPr/>
        <w:t>上述交易构成关联交易。</w:t>
      </w:r>
      <w:r>
        <w:rPr>
          <w:w w:val="100"/>
        </w:rPr>
        <w:t> </w:t>
      </w:r>
      <w:r>
        <w:rPr/>
        <w:t>公司与关联交易相关的信息披露在财务报告的</w:t>
      </w:r>
      <w:r>
        <w:rPr>
          <w:rFonts w:ascii="Times New Roman" w:hAnsi="Times New Roman" w:cs="Times New Roman" w:eastAsia="Times New Roman" w:hint="default"/>
        </w:rPr>
        <w:t>“</w:t>
      </w:r>
      <w:r>
        <w:rPr/>
        <w:t>附注</w:t>
      </w:r>
      <w:r>
        <w:rPr>
          <w:rFonts w:ascii="Times New Roman" w:hAnsi="Times New Roman" w:cs="Times New Roman" w:eastAsia="Times New Roman" w:hint="default"/>
        </w:rPr>
        <w:t>6.11</w:t>
      </w:r>
      <w:r>
        <w:rPr/>
        <w:t>及</w:t>
      </w:r>
      <w:r>
        <w:rPr>
          <w:rFonts w:ascii="Times New Roman" w:hAnsi="Times New Roman" w:cs="Times New Roman" w:eastAsia="Times New Roman" w:hint="default"/>
        </w:rPr>
        <w:t>10.4.2”</w:t>
      </w:r>
      <w:r>
        <w:rPr/>
        <w:t>。</w:t>
      </w:r>
    </w:p>
    <w:p>
      <w:pPr>
        <w:spacing w:line="240" w:lineRule="auto" w:before="13"/>
        <w:rPr>
          <w:rFonts w:ascii="宋体" w:hAnsi="宋体" w:cs="宋体" w:eastAsia="宋体" w:hint="default"/>
          <w:sz w:val="22"/>
          <w:szCs w:val="22"/>
        </w:rPr>
      </w:pPr>
    </w:p>
    <w:p>
      <w:pPr>
        <w:pStyle w:val="BodyText"/>
        <w:spacing w:line="273" w:lineRule="auto"/>
        <w:ind w:left="518" w:right="4014"/>
        <w:jc w:val="left"/>
      </w:pPr>
      <w:r>
        <w:rPr/>
        <w:t>该事项在审计中如何应对：</w:t>
      </w:r>
      <w:r>
        <w:rPr>
          <w:w w:val="100"/>
        </w:rPr>
        <w:t> </w:t>
      </w:r>
      <w:r>
        <w:rPr>
          <w:spacing w:val="-2"/>
        </w:rPr>
        <w:t>我们就该关联交易所执行的程序主要包括以下方面：</w:t>
      </w:r>
    </w:p>
    <w:p>
      <w:pPr>
        <w:pStyle w:val="BodyText"/>
        <w:spacing w:line="271" w:lineRule="auto" w:before="7"/>
        <w:ind w:right="146" w:firstLine="365"/>
        <w:jc w:val="both"/>
      </w:pPr>
      <w:r>
        <w:rPr>
          <w:spacing w:val="-1"/>
        </w:rPr>
        <w:t>①我们通过评估双星新材与彩缘置业之间的股权结构来判断该交易是否属于关联交易，检查了在双星</w:t>
      </w:r>
      <w:r>
        <w:rPr>
          <w:w w:val="100"/>
        </w:rPr>
        <w:t> </w:t>
      </w:r>
      <w:r>
        <w:rPr>
          <w:spacing w:val="-2"/>
        </w:rPr>
        <w:t>新材公司章程中对关联交易决策权限与程序所做出的规定，了解关联股东是否回避表决，来判断该关联交</w:t>
      </w:r>
      <w:r>
        <w:rPr>
          <w:spacing w:val="-44"/>
        </w:rPr>
        <w:t> </w:t>
      </w:r>
      <w:r>
        <w:rPr>
          <w:spacing w:val="-44"/>
        </w:rPr>
      </w:r>
      <w:r>
        <w:rPr>
          <w:spacing w:val="-2"/>
        </w:rPr>
        <w:t>易的合法合规性，以及是否经过恰当的授权批准；②我们获取了该笔关联交易相关的董事会决议、股东会</w:t>
      </w:r>
      <w:r>
        <w:rPr>
          <w:spacing w:val="-44"/>
        </w:rPr>
        <w:t> </w:t>
      </w:r>
      <w:r>
        <w:rPr>
          <w:spacing w:val="-44"/>
        </w:rPr>
      </w:r>
      <w:r>
        <w:rPr/>
        <w:t>决议、资产转让协议，复核交易定价的原则及依据，获取了外部评估机构出具的以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日为评估</w:t>
      </w:r>
      <w:r>
        <w:rPr>
          <w:spacing w:val="-25"/>
        </w:rPr>
        <w:t> </w:t>
      </w:r>
      <w:r>
        <w:rPr>
          <w:spacing w:val="-25"/>
        </w:rPr>
      </w:r>
      <w:r>
        <w:rPr>
          <w:spacing w:val="-2"/>
        </w:rPr>
        <w:t>基准日的《评估报告》，判断该关联交易定价的公允性；③我们执行了检查、询问、访谈、实地观察等审</w:t>
      </w:r>
      <w:r>
        <w:rPr>
          <w:spacing w:val="-45"/>
        </w:rPr>
        <w:t> </w:t>
      </w:r>
      <w:r>
        <w:rPr>
          <w:spacing w:val="-45"/>
        </w:rPr>
      </w:r>
      <w:r>
        <w:rPr>
          <w:spacing w:val="-2"/>
        </w:rPr>
        <w:t>计程序，检查该交易的实际执行情况，复核权证办理变更登记情况并获取房产交易所查询信息；复核资产</w:t>
      </w:r>
      <w:r>
        <w:rPr>
          <w:spacing w:val="-42"/>
        </w:rPr>
        <w:t> </w:t>
      </w:r>
      <w:r>
        <w:rPr>
          <w:spacing w:val="-42"/>
        </w:rPr>
      </w:r>
      <w:r>
        <w:rPr>
          <w:spacing w:val="-2"/>
        </w:rPr>
        <w:t>交易环节税收缴纳情况；访谈双星及彩缘置业高管关于资产交接工作的情况；④我们获取了双星新材财务</w:t>
      </w:r>
      <w:r>
        <w:rPr>
          <w:spacing w:val="-43"/>
        </w:rPr>
        <w:t> </w:t>
      </w:r>
      <w:r>
        <w:rPr>
          <w:spacing w:val="-43"/>
        </w:rPr>
      </w:r>
      <w:r>
        <w:rPr/>
        <w:t>报表，对财务报表中对该关联交易的列报和披露进行了检查。</w:t>
      </w:r>
    </w:p>
    <w:p>
      <w:pPr>
        <w:spacing w:line="240" w:lineRule="auto" w:before="8"/>
        <w:rPr>
          <w:rFonts w:ascii="宋体" w:hAnsi="宋体" w:cs="宋体" w:eastAsia="宋体" w:hint="default"/>
          <w:sz w:val="24"/>
          <w:szCs w:val="24"/>
        </w:rPr>
      </w:pPr>
    </w:p>
    <w:p>
      <w:pPr>
        <w:pStyle w:val="BodyText"/>
        <w:spacing w:line="273" w:lineRule="auto"/>
        <w:ind w:left="573" w:right="153"/>
        <w:jc w:val="left"/>
      </w:pPr>
      <w:r>
        <w:rPr>
          <w:rFonts w:ascii="宋体" w:hAnsi="宋体" w:cs="宋体" w:eastAsia="宋体" w:hint="default"/>
          <w:b/>
          <w:bCs/>
        </w:rPr>
        <w:t>（四）其他信息</w:t>
      </w:r>
      <w:r>
        <w:rPr>
          <w:rFonts w:ascii="宋体" w:hAnsi="宋体" w:cs="宋体" w:eastAsia="宋体" w:hint="default"/>
          <w:b/>
          <w:bCs/>
          <w:spacing w:val="-104"/>
        </w:rPr>
        <w:t> </w:t>
      </w:r>
      <w:r>
        <w:rPr>
          <w:spacing w:val="-2"/>
        </w:rPr>
        <w:t>双星新材管理层（以下简称管理层）对其他信息负责。其他信息包括双星新材</w:t>
      </w:r>
      <w:r>
        <w:rPr>
          <w:rFonts w:ascii="Times New Roman" w:hAnsi="Times New Roman" w:cs="Times New Roman" w:eastAsia="Times New Roman" w:hint="default"/>
          <w:spacing w:val="-2"/>
        </w:rPr>
        <w:t>2017</w:t>
      </w:r>
      <w:r>
        <w:rPr>
          <w:spacing w:val="-2"/>
        </w:rPr>
        <w:t>年年度报告中涵盖</w:t>
      </w:r>
    </w:p>
    <w:p>
      <w:pPr>
        <w:pStyle w:val="BodyText"/>
        <w:spacing w:line="273" w:lineRule="auto"/>
        <w:ind w:left="573" w:right="153" w:hanging="421"/>
        <w:jc w:val="left"/>
      </w:pPr>
      <w:r>
        <w:rPr/>
        <w:t>的信息，但不包括财务报表和我们的审计报告。</w:t>
      </w:r>
      <w:r>
        <w:rPr>
          <w:w w:val="100"/>
        </w:rPr>
        <w:t> </w:t>
      </w:r>
      <w:r>
        <w:rPr/>
        <w:t>我们对财务报表发表的审计意见不涵盖其他信息，我们也不对其他信息发表任何形式的鉴证结论。</w:t>
      </w:r>
      <w:r>
        <w:rPr>
          <w:w w:val="100"/>
        </w:rPr>
        <w:t> </w:t>
      </w:r>
      <w:r>
        <w:rPr>
          <w:spacing w:val="-2"/>
        </w:rPr>
        <w:t>结合我们对财务报表的审计，我们的责任是阅读其他信息，在此过程中，考虑其他信息是否与财务报</w:t>
      </w:r>
    </w:p>
    <w:p>
      <w:pPr>
        <w:pStyle w:val="BodyText"/>
        <w:spacing w:line="240" w:lineRule="auto" w:before="7"/>
        <w:ind w:right="0"/>
        <w:jc w:val="both"/>
      </w:pPr>
      <w:r>
        <w:rPr/>
        <w:t>表或我们在审计过程中了解到的情况存在重大不一致或者似乎存在重大错报。</w:t>
      </w:r>
    </w:p>
    <w:p>
      <w:pPr>
        <w:spacing w:after="0" w:line="240" w:lineRule="auto"/>
        <w:jc w:val="both"/>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BodyText"/>
        <w:spacing w:line="273" w:lineRule="auto" w:before="36"/>
        <w:ind w:right="208" w:firstLine="420"/>
        <w:jc w:val="both"/>
      </w:pPr>
      <w:r>
        <w:rPr>
          <w:spacing w:val="-2"/>
        </w:rPr>
        <w:t>基于我们已执行的工作，如果我们确定其他信息存在重大错报，我们应当报告该事实。在这方面，我</w:t>
      </w:r>
      <w:r>
        <w:rPr>
          <w:w w:val="100"/>
        </w:rPr>
        <w:t> </w:t>
      </w:r>
      <w:r>
        <w:rPr/>
        <w:t>们无任何事项需要报告。</w:t>
      </w:r>
    </w:p>
    <w:p>
      <w:pPr>
        <w:spacing w:line="240" w:lineRule="auto" w:before="6"/>
        <w:rPr>
          <w:rFonts w:ascii="宋体" w:hAnsi="宋体" w:cs="宋体" w:eastAsia="宋体" w:hint="default"/>
          <w:sz w:val="24"/>
          <w:szCs w:val="24"/>
        </w:rPr>
      </w:pPr>
    </w:p>
    <w:p>
      <w:pPr>
        <w:spacing w:line="273" w:lineRule="auto" w:before="0"/>
        <w:ind w:left="573" w:right="101" w:firstLine="0"/>
        <w:jc w:val="left"/>
        <w:rPr>
          <w:rFonts w:ascii="宋体" w:hAnsi="宋体" w:cs="宋体" w:eastAsia="宋体" w:hint="default"/>
          <w:sz w:val="21"/>
          <w:szCs w:val="21"/>
        </w:rPr>
      </w:pPr>
      <w:r>
        <w:rPr>
          <w:rFonts w:ascii="宋体" w:hAnsi="宋体" w:cs="宋体" w:eastAsia="宋体" w:hint="default"/>
          <w:b/>
          <w:bCs/>
          <w:sz w:val="21"/>
          <w:szCs w:val="21"/>
        </w:rPr>
        <w:t>（五）、管理层和治理层对财务报表的责任</w:t>
      </w:r>
      <w:r>
        <w:rPr>
          <w:rFonts w:ascii="宋体" w:hAnsi="宋体" w:cs="宋体" w:eastAsia="宋体" w:hint="default"/>
          <w:b/>
          <w:bCs/>
          <w:w w:val="100"/>
          <w:sz w:val="21"/>
          <w:szCs w:val="21"/>
        </w:rPr>
        <w:t> </w:t>
      </w:r>
      <w:r>
        <w:rPr>
          <w:rFonts w:ascii="宋体" w:hAnsi="宋体" w:cs="宋体" w:eastAsia="宋体" w:hint="default"/>
          <w:spacing w:val="-5"/>
          <w:sz w:val="21"/>
          <w:szCs w:val="21"/>
        </w:rPr>
        <w:t>双星新材管理层（以下简称管理层）负责按照企业会计准则的规定编制财务报表，使其实现公允反映，</w:t>
      </w:r>
    </w:p>
    <w:p>
      <w:pPr>
        <w:pStyle w:val="BodyText"/>
        <w:spacing w:line="273" w:lineRule="auto" w:before="7"/>
        <w:ind w:left="573" w:right="101" w:hanging="421"/>
        <w:jc w:val="left"/>
      </w:pPr>
      <w:r>
        <w:rPr/>
        <w:t>并设计、执行和维护必要的内部控制，以使财务报表不存在由于舞弊或错误导致的重大错报。</w:t>
      </w:r>
      <w:r>
        <w:rPr>
          <w:w w:val="100"/>
        </w:rPr>
        <w:t> </w:t>
      </w:r>
      <w:r>
        <w:rPr>
          <w:spacing w:val="-2"/>
        </w:rPr>
        <w:t>在编制财务报表时，管理层负责评估双星新材的持续经营能力，披露与持续经营相关的事项，并运用</w:t>
      </w:r>
    </w:p>
    <w:p>
      <w:pPr>
        <w:pStyle w:val="BodyText"/>
        <w:spacing w:line="273" w:lineRule="auto" w:before="7"/>
        <w:ind w:left="573" w:right="101" w:hanging="421"/>
        <w:jc w:val="left"/>
      </w:pPr>
      <w:r>
        <w:rPr>
          <w:spacing w:val="-2"/>
        </w:rPr>
        <w:t>持续经营假设，除非管理层计划清算双星新材、终止运营或别无其他现实的选择。</w:t>
      </w:r>
      <w:r>
        <w:rPr>
          <w:spacing w:val="-35"/>
        </w:rPr>
        <w:t> </w:t>
      </w:r>
      <w:r>
        <w:rPr>
          <w:spacing w:val="-35"/>
        </w:rPr>
      </w:r>
      <w:r>
        <w:rPr/>
        <w:t>治理层负责监督双星新材的财务报告过程。</w:t>
      </w:r>
    </w:p>
    <w:p>
      <w:pPr>
        <w:spacing w:line="240" w:lineRule="auto" w:before="6"/>
        <w:rPr>
          <w:rFonts w:ascii="宋体" w:hAnsi="宋体" w:cs="宋体" w:eastAsia="宋体" w:hint="default"/>
          <w:sz w:val="24"/>
          <w:szCs w:val="24"/>
        </w:rPr>
      </w:pPr>
    </w:p>
    <w:p>
      <w:pPr>
        <w:spacing w:line="273" w:lineRule="auto" w:before="0"/>
        <w:ind w:left="573" w:right="101" w:firstLine="0"/>
        <w:jc w:val="left"/>
        <w:rPr>
          <w:rFonts w:ascii="宋体" w:hAnsi="宋体" w:cs="宋体" w:eastAsia="宋体" w:hint="default"/>
          <w:sz w:val="21"/>
          <w:szCs w:val="21"/>
        </w:rPr>
      </w:pPr>
      <w:r>
        <w:rPr>
          <w:rFonts w:ascii="宋体" w:hAnsi="宋体" w:cs="宋体" w:eastAsia="宋体" w:hint="default"/>
          <w:b/>
          <w:bCs/>
          <w:sz w:val="21"/>
          <w:szCs w:val="21"/>
        </w:rPr>
        <w:t>（六）注册会计师对财务报表审计的责任</w:t>
      </w:r>
      <w:r>
        <w:rPr>
          <w:rFonts w:ascii="宋体" w:hAnsi="宋体" w:cs="宋体" w:eastAsia="宋体" w:hint="default"/>
          <w:b/>
          <w:bCs/>
          <w:w w:val="100"/>
          <w:sz w:val="21"/>
          <w:szCs w:val="21"/>
        </w:rPr>
        <w:t> </w:t>
      </w:r>
      <w:r>
        <w:rPr>
          <w:rFonts w:ascii="宋体" w:hAnsi="宋体" w:cs="宋体" w:eastAsia="宋体" w:hint="default"/>
          <w:spacing w:val="-2"/>
          <w:sz w:val="21"/>
          <w:szCs w:val="21"/>
        </w:rPr>
        <w:t>我们的目标是对财务报表整体是否不存在由于舞弊或错误导致的重大错报获取合理保证，并出具包含</w:t>
      </w:r>
    </w:p>
    <w:p>
      <w:pPr>
        <w:pStyle w:val="BodyText"/>
        <w:spacing w:line="273" w:lineRule="auto" w:before="7"/>
        <w:ind w:right="206"/>
        <w:jc w:val="both"/>
      </w:pPr>
      <w:r>
        <w:rPr>
          <w:spacing w:val="-2"/>
        </w:rPr>
        <w:t>审计意见的审计报告。合理保证是高水平的保证，但并不能保证按照审计准则执行的审计在某一重大错报</w:t>
      </w:r>
      <w:r>
        <w:rPr>
          <w:spacing w:val="-43"/>
        </w:rPr>
        <w:t> </w:t>
      </w:r>
      <w:r>
        <w:rPr>
          <w:spacing w:val="-43"/>
        </w:rPr>
      </w:r>
      <w:r>
        <w:rPr>
          <w:spacing w:val="-2"/>
        </w:rPr>
        <w:t>存在时总能发现。错报可能由于舞弊或错误导致，如果合理预期错报单独或汇总起来可能影响财务报表使</w:t>
      </w:r>
      <w:r>
        <w:rPr>
          <w:spacing w:val="-43"/>
        </w:rPr>
        <w:t> </w:t>
      </w:r>
      <w:r>
        <w:rPr>
          <w:spacing w:val="-43"/>
        </w:rPr>
      </w:r>
      <w:r>
        <w:rPr/>
        <w:t>用者依据财务报表作出的经济决策，则通常认为错报是重大的。</w:t>
      </w:r>
    </w:p>
    <w:p>
      <w:pPr>
        <w:pStyle w:val="BodyText"/>
        <w:spacing w:line="273" w:lineRule="auto" w:before="7"/>
        <w:ind w:right="208" w:firstLine="420"/>
        <w:jc w:val="both"/>
      </w:pPr>
      <w:r>
        <w:rPr>
          <w:spacing w:val="-2"/>
        </w:rPr>
        <w:t>在按照审计准则执行审计工作的过程中，我们运用职业判断，并保持职业怀疑。同时，我们也执行以</w:t>
      </w:r>
      <w:r>
        <w:rPr>
          <w:w w:val="100"/>
        </w:rPr>
        <w:t> </w:t>
      </w:r>
      <w:r>
        <w:rPr/>
        <w:t>下工作：</w:t>
      </w:r>
    </w:p>
    <w:p>
      <w:pPr>
        <w:pStyle w:val="BodyText"/>
        <w:spacing w:line="266" w:lineRule="auto" w:before="7"/>
        <w:ind w:right="101" w:firstLine="420"/>
        <w:jc w:val="left"/>
      </w:pPr>
      <w:r>
        <w:rPr/>
        <w:t>（</w:t>
      </w:r>
      <w:r>
        <w:rPr>
          <w:rFonts w:ascii="Times New Roman" w:hAnsi="Times New Roman" w:cs="Times New Roman" w:eastAsia="Times New Roman" w:hint="default"/>
        </w:rPr>
        <w:t>1</w:t>
      </w:r>
      <w:r>
        <w:rPr/>
        <w:t>）识别和评估由于舞弊或错误导致的财务报表重大错报风险，设计和实施审计程序以应对这些风</w:t>
      </w:r>
      <w:r>
        <w:rPr>
          <w:w w:val="100"/>
        </w:rPr>
        <w:t> </w:t>
      </w:r>
      <w:r>
        <w:rPr>
          <w:spacing w:val="-5"/>
        </w:rPr>
        <w:t>险，并获取充分、适当的审计证据，作为发表审计意见的基础。由于舞弊可能涉及串通、伪造、故意遗漏、</w:t>
      </w:r>
      <w:r>
        <w:rPr>
          <w:spacing w:val="-6"/>
        </w:rPr>
        <w:t> </w:t>
      </w:r>
      <w:r>
        <w:rPr>
          <w:spacing w:val="-6"/>
        </w:rPr>
      </w:r>
      <w:r>
        <w:rPr>
          <w:spacing w:val="-2"/>
        </w:rPr>
        <w:t>虚假陈述或凌驾于内部控制之上，未能发现由于舞弊导致的重大错报的风险高于未能发现由于错误导致的</w:t>
      </w:r>
      <w:r>
        <w:rPr>
          <w:spacing w:val="-43"/>
        </w:rPr>
        <w:t> </w:t>
      </w:r>
      <w:r>
        <w:rPr>
          <w:spacing w:val="-43"/>
        </w:rPr>
      </w:r>
      <w:r>
        <w:rPr/>
        <w:t>重大错报的风险。</w:t>
      </w:r>
    </w:p>
    <w:p>
      <w:pPr>
        <w:pStyle w:val="BodyText"/>
        <w:spacing w:line="256" w:lineRule="auto" w:before="14"/>
        <w:ind w:right="216" w:firstLine="420"/>
        <w:jc w:val="both"/>
      </w:pPr>
      <w:r>
        <w:rPr/>
        <w:t>（</w:t>
      </w:r>
      <w:r>
        <w:rPr>
          <w:rFonts w:ascii="Times New Roman" w:hAnsi="Times New Roman" w:cs="Times New Roman" w:eastAsia="Times New Roman" w:hint="default"/>
        </w:rPr>
        <w:t>2</w:t>
      </w:r>
      <w:r>
        <w:rPr/>
        <w:t>）了解与审计相关的内部控制，以设计恰当的审计程序，但目的并非对内部控制的有效性发表意</w:t>
      </w:r>
      <w:r>
        <w:rPr>
          <w:w w:val="100"/>
        </w:rPr>
        <w:t> </w:t>
      </w:r>
      <w:r>
        <w:rPr/>
        <w:t>见。</w:t>
      </w:r>
    </w:p>
    <w:p>
      <w:pPr>
        <w:pStyle w:val="BodyText"/>
        <w:spacing w:line="240" w:lineRule="auto" w:before="22"/>
        <w:ind w:left="573" w:right="101"/>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268" w:lineRule="auto" w:before="21"/>
        <w:ind w:right="206" w:firstLine="420"/>
        <w:jc w:val="both"/>
      </w:pPr>
      <w:r>
        <w:rPr/>
        <w:t>（</w:t>
      </w:r>
      <w:r>
        <w:rPr>
          <w:rFonts w:ascii="Times New Roman" w:hAnsi="Times New Roman" w:cs="Times New Roman" w:eastAsia="Times New Roman" w:hint="default"/>
        </w:rPr>
        <w:t>4</w:t>
      </w:r>
      <w:r>
        <w:rPr/>
        <w:t>）对管理层使用持续经营假设的恰当性得出结论。同时，根据获取的审计证据，就可能导致对双</w:t>
      </w:r>
      <w:r>
        <w:rPr>
          <w:w w:val="100"/>
        </w:rPr>
        <w:t> </w:t>
      </w:r>
      <w:r>
        <w:rPr>
          <w:spacing w:val="-2"/>
        </w:rPr>
        <w:t>星新材持续经营能力产生重大疑虑的事项或情况是否存在重大不确定性得出结论。如果我们得出结论认为</w:t>
      </w:r>
      <w:r>
        <w:rPr>
          <w:spacing w:val="-43"/>
        </w:rPr>
        <w:t> </w:t>
      </w:r>
      <w:r>
        <w:rPr>
          <w:spacing w:val="-43"/>
        </w:rPr>
      </w:r>
      <w:r>
        <w:rPr>
          <w:spacing w:val="-2"/>
        </w:rPr>
        <w:t>存在重大不确定性，审计准则要求我们在审计报告中提请报表使用者注意财务报表中的相关披露；如果披</w:t>
      </w:r>
      <w:r>
        <w:rPr>
          <w:spacing w:val="-43"/>
        </w:rPr>
        <w:t> </w:t>
      </w:r>
      <w:r>
        <w:rPr>
          <w:spacing w:val="-43"/>
        </w:rPr>
      </w:r>
      <w:r>
        <w:rPr>
          <w:spacing w:val="-2"/>
        </w:rPr>
        <w:t>露不充分，我们应当发表非无保留意见。我们的结论基于截至审计报告日可获得的信息。然而，未来的事</w:t>
      </w:r>
      <w:r>
        <w:rPr>
          <w:spacing w:val="-47"/>
        </w:rPr>
        <w:t> </w:t>
      </w:r>
      <w:r>
        <w:rPr>
          <w:spacing w:val="-47"/>
        </w:rPr>
      </w:r>
      <w:r>
        <w:rPr/>
        <w:t>项或情况可能导致双星新材不能持续经营。</w:t>
      </w:r>
    </w:p>
    <w:p>
      <w:pPr>
        <w:pStyle w:val="BodyText"/>
        <w:spacing w:line="256" w:lineRule="auto" w:before="12"/>
        <w:ind w:right="216" w:firstLine="420"/>
        <w:jc w:val="both"/>
      </w:pPr>
      <w:r>
        <w:rPr/>
        <w:t>（</w:t>
      </w:r>
      <w:r>
        <w:rPr>
          <w:rFonts w:ascii="Times New Roman" w:hAnsi="Times New Roman" w:cs="Times New Roman" w:eastAsia="Times New Roman" w:hint="default"/>
        </w:rPr>
        <w:t>5</w:t>
      </w:r>
      <w:r>
        <w:rPr/>
        <w:t>）评价财务报表的总体列报、结构和内容（包括披露），并评价财务报表是否公允反映相关交易</w:t>
      </w:r>
      <w:r>
        <w:rPr>
          <w:w w:val="100"/>
        </w:rPr>
        <w:t> </w:t>
      </w:r>
      <w:r>
        <w:rPr/>
        <w:t>和事项。</w:t>
      </w:r>
    </w:p>
    <w:p>
      <w:pPr>
        <w:pStyle w:val="BodyText"/>
        <w:spacing w:line="256" w:lineRule="auto" w:before="22"/>
        <w:ind w:right="214" w:firstLine="420"/>
        <w:jc w:val="both"/>
      </w:pPr>
      <w:r>
        <w:rPr/>
        <w:t>（</w:t>
      </w:r>
      <w:r>
        <w:rPr>
          <w:rFonts w:ascii="Times New Roman" w:hAnsi="Times New Roman" w:cs="Times New Roman" w:eastAsia="Times New Roman" w:hint="default"/>
        </w:rPr>
        <w:t>6</w:t>
      </w:r>
      <w:r>
        <w:rPr/>
        <w:t>）就双星新材中实体或业务活动的财务信息获取充分、适当的审计证据，以对财务报表发表审计</w:t>
      </w:r>
      <w:r>
        <w:rPr>
          <w:w w:val="100"/>
        </w:rPr>
        <w:t> </w:t>
      </w:r>
      <w:r>
        <w:rPr/>
        <w:t>意见。我们负责指导、监督和执行集团审计，并对审计意见承担全部责任。</w:t>
      </w:r>
    </w:p>
    <w:p>
      <w:pPr>
        <w:pStyle w:val="BodyText"/>
        <w:spacing w:line="273" w:lineRule="auto" w:before="22"/>
        <w:ind w:right="206" w:firstLine="420"/>
        <w:jc w:val="both"/>
      </w:pPr>
      <w:r>
        <w:rPr>
          <w:spacing w:val="-2"/>
        </w:rPr>
        <w:t>我们与治理层就计划的审计范围、时间安排和重大审计发现等事项进行沟通，包括沟通我们在审计中</w:t>
      </w:r>
      <w:r>
        <w:rPr>
          <w:w w:val="100"/>
        </w:rPr>
        <w:t> </w:t>
      </w:r>
      <w:r>
        <w:rPr/>
        <w:t>识别出的值得关注的内部控制缺陷。</w:t>
      </w:r>
    </w:p>
    <w:p>
      <w:pPr>
        <w:pStyle w:val="BodyText"/>
        <w:spacing w:line="273" w:lineRule="auto" w:before="7"/>
        <w:ind w:right="206" w:firstLine="420"/>
        <w:jc w:val="both"/>
      </w:pPr>
      <w:r>
        <w:rPr>
          <w:spacing w:val="-2"/>
        </w:rPr>
        <w:t>我们还就已遵守与独立性相关的职业道德要求向治理层提供声明，并与治理层沟通可能被合理认为影</w:t>
      </w:r>
      <w:r>
        <w:rPr>
          <w:w w:val="100"/>
        </w:rPr>
        <w:t> </w:t>
      </w:r>
      <w:r>
        <w:rPr/>
        <w:t>响我们独立性的所有关系和其他事项，以及相关的防范措施。</w:t>
      </w:r>
    </w:p>
    <w:p>
      <w:pPr>
        <w:pStyle w:val="BodyText"/>
        <w:spacing w:line="273" w:lineRule="auto" w:before="8"/>
        <w:ind w:right="206" w:firstLine="420"/>
        <w:jc w:val="both"/>
      </w:pPr>
      <w:r>
        <w:rPr>
          <w:spacing w:val="-2"/>
        </w:rPr>
        <w:t>从与治理层沟通过的事项中，我们确定哪些事项对本期财务报表审计最为重要，因而构成关键审计事</w:t>
      </w:r>
      <w:r>
        <w:rPr>
          <w:w w:val="100"/>
        </w:rPr>
        <w:t> </w:t>
      </w:r>
      <w:r>
        <w:rPr>
          <w:spacing w:val="-2"/>
        </w:rPr>
        <w:t>项。我们在审计报告中描述这些事项，除非法律法规禁止公开披露这些事项，或在极少数情形下，如果合</w:t>
      </w:r>
      <w:r>
        <w:rPr>
          <w:spacing w:val="-47"/>
        </w:rPr>
        <w:t> </w:t>
      </w:r>
      <w:r>
        <w:rPr>
          <w:spacing w:val="-47"/>
        </w:rPr>
      </w:r>
      <w:r>
        <w:rPr>
          <w:spacing w:val="-2"/>
        </w:rPr>
        <w:t>理预期在审计报告中沟通某事项造成的负面后果超过在公众利益方面产生的益处，我们确定不应在审计报</w:t>
      </w:r>
      <w:r>
        <w:rPr>
          <w:spacing w:val="-43"/>
        </w:rPr>
        <w:t> </w:t>
      </w:r>
      <w:r>
        <w:rPr>
          <w:spacing w:val="-43"/>
        </w:rPr>
      </w:r>
      <w:r>
        <w:rPr/>
        <w:t>告中沟通该事项。</w:t>
      </w:r>
    </w:p>
    <w:p>
      <w:pPr>
        <w:spacing w:after="0" w:line="273" w:lineRule="auto"/>
        <w:jc w:val="both"/>
        <w:sectPr>
          <w:pgSz w:w="11910" w:h="16840"/>
          <w:pgMar w:header="745" w:footer="980" w:top="1060" w:bottom="1160" w:left="980" w:right="920"/>
        </w:sectPr>
      </w:pPr>
    </w:p>
    <w:p>
      <w:pPr>
        <w:spacing w:line="240" w:lineRule="auto" w:before="8"/>
        <w:rPr>
          <w:rFonts w:ascii="宋体" w:hAnsi="宋体" w:cs="宋体" w:eastAsia="宋体" w:hint="default"/>
          <w:sz w:val="23"/>
          <w:szCs w:val="23"/>
        </w:rPr>
      </w:pPr>
    </w:p>
    <w:p>
      <w:pPr>
        <w:pStyle w:val="Heading2"/>
        <w:spacing w:line="240" w:lineRule="auto" w:before="26"/>
        <w:ind w:right="153"/>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0"/>
        <w:rPr>
          <w:rFonts w:ascii="宋体" w:hAnsi="宋体" w:cs="宋体" w:eastAsia="宋体" w:hint="default"/>
          <w:sz w:val="18"/>
          <w:szCs w:val="18"/>
        </w:rPr>
      </w:pPr>
    </w:p>
    <w:p>
      <w:pPr>
        <w:pStyle w:val="Heading4"/>
        <w:spacing w:line="240" w:lineRule="auto" w:before="118"/>
        <w:ind w:right="153"/>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before="44"/>
        <w:ind w:left="152" w:right="153" w:firstLine="0"/>
        <w:jc w:val="left"/>
        <w:rPr>
          <w:rFonts w:ascii="宋体" w:hAnsi="宋体" w:cs="宋体" w:eastAsia="宋体" w:hint="default"/>
          <w:sz w:val="18"/>
          <w:szCs w:val="18"/>
        </w:rPr>
      </w:pPr>
      <w:r>
        <w:rPr>
          <w:rFonts w:ascii="宋体" w:hAnsi="宋体" w:cs="宋体" w:eastAsia="宋体" w:hint="default"/>
          <w:sz w:val="18"/>
          <w:szCs w:val="18"/>
        </w:rPr>
        <w:t>编制单位：江苏双星彩塑新材料股份有限公司</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825,623,745.22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1,133,611,239.39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270,566,884.89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198,864,016.00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908,896,334.12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641,094,837.33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614,292,381.77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459,688,202.28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11,931,218.36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1,418,350.68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6,803,882.88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6,376,879.25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1,088,932,800.92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847,567,904.03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1,305,262,301.08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94,416,490.80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5,032,309,549.24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3,383,037,919.76</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403,194,200.00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5,194,200.00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2,509,728,845.72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2,708,581,473.14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911,445,567.90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343,900,248.20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95,410,026.65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97,697,638.49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84,899,044.39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1,488,156.35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2,272,368.92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9,529,648.03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6,672,450.24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67,134,086.30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55,570,494.72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4,017,930,530.95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3,304,787,918.10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9,050,240,080.19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6,687,825,837.86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0"/>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422,264,680.00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317,768,632.00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85,232,460.25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71,205,814.14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27,968,348.32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19,860,634.53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40"/>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12,877,637.86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16,964,956.56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9,897,990.07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3,579,115.98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5,737,205.53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5,737,205.48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296,449,486.90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108,015,644.36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860,427,808.93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543,132,003.05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797,680,847.65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797,086,999.22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704,583.33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799,583.33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798,385,430.98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797,886,582.55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1,658,813,239.91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1,341,018,585.60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1,156,278,085.00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717,327,642.00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5,185,545,435.71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3,636,738,551.32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135,410,759.90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128,191,326.10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914,192,559.67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864,549,732.84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7,391,426,840.28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5,346,807,252.26</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7,391,426,840.28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5,346,807,252.26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9,050,240,080.19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6,687,825,837.86</w:t>
            </w:r>
          </w:p>
        </w:tc>
      </w:tr>
    </w:tbl>
    <w:p>
      <w:pPr>
        <w:spacing w:line="240" w:lineRule="auto" w:before="11"/>
        <w:rPr>
          <w:rFonts w:ascii="Times New Roman" w:hAnsi="Times New Roman" w:cs="Times New Roman" w:eastAsia="Times New Roman" w:hint="default"/>
          <w:sz w:val="22"/>
          <w:szCs w:val="22"/>
        </w:rPr>
      </w:pPr>
    </w:p>
    <w:p>
      <w:pPr>
        <w:tabs>
          <w:tab w:pos="3425" w:val="left" w:leader="none"/>
          <w:tab w:pos="7568" w:val="left" w:leader="none"/>
        </w:tabs>
        <w:spacing w:before="44"/>
        <w:ind w:left="0" w:right="243" w:firstLine="0"/>
        <w:jc w:val="right"/>
        <w:rPr>
          <w:rFonts w:ascii="宋体" w:hAnsi="宋体" w:cs="宋体" w:eastAsia="宋体" w:hint="default"/>
          <w:sz w:val="18"/>
          <w:szCs w:val="18"/>
        </w:rPr>
      </w:pPr>
      <w:r>
        <w:rPr>
          <w:rFonts w:ascii="宋体" w:hAnsi="宋体" w:cs="宋体" w:eastAsia="宋体" w:hint="default"/>
          <w:sz w:val="18"/>
          <w:szCs w:val="18"/>
        </w:rPr>
        <w:t>法定代表人：吴培服</w:t>
        <w:tab/>
      </w:r>
      <w:r>
        <w:rPr>
          <w:rFonts w:ascii="宋体" w:hAnsi="宋体" w:cs="宋体" w:eastAsia="宋体" w:hint="default"/>
          <w:spacing w:val="-1"/>
          <w:sz w:val="18"/>
          <w:szCs w:val="18"/>
        </w:rPr>
        <w:t>主管会计工作负责人：周海燕</w:t>
        <w:tab/>
      </w:r>
      <w:r>
        <w:rPr>
          <w:rFonts w:ascii="宋体" w:hAnsi="宋体" w:cs="宋体" w:eastAsia="宋体" w:hint="default"/>
          <w:sz w:val="18"/>
          <w:szCs w:val="18"/>
        </w:rPr>
        <w:t>会计机构负责人：邹雪梅</w:t>
      </w:r>
    </w:p>
    <w:p>
      <w:pPr>
        <w:spacing w:line="240" w:lineRule="auto" w:before="0"/>
        <w:rPr>
          <w:rFonts w:ascii="宋体" w:hAnsi="宋体" w:cs="宋体" w:eastAsia="宋体" w:hint="default"/>
          <w:sz w:val="18"/>
          <w:szCs w:val="18"/>
        </w:rPr>
      </w:pPr>
    </w:p>
    <w:p>
      <w:pPr>
        <w:pStyle w:val="Heading4"/>
        <w:spacing w:line="240" w:lineRule="auto" w:before="120"/>
        <w:ind w:right="153"/>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823,788,408.96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1,132,072,759.99</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270,566,884.89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198,450,866.00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918,301,954.10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670,407,994.65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607,289,195.53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452,999,031.88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11,931,218.36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1,418,350.68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6,224,191.40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5,531,656.33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1,017,302,102.19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760,460,572.38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1,305,262,301.08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94,416,490.80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4,960,666,256.51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3,315,757,722.71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403,194,200.00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5,194,200.00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115,100,955.61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180,000,000.00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2,452,006,627.52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2,637,982,000.38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909,440,071.89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343,900,248.20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92,605,628.77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94,814,037.01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1,488,156.35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2,272,368.92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8,452,883.33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5,727,304.04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67,134,086.30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55,570,494.72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4,049,422,609.77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3,325,460,653.27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9,010,088,866.28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6,641,218,375.98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422,264,680.00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317,768,632.00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77,879,312.92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56,421,889.71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21,677,980.17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13,265,312.89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12,877,637.86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12,798,060.55</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8,572,064.62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5,305,553.97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5,737,205.53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5,737,205.48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296,319,651.35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107,918,007.78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845,328,532.45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519,214,662.38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797,680,847.65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797,086,999.22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797,680,847.65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797,086,999.22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1,643,009,380.10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1,316,301,661.60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1,156,278,085.00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717,327,642.00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5,185,545,435.71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3,636,738,551.32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135,410,759.90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128,191,326.10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889,845,205.57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842,659,194.96</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7,367,079,486.18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5,324,916,714.38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9,010,088,866.28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6,641,218,375.98</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153"/>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3,022,955,177.10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2,552,739,886.66</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3,022,955,177.10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2,552,739,886.66</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93"/>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3,013,276,793.01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2,428,932,454.19</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2,660,121,021.79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2,227,353,485.46</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93"/>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11.009995pt;margin-top:380.149994pt;width:158.9pt;height:20.65pt;mso-position-horizontal-relative:page;mso-position-vertical-relative:page;z-index:-757840" coordorigin="4220,7603" coordsize="3178,413">
            <v:group style="position:absolute;left:4231;top:7614;width:2;height:392" coordorigin="4231,7614" coordsize="2,392">
              <v:shape style="position:absolute;left:4231;top:7614;width:2;height:392" coordorigin="4231,7614" coordsize="0,392" path="m4231,7614l4231,8005e" filled="false" stroked="true" strokeweight="1.08pt" strokecolor="#ffffff">
                <v:path arrowok="t"/>
              </v:shape>
            </v:group>
            <v:group style="position:absolute;left:4242;top:7614;width:3157;height:392" coordorigin="4242,7614" coordsize="3157,392">
              <v:shape style="position:absolute;left:4242;top:7614;width:3157;height:392" coordorigin="4242,7614" coordsize="3157,392" path="m4242,8005l7398,8005,7398,7614,4242,7614,4242,8005xe" filled="true" fillcolor="#ffffff" stroked="false">
                <v:path arrowok="t"/>
                <v:fill type="solid"/>
              </v:shape>
            </v:group>
            <w10:wrap type="none"/>
          </v:group>
        </w:pict>
      </w:r>
      <w:r>
        <w:rPr/>
        <w:pict>
          <v:group style="position:absolute;margin-left:211.009995pt;margin-top:516.369995pt;width:158.9pt;height:20.65pt;mso-position-horizontal-relative:page;mso-position-vertical-relative:page;z-index:-757816" coordorigin="4220,10327" coordsize="3178,413">
            <v:group style="position:absolute;left:4231;top:10338;width:2;height:392" coordorigin="4231,10338" coordsize="2,392">
              <v:shape style="position:absolute;left:4231;top:10338;width:2;height:392" coordorigin="4231,10338" coordsize="0,392" path="m4231,10338l4231,10729e" filled="false" stroked="true" strokeweight="1.08pt" strokecolor="#ffffff">
                <v:path arrowok="t"/>
              </v:shape>
            </v:group>
            <v:group style="position:absolute;left:4242;top:10338;width:3157;height:392" coordorigin="4242,10338" coordsize="3157,392">
              <v:shape style="position:absolute;left:4242;top:10338;width:3157;height:392" coordorigin="4242,10338" coordsize="3157,392" path="m4242,10729l7398,10729,7398,10338,4242,10338,4242,10729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68"/>
        <w:gridCol w:w="1120"/>
        <w:gridCol w:w="2103"/>
        <w:gridCol w:w="3277"/>
      </w:tblGrid>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3"/>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10,507,652.78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8,235,867.33</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91,677,511.67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66,885,487.45</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055" w:right="0"/>
              <w:jc w:val="left"/>
              <w:rPr>
                <w:rFonts w:ascii="Times New Roman" w:hAnsi="Times New Roman" w:cs="Times New Roman" w:eastAsia="Times New Roman" w:hint="default"/>
                <w:sz w:val="18"/>
                <w:szCs w:val="18"/>
              </w:rPr>
            </w:pPr>
            <w:r>
              <w:rPr>
                <w:rFonts w:ascii="Times New Roman"/>
                <w:sz w:val="18"/>
              </w:rPr>
              <w:t>139,544,596.66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118,853,631.21</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27,478,980.43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238,829.80</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83,947,029.68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7,365,152.94</w:t>
            </w: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29,999,097.43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813,265.20</w:t>
            </w: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2"/>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3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7"/>
                <w:sz w:val="18"/>
                <w:szCs w:val="18"/>
              </w:rPr>
              <w:t>益</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-47,684.44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-54,244.30</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8,018,400.00</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47,648,197.08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124,566,453.37</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48,396,222.67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28,345,842.85</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632,948.68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235,504.68</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120"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51"/>
              <w:ind w:left="-117" w:right="0"/>
              <w:jc w:val="left"/>
              <w:rPr>
                <w:rFonts w:ascii="宋体" w:hAnsi="宋体" w:cs="宋体" w:eastAsia="宋体" w:hint="default"/>
                <w:sz w:val="18"/>
                <w:szCs w:val="18"/>
              </w:rPr>
            </w:pPr>
            <w:r>
              <w:rPr>
                <w:rFonts w:ascii="宋体" w:hAnsi="宋体" w:cs="宋体" w:eastAsia="宋体" w:hint="default"/>
                <w:sz w:val="18"/>
                <w:szCs w:val="18"/>
              </w:rPr>
              <w:t>）</w:t>
            </w:r>
          </w:p>
        </w:tc>
        <w:tc>
          <w:tcPr>
            <w:tcW w:w="2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1044" w:right="0"/>
              <w:jc w:val="left"/>
              <w:rPr>
                <w:rFonts w:ascii="Times New Roman" w:hAnsi="Times New Roman" w:cs="Times New Roman" w:eastAsia="Times New Roman" w:hint="default"/>
                <w:sz w:val="18"/>
                <w:szCs w:val="18"/>
              </w:rPr>
            </w:pPr>
            <w:r>
              <w:rPr>
                <w:rFonts w:ascii="Times New Roman"/>
                <w:sz w:val="18"/>
              </w:rPr>
              <w:t>95,411,471.07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152,676,791.54</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20,760,316.82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19,654,056.20</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74,651,154.25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133,022,735.34</w:t>
            </w: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pacing w:val="-2"/>
                <w:sz w:val="18"/>
                <w:szCs w:val="18"/>
              </w:rPr>
              <w:t>（一）持续经营净利润（净亏损以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74,651,154.25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133,022,735.34</w:t>
            </w: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pacing w:val="-2"/>
                <w:sz w:val="18"/>
                <w:szCs w:val="18"/>
              </w:rPr>
              <w:t>（二）终止经营净利润（净亏损以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74,651,154.25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133,022,735.34</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53"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9"/>
              <w:jc w:val="righ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36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firstLine="341"/>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74,651,154.25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133,022,735.34</w:t>
            </w: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74,651,154.25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133,022,735.34</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3"/>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0.0678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0.1426</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0.0678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0.1426</w:t>
            </w:r>
          </w:p>
        </w:tc>
      </w:tr>
    </w:tbl>
    <w:p>
      <w:pPr>
        <w:tabs>
          <w:tab w:pos="3578" w:val="left" w:leader="none"/>
          <w:tab w:pos="7721" w:val="left" w:leader="none"/>
        </w:tabs>
        <w:spacing w:line="621" w:lineRule="auto" w:before="49"/>
        <w:ind w:left="152" w:right="243"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本期发生同一控制下企业合并的，被合并方在合并前实现的净利润为：元，上期被合并方实现的净利润为：元。 法定代表人：吴培服</w:t>
        <w:tab/>
      </w:r>
      <w:r>
        <w:rPr>
          <w:rFonts w:ascii="宋体" w:hAnsi="宋体" w:cs="宋体" w:eastAsia="宋体" w:hint="default"/>
          <w:spacing w:val="-1"/>
          <w:sz w:val="18"/>
          <w:szCs w:val="18"/>
        </w:rPr>
        <w:t>主管会计工作负责人：周海燕</w:t>
        <w:tab/>
      </w:r>
      <w:r>
        <w:rPr>
          <w:rFonts w:ascii="宋体" w:hAnsi="宋体" w:cs="宋体" w:eastAsia="宋体" w:hint="default"/>
          <w:sz w:val="18"/>
          <w:szCs w:val="18"/>
        </w:rPr>
        <w:t>会计机构负责人：邹雪梅</w:t>
      </w:r>
    </w:p>
    <w:p>
      <w:pPr>
        <w:pStyle w:val="Heading4"/>
        <w:spacing w:line="240" w:lineRule="auto" w:before="69"/>
        <w:ind w:right="153"/>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5"/>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2,919,847,255.07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2,465,849,963.24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2,582,054,410.30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2,165,207,805.85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9,530,507.12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7,240,839.96</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84,773,913.94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55,367,239.31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128,377,122.57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110,055,791.67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27,557,606.41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158,108.90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83,069,573.01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6,548,928.82</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33,548,419.85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813,265.20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5,775,700.00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43,808,241.57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122,084,513.93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48,060,960.00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26,940,197.91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56,562.50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47,390.00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91,812,639.07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148,977,321.84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19,618,301.04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18,813,935.21</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72,194,338.03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130,163,386.63</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72,194,338.03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130,163,386.63</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5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中享有的份额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72,194,338.03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130,163,386.63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153"/>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2,466,846,378.27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2,334,081,763.67</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49,240,203.53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17,258,908.84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55,666,063.60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90,655,599.91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2,571,752,645.40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2,441,996,272.42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2,283,906,972.38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2,041,772,856.69</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93,578,420.80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80,543,047.85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29,665,955.44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35,726,442.20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151,583,884.43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159,693,110.92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2,558,735,233.05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2,317,735,457.66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13,017,412.35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124,260,814.76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19,018,275.51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813,265.20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75,876.07</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2,076,450,677.58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2,370,840.93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2,095,468,953.09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3,259,982.20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793,114,110.76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260,629,755.79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398,000,000.00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3,570,007,809.50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4,761,121,920.26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260,629,755.79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-2,665,652,967.17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-257,369,773.59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1,969,306,649.81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796,981,132.07</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1,969,306,649.81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796,981,132.07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50,513,319.96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18,271,982.71</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50,513,319.96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19,271,982.71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1,918,793,329.85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777,709,149.36</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-14,385,398.52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3,043,152.17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-748,227,623.49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647,643,342.70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1,133,611,239.39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485,967,896.69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385,383,615.90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1,133,611,239.39</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153"/>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2,367,179,216.90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2,189,797,428.73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49,240,203.53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17,258,908.84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52,486,030.46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88,820,048.43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2,468,905,450.89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2,295,876,386.00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2,215,032,414.36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1,933,490,303.75</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80,903,852.01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68,391,128.27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28,675,297.30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25,123,746.49</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137,828,424.09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146,542,252.18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2,462,439,987.76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2,173,547,430.69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6,465,463.13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122,328,955.31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22,567,597.93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813,265.20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7,500.00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2,076,450,677.58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2,370,840.93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2,099,018,275.51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3,191,606.13</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790,325,480.84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255,992,780.86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398,000,000.00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3,570,007,809.50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4,758,333,290.34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255,992,780.86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-2,659,315,014.83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-252,801,174.73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1,969,306,649.81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796,981,132.07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1,969,306,649.81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796,981,132.07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50,513,319.96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18,266,092.71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50,513,319.96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18,266,092.71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1,918,793,329.85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778,715,039.36</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-14,468,258.50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3,104,634.97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-748,524,480.35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651,347,454.91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1,132,072,759.99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480,725,305.08</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383,548,279.64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1,132,072,759.99</w:t>
            </w: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0"/>
        <w:rPr>
          <w:rFonts w:ascii="宋体" w:hAnsi="宋体" w:cs="宋体" w:eastAsia="宋体" w:hint="default"/>
          <w:b/>
          <w:bCs/>
          <w:sz w:val="22"/>
          <w:szCs w:val="22"/>
        </w:rPr>
      </w:pPr>
    </w:p>
    <w:p>
      <w:pPr>
        <w:spacing w:before="44"/>
        <w:ind w:left="152" w:right="153"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26"/>
        <w:gridCol w:w="562"/>
        <w:gridCol w:w="533"/>
        <w:gridCol w:w="531"/>
        <w:gridCol w:w="530"/>
        <w:gridCol w:w="665"/>
        <w:gridCol w:w="665"/>
        <w:gridCol w:w="665"/>
        <w:gridCol w:w="665"/>
        <w:gridCol w:w="665"/>
        <w:gridCol w:w="665"/>
        <w:gridCol w:w="665"/>
        <w:gridCol w:w="665"/>
        <w:gridCol w:w="660"/>
      </w:tblGrid>
      <w:tr>
        <w:trPr>
          <w:trHeight w:val="402" w:hRule="exact"/>
        </w:trPr>
        <w:tc>
          <w:tcPr>
            <w:tcW w:w="1426" w:type="dxa"/>
            <w:vMerge w:val="restart"/>
            <w:tcBorders>
              <w:top w:val="single" w:sz="4" w:space="0" w:color="000000"/>
              <w:left w:val="single" w:sz="4" w:space="0" w:color="000000"/>
              <w:right w:val="single" w:sz="4" w:space="0" w:color="000000"/>
            </w:tcBorders>
            <w:shd w:val="clear" w:color="auto" w:fill="D2D2D2"/>
          </w:tcPr>
          <w:p>
            <w:pPr/>
          </w:p>
        </w:tc>
        <w:tc>
          <w:tcPr>
            <w:tcW w:w="813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6"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6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57" w:right="5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tcBorders>
              <w:left w:val="single" w:sz="4" w:space="0" w:color="000000"/>
              <w:right w:val="single" w:sz="4" w:space="0" w:color="000000"/>
            </w:tcBorders>
            <w:shd w:val="clear" w:color="auto" w:fill="D2D2D2"/>
          </w:tcPr>
          <w:p>
            <w:pPr/>
          </w:p>
        </w:tc>
      </w:tr>
      <w:tr>
        <w:trPr>
          <w:trHeight w:val="174"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8" w:right="56"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84" w:hRule="exact"/>
        </w:trPr>
        <w:tc>
          <w:tcPr>
            <w:tcW w:w="1426"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170" w:right="79"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171" w:right="77"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67" w:hRule="exact"/>
        </w:trPr>
        <w:tc>
          <w:tcPr>
            <w:tcW w:w="1426"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56" w:hRule="exact"/>
        </w:trPr>
        <w:tc>
          <w:tcPr>
            <w:tcW w:w="1426"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0"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26"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3" w:type="dxa"/>
            <w:vMerge/>
            <w:tcBorders>
              <w:left w:val="single" w:sz="4" w:space="0" w:color="000000"/>
              <w:bottom w:val="single" w:sz="4" w:space="0" w:color="000000"/>
              <w:right w:val="single" w:sz="4" w:space="0" w:color="000000"/>
            </w:tcBorders>
            <w:shd w:val="clear" w:color="auto" w:fill="D2D2D2"/>
          </w:tcPr>
          <w:p>
            <w:pPr/>
          </w:p>
        </w:tc>
        <w:tc>
          <w:tcPr>
            <w:tcW w:w="531"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0" w:space="0" w:color="D2D2D2"/>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717,32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7,642.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w:t>
            </w:r>
          </w:p>
        </w:tc>
        <w:tc>
          <w:tcPr>
            <w:tcW w:w="533"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38,551.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128,191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,326.10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864,549</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,732.84</w:t>
            </w:r>
          </w:p>
        </w:tc>
        <w:tc>
          <w:tcPr>
            <w:tcW w:w="665" w:type="dxa"/>
            <w:vMerge w:val="restart"/>
            <w:tcBorders>
              <w:top w:val="single" w:sz="4" w:space="0" w:color="000000"/>
              <w:left w:val="single" w:sz="4" w:space="0" w:color="000000"/>
              <w:right w:val="single" w:sz="4" w:space="0" w:color="000000"/>
            </w:tcBorders>
          </w:tcPr>
          <w:p>
            <w:pP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5,346,8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07,252.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26</w:t>
            </w:r>
          </w:p>
        </w:tc>
      </w:tr>
      <w:tr>
        <w:trPr>
          <w:trHeight w:val="391"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0" w:space="0" w:color="D2D2D2"/>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717,32</w:t>
            </w:r>
          </w:p>
          <w:p>
            <w:pPr>
              <w:pStyle w:val="TableParagraph"/>
              <w:spacing w:line="240" w:lineRule="auto" w:before="102"/>
              <w:ind w:left="71" w:right="0"/>
              <w:jc w:val="left"/>
              <w:rPr>
                <w:rFonts w:ascii="Times New Roman" w:hAnsi="Times New Roman" w:cs="Times New Roman" w:eastAsia="Times New Roman" w:hint="default"/>
                <w:sz w:val="18"/>
                <w:szCs w:val="18"/>
              </w:rPr>
            </w:pPr>
            <w:r>
              <w:rPr>
                <w:rFonts w:ascii="Times New Roman"/>
                <w:sz w:val="18"/>
              </w:rPr>
              <w:t>7,642.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w:t>
            </w:r>
          </w:p>
        </w:tc>
        <w:tc>
          <w:tcPr>
            <w:tcW w:w="533"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3,636,7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38,551.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128,191</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,326.10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864,549</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,732.84</w:t>
            </w:r>
          </w:p>
        </w:tc>
        <w:tc>
          <w:tcPr>
            <w:tcW w:w="665" w:type="dxa"/>
            <w:vMerge w:val="restart"/>
            <w:tcBorders>
              <w:top w:val="single" w:sz="4" w:space="0" w:color="000000"/>
              <w:left w:val="single" w:sz="4" w:space="0" w:color="000000"/>
              <w:right w:val="single" w:sz="4" w:space="0" w:color="000000"/>
            </w:tcBorders>
          </w:tcPr>
          <w:p>
            <w:pP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5,346,8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07,252.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26</w:t>
            </w:r>
          </w:p>
        </w:tc>
      </w:tr>
      <w:tr>
        <w:trPr>
          <w:trHeight w:val="391"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102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438,95</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0,443.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06,884.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7,219,4</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33.80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49,642,</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826.83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19,588.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02</w:t>
            </w:r>
          </w:p>
        </w:tc>
      </w:tr>
      <w:tr>
        <w:trPr>
          <w:trHeight w:val="716"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 w:right="0"/>
              <w:jc w:val="left"/>
              <w:rPr>
                <w:rFonts w:ascii="Times New Roman" w:hAnsi="Times New Roman" w:cs="Times New Roman" w:eastAsia="Times New Roman" w:hint="default"/>
                <w:sz w:val="18"/>
                <w:szCs w:val="18"/>
              </w:rPr>
            </w:pPr>
            <w:r>
              <w:rPr>
                <w:rFonts w:ascii="Times New Roman"/>
                <w:sz w:val="18"/>
              </w:rPr>
              <w:t>74,651,</w:t>
            </w:r>
          </w:p>
          <w:p>
            <w:pPr>
              <w:pStyle w:val="TableParagraph"/>
              <w:spacing w:line="240" w:lineRule="auto" w:before="103"/>
              <w:ind w:left="139" w:right="0"/>
              <w:jc w:val="left"/>
              <w:rPr>
                <w:rFonts w:ascii="Times New Roman" w:hAnsi="Times New Roman" w:cs="Times New Roman" w:eastAsia="Times New Roman" w:hint="default"/>
                <w:sz w:val="18"/>
                <w:szCs w:val="18"/>
              </w:rPr>
            </w:pPr>
            <w:r>
              <w:rPr>
                <w:rFonts w:ascii="Times New Roman"/>
                <w:sz w:val="18"/>
              </w:rPr>
              <w:t>154.25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74,651,</w:t>
            </w:r>
          </w:p>
          <w:p>
            <w:pPr>
              <w:pStyle w:val="TableParagraph"/>
              <w:spacing w:line="240" w:lineRule="auto" w:before="103"/>
              <w:ind w:left="131" w:right="0"/>
              <w:jc w:val="left"/>
              <w:rPr>
                <w:rFonts w:ascii="Times New Roman" w:hAnsi="Times New Roman" w:cs="Times New Roman" w:eastAsia="Times New Roman" w:hint="default"/>
                <w:sz w:val="18"/>
                <w:szCs w:val="18"/>
              </w:rPr>
            </w:pPr>
            <w:r>
              <w:rPr>
                <w:rFonts w:ascii="Times New Roman"/>
                <w:sz w:val="18"/>
              </w:rPr>
              <w:t>154.25</w:t>
            </w:r>
          </w:p>
        </w:tc>
      </w:tr>
      <w:tr>
        <w:trPr>
          <w:trHeight w:val="161"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0" w:space="0" w:color="D2D2D2"/>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172,11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7,039.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w:t>
            </w:r>
          </w:p>
        </w:tc>
        <w:tc>
          <w:tcPr>
            <w:tcW w:w="533"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40,288.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39</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57,327.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39</w:t>
            </w:r>
          </w:p>
        </w:tc>
      </w:tr>
      <w:tr>
        <w:trPr>
          <w:trHeight w:val="703"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161"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163"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0" w:space="0" w:color="D2D2D2"/>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172,11</w:t>
            </w:r>
          </w:p>
          <w:p>
            <w:pPr>
              <w:pStyle w:val="TableParagraph"/>
              <w:spacing w:line="240" w:lineRule="auto" w:before="102"/>
              <w:ind w:left="71" w:right="0"/>
              <w:jc w:val="left"/>
              <w:rPr>
                <w:rFonts w:ascii="Times New Roman" w:hAnsi="Times New Roman" w:cs="Times New Roman" w:eastAsia="Times New Roman" w:hint="default"/>
                <w:sz w:val="18"/>
                <w:szCs w:val="18"/>
              </w:rPr>
            </w:pPr>
            <w:r>
              <w:rPr>
                <w:rFonts w:ascii="Times New Roman"/>
                <w:sz w:val="18"/>
              </w:rPr>
              <w:t>7,039.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w:t>
            </w:r>
          </w:p>
        </w:tc>
        <w:tc>
          <w:tcPr>
            <w:tcW w:w="533"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1,797,1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89,610.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1,969,3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06,649.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81</w:t>
            </w:r>
          </w:p>
        </w:tc>
      </w:tr>
      <w:tr>
        <w:trPr>
          <w:trHeight w:val="703"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97" w:lineRule="auto" w:before="49"/>
              <w:ind w:left="1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161"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0" w:space="0" w:color="D2D2D2"/>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18,450,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677.58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18,450,</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677.58</w:t>
            </w:r>
          </w:p>
        </w:tc>
      </w:tr>
      <w:tr>
        <w:trPr>
          <w:trHeight w:val="391"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161"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163"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0" w:space="0" w:color="D2D2D2"/>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3"/>
              <w:ind w:left="67" w:right="0"/>
              <w:jc w:val="center"/>
              <w:rPr>
                <w:rFonts w:ascii="Times New Roman" w:hAnsi="Times New Roman" w:cs="Times New Roman" w:eastAsia="Times New Roman" w:hint="default"/>
                <w:sz w:val="18"/>
                <w:szCs w:val="18"/>
              </w:rPr>
            </w:pPr>
            <w:r>
              <w:rPr>
                <w:rFonts w:ascii="Times New Roman"/>
                <w:sz w:val="18"/>
              </w:rPr>
              <w:t>7,219,4</w:t>
            </w:r>
          </w:p>
          <w:p>
            <w:pPr>
              <w:pStyle w:val="TableParagraph"/>
              <w:spacing w:line="240" w:lineRule="auto" w:before="102"/>
              <w:ind w:left="202" w:right="0"/>
              <w:jc w:val="center"/>
              <w:rPr>
                <w:rFonts w:ascii="Times New Roman" w:hAnsi="Times New Roman" w:cs="Times New Roman" w:eastAsia="Times New Roman" w:hint="default"/>
                <w:sz w:val="18"/>
                <w:szCs w:val="18"/>
              </w:rPr>
            </w:pPr>
            <w:r>
              <w:rPr>
                <w:rFonts w:ascii="Times New Roman"/>
                <w:sz w:val="18"/>
              </w:rPr>
              <w:t>33.80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-25,008,</w:t>
            </w:r>
          </w:p>
          <w:p>
            <w:pPr>
              <w:pStyle w:val="TableParagraph"/>
              <w:spacing w:line="240" w:lineRule="auto" w:before="102"/>
              <w:ind w:left="117" w:right="0"/>
              <w:jc w:val="center"/>
              <w:rPr>
                <w:rFonts w:ascii="Times New Roman" w:hAnsi="Times New Roman" w:cs="Times New Roman" w:eastAsia="Times New Roman" w:hint="default"/>
                <w:sz w:val="18"/>
                <w:szCs w:val="18"/>
              </w:rPr>
            </w:pPr>
            <w:r>
              <w:rPr>
                <w:rFonts w:ascii="Times New Roman"/>
                <w:sz w:val="18"/>
              </w:rPr>
              <w:t>327.42</w:t>
            </w:r>
          </w:p>
        </w:tc>
        <w:tc>
          <w:tcPr>
            <w:tcW w:w="665" w:type="dxa"/>
            <w:vMerge w:val="restart"/>
            <w:tcBorders>
              <w:top w:val="single" w:sz="4" w:space="0" w:color="000000"/>
              <w:left w:val="single" w:sz="4" w:space="0" w:color="000000"/>
              <w:right w:val="single" w:sz="4" w:space="0" w:color="000000"/>
            </w:tcBorders>
          </w:tcPr>
          <w:p>
            <w:pP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-17,788,</w:t>
            </w:r>
          </w:p>
          <w:p>
            <w:pPr>
              <w:pStyle w:val="TableParagraph"/>
              <w:spacing w:line="240" w:lineRule="auto" w:before="102"/>
              <w:ind w:left="108" w:right="0"/>
              <w:jc w:val="center"/>
              <w:rPr>
                <w:rFonts w:ascii="Times New Roman" w:hAnsi="Times New Roman" w:cs="Times New Roman" w:eastAsia="Times New Roman" w:hint="default"/>
                <w:sz w:val="18"/>
                <w:szCs w:val="18"/>
              </w:rPr>
            </w:pPr>
            <w:r>
              <w:rPr>
                <w:rFonts w:ascii="Times New Roman"/>
                <w:sz w:val="18"/>
              </w:rPr>
              <w:t>893.62</w:t>
            </w:r>
          </w:p>
        </w:tc>
      </w:tr>
      <w:tr>
        <w:trPr>
          <w:trHeight w:val="391"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161"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91" w:right="0"/>
              <w:jc w:val="left"/>
              <w:rPr>
                <w:rFonts w:ascii="Times New Roman" w:hAnsi="Times New Roman" w:cs="Times New Roman" w:eastAsia="Times New Roman" w:hint="default"/>
                <w:sz w:val="18"/>
                <w:szCs w:val="18"/>
              </w:rPr>
            </w:pPr>
            <w:r>
              <w:rPr>
                <w:rFonts w:ascii="Times New Roman"/>
                <w:sz w:val="18"/>
              </w:rPr>
              <w:t>7,219,4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3" w:right="0"/>
              <w:jc w:val="left"/>
              <w:rPr>
                <w:rFonts w:ascii="Times New Roman" w:hAnsi="Times New Roman" w:cs="Times New Roman" w:eastAsia="Times New Roman" w:hint="default"/>
                <w:sz w:val="18"/>
                <w:szCs w:val="18"/>
              </w:rPr>
            </w:pPr>
            <w:r>
              <w:rPr>
                <w:rFonts w:ascii="Times New Roman"/>
                <w:sz w:val="18"/>
              </w:rPr>
              <w:t>-7,219,4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1"/>
        <w:gridCol w:w="530"/>
        <w:gridCol w:w="665"/>
        <w:gridCol w:w="665"/>
        <w:gridCol w:w="665"/>
        <w:gridCol w:w="665"/>
        <w:gridCol w:w="665"/>
        <w:gridCol w:w="665"/>
        <w:gridCol w:w="665"/>
        <w:gridCol w:w="665"/>
        <w:gridCol w:w="660"/>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5" w:right="0"/>
              <w:jc w:val="left"/>
              <w:rPr>
                <w:rFonts w:ascii="Times New Roman" w:hAnsi="Times New Roman" w:cs="Times New Roman" w:eastAsia="Times New Roman" w:hint="default"/>
                <w:sz w:val="18"/>
                <w:szCs w:val="18"/>
              </w:rPr>
            </w:pPr>
            <w:r>
              <w:rPr>
                <w:rFonts w:ascii="Times New Roman"/>
                <w:sz w:val="18"/>
              </w:rPr>
              <w:t>33.80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8" w:right="0"/>
              <w:jc w:val="left"/>
              <w:rPr>
                <w:rFonts w:ascii="Times New Roman" w:hAnsi="Times New Roman" w:cs="Times New Roman" w:eastAsia="Times New Roman" w:hint="default"/>
                <w:sz w:val="18"/>
                <w:szCs w:val="18"/>
              </w:rPr>
            </w:pPr>
            <w:r>
              <w:rPr>
                <w:rFonts w:ascii="Times New Roman"/>
                <w:sz w:val="18"/>
              </w:rPr>
              <w:t>33.80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-17,788,</w:t>
            </w:r>
          </w:p>
          <w:p>
            <w:pPr>
              <w:pStyle w:val="TableParagraph"/>
              <w:spacing w:line="240" w:lineRule="auto" w:before="105"/>
              <w:ind w:left="117" w:right="0"/>
              <w:jc w:val="center"/>
              <w:rPr>
                <w:rFonts w:ascii="Times New Roman" w:hAnsi="Times New Roman" w:cs="Times New Roman" w:eastAsia="Times New Roman" w:hint="default"/>
                <w:sz w:val="18"/>
                <w:szCs w:val="18"/>
              </w:rPr>
            </w:pPr>
            <w:r>
              <w:rPr>
                <w:rFonts w:ascii="Times New Roman"/>
                <w:sz w:val="18"/>
              </w:rPr>
              <w:t>893.62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-17,788,</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893.62</w:t>
            </w: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266,83</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3,404.</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-266,83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3,404.0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266,83</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3,404.</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-266,83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3,404.0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center"/>
              <w:rPr>
                <w:rFonts w:ascii="Times New Roman" w:hAnsi="Times New Roman" w:cs="Times New Roman" w:eastAsia="Times New Roman" w:hint="default"/>
                <w:sz w:val="18"/>
                <w:szCs w:val="18"/>
              </w:rPr>
            </w:pPr>
            <w:r>
              <w:rPr>
                <w:rFonts w:ascii="Times New Roman"/>
                <w:sz w:val="18"/>
              </w:rPr>
              <w:t>1,156,</w:t>
            </w:r>
          </w:p>
          <w:p>
            <w:pPr>
              <w:pStyle w:val="TableParagraph"/>
              <w:spacing w:line="240" w:lineRule="auto" w:before="105"/>
              <w:ind w:left="15" w:right="0"/>
              <w:jc w:val="center"/>
              <w:rPr>
                <w:rFonts w:ascii="Times New Roman" w:hAnsi="Times New Roman" w:cs="Times New Roman" w:eastAsia="Times New Roman" w:hint="default"/>
                <w:sz w:val="18"/>
                <w:szCs w:val="18"/>
              </w:rPr>
            </w:pPr>
            <w:r>
              <w:rPr>
                <w:rFonts w:ascii="Times New Roman"/>
                <w:sz w:val="18"/>
              </w:rPr>
              <w:t>278,08</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5.00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5,185,5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45,435.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135,410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,759.90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914,192</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,559.67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7,391,4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26,840.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28</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6"/>
        <w:gridCol w:w="562"/>
        <w:gridCol w:w="530"/>
        <w:gridCol w:w="531"/>
        <w:gridCol w:w="533"/>
        <w:gridCol w:w="662"/>
        <w:gridCol w:w="665"/>
        <w:gridCol w:w="668"/>
        <w:gridCol w:w="665"/>
        <w:gridCol w:w="662"/>
        <w:gridCol w:w="665"/>
        <w:gridCol w:w="680"/>
        <w:gridCol w:w="653"/>
        <w:gridCol w:w="658"/>
      </w:tblGrid>
      <w:tr>
        <w:trPr>
          <w:trHeight w:val="402" w:hRule="exact"/>
        </w:trPr>
        <w:tc>
          <w:tcPr>
            <w:tcW w:w="1426"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2" w:hRule="exact"/>
        </w:trPr>
        <w:tc>
          <w:tcPr>
            <w:tcW w:w="1426"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0"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5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5" w:right="5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5" w:hRule="exact"/>
        </w:trPr>
        <w:tc>
          <w:tcPr>
            <w:tcW w:w="14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8"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0" w:type="dxa"/>
            <w:tcBorders>
              <w:top w:val="single" w:sz="4" w:space="0" w:color="000000"/>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5"/>
              <w:ind w:left="50" w:right="5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tcBorders>
              <w:left w:val="single" w:sz="4" w:space="0" w:color="000000"/>
              <w:right w:val="single" w:sz="4" w:space="0" w:color="000000"/>
            </w:tcBorders>
            <w:shd w:val="clear" w:color="auto" w:fill="D2D2D2"/>
          </w:tcPr>
          <w:p>
            <w:pPr/>
          </w:p>
        </w:tc>
      </w:tr>
      <w:tr>
        <w:trPr>
          <w:trHeight w:val="174"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9"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53" w:right="63"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84" w:hRule="exact"/>
        </w:trPr>
        <w:tc>
          <w:tcPr>
            <w:tcW w:w="1426"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71" w:right="77"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8"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80"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69" w:hRule="exact"/>
        </w:trPr>
        <w:tc>
          <w:tcPr>
            <w:tcW w:w="1426"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8"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80" w:type="dxa"/>
            <w:vMerge/>
            <w:tcBorders>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56" w:hRule="exact"/>
        </w:trPr>
        <w:tc>
          <w:tcPr>
            <w:tcW w:w="1426"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3"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8"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80"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
        </w:tc>
        <w:tc>
          <w:tcPr>
            <w:tcW w:w="658" w:type="dxa"/>
            <w:vMerge/>
            <w:tcBorders>
              <w:left w:val="single" w:sz="4" w:space="0" w:color="000000"/>
              <w:bottom w:val="nil" w:sz="6" w:space="0" w:color="auto"/>
              <w:right w:val="single" w:sz="4" w:space="0" w:color="000000"/>
            </w:tcBorders>
            <w:shd w:val="clear" w:color="auto" w:fill="D2D2D2"/>
          </w:tcPr>
          <w:p>
            <w:pPr/>
          </w:p>
        </w:tc>
      </w:tr>
      <w:tr>
        <w:trPr>
          <w:trHeight w:val="227" w:hRule="exact"/>
        </w:trPr>
        <w:tc>
          <w:tcPr>
            <w:tcW w:w="1426"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1" w:type="dxa"/>
            <w:vMerge/>
            <w:tcBorders>
              <w:left w:val="single" w:sz="4" w:space="0" w:color="000000"/>
              <w:bottom w:val="single" w:sz="4" w:space="0" w:color="000000"/>
              <w:right w:val="single" w:sz="4" w:space="0" w:color="000000"/>
            </w:tcBorders>
            <w:shd w:val="clear" w:color="auto" w:fill="D2D2D2"/>
          </w:tcPr>
          <w:p>
            <w:pPr/>
          </w:p>
        </w:tc>
        <w:tc>
          <w:tcPr>
            <w:tcW w:w="53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8"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0" w:type="dxa"/>
            <w:tcBorders>
              <w:top w:val="nil" w:sz="6" w:space="0" w:color="auto"/>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5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9"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3"/>
              <w:ind w:left="29" w:right="0"/>
              <w:jc w:val="left"/>
              <w:rPr>
                <w:rFonts w:ascii="Times New Roman" w:hAnsi="Times New Roman" w:cs="Times New Roman" w:eastAsia="Times New Roman" w:hint="default"/>
                <w:sz w:val="18"/>
                <w:szCs w:val="18"/>
              </w:rPr>
            </w:pPr>
            <w:r>
              <w:rPr>
                <w:rFonts w:ascii="Times New Roman"/>
                <w:sz w:val="18"/>
              </w:rPr>
              <w:t>717,32</w:t>
            </w:r>
          </w:p>
          <w:p>
            <w:pPr>
              <w:pStyle w:val="TableParagraph"/>
              <w:spacing w:line="240" w:lineRule="auto" w:before="103"/>
              <w:ind w:left="73" w:right="0"/>
              <w:jc w:val="left"/>
              <w:rPr>
                <w:rFonts w:ascii="Times New Roman" w:hAnsi="Times New Roman" w:cs="Times New Roman" w:eastAsia="Times New Roman" w:hint="default"/>
                <w:sz w:val="18"/>
                <w:szCs w:val="18"/>
              </w:rPr>
            </w:pPr>
            <w:r>
              <w:rPr>
                <w:rFonts w:ascii="Times New Roman"/>
                <w:sz w:val="18"/>
              </w:rPr>
              <w:t>7,642.</w:t>
            </w:r>
          </w:p>
          <w:p>
            <w:pPr>
              <w:pStyle w:val="TableParagraph"/>
              <w:spacing w:line="240" w:lineRule="auto" w:before="105"/>
              <w:ind w:left="344"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3,636,7</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z w:val="18"/>
              </w:rPr>
              <w:t>38,551.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32</w:t>
            </w: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115,174</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,987.44</w:t>
            </w:r>
          </w:p>
        </w:tc>
        <w:tc>
          <w:tcPr>
            <w:tcW w:w="665" w:type="dxa"/>
            <w:vMerge w:val="restart"/>
            <w:tcBorders>
              <w:top w:val="single" w:sz="4" w:space="0" w:color="000000"/>
              <w:left w:val="single" w:sz="4" w:space="0" w:color="000000"/>
              <w:right w:val="single" w:sz="4" w:space="0" w:color="000000"/>
            </w:tcBorders>
          </w:tcPr>
          <w:p>
            <w:pPr/>
          </w:p>
        </w:tc>
        <w:tc>
          <w:tcPr>
            <w:tcW w:w="68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758,889</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,888.99</w:t>
            </w:r>
          </w:p>
        </w:tc>
        <w:tc>
          <w:tcPr>
            <w:tcW w:w="653" w:type="dxa"/>
            <w:vMerge w:val="restart"/>
            <w:tcBorders>
              <w:top w:val="single" w:sz="4" w:space="0" w:color="000000"/>
              <w:left w:val="single" w:sz="4" w:space="0" w:color="000000"/>
              <w:right w:val="single" w:sz="4" w:space="0" w:color="000000"/>
            </w:tcBorders>
          </w:tcPr>
          <w:p>
            <w:pP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5,228,1</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z w:val="18"/>
              </w:rPr>
              <w:t>31,069.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75</w:t>
            </w:r>
          </w:p>
        </w:tc>
      </w:tr>
      <w:tr>
        <w:trPr>
          <w:trHeight w:val="392"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80"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717,32</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7,642.</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3,636,7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38,551.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115,174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,987.44</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758,889</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,888.99</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5,228,1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31,069.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75</w:t>
            </w: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13,016,</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338.66</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105,659</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,843.85</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118,676</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,182.51</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133,022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,735.34</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133,022</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,735.34</w:t>
            </w:r>
          </w:p>
        </w:tc>
      </w:tr>
      <w:tr>
        <w:trPr>
          <w:trHeight w:val="71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13,016,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338.66</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-27,362,</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891.49</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-14,346,</w:t>
            </w:r>
          </w:p>
          <w:p>
            <w:pPr>
              <w:pStyle w:val="TableParagraph"/>
              <w:spacing w:line="240" w:lineRule="auto" w:before="105"/>
              <w:ind w:left="110" w:right="0"/>
              <w:jc w:val="center"/>
              <w:rPr>
                <w:rFonts w:ascii="Times New Roman" w:hAnsi="Times New Roman" w:cs="Times New Roman" w:eastAsia="Times New Roman" w:hint="default"/>
                <w:sz w:val="18"/>
                <w:szCs w:val="18"/>
              </w:rPr>
            </w:pPr>
            <w:r>
              <w:rPr>
                <w:rFonts w:ascii="Times New Roman"/>
                <w:sz w:val="18"/>
              </w:rPr>
              <w:t>552.83</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1" w:right="0"/>
              <w:jc w:val="left"/>
              <w:rPr>
                <w:rFonts w:ascii="Times New Roman" w:hAnsi="Times New Roman" w:cs="Times New Roman" w:eastAsia="Times New Roman" w:hint="default"/>
                <w:sz w:val="18"/>
                <w:szCs w:val="18"/>
              </w:rPr>
            </w:pPr>
            <w:r>
              <w:rPr>
                <w:rFonts w:ascii="Times New Roman"/>
                <w:sz w:val="18"/>
              </w:rPr>
              <w:t>13,016,</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338.66</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center"/>
              <w:rPr>
                <w:rFonts w:ascii="Times New Roman" w:hAnsi="Times New Roman" w:cs="Times New Roman" w:eastAsia="Times New Roman" w:hint="default"/>
                <w:sz w:val="18"/>
                <w:szCs w:val="18"/>
              </w:rPr>
            </w:pPr>
            <w:r>
              <w:rPr>
                <w:rFonts w:ascii="Times New Roman"/>
                <w:sz w:val="18"/>
              </w:rPr>
              <w:t>-13,016,</w:t>
            </w:r>
          </w:p>
          <w:p>
            <w:pPr>
              <w:pStyle w:val="TableParagraph"/>
              <w:spacing w:line="240" w:lineRule="auto" w:before="102"/>
              <w:ind w:left="127" w:right="0"/>
              <w:jc w:val="center"/>
              <w:rPr>
                <w:rFonts w:ascii="Times New Roman" w:hAnsi="Times New Roman" w:cs="Times New Roman" w:eastAsia="Times New Roman" w:hint="default"/>
                <w:sz w:val="18"/>
                <w:szCs w:val="18"/>
              </w:rPr>
            </w:pPr>
            <w:r>
              <w:rPr>
                <w:rFonts w:ascii="Times New Roman"/>
                <w:sz w:val="18"/>
              </w:rPr>
              <w:t>338.66</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center"/>
              <w:rPr>
                <w:rFonts w:ascii="Times New Roman" w:hAnsi="Times New Roman" w:cs="Times New Roman" w:eastAsia="Times New Roman" w:hint="default"/>
                <w:sz w:val="18"/>
                <w:szCs w:val="18"/>
              </w:rPr>
            </w:pPr>
            <w:r>
              <w:rPr>
                <w:rFonts w:ascii="Times New Roman"/>
                <w:sz w:val="18"/>
              </w:rPr>
              <w:t>-14,346,</w:t>
            </w:r>
          </w:p>
          <w:p>
            <w:pPr>
              <w:pStyle w:val="TableParagraph"/>
              <w:spacing w:line="240" w:lineRule="auto" w:before="102"/>
              <w:ind w:left="127" w:right="0"/>
              <w:jc w:val="center"/>
              <w:rPr>
                <w:rFonts w:ascii="Times New Roman" w:hAnsi="Times New Roman" w:cs="Times New Roman" w:eastAsia="Times New Roman" w:hint="default"/>
                <w:sz w:val="18"/>
                <w:szCs w:val="18"/>
              </w:rPr>
            </w:pPr>
            <w:r>
              <w:rPr>
                <w:rFonts w:ascii="Times New Roman"/>
                <w:sz w:val="18"/>
              </w:rPr>
              <w:t>552.83</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 w:right="0"/>
              <w:jc w:val="center"/>
              <w:rPr>
                <w:rFonts w:ascii="Times New Roman" w:hAnsi="Times New Roman" w:cs="Times New Roman" w:eastAsia="Times New Roman" w:hint="default"/>
                <w:sz w:val="18"/>
                <w:szCs w:val="18"/>
              </w:rPr>
            </w:pPr>
            <w:r>
              <w:rPr>
                <w:rFonts w:ascii="Times New Roman"/>
                <w:sz w:val="18"/>
              </w:rPr>
              <w:t>-14,346,</w:t>
            </w:r>
          </w:p>
          <w:p>
            <w:pPr>
              <w:pStyle w:val="TableParagraph"/>
              <w:spacing w:line="240" w:lineRule="auto" w:before="102"/>
              <w:ind w:left="110" w:right="0"/>
              <w:jc w:val="center"/>
              <w:rPr>
                <w:rFonts w:ascii="Times New Roman" w:hAnsi="Times New Roman" w:cs="Times New Roman" w:eastAsia="Times New Roman" w:hint="default"/>
                <w:sz w:val="18"/>
                <w:szCs w:val="18"/>
              </w:rPr>
            </w:pPr>
            <w:r>
              <w:rPr>
                <w:rFonts w:ascii="Times New Roman"/>
                <w:sz w:val="18"/>
              </w:rPr>
              <w:t>552.83</w:t>
            </w: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2"/>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717,32</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7,642.</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3,636,7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38,551.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128,191</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,326.10</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864,549</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,732.84</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5,346,8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07,252.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26</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153"/>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spacing w:before="44"/>
        <w:ind w:left="152" w:right="153"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8"/>
        <w:gridCol w:w="691"/>
        <w:gridCol w:w="665"/>
        <w:gridCol w:w="667"/>
        <w:gridCol w:w="665"/>
        <w:gridCol w:w="797"/>
        <w:gridCol w:w="797"/>
        <w:gridCol w:w="797"/>
        <w:gridCol w:w="799"/>
        <w:gridCol w:w="797"/>
        <w:gridCol w:w="677"/>
        <w:gridCol w:w="780"/>
      </w:tblGrid>
      <w:tr>
        <w:trPr>
          <w:trHeight w:val="398"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09" w:hRule="exact"/>
        </w:trPr>
        <w:tc>
          <w:tcPr>
            <w:tcW w:w="14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305"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428"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2" w:hRule="exact"/>
        </w:trPr>
        <w:tc>
          <w:tcPr>
            <w:tcW w:w="1428"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6" w:hRule="exact"/>
        </w:trPr>
        <w:tc>
          <w:tcPr>
            <w:tcW w:w="1428"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717,327,</w:t>
            </w:r>
          </w:p>
          <w:p>
            <w:pPr>
              <w:pStyle w:val="TableParagraph"/>
              <w:spacing w:line="240" w:lineRule="auto" w:before="102"/>
              <w:ind w:left="142" w:right="0"/>
              <w:jc w:val="center"/>
              <w:rPr>
                <w:rFonts w:ascii="Times New Roman" w:hAnsi="Times New Roman" w:cs="Times New Roman" w:eastAsia="Times New Roman" w:hint="default"/>
                <w:sz w:val="18"/>
                <w:szCs w:val="18"/>
              </w:rPr>
            </w:pPr>
            <w:r>
              <w:rPr>
                <w:rFonts w:ascii="Times New Roman"/>
                <w:sz w:val="18"/>
              </w:rPr>
              <w:t>642.00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3,636,738</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,551.32</w:t>
            </w:r>
          </w:p>
        </w:tc>
        <w:tc>
          <w:tcPr>
            <w:tcW w:w="797" w:type="dxa"/>
            <w:vMerge w:val="restart"/>
            <w:tcBorders>
              <w:top w:val="single" w:sz="18" w:space="0" w:color="D2D2D2"/>
              <w:left w:val="single" w:sz="4" w:space="0" w:color="000000"/>
              <w:right w:val="single" w:sz="4" w:space="0" w:color="000000"/>
            </w:tcBorders>
          </w:tcPr>
          <w:p>
            <w:pPr/>
          </w:p>
        </w:tc>
        <w:tc>
          <w:tcPr>
            <w:tcW w:w="797" w:type="dxa"/>
            <w:vMerge w:val="restart"/>
            <w:tcBorders>
              <w:top w:val="single" w:sz="18" w:space="0" w:color="D2D2D2"/>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128,191,3</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26.10</w:t>
            </w:r>
          </w:p>
        </w:tc>
        <w:tc>
          <w:tcPr>
            <w:tcW w:w="677" w:type="dxa"/>
            <w:vMerge w:val="restart"/>
            <w:tcBorders>
              <w:top w:val="single" w:sz="18" w:space="0" w:color="D2D2D2"/>
              <w:left w:val="single" w:sz="4" w:space="0" w:color="000000"/>
              <w:right w:val="single" w:sz="4" w:space="0" w:color="000000"/>
            </w:tcBorders>
          </w:tcPr>
          <w:p>
            <w:pPr>
              <w:pStyle w:val="TableParagraph"/>
              <w:spacing w:line="240" w:lineRule="auto" w:before="73"/>
              <w:ind w:left="57" w:right="0"/>
              <w:jc w:val="left"/>
              <w:rPr>
                <w:rFonts w:ascii="Times New Roman" w:hAnsi="Times New Roman" w:cs="Times New Roman" w:eastAsia="Times New Roman" w:hint="default"/>
                <w:sz w:val="18"/>
                <w:szCs w:val="18"/>
              </w:rPr>
            </w:pPr>
            <w:r>
              <w:rPr>
                <w:rFonts w:ascii="Times New Roman"/>
                <w:sz w:val="18"/>
              </w:rPr>
              <w:t>842,659</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,194.96</w:t>
            </w:r>
          </w:p>
        </w:tc>
        <w:tc>
          <w:tcPr>
            <w:tcW w:w="780" w:type="dxa"/>
            <w:vMerge w:val="restart"/>
            <w:tcBorders>
              <w:top w:val="single" w:sz="18" w:space="0" w:color="D2D2D2"/>
              <w:left w:val="single" w:sz="4" w:space="0" w:color="000000"/>
              <w:right w:val="single" w:sz="4" w:space="0" w:color="000000"/>
            </w:tcBorders>
          </w:tcPr>
          <w:p>
            <w:pPr>
              <w:pStyle w:val="TableParagraph"/>
              <w:spacing w:line="240" w:lineRule="auto" w:before="73"/>
              <w:ind w:left="7" w:right="0"/>
              <w:jc w:val="center"/>
              <w:rPr>
                <w:rFonts w:ascii="Times New Roman" w:hAnsi="Times New Roman" w:cs="Times New Roman" w:eastAsia="Times New Roman" w:hint="default"/>
                <w:sz w:val="18"/>
                <w:szCs w:val="18"/>
              </w:rPr>
            </w:pPr>
            <w:r>
              <w:rPr>
                <w:rFonts w:ascii="Times New Roman"/>
                <w:sz w:val="18"/>
              </w:rPr>
              <w:t>5,324,916</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,714.38</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717,327,</w:t>
            </w:r>
          </w:p>
          <w:p>
            <w:pPr>
              <w:pStyle w:val="TableParagraph"/>
              <w:spacing w:line="240" w:lineRule="auto" w:before="102"/>
              <w:ind w:left="142" w:right="0"/>
              <w:jc w:val="center"/>
              <w:rPr>
                <w:rFonts w:ascii="Times New Roman" w:hAnsi="Times New Roman" w:cs="Times New Roman" w:eastAsia="Times New Roman" w:hint="default"/>
                <w:sz w:val="18"/>
                <w:szCs w:val="18"/>
              </w:rPr>
            </w:pPr>
            <w:r>
              <w:rPr>
                <w:rFonts w:ascii="Times New Roman"/>
                <w:sz w:val="18"/>
              </w:rPr>
              <w:t>642.00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3,636,738</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,551.32</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128,191,3</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26.10</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842,659</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,194.96</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5,324,916</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,714.38</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7"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438,950,</w:t>
            </w:r>
          </w:p>
          <w:p>
            <w:pPr>
              <w:pStyle w:val="TableParagraph"/>
              <w:spacing w:line="240" w:lineRule="auto" w:before="105"/>
              <w:ind w:left="142" w:right="0"/>
              <w:jc w:val="center"/>
              <w:rPr>
                <w:rFonts w:ascii="Times New Roman" w:hAnsi="Times New Roman" w:cs="Times New Roman" w:eastAsia="Times New Roman" w:hint="default"/>
                <w:sz w:val="18"/>
                <w:szCs w:val="18"/>
              </w:rPr>
            </w:pPr>
            <w:r>
              <w:rPr>
                <w:rFonts w:ascii="Times New Roman"/>
                <w:sz w:val="18"/>
              </w:rPr>
              <w:t>443.00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1,548,806</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,884.39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7,219,433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47,186,</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010.61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2,042,162</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,771.80</w:t>
            </w: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72,194,</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338.03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72,194,33</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8.03</w:t>
            </w: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172,117,</w:t>
            </w:r>
          </w:p>
          <w:p>
            <w:pPr>
              <w:pStyle w:val="TableParagraph"/>
              <w:spacing w:line="240" w:lineRule="auto" w:before="105"/>
              <w:ind w:left="142" w:right="0"/>
              <w:jc w:val="center"/>
              <w:rPr>
                <w:rFonts w:ascii="Times New Roman" w:hAnsi="Times New Roman" w:cs="Times New Roman" w:eastAsia="Times New Roman" w:hint="default"/>
                <w:sz w:val="18"/>
                <w:szCs w:val="18"/>
              </w:rPr>
            </w:pPr>
            <w:r>
              <w:rPr>
                <w:rFonts w:ascii="Times New Roman"/>
                <w:sz w:val="18"/>
              </w:rPr>
              <w:t>039.00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1,815,640</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,288.39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1,987,757</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,327.39</w:t>
            </w: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172,117,</w:t>
            </w:r>
          </w:p>
          <w:p>
            <w:pPr>
              <w:pStyle w:val="TableParagraph"/>
              <w:spacing w:line="240" w:lineRule="auto" w:before="102"/>
              <w:ind w:left="142" w:right="0"/>
              <w:jc w:val="center"/>
              <w:rPr>
                <w:rFonts w:ascii="Times New Roman" w:hAnsi="Times New Roman" w:cs="Times New Roman" w:eastAsia="Times New Roman" w:hint="default"/>
                <w:sz w:val="18"/>
                <w:szCs w:val="18"/>
              </w:rPr>
            </w:pPr>
            <w:r>
              <w:rPr>
                <w:rFonts w:ascii="Times New Roman"/>
                <w:sz w:val="18"/>
              </w:rPr>
              <w:t>039.00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1,797,189</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,610.81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1,969,306</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,649.81</w:t>
            </w: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362"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18,450,67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7.58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18,450,67</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7.58</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7,219,433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-25,008,</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327.42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-17,788,8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93.62</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7,219,433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-7,219,4</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33.80</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-17,788,</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893.62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-17,788,8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93.62</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266,833,</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404.00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center"/>
              <w:rPr>
                <w:rFonts w:ascii="Times New Roman" w:hAnsi="Times New Roman" w:cs="Times New Roman" w:eastAsia="Times New Roman" w:hint="default"/>
                <w:sz w:val="18"/>
                <w:szCs w:val="18"/>
              </w:rPr>
            </w:pPr>
            <w:r>
              <w:rPr>
                <w:rFonts w:ascii="Times New Roman"/>
                <w:sz w:val="18"/>
              </w:rPr>
              <w:t>-266,833,</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404.00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266,833,</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404.00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center"/>
              <w:rPr>
                <w:rFonts w:ascii="Times New Roman" w:hAnsi="Times New Roman" w:cs="Times New Roman" w:eastAsia="Times New Roman" w:hint="default"/>
                <w:sz w:val="18"/>
                <w:szCs w:val="18"/>
              </w:rPr>
            </w:pPr>
            <w:r>
              <w:rPr>
                <w:rFonts w:ascii="Times New Roman"/>
                <w:sz w:val="18"/>
              </w:rPr>
              <w:t>-266,833,</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404.00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1,156,27</w:t>
            </w:r>
          </w:p>
          <w:p>
            <w:pPr>
              <w:pStyle w:val="TableParagraph"/>
              <w:spacing w:line="240" w:lineRule="auto" w:before="105"/>
              <w:ind w:left="31" w:right="0"/>
              <w:jc w:val="left"/>
              <w:rPr>
                <w:rFonts w:ascii="Times New Roman" w:hAnsi="Times New Roman" w:cs="Times New Roman" w:eastAsia="Times New Roman" w:hint="default"/>
                <w:sz w:val="18"/>
                <w:szCs w:val="18"/>
              </w:rPr>
            </w:pPr>
            <w:r>
              <w:rPr>
                <w:rFonts w:ascii="Times New Roman"/>
                <w:sz w:val="18"/>
              </w:rPr>
              <w:t>8,085.00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5,185,545</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,435.71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135,410,7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59.90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889,845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,205.57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7,367,079</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,486.18</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8"/>
        <w:gridCol w:w="691"/>
        <w:gridCol w:w="665"/>
        <w:gridCol w:w="667"/>
        <w:gridCol w:w="665"/>
        <w:gridCol w:w="797"/>
        <w:gridCol w:w="797"/>
        <w:gridCol w:w="797"/>
        <w:gridCol w:w="799"/>
        <w:gridCol w:w="797"/>
        <w:gridCol w:w="677"/>
        <w:gridCol w:w="780"/>
      </w:tblGrid>
      <w:tr>
        <w:trPr>
          <w:trHeight w:val="397"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305"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28"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99" w:hRule="exact"/>
        </w:trPr>
        <w:tc>
          <w:tcPr>
            <w:tcW w:w="1428"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6" w:hRule="exact"/>
        </w:trPr>
        <w:tc>
          <w:tcPr>
            <w:tcW w:w="1428"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717,327,</w:t>
            </w:r>
          </w:p>
          <w:p>
            <w:pPr>
              <w:pStyle w:val="TableParagraph"/>
              <w:spacing w:line="240" w:lineRule="auto" w:before="105"/>
              <w:ind w:left="142" w:right="0"/>
              <w:jc w:val="center"/>
              <w:rPr>
                <w:rFonts w:ascii="Times New Roman" w:hAnsi="Times New Roman" w:cs="Times New Roman" w:eastAsia="Times New Roman" w:hint="default"/>
                <w:sz w:val="18"/>
                <w:szCs w:val="18"/>
              </w:rPr>
            </w:pPr>
            <w:r>
              <w:rPr>
                <w:rFonts w:ascii="Times New Roman"/>
                <w:sz w:val="18"/>
              </w:rPr>
              <w:t>642.00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3,636,738</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,551.32</w:t>
            </w:r>
          </w:p>
        </w:tc>
        <w:tc>
          <w:tcPr>
            <w:tcW w:w="797" w:type="dxa"/>
            <w:vMerge w:val="restart"/>
            <w:tcBorders>
              <w:top w:val="single" w:sz="22" w:space="0" w:color="D2D2D2"/>
              <w:left w:val="single" w:sz="4" w:space="0" w:color="000000"/>
              <w:right w:val="single" w:sz="4" w:space="0" w:color="000000"/>
            </w:tcBorders>
          </w:tcPr>
          <w:p>
            <w:pPr/>
          </w:p>
        </w:tc>
        <w:tc>
          <w:tcPr>
            <w:tcW w:w="797" w:type="dxa"/>
            <w:vMerge w:val="restart"/>
            <w:tcBorders>
              <w:top w:val="single" w:sz="22" w:space="0" w:color="D2D2D2"/>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115,174,9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87.44</w:t>
            </w:r>
          </w:p>
        </w:tc>
        <w:tc>
          <w:tcPr>
            <w:tcW w:w="677" w:type="dxa"/>
            <w:vMerge w:val="restart"/>
            <w:tcBorders>
              <w:top w:val="single" w:sz="22" w:space="0" w:color="D2D2D2"/>
              <w:left w:val="single" w:sz="4" w:space="0" w:color="000000"/>
              <w:right w:val="single" w:sz="4" w:space="0" w:color="000000"/>
            </w:tcBorders>
          </w:tcPr>
          <w:p>
            <w:pPr>
              <w:pStyle w:val="TableParagraph"/>
              <w:spacing w:line="240" w:lineRule="auto" w:before="68"/>
              <w:ind w:left="57" w:right="0"/>
              <w:jc w:val="left"/>
              <w:rPr>
                <w:rFonts w:ascii="Times New Roman" w:hAnsi="Times New Roman" w:cs="Times New Roman" w:eastAsia="Times New Roman" w:hint="default"/>
                <w:sz w:val="18"/>
                <w:szCs w:val="18"/>
              </w:rPr>
            </w:pPr>
            <w:r>
              <w:rPr>
                <w:rFonts w:ascii="Times New Roman"/>
                <w:sz w:val="18"/>
              </w:rPr>
              <w:t>739,858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,699.82</w:t>
            </w:r>
          </w:p>
        </w:tc>
        <w:tc>
          <w:tcPr>
            <w:tcW w:w="780" w:type="dxa"/>
            <w:vMerge w:val="restart"/>
            <w:tcBorders>
              <w:top w:val="single" w:sz="22" w:space="0" w:color="D2D2D2"/>
              <w:left w:val="single" w:sz="4" w:space="0" w:color="000000"/>
              <w:right w:val="single" w:sz="4" w:space="0" w:color="000000"/>
            </w:tcBorders>
          </w:tcPr>
          <w:p>
            <w:pPr>
              <w:pStyle w:val="TableParagraph"/>
              <w:spacing w:line="240" w:lineRule="auto" w:before="68"/>
              <w:ind w:left="7" w:right="0"/>
              <w:jc w:val="center"/>
              <w:rPr>
                <w:rFonts w:ascii="Times New Roman" w:hAnsi="Times New Roman" w:cs="Times New Roman" w:eastAsia="Times New Roman" w:hint="default"/>
                <w:sz w:val="18"/>
                <w:szCs w:val="18"/>
              </w:rPr>
            </w:pPr>
            <w:r>
              <w:rPr>
                <w:rFonts w:ascii="Times New Roman"/>
                <w:sz w:val="18"/>
              </w:rPr>
              <w:t>5,209,099</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,880.58</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717,327,</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642.00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3,636,738</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,551.32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115,174,9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87.44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739,858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,699.82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5,209,099</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,880.58</w:t>
            </w: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13,016,33</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8.66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102,800</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,495.14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115,816,8</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33.80</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130,163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,386.63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130,163,3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86.63</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13,016,33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8.66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-27,362,</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891.49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-14,346,5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52.83</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13,016,33</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8.66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 w:right="0"/>
              <w:jc w:val="center"/>
              <w:rPr>
                <w:rFonts w:ascii="Times New Roman" w:hAnsi="Times New Roman" w:cs="Times New Roman" w:eastAsia="Times New Roman" w:hint="default"/>
                <w:sz w:val="18"/>
                <w:szCs w:val="18"/>
              </w:rPr>
            </w:pPr>
            <w:r>
              <w:rPr>
                <w:rFonts w:ascii="Times New Roman"/>
                <w:sz w:val="18"/>
              </w:rPr>
              <w:t>-13,016,</w:t>
            </w:r>
          </w:p>
          <w:p>
            <w:pPr>
              <w:pStyle w:val="TableParagraph"/>
              <w:spacing w:line="240" w:lineRule="auto" w:before="102"/>
              <w:ind w:left="125" w:right="0"/>
              <w:jc w:val="center"/>
              <w:rPr>
                <w:rFonts w:ascii="Times New Roman" w:hAnsi="Times New Roman" w:cs="Times New Roman" w:eastAsia="Times New Roman" w:hint="default"/>
                <w:sz w:val="18"/>
                <w:szCs w:val="18"/>
              </w:rPr>
            </w:pPr>
            <w:r>
              <w:rPr>
                <w:rFonts w:ascii="Times New Roman"/>
                <w:sz w:val="18"/>
              </w:rPr>
              <w:t>338.66</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-14,346,</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552.83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-14,346,5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52.83</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1" w:right="0"/>
              <w:jc w:val="left"/>
              <w:rPr>
                <w:rFonts w:ascii="Times New Roman" w:hAnsi="Times New Roman" w:cs="Times New Roman" w:eastAsia="Times New Roman" w:hint="default"/>
                <w:sz w:val="18"/>
                <w:szCs w:val="18"/>
              </w:rPr>
            </w:pPr>
            <w:r>
              <w:rPr>
                <w:rFonts w:ascii="Times New Roman"/>
                <w:sz w:val="18"/>
              </w:rPr>
              <w:t>717,327,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5" w:right="0"/>
              <w:jc w:val="left"/>
              <w:rPr>
                <w:rFonts w:ascii="Times New Roman" w:hAnsi="Times New Roman" w:cs="Times New Roman" w:eastAsia="Times New Roman" w:hint="default"/>
                <w:sz w:val="18"/>
                <w:szCs w:val="18"/>
              </w:rPr>
            </w:pPr>
            <w:r>
              <w:rPr>
                <w:rFonts w:ascii="Times New Roman"/>
                <w:sz w:val="18"/>
              </w:rPr>
              <w:t>3,636,738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5" w:right="0"/>
              <w:jc w:val="left"/>
              <w:rPr>
                <w:rFonts w:ascii="Times New Roman" w:hAnsi="Times New Roman" w:cs="Times New Roman" w:eastAsia="Times New Roman" w:hint="default"/>
                <w:sz w:val="18"/>
                <w:szCs w:val="18"/>
              </w:rPr>
            </w:pPr>
            <w:r>
              <w:rPr>
                <w:rFonts w:ascii="Times New Roman"/>
                <w:sz w:val="18"/>
              </w:rPr>
              <w:t>128,191,3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57" w:right="0"/>
              <w:jc w:val="left"/>
              <w:rPr>
                <w:rFonts w:ascii="Times New Roman" w:hAnsi="Times New Roman" w:cs="Times New Roman" w:eastAsia="Times New Roman" w:hint="default"/>
                <w:sz w:val="18"/>
                <w:szCs w:val="18"/>
              </w:rPr>
            </w:pPr>
            <w:r>
              <w:rPr>
                <w:rFonts w:ascii="Times New Roman"/>
                <w:sz w:val="18"/>
              </w:rPr>
              <w:t>842,659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8" w:right="0"/>
              <w:jc w:val="left"/>
              <w:rPr>
                <w:rFonts w:ascii="Times New Roman" w:hAnsi="Times New Roman" w:cs="Times New Roman" w:eastAsia="Times New Roman" w:hint="default"/>
                <w:sz w:val="18"/>
                <w:szCs w:val="18"/>
              </w:rPr>
            </w:pPr>
            <w:r>
              <w:rPr>
                <w:rFonts w:ascii="Times New Roman"/>
                <w:sz w:val="18"/>
              </w:rPr>
              <w:t>5,324,916</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2"/>
      </w:tblGrid>
      <w:tr>
        <w:trPr>
          <w:trHeight w:val="362"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67" w:right="0"/>
              <w:jc w:val="left"/>
              <w:rPr>
                <w:rFonts w:ascii="Times New Roman" w:hAnsi="Times New Roman" w:cs="Times New Roman" w:eastAsia="Times New Roman" w:hint="default"/>
                <w:sz w:val="18"/>
                <w:szCs w:val="18"/>
              </w:rPr>
            </w:pPr>
            <w:r>
              <w:rPr>
                <w:rFonts w:ascii="Times New Roman"/>
                <w:sz w:val="18"/>
              </w:rPr>
              <w:t>642.00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5" w:right="0"/>
              <w:jc w:val="left"/>
              <w:rPr>
                <w:rFonts w:ascii="Times New Roman" w:hAnsi="Times New Roman" w:cs="Times New Roman" w:eastAsia="Times New Roman" w:hint="default"/>
                <w:sz w:val="18"/>
                <w:szCs w:val="18"/>
              </w:rPr>
            </w:pPr>
            <w:r>
              <w:rPr>
                <w:rFonts w:ascii="Times New Roman"/>
                <w:sz w:val="18"/>
              </w:rPr>
              <w:t>,551.32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59" w:right="0"/>
              <w:jc w:val="left"/>
              <w:rPr>
                <w:rFonts w:ascii="Times New Roman" w:hAnsi="Times New Roman" w:cs="Times New Roman" w:eastAsia="Times New Roman" w:hint="default"/>
                <w:sz w:val="18"/>
                <w:szCs w:val="18"/>
              </w:rPr>
            </w:pPr>
            <w:r>
              <w:rPr>
                <w:rFonts w:ascii="Times New Roman"/>
                <w:sz w:val="18"/>
              </w:rPr>
              <w:t>26.10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,194.96</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08" w:right="0"/>
              <w:jc w:val="left"/>
              <w:rPr>
                <w:rFonts w:ascii="Times New Roman" w:hAnsi="Times New Roman" w:cs="Times New Roman" w:eastAsia="Times New Roman" w:hint="default"/>
                <w:sz w:val="18"/>
                <w:szCs w:val="18"/>
              </w:rPr>
            </w:pPr>
            <w:r>
              <w:rPr>
                <w:rFonts w:ascii="Times New Roman"/>
                <w:sz w:val="18"/>
              </w:rPr>
              <w:t>,714.38</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101"/>
        <w:jc w:val="left"/>
        <w:rPr>
          <w:b w:val="0"/>
          <w:bCs w:val="0"/>
        </w:rPr>
      </w:pPr>
      <w:r>
        <w:rPr/>
        <w:t>三、公司基本情况</w:t>
      </w:r>
      <w:r>
        <w:rPr>
          <w:b w:val="0"/>
          <w:bCs w:val="0"/>
        </w:rPr>
      </w:r>
    </w:p>
    <w:p>
      <w:pPr>
        <w:spacing w:line="240" w:lineRule="auto" w:before="12"/>
        <w:rPr>
          <w:rFonts w:ascii="宋体" w:hAnsi="宋体" w:cs="宋体" w:eastAsia="宋体" w:hint="default"/>
          <w:b/>
          <w:bCs/>
          <w:sz w:val="24"/>
          <w:szCs w:val="24"/>
        </w:rPr>
      </w:pPr>
    </w:p>
    <w:p>
      <w:pPr>
        <w:pStyle w:val="BodyText"/>
        <w:spacing w:line="367" w:lineRule="auto"/>
        <w:ind w:left="909" w:right="2634" w:hanging="651"/>
        <w:jc w:val="left"/>
      </w:pPr>
      <w:r>
        <w:rPr/>
        <w:t>（一）公司注册地址、组织形式、总部地址及注册资本</w:t>
      </w:r>
      <w:r>
        <w:rPr>
          <w:w w:val="100"/>
        </w:rPr>
        <w:t> </w:t>
      </w:r>
      <w:r>
        <w:rPr>
          <w:spacing w:val="-2"/>
        </w:rPr>
        <w:t>注册地址：江苏省宿迁市宿豫区彩塑工业园区井头街</w:t>
      </w:r>
      <w:r>
        <w:rPr>
          <w:rFonts w:ascii="Times New Roman" w:hAnsi="Times New Roman" w:cs="Times New Roman" w:eastAsia="Times New Roman" w:hint="default"/>
          <w:spacing w:val="-2"/>
        </w:rPr>
        <w:t>1</w:t>
      </w:r>
      <w:r>
        <w:rPr>
          <w:spacing w:val="-2"/>
        </w:rPr>
        <w:t>号</w:t>
      </w:r>
      <w:r>
        <w:rPr>
          <w:w w:val="100"/>
        </w:rPr>
        <w:t> </w:t>
      </w:r>
      <w:r>
        <w:rPr/>
        <w:t>组织形式：股份有限公司（上市公司）</w:t>
      </w:r>
      <w:r>
        <w:rPr>
          <w:w w:val="100"/>
        </w:rPr>
        <w:t> </w:t>
      </w:r>
      <w:r>
        <w:rPr>
          <w:spacing w:val="-2"/>
        </w:rPr>
        <w:t>总部地址：江苏省宿迁市宿豫区彩塑工业园区井头街</w:t>
      </w:r>
      <w:r>
        <w:rPr>
          <w:rFonts w:ascii="Times New Roman" w:hAnsi="Times New Roman" w:cs="Times New Roman" w:eastAsia="Times New Roman" w:hint="default"/>
          <w:spacing w:val="-2"/>
        </w:rPr>
        <w:t>1</w:t>
      </w:r>
      <w:r>
        <w:rPr>
          <w:spacing w:val="-2"/>
        </w:rPr>
        <w:t>号</w:t>
      </w:r>
      <w:r>
        <w:rPr>
          <w:w w:val="100"/>
        </w:rPr>
        <w:t> </w:t>
      </w:r>
      <w:r>
        <w:rPr/>
        <w:t>注册资本：</w:t>
      </w:r>
      <w:r>
        <w:rPr>
          <w:rFonts w:ascii="Times New Roman" w:hAnsi="Times New Roman" w:cs="Times New Roman" w:eastAsia="Times New Roman" w:hint="default"/>
        </w:rPr>
        <w:t>1,156,278,085</w:t>
      </w:r>
      <w:r>
        <w:rPr/>
        <w:t>元</w:t>
      </w:r>
    </w:p>
    <w:p>
      <w:pPr>
        <w:pStyle w:val="BodyText"/>
        <w:spacing w:line="240" w:lineRule="auto" w:before="18"/>
        <w:ind w:right="101"/>
        <w:jc w:val="left"/>
      </w:pPr>
      <w:r>
        <w:rPr/>
        <w:t>（二）公司设立情况</w:t>
      </w:r>
    </w:p>
    <w:p>
      <w:pPr>
        <w:pStyle w:val="BodyText"/>
        <w:spacing w:line="256" w:lineRule="auto" w:before="157"/>
        <w:ind w:right="206" w:firstLine="504"/>
        <w:jc w:val="both"/>
      </w:pP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8</w:t>
      </w:r>
      <w:r>
        <w:rPr>
          <w:spacing w:val="-2"/>
        </w:rPr>
        <w:t>月，根据</w:t>
      </w:r>
      <w:r>
        <w:rPr>
          <w:rFonts w:ascii="Times New Roman" w:hAnsi="Times New Roman" w:cs="Times New Roman" w:eastAsia="Times New Roman" w:hint="default"/>
          <w:spacing w:val="-2"/>
        </w:rPr>
        <w:t>2010</w:t>
      </w:r>
      <w:r>
        <w:rPr>
          <w:spacing w:val="-2"/>
        </w:rPr>
        <w:t>年度第三次临时股东大会决议和中国证券监督管理委员会《关于核准江苏双星</w:t>
      </w:r>
      <w:r>
        <w:rPr>
          <w:w w:val="100"/>
        </w:rPr>
        <w:t> </w:t>
      </w:r>
      <w:r>
        <w:rPr>
          <w:spacing w:val="-2"/>
        </w:rPr>
        <w:t>彩塑新材料股份有限公司首次公开发行股票的批复》（证监许可［</w:t>
      </w:r>
      <w:r>
        <w:rPr>
          <w:rFonts w:ascii="Times New Roman" w:hAnsi="Times New Roman" w:cs="Times New Roman" w:eastAsia="Times New Roman" w:hint="default"/>
          <w:spacing w:val="-2"/>
        </w:rPr>
        <w:t>2011</w:t>
      </w:r>
      <w:r>
        <w:rPr>
          <w:spacing w:val="-2"/>
        </w:rPr>
        <w:t>］</w:t>
      </w:r>
      <w:r>
        <w:rPr>
          <w:rFonts w:ascii="Times New Roman" w:hAnsi="Times New Roman" w:cs="Times New Roman" w:eastAsia="Times New Roman" w:hint="default"/>
          <w:spacing w:val="-2"/>
        </w:rPr>
        <w:t>713</w:t>
      </w:r>
      <w:r>
        <w:rPr>
          <w:spacing w:val="-2"/>
        </w:rPr>
        <w:t>号</w:t>
      </w:r>
      <w:r>
        <w:rPr>
          <w:rFonts w:ascii="Times New Roman" w:hAnsi="Times New Roman" w:cs="Times New Roman" w:eastAsia="Times New Roman" w:hint="default"/>
          <w:spacing w:val="-2"/>
        </w:rPr>
        <w:t>)</w:t>
      </w:r>
      <w:r>
        <w:rPr>
          <w:spacing w:val="-2"/>
        </w:rPr>
        <w:t>的核准，并经深圳证券交</w:t>
      </w:r>
      <w:r>
        <w:rPr>
          <w:spacing w:val="-14"/>
        </w:rPr>
        <w:t> </w:t>
      </w:r>
      <w:r>
        <w:rPr>
          <w:spacing w:val="-14"/>
        </w:rPr>
      </w:r>
      <w:r>
        <w:rPr>
          <w:spacing w:val="-3"/>
        </w:rPr>
        <w:t>易所同意，双星新材向社会公开发行人民币普通股股票</w:t>
      </w:r>
      <w:r>
        <w:rPr>
          <w:rFonts w:ascii="Times New Roman" w:hAnsi="Times New Roman" w:cs="Times New Roman" w:eastAsia="Times New Roman" w:hint="default"/>
          <w:spacing w:val="-3"/>
        </w:rPr>
        <w:t>5,200</w:t>
      </w:r>
      <w:r>
        <w:rPr>
          <w:spacing w:val="-3"/>
        </w:rPr>
        <w:t>万股，每股面值壹元（</w:t>
      </w:r>
      <w:r>
        <w:rPr>
          <w:rFonts w:ascii="Times New Roman" w:hAnsi="Times New Roman" w:cs="Times New Roman" w:eastAsia="Times New Roman" w:hint="default"/>
          <w:spacing w:val="-3"/>
        </w:rPr>
        <w:t>CNY </w:t>
      </w:r>
      <w:r>
        <w:rPr>
          <w:rFonts w:ascii="Times New Roman" w:hAnsi="Times New Roman" w:cs="Times New Roman" w:eastAsia="Times New Roman" w:hint="default"/>
          <w:spacing w:val="-5"/>
        </w:rPr>
        <w:t>1.00</w:t>
      </w:r>
      <w:r>
        <w:rPr>
          <w:spacing w:val="-5"/>
        </w:rPr>
        <w:t>），每股发行</w:t>
      </w:r>
      <w:r>
        <w:rPr>
          <w:spacing w:val="-87"/>
        </w:rPr>
        <w:t> </w:t>
      </w:r>
      <w:r>
        <w:rPr>
          <w:spacing w:val="-87"/>
        </w:rPr>
      </w:r>
      <w:r>
        <w:rPr>
          <w:spacing w:val="-10"/>
          <w:w w:val="100"/>
        </w:rPr>
        <w:t>价为人民币伍拾伍元（</w:t>
      </w:r>
      <w:r>
        <w:rPr>
          <w:rFonts w:ascii="Times New Roman" w:hAnsi="Times New Roman" w:cs="Times New Roman" w:eastAsia="Times New Roman" w:hint="default"/>
          <w:spacing w:val="-10"/>
          <w:w w:val="100"/>
        </w:rPr>
        <w:t>CNY</w:t>
      </w:r>
      <w:r>
        <w:rPr>
          <w:rFonts w:ascii="Times New Roman" w:hAnsi="Times New Roman" w:cs="Times New Roman" w:eastAsia="Times New Roman" w:hint="default"/>
          <w:w w:val="100"/>
        </w:rPr>
        <w:t> </w:t>
      </w:r>
      <w:r>
        <w:rPr>
          <w:rFonts w:ascii="Times New Roman" w:hAnsi="Times New Roman" w:cs="Times New Roman" w:eastAsia="Times New Roman" w:hint="default"/>
          <w:spacing w:val="-12"/>
          <w:w w:val="100"/>
        </w:rPr>
        <w:t>55.00</w:t>
      </w:r>
      <w:r>
        <w:rPr>
          <w:spacing w:val="-12"/>
          <w:w w:val="100"/>
        </w:rPr>
        <w:t>），可募集资金总额为人民币贰拾捌亿陆仟万元整（</w:t>
      </w:r>
      <w:r>
        <w:rPr>
          <w:rFonts w:ascii="Times New Roman" w:hAnsi="Times New Roman" w:cs="Times New Roman" w:eastAsia="Times New Roman" w:hint="default"/>
          <w:spacing w:val="-12"/>
          <w:w w:val="100"/>
        </w:rPr>
        <w:t>CNY</w:t>
      </w:r>
      <w:r>
        <w:rPr>
          <w:rFonts w:ascii="Times New Roman" w:hAnsi="Times New Roman" w:cs="Times New Roman" w:eastAsia="Times New Roman" w:hint="default"/>
          <w:spacing w:val="7"/>
          <w:w w:val="100"/>
        </w:rPr>
        <w:t> </w:t>
      </w:r>
      <w:r>
        <w:rPr>
          <w:rFonts w:ascii="Times New Roman" w:hAnsi="Times New Roman" w:cs="Times New Roman" w:eastAsia="Times New Roman" w:hint="default"/>
          <w:spacing w:val="-13"/>
          <w:w w:val="100"/>
        </w:rPr>
        <w:t>2,860,000,000.00</w:t>
      </w:r>
      <w:r>
        <w:rPr>
          <w:spacing w:val="-13"/>
          <w:w w:val="100"/>
        </w:rPr>
        <w:t>）。</w:t>
      </w:r>
      <w:r>
        <w:rPr>
          <w:spacing w:val="-97"/>
          <w:w w:val="100"/>
        </w:rPr>
        <w:t> </w:t>
      </w:r>
      <w:r>
        <w:rPr/>
        <w:t>双星新材于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8</w:t>
      </w:r>
      <w:r>
        <w:rPr/>
        <w:t>日取得宿迁市工商行政管理局核发的</w:t>
      </w:r>
      <w:r>
        <w:rPr>
          <w:rFonts w:ascii="Times New Roman" w:hAnsi="Times New Roman" w:cs="Times New Roman" w:eastAsia="Times New Roman" w:hint="default"/>
        </w:rPr>
        <w:t>321300000005816</w:t>
      </w:r>
      <w:r>
        <w:rPr/>
        <w:t>号《企业法人营业执照》。</w:t>
      </w:r>
    </w:p>
    <w:p>
      <w:pPr>
        <w:pStyle w:val="BodyText"/>
        <w:spacing w:line="240" w:lineRule="auto" w:before="125"/>
        <w:ind w:left="657" w:right="101"/>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日，根据</w:t>
      </w:r>
      <w:r>
        <w:rPr>
          <w:rFonts w:ascii="Times New Roman" w:hAnsi="Times New Roman" w:cs="Times New Roman" w:eastAsia="Times New Roman" w:hint="default"/>
        </w:rPr>
        <w:t>2011</w:t>
      </w:r>
      <w:r>
        <w:rPr/>
        <w:t>年度股东大会决议和修改后章程的规定，公司申请转增注册资本人民币</w:t>
      </w:r>
    </w:p>
    <w:p>
      <w:pPr>
        <w:pStyle w:val="BodyText"/>
        <w:spacing w:line="240" w:lineRule="auto" w:before="21"/>
        <w:ind w:right="101"/>
        <w:jc w:val="left"/>
      </w:pPr>
      <w:r>
        <w:rPr>
          <w:rFonts w:ascii="Times New Roman" w:hAnsi="Times New Roman" w:cs="Times New Roman" w:eastAsia="Times New Roman" w:hint="default"/>
        </w:rPr>
        <w:t>208,000,000</w:t>
      </w:r>
      <w:r>
        <w:rPr/>
        <w:t>元，公司以</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25</w:t>
      </w:r>
      <w:r>
        <w:rPr/>
        <w:t>日的总股本</w:t>
      </w:r>
      <w:r>
        <w:rPr>
          <w:rFonts w:ascii="Times New Roman" w:hAnsi="Times New Roman" w:cs="Times New Roman" w:eastAsia="Times New Roman" w:hint="default"/>
        </w:rPr>
        <w:t>208,000,000</w:t>
      </w:r>
      <w:r>
        <w:rPr/>
        <w:t>股为基数，以资本公积向全体股东每</w:t>
      </w:r>
      <w:r>
        <w:rPr>
          <w:rFonts w:ascii="Times New Roman" w:hAnsi="Times New Roman" w:cs="Times New Roman" w:eastAsia="Times New Roman" w:hint="default"/>
        </w:rPr>
        <w:t>10</w:t>
      </w:r>
      <w:r>
        <w:rPr/>
        <w:t>股转增</w:t>
      </w:r>
    </w:p>
    <w:p>
      <w:pPr>
        <w:pStyle w:val="BodyText"/>
        <w:spacing w:line="240" w:lineRule="auto" w:before="21"/>
        <w:ind w:right="101"/>
        <w:jc w:val="left"/>
        <w:rPr>
          <w:rFonts w:ascii="Times New Roman" w:hAnsi="Times New Roman" w:cs="Times New Roman" w:eastAsia="Times New Roman" w:hint="default"/>
        </w:rPr>
      </w:pPr>
      <w:r>
        <w:rPr>
          <w:rFonts w:ascii="Times New Roman" w:hAnsi="Times New Roman" w:cs="Times New Roman" w:eastAsia="Times New Roman" w:hint="default"/>
        </w:rPr>
        <w:t>10</w:t>
      </w:r>
      <w:r>
        <w:rPr/>
        <w:t>股，共计转增</w:t>
      </w:r>
      <w:r>
        <w:rPr>
          <w:rFonts w:ascii="Times New Roman" w:hAnsi="Times New Roman" w:cs="Times New Roman" w:eastAsia="Times New Roman" w:hint="default"/>
        </w:rPr>
        <w:t>208,000,000</w:t>
      </w:r>
      <w:r>
        <w:rPr/>
        <w:t>股。资本公积金转增股本实施后，公司股本总数为</w:t>
      </w:r>
      <w:r>
        <w:rPr>
          <w:rFonts w:ascii="Times New Roman" w:hAnsi="Times New Roman" w:cs="Times New Roman" w:eastAsia="Times New Roman" w:hint="default"/>
        </w:rPr>
        <w:t>416,000,000</w:t>
      </w:r>
      <w:r>
        <w:rPr/>
        <w:t>股，每股面值</w:t>
      </w:r>
      <w:r>
        <w:rPr>
          <w:rFonts w:ascii="Times New Roman" w:hAnsi="Times New Roman" w:cs="Times New Roman" w:eastAsia="Times New Roman" w:hint="default"/>
        </w:rPr>
        <w:t>1</w:t>
      </w:r>
    </w:p>
    <w:p>
      <w:pPr>
        <w:pStyle w:val="BodyText"/>
        <w:spacing w:line="240" w:lineRule="auto" w:before="21"/>
        <w:ind w:right="101"/>
        <w:jc w:val="left"/>
      </w:pPr>
      <w:r>
        <w:rPr/>
        <w:t>元，共计</w:t>
      </w:r>
      <w:r>
        <w:rPr>
          <w:rFonts w:ascii="Times New Roman" w:hAnsi="Times New Roman" w:cs="Times New Roman" w:eastAsia="Times New Roman" w:hint="default"/>
        </w:rPr>
        <w:t>416,000,000</w:t>
      </w:r>
      <w:r>
        <w:rPr/>
        <w:t>元。双星新材于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w:t>
      </w:r>
      <w:r>
        <w:rPr/>
        <w:t>日取得宿迁市工商行政管理局核发的</w:t>
      </w:r>
      <w:r>
        <w:rPr>
          <w:rFonts w:ascii="Times New Roman" w:hAnsi="Times New Roman" w:cs="Times New Roman" w:eastAsia="Times New Roman" w:hint="default"/>
        </w:rPr>
        <w:t>321300000005816</w:t>
      </w:r>
      <w:r>
        <w:rPr/>
        <w:t>号</w:t>
      </w:r>
    </w:p>
    <w:p>
      <w:pPr>
        <w:pStyle w:val="BodyText"/>
        <w:spacing w:line="240" w:lineRule="auto" w:before="21"/>
        <w:ind w:right="101"/>
        <w:jc w:val="left"/>
      </w:pPr>
      <w:r>
        <w:rPr/>
        <w:t>《企业法人营业执照》。</w:t>
      </w:r>
    </w:p>
    <w:p>
      <w:pPr>
        <w:pStyle w:val="BodyText"/>
        <w:spacing w:line="256" w:lineRule="auto" w:before="157"/>
        <w:ind w:right="101" w:firstLine="420"/>
        <w:jc w:val="left"/>
      </w:pPr>
      <w:r>
        <w:rPr>
          <w:spacing w:val="-2"/>
        </w:rPr>
        <w:t>根据公司</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10</w:t>
      </w:r>
      <w:r>
        <w:rPr>
          <w:spacing w:val="-2"/>
        </w:rPr>
        <w:t>日</w:t>
      </w:r>
      <w:r>
        <w:rPr>
          <w:rFonts w:ascii="Times New Roman" w:hAnsi="Times New Roman" w:cs="Times New Roman" w:eastAsia="Times New Roman" w:hint="default"/>
          <w:spacing w:val="-2"/>
        </w:rPr>
        <w:t>2013</w:t>
      </w:r>
      <w:r>
        <w:rPr>
          <w:spacing w:val="-2"/>
        </w:rPr>
        <w:t>年度第二次临时股东大会决议和中国证券监督管理委员会核准（证监许</w:t>
      </w:r>
      <w:r>
        <w:rPr>
          <w:w w:val="100"/>
        </w:rPr>
        <w:t> </w:t>
      </w:r>
      <w:r>
        <w:rPr/>
        <w:t>可［</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612</w:t>
      </w:r>
      <w:r>
        <w:rPr/>
        <w:t>号），同意公司非公开发行人民币普通股，增加注册资本人民币</w:t>
      </w:r>
      <w:r>
        <w:rPr>
          <w:rFonts w:ascii="Times New Roman" w:hAnsi="Times New Roman" w:cs="Times New Roman" w:eastAsia="Times New Roman" w:hint="default"/>
        </w:rPr>
        <w:t>135,790,494.00</w:t>
      </w:r>
      <w:r>
        <w:rPr/>
        <w:t>元，变更后</w:t>
      </w:r>
      <w:r>
        <w:rPr>
          <w:w w:val="100"/>
        </w:rPr>
        <w:t> </w:t>
      </w:r>
      <w:r>
        <w:rPr>
          <w:spacing w:val="-4"/>
        </w:rPr>
        <w:t>的注册资本为人民币</w:t>
      </w:r>
      <w:r>
        <w:rPr>
          <w:rFonts w:ascii="Times New Roman" w:hAnsi="Times New Roman" w:cs="Times New Roman" w:eastAsia="Times New Roman" w:hint="default"/>
          <w:spacing w:val="-4"/>
        </w:rPr>
        <w:t>551,790,494</w:t>
      </w:r>
      <w:r>
        <w:rPr>
          <w:spacing w:val="-4"/>
        </w:rPr>
        <w:t>元。此次非公开发行股票募集资金净额为人民币</w:t>
      </w:r>
      <w:r>
        <w:rPr>
          <w:rFonts w:ascii="Times New Roman" w:hAnsi="Times New Roman" w:cs="Times New Roman" w:eastAsia="Times New Roman" w:hint="default"/>
          <w:spacing w:val="-4"/>
        </w:rPr>
        <w:t>1,367,939,377.08</w:t>
      </w:r>
      <w:r>
        <w:rPr>
          <w:spacing w:val="-4"/>
        </w:rPr>
        <w:t>元，其中：</w:t>
      </w:r>
      <w:r>
        <w:rPr>
          <w:spacing w:val="5"/>
        </w:rPr>
        <w:t> </w:t>
      </w:r>
      <w:r>
        <w:rPr>
          <w:spacing w:val="5"/>
        </w:rPr>
      </w:r>
      <w:r>
        <w:rPr>
          <w:spacing w:val="-3"/>
        </w:rPr>
        <w:t>新增股本人民币</w:t>
      </w:r>
      <w:r>
        <w:rPr>
          <w:rFonts w:ascii="Times New Roman" w:hAnsi="Times New Roman" w:cs="Times New Roman" w:eastAsia="Times New Roman" w:hint="default"/>
          <w:spacing w:val="-3"/>
        </w:rPr>
        <w:t>135,790,494.00</w:t>
      </w:r>
      <w:r>
        <w:rPr>
          <w:spacing w:val="-3"/>
        </w:rPr>
        <w:t>元；出资额溢价部分为人民币</w:t>
      </w:r>
      <w:r>
        <w:rPr>
          <w:rFonts w:ascii="Times New Roman" w:hAnsi="Times New Roman" w:cs="Times New Roman" w:eastAsia="Times New Roman" w:hint="default"/>
          <w:spacing w:val="-3"/>
        </w:rPr>
        <w:t>1,232,148,883.08</w:t>
      </w:r>
      <w:r>
        <w:rPr>
          <w:spacing w:val="-3"/>
        </w:rPr>
        <w:t>元，全部计入资本公积。此次</w:t>
      </w:r>
      <w:r>
        <w:rPr>
          <w:spacing w:val="-5"/>
        </w:rPr>
        <w:t> </w:t>
      </w:r>
      <w:r>
        <w:rPr>
          <w:spacing w:val="-5"/>
        </w:rPr>
      </w:r>
      <w:r>
        <w:rPr/>
        <w:t>发行新股业经众华会计师事务所（特殊普通合伙）出具的众会验字</w:t>
      </w:r>
      <w:r>
        <w:rPr>
          <w:rFonts w:ascii="Times New Roman" w:hAnsi="Times New Roman" w:cs="Times New Roman" w:eastAsia="Times New Roman" w:hint="default"/>
        </w:rPr>
        <w:t>(2014)</w:t>
      </w:r>
      <w:r>
        <w:rPr/>
        <w:t>第</w:t>
      </w:r>
      <w:r>
        <w:rPr>
          <w:rFonts w:ascii="Times New Roman" w:hAnsi="Times New Roman" w:cs="Times New Roman" w:eastAsia="Times New Roman" w:hint="default"/>
        </w:rPr>
        <w:t>4614</w:t>
      </w:r>
      <w:r>
        <w:rPr/>
        <w:t>号《验资报告》验证。双</w:t>
      </w:r>
      <w:r>
        <w:rPr>
          <w:w w:val="100"/>
        </w:rPr>
        <w:t> </w:t>
      </w:r>
      <w:r>
        <w:rPr>
          <w:spacing w:val="-4"/>
        </w:rPr>
        <w:t>星新材于</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10</w:t>
      </w:r>
      <w:r>
        <w:rPr>
          <w:spacing w:val="-4"/>
        </w:rPr>
        <w:t>月</w:t>
      </w:r>
      <w:r>
        <w:rPr>
          <w:rFonts w:ascii="Times New Roman" w:hAnsi="Times New Roman" w:cs="Times New Roman" w:eastAsia="Times New Roman" w:hint="default"/>
          <w:spacing w:val="-4"/>
        </w:rPr>
        <w:t>8</w:t>
      </w:r>
      <w:r>
        <w:rPr>
          <w:spacing w:val="-4"/>
        </w:rPr>
        <w:t>日取得江苏省宿迁工商行政管理局核发的</w:t>
      </w:r>
      <w:r>
        <w:rPr>
          <w:rFonts w:ascii="Times New Roman" w:hAnsi="Times New Roman" w:cs="Times New Roman" w:eastAsia="Times New Roman" w:hint="default"/>
          <w:spacing w:val="-4"/>
        </w:rPr>
        <w:t>321300000005816</w:t>
      </w:r>
      <w:r>
        <w:rPr>
          <w:spacing w:val="-4"/>
        </w:rPr>
        <w:t>号《企业法人营业执照》。</w:t>
      </w:r>
    </w:p>
    <w:p>
      <w:pPr>
        <w:pStyle w:val="BodyText"/>
        <w:spacing w:line="256" w:lineRule="auto" w:before="125"/>
        <w:ind w:right="101" w:firstLine="42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21</w:t>
      </w:r>
      <w:r>
        <w:rPr/>
        <w:t>日，根据</w:t>
      </w:r>
      <w:r>
        <w:rPr>
          <w:rFonts w:ascii="Times New Roman" w:hAnsi="Times New Roman" w:cs="Times New Roman" w:eastAsia="Times New Roman" w:hint="default"/>
        </w:rPr>
        <w:t>2015</w:t>
      </w:r>
      <w:r>
        <w:rPr/>
        <w:t>年度股东大会决议和修改后章程的规定，公司申请新增的注册资本为人民</w:t>
      </w:r>
      <w:r>
        <w:rPr>
          <w:w w:val="100"/>
        </w:rPr>
        <w:t> </w:t>
      </w:r>
      <w:r>
        <w:rPr>
          <w:spacing w:val="-2"/>
        </w:rPr>
        <w:t>币</w:t>
      </w:r>
      <w:r>
        <w:rPr>
          <w:rFonts w:ascii="Times New Roman" w:hAnsi="Times New Roman" w:cs="Times New Roman" w:eastAsia="Times New Roman" w:hint="default"/>
          <w:spacing w:val="-2"/>
        </w:rPr>
        <w:t>165,537,148</w:t>
      </w:r>
      <w:r>
        <w:rPr>
          <w:spacing w:val="-2"/>
        </w:rPr>
        <w:t>元，公司以</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8</w:t>
      </w:r>
      <w:r>
        <w:rPr>
          <w:spacing w:val="-2"/>
        </w:rPr>
        <w:t>日的总股本</w:t>
      </w:r>
      <w:r>
        <w:rPr>
          <w:rFonts w:ascii="Times New Roman" w:hAnsi="Times New Roman" w:cs="Times New Roman" w:eastAsia="Times New Roman" w:hint="default"/>
          <w:spacing w:val="-2"/>
        </w:rPr>
        <w:t>551,790,494</w:t>
      </w:r>
      <w:r>
        <w:rPr>
          <w:spacing w:val="-2"/>
        </w:rPr>
        <w:t>股为基数，以资本公积向全体股东每</w:t>
      </w:r>
      <w:r>
        <w:rPr>
          <w:rFonts w:ascii="Times New Roman" w:hAnsi="Times New Roman" w:cs="Times New Roman" w:eastAsia="Times New Roman" w:hint="default"/>
          <w:spacing w:val="-2"/>
        </w:rPr>
        <w:t>10</w:t>
      </w:r>
      <w:r>
        <w:rPr>
          <w:spacing w:val="-2"/>
        </w:rPr>
        <w:t>股转增</w:t>
      </w:r>
      <w:r>
        <w:rPr>
          <w:spacing w:val="-18"/>
        </w:rPr>
        <w:t> </w:t>
      </w:r>
      <w:r>
        <w:rPr>
          <w:spacing w:val="-18"/>
        </w:rPr>
      </w:r>
      <w:r>
        <w:rPr>
          <w:rFonts w:ascii="Times New Roman" w:hAnsi="Times New Roman" w:cs="Times New Roman" w:eastAsia="Times New Roman" w:hint="default"/>
          <w:spacing w:val="-4"/>
        </w:rPr>
        <w:t>3</w:t>
      </w:r>
      <w:r>
        <w:rPr>
          <w:spacing w:val="-4"/>
        </w:rPr>
        <w:t>股，共计转增</w:t>
      </w:r>
      <w:r>
        <w:rPr>
          <w:rFonts w:ascii="Times New Roman" w:hAnsi="Times New Roman" w:cs="Times New Roman" w:eastAsia="Times New Roman" w:hint="default"/>
          <w:spacing w:val="-4"/>
        </w:rPr>
        <w:t>165,537,148</w:t>
      </w:r>
      <w:r>
        <w:rPr>
          <w:spacing w:val="-4"/>
        </w:rPr>
        <w:t>股。资本公积金转增股本实施后，公司股本总数为</w:t>
      </w:r>
      <w:r>
        <w:rPr>
          <w:rFonts w:ascii="Times New Roman" w:hAnsi="Times New Roman" w:cs="Times New Roman" w:eastAsia="Times New Roman" w:hint="default"/>
          <w:spacing w:val="-4"/>
        </w:rPr>
        <w:t>717,327,642</w:t>
      </w:r>
      <w:r>
        <w:rPr>
          <w:spacing w:val="-4"/>
        </w:rPr>
        <w:t>股，每股面值</w:t>
      </w:r>
      <w:r>
        <w:rPr>
          <w:rFonts w:ascii="Times New Roman" w:hAnsi="Times New Roman" w:cs="Times New Roman" w:eastAsia="Times New Roman" w:hint="default"/>
          <w:spacing w:val="-4"/>
        </w:rPr>
        <w:t>1</w:t>
      </w:r>
      <w:r>
        <w:rPr>
          <w:spacing w:val="-4"/>
        </w:rPr>
        <w:t>元， </w:t>
      </w:r>
      <w:r>
        <w:rPr>
          <w:spacing w:val="-2"/>
        </w:rPr>
        <w:t>共计</w:t>
      </w:r>
      <w:r>
        <w:rPr>
          <w:rFonts w:ascii="Times New Roman" w:hAnsi="Times New Roman" w:cs="Times New Roman" w:eastAsia="Times New Roman" w:hint="default"/>
          <w:spacing w:val="-2"/>
        </w:rPr>
        <w:t>717,327,642</w:t>
      </w:r>
      <w:r>
        <w:rPr>
          <w:spacing w:val="-2"/>
        </w:rPr>
        <w:t>元。双星新材于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14</w:t>
      </w:r>
      <w:r>
        <w:rPr>
          <w:spacing w:val="-2"/>
        </w:rPr>
        <w:t>日取得江苏省宿迁工商行政管理局核发的</w:t>
      </w:r>
      <w:r>
        <w:rPr>
          <w:rFonts w:ascii="Times New Roman" w:hAnsi="Times New Roman" w:cs="Times New Roman" w:eastAsia="Times New Roman" w:hint="default"/>
          <w:spacing w:val="-2"/>
        </w:rPr>
        <w:t>321300000005816</w:t>
      </w:r>
      <w:r>
        <w:rPr>
          <w:spacing w:val="-2"/>
        </w:rPr>
        <w:t>号</w:t>
      </w:r>
    </w:p>
    <w:p>
      <w:pPr>
        <w:pStyle w:val="BodyText"/>
        <w:spacing w:line="240" w:lineRule="auto" w:before="5"/>
        <w:ind w:right="101"/>
        <w:jc w:val="left"/>
      </w:pPr>
      <w:r>
        <w:rPr/>
        <w:t>《企业法人营业执照》。</w:t>
      </w:r>
    </w:p>
    <w:p>
      <w:pPr>
        <w:pStyle w:val="BodyText"/>
        <w:spacing w:line="256" w:lineRule="auto" w:before="157"/>
        <w:ind w:right="101" w:firstLine="588"/>
        <w:jc w:val="left"/>
      </w:pPr>
      <w:r>
        <w:rPr>
          <w:spacing w:val="-8"/>
        </w:rPr>
        <w:t>根据公司</w:t>
      </w:r>
      <w:r>
        <w:rPr>
          <w:rFonts w:ascii="Times New Roman" w:hAnsi="Times New Roman" w:cs="Times New Roman" w:eastAsia="Times New Roman" w:hint="default"/>
          <w:spacing w:val="-8"/>
        </w:rPr>
        <w:t>2015</w:t>
      </w:r>
      <w:r>
        <w:rPr>
          <w:spacing w:val="-8"/>
        </w:rPr>
        <w:t>年第二次临时股东大会决议和中国证券监督管理委员会核准（证监许可〔</w:t>
      </w:r>
      <w:r>
        <w:rPr>
          <w:rFonts w:ascii="Times New Roman" w:hAnsi="Times New Roman" w:cs="Times New Roman" w:eastAsia="Times New Roman" w:hint="default"/>
          <w:spacing w:val="-8"/>
        </w:rPr>
        <w:t>2017</w:t>
      </w:r>
      <w:r>
        <w:rPr>
          <w:spacing w:val="-8"/>
        </w:rPr>
        <w:t>〕</w:t>
      </w:r>
      <w:r>
        <w:rPr>
          <w:rFonts w:ascii="Times New Roman" w:hAnsi="Times New Roman" w:cs="Times New Roman" w:eastAsia="Times New Roman" w:hint="default"/>
          <w:spacing w:val="-8"/>
        </w:rPr>
        <w:t>55</w:t>
      </w:r>
      <w:r>
        <w:rPr>
          <w:spacing w:val="-8"/>
        </w:rPr>
        <w:t>号），</w:t>
      </w:r>
      <w:r>
        <w:rPr>
          <w:w w:val="100"/>
        </w:rPr>
        <w:t> </w:t>
      </w:r>
      <w:r>
        <w:rPr>
          <w:spacing w:val="5"/>
        </w:rPr>
        <w:t>同意公司非公开发行人民币普通股，增加注册资本人民币</w:t>
      </w:r>
      <w:r>
        <w:rPr>
          <w:rFonts w:ascii="Times New Roman" w:hAnsi="Times New Roman" w:cs="Times New Roman" w:eastAsia="Times New Roman" w:hint="default"/>
          <w:spacing w:val="5"/>
        </w:rPr>
        <w:t>172,117,039</w:t>
      </w:r>
      <w:r>
        <w:rPr>
          <w:spacing w:val="5"/>
        </w:rPr>
        <w:t>元，变更后的注册资本为人民币</w:t>
      </w:r>
      <w:r>
        <w:rPr>
          <w:spacing w:val="20"/>
        </w:rPr>
        <w:t> </w:t>
      </w:r>
      <w:r>
        <w:rPr>
          <w:spacing w:val="20"/>
        </w:rPr>
      </w:r>
      <w:r>
        <w:rPr>
          <w:rFonts w:ascii="Times New Roman" w:hAnsi="Times New Roman" w:cs="Times New Roman" w:eastAsia="Times New Roman" w:hint="default"/>
          <w:spacing w:val="-2"/>
        </w:rPr>
        <w:t>889,444,681</w:t>
      </w:r>
      <w:r>
        <w:rPr>
          <w:spacing w:val="-2"/>
        </w:rPr>
        <w:t>元。此次非公开发行股票实际募集资金净额人民币</w:t>
      </w:r>
      <w:r>
        <w:rPr>
          <w:rFonts w:ascii="Times New Roman" w:hAnsi="Times New Roman" w:cs="Times New Roman" w:eastAsia="Times New Roman" w:hint="default"/>
          <w:spacing w:val="-2"/>
        </w:rPr>
        <w:t>1,967,572,876.23</w:t>
      </w:r>
      <w:r>
        <w:rPr>
          <w:spacing w:val="-2"/>
        </w:rPr>
        <w:t>元，其中：新增注册资本人</w:t>
      </w:r>
      <w:r>
        <w:rPr>
          <w:spacing w:val="-18"/>
        </w:rPr>
        <w:t> </w:t>
      </w:r>
      <w:r>
        <w:rPr>
          <w:spacing w:val="-18"/>
        </w:rPr>
      </w:r>
      <w:r>
        <w:rPr/>
        <w:t>民币</w:t>
      </w:r>
      <w:r>
        <w:rPr>
          <w:rFonts w:ascii="Times New Roman" w:hAnsi="Times New Roman" w:cs="Times New Roman" w:eastAsia="Times New Roman" w:hint="default"/>
        </w:rPr>
        <w:t>172,117,039.00</w:t>
      </w:r>
      <w:r>
        <w:rPr/>
        <w:t>元，增加其他流动资产（待抵扣进项税）人民币</w:t>
      </w:r>
      <w:r>
        <w:rPr>
          <w:rFonts w:ascii="Times New Roman" w:hAnsi="Times New Roman" w:cs="Times New Roman" w:eastAsia="Times New Roman" w:hint="default"/>
        </w:rPr>
        <w:t>1,733,773.58</w:t>
      </w:r>
      <w:r>
        <w:rPr/>
        <w:t>元，增加资本公积人民币</w:t>
      </w:r>
      <w:r>
        <w:rPr>
          <w:spacing w:val="-32"/>
        </w:rPr>
        <w:t> </w:t>
      </w:r>
      <w:r>
        <w:rPr>
          <w:spacing w:val="-32"/>
        </w:rPr>
      </w:r>
      <w:r>
        <w:rPr>
          <w:rFonts w:ascii="Times New Roman" w:hAnsi="Times New Roman" w:cs="Times New Roman" w:eastAsia="Times New Roman" w:hint="default"/>
        </w:rPr>
        <w:t>1,797,189,610.81</w:t>
      </w:r>
      <w:r>
        <w:rPr/>
        <w:t>元。众华会计师事务所（特殊普通合伙）出具了</w:t>
      </w:r>
      <w:r>
        <w:rPr>
          <w:rFonts w:ascii="Times New Roman" w:hAnsi="Times New Roman" w:cs="Times New Roman" w:eastAsia="Times New Roman" w:hint="default"/>
        </w:rPr>
        <w:t>“</w:t>
      </w:r>
      <w:r>
        <w:rPr/>
        <w:t>众会字（</w:t>
      </w:r>
      <w:r>
        <w:rPr>
          <w:rFonts w:ascii="Times New Roman" w:hAnsi="Times New Roman" w:cs="Times New Roman" w:eastAsia="Times New Roman" w:hint="default"/>
        </w:rPr>
        <w:t>2017</w:t>
      </w:r>
      <w:r>
        <w:rPr/>
        <w:t>）第</w:t>
      </w:r>
      <w:r>
        <w:rPr>
          <w:rFonts w:ascii="Times New Roman" w:hAnsi="Times New Roman" w:cs="Times New Roman" w:eastAsia="Times New Roman" w:hint="default"/>
        </w:rPr>
        <w:t>2244</w:t>
      </w:r>
      <w:r>
        <w:rPr/>
        <w:t>号</w:t>
      </w:r>
      <w:r>
        <w:rPr>
          <w:rFonts w:ascii="Times New Roman" w:hAnsi="Times New Roman" w:cs="Times New Roman" w:eastAsia="Times New Roman" w:hint="default"/>
        </w:rPr>
        <w:t>”</w:t>
      </w:r>
      <w:r>
        <w:rPr/>
        <w:t>验资报告，确</w:t>
      </w:r>
      <w:r>
        <w:rPr>
          <w:w w:val="100"/>
        </w:rPr>
        <w:t> </w:t>
      </w:r>
      <w:r>
        <w:rPr/>
        <w:t>认本次发行的新增注册资本及股本情况。</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日，根据</w:t>
      </w:r>
      <w:r>
        <w:rPr>
          <w:rFonts w:ascii="Times New Roman" w:hAnsi="Times New Roman" w:cs="Times New Roman" w:eastAsia="Times New Roman" w:hint="default"/>
        </w:rPr>
        <w:t>2016</w:t>
      </w:r>
      <w:r>
        <w:rPr/>
        <w:t>年年度股东大会决议和修改后章程的</w:t>
      </w:r>
      <w:r>
        <w:rPr>
          <w:spacing w:val="-28"/>
        </w:rPr>
        <w:t> </w:t>
      </w:r>
      <w:r>
        <w:rPr>
          <w:spacing w:val="-28"/>
        </w:rPr>
      </w:r>
      <w:r>
        <w:rPr/>
        <w:t>规定，以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日总股本</w:t>
      </w:r>
      <w:r>
        <w:rPr>
          <w:rFonts w:ascii="Times New Roman" w:hAnsi="Times New Roman" w:cs="Times New Roman" w:eastAsia="Times New Roman" w:hint="default"/>
        </w:rPr>
        <w:t>889,444,681</w:t>
      </w:r>
      <w:r>
        <w:rPr/>
        <w:t>股为基数，向全体股东每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0.2</w:t>
      </w:r>
      <w:r>
        <w:rPr/>
        <w:t>元（含税），共</w:t>
      </w:r>
      <w:r>
        <w:rPr>
          <w:spacing w:val="-78"/>
        </w:rPr>
        <w:t> </w:t>
      </w:r>
      <w:r>
        <w:rPr>
          <w:spacing w:val="-78"/>
        </w:rPr>
      </w:r>
      <w:r>
        <w:rPr/>
        <w:t>分配现金红利</w:t>
      </w:r>
      <w:r>
        <w:rPr>
          <w:rFonts w:ascii="Times New Roman" w:hAnsi="Times New Roman" w:cs="Times New Roman" w:eastAsia="Times New Roman" w:hint="default"/>
        </w:rPr>
        <w:t>17,788,893.62</w:t>
      </w:r>
      <w:r>
        <w:rPr/>
        <w:t>元；以公司总股本</w:t>
      </w:r>
      <w:r>
        <w:rPr>
          <w:rFonts w:ascii="Times New Roman" w:hAnsi="Times New Roman" w:cs="Times New Roman" w:eastAsia="Times New Roman" w:hint="default"/>
        </w:rPr>
        <w:t>889,444,681</w:t>
      </w:r>
      <w:r>
        <w:rPr/>
        <w:t>股为基数，以资本公积转增股本，每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rFonts w:ascii="Times New Roman" w:hAnsi="Times New Roman" w:cs="Times New Roman" w:eastAsia="Times New Roman" w:hint="default"/>
          <w:spacing w:val="18"/>
        </w:rPr>
        <w:t> </w:t>
      </w:r>
      <w:r>
        <w:rPr>
          <w:spacing w:val="-2"/>
        </w:rPr>
        <w:t>股，共计转增</w:t>
      </w:r>
      <w:r>
        <w:rPr>
          <w:rFonts w:ascii="Times New Roman" w:hAnsi="Times New Roman" w:cs="Times New Roman" w:eastAsia="Times New Roman" w:hint="default"/>
          <w:spacing w:val="-2"/>
        </w:rPr>
        <w:t>266,833,404</w:t>
      </w:r>
      <w:r>
        <w:rPr>
          <w:rFonts w:ascii="Times New Roman" w:hAnsi="Times New Roman" w:cs="Times New Roman" w:eastAsia="Times New Roman" w:hint="default"/>
        </w:rPr>
        <w:t> </w:t>
      </w:r>
      <w:r>
        <w:rPr>
          <w:rFonts w:ascii="Times New Roman" w:hAnsi="Times New Roman" w:cs="Times New Roman" w:eastAsia="Times New Roman" w:hint="default"/>
          <w:spacing w:val="37"/>
        </w:rPr>
        <w:t> </w:t>
      </w:r>
      <w:r>
        <w:rPr>
          <w:spacing w:val="-2"/>
        </w:rPr>
        <w:t>股，转增后公司总股本增至</w:t>
      </w:r>
      <w:r>
        <w:rPr>
          <w:rFonts w:ascii="Times New Roman" w:hAnsi="Times New Roman" w:cs="Times New Roman" w:eastAsia="Times New Roman" w:hint="default"/>
          <w:spacing w:val="-2"/>
        </w:rPr>
        <w:t>1,156,278,085</w:t>
      </w:r>
      <w:r>
        <w:rPr>
          <w:spacing w:val="-2"/>
        </w:rPr>
        <w:t>股。双星新材于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8</w:t>
      </w:r>
      <w:r>
        <w:rPr>
          <w:spacing w:val="-2"/>
        </w:rPr>
        <w:t>日取得江苏</w:t>
      </w:r>
    </w:p>
    <w:p>
      <w:pPr>
        <w:spacing w:after="0" w:line="256" w:lineRule="auto"/>
        <w:jc w:val="left"/>
        <w:sectPr>
          <w:pgSz w:w="11910" w:h="16840"/>
          <w:pgMar w:header="745" w:footer="980" w:top="1060" w:bottom="1160" w:left="980" w:right="920"/>
        </w:sectPr>
      </w:pPr>
    </w:p>
    <w:p>
      <w:pPr>
        <w:spacing w:line="240" w:lineRule="auto" w:before="10"/>
        <w:rPr>
          <w:rFonts w:ascii="宋体" w:hAnsi="宋体" w:cs="宋体" w:eastAsia="宋体" w:hint="default"/>
          <w:sz w:val="24"/>
          <w:szCs w:val="24"/>
        </w:rPr>
      </w:pPr>
    </w:p>
    <w:p>
      <w:pPr>
        <w:pStyle w:val="BodyText"/>
        <w:spacing w:line="360" w:lineRule="auto" w:before="36"/>
        <w:ind w:left="657" w:right="153" w:hanging="505"/>
        <w:jc w:val="left"/>
      </w:pPr>
      <w:r>
        <w:rPr/>
        <w:t>省宿迁工商行政管理局核发的</w:t>
      </w:r>
      <w:r>
        <w:rPr>
          <w:rFonts w:ascii="Times New Roman" w:hAnsi="Times New Roman" w:cs="Times New Roman" w:eastAsia="Times New Roman" w:hint="default"/>
        </w:rPr>
        <w:t>321300000005816</w:t>
      </w:r>
      <w:r>
        <w:rPr/>
        <w:t>号《企业法人营业执照》。</w:t>
      </w:r>
      <w:r>
        <w:rPr>
          <w:w w:val="100"/>
        </w:rPr>
        <w:t> </w:t>
      </w:r>
      <w:r>
        <w:rPr>
          <w:spacing w:val="-2"/>
        </w:rPr>
        <w:t>业务性质：本公司从事高分子复合材料、新型塑料包装薄膜以及光学膜的研发、生产和销售，主要</w:t>
      </w:r>
    </w:p>
    <w:p>
      <w:pPr>
        <w:pStyle w:val="BodyText"/>
        <w:spacing w:line="205" w:lineRule="exact"/>
        <w:ind w:right="153"/>
        <w:jc w:val="left"/>
      </w:pPr>
      <w:r>
        <w:rPr/>
        <w:t>产品为聚酯薄膜等新型塑料薄膜。</w:t>
      </w:r>
    </w:p>
    <w:p>
      <w:pPr>
        <w:pStyle w:val="BodyText"/>
        <w:spacing w:line="273" w:lineRule="auto" w:before="157"/>
        <w:ind w:right="146" w:firstLine="420"/>
        <w:jc w:val="both"/>
      </w:pPr>
      <w:r>
        <w:rPr>
          <w:spacing w:val="-2"/>
        </w:rPr>
        <w:t>本公司经营范围：光电新材料、光学膜、太阳能电池背材膜、聚酯电容膜、聚酯工业基材；高分子复</w:t>
      </w:r>
      <w:r>
        <w:rPr>
          <w:w w:val="100"/>
        </w:rPr>
        <w:t> </w:t>
      </w:r>
      <w:r>
        <w:rPr>
          <w:spacing w:val="-2"/>
        </w:rPr>
        <w:t>合材料技术研发；包装材料生产、化工材料（除化学危险品）销售；包装装潢印刷品印刷、其他印刷品印</w:t>
      </w:r>
      <w:r>
        <w:rPr>
          <w:spacing w:val="-42"/>
        </w:rPr>
        <w:t> </w:t>
      </w:r>
      <w:r>
        <w:rPr>
          <w:spacing w:val="-42"/>
        </w:rPr>
      </w:r>
      <w:r>
        <w:rPr>
          <w:spacing w:val="-2"/>
        </w:rPr>
        <w:t>刷；经营本企业自产产品及技术的出口业务；经营本企业生产、科研所需的原辅材料、仪器仪表、机械设</w:t>
      </w:r>
      <w:r>
        <w:rPr>
          <w:spacing w:val="-42"/>
        </w:rPr>
        <w:t> </w:t>
      </w:r>
      <w:r>
        <w:rPr>
          <w:spacing w:val="-42"/>
        </w:rPr>
      </w:r>
      <w:r>
        <w:rPr>
          <w:spacing w:val="-2"/>
        </w:rPr>
        <w:t>备、零配件及技术的进口业务（国家限定公司经营和国家禁止进出口的商品及技术除外）；经营进料加工</w:t>
      </w:r>
      <w:r>
        <w:rPr>
          <w:spacing w:val="-47"/>
        </w:rPr>
        <w:t> </w:t>
      </w:r>
      <w:r>
        <w:rPr>
          <w:spacing w:val="-47"/>
        </w:rPr>
      </w:r>
      <w:r>
        <w:rPr/>
        <w:t>和</w:t>
      </w:r>
      <w:r>
        <w:rPr>
          <w:rFonts w:ascii="Times New Roman" w:hAnsi="Times New Roman" w:cs="Times New Roman" w:eastAsia="Times New Roman" w:hint="default"/>
        </w:rPr>
        <w:t>“</w:t>
      </w:r>
      <w:r>
        <w:rPr/>
        <w:t>三来一补</w:t>
      </w:r>
      <w:r>
        <w:rPr>
          <w:rFonts w:ascii="Times New Roman" w:hAnsi="Times New Roman" w:cs="Times New Roman" w:eastAsia="Times New Roman" w:hint="default"/>
        </w:rPr>
        <w:t>”</w:t>
      </w:r>
      <w:r>
        <w:rPr/>
        <w:t>业务。道路普通货物运输。</w:t>
      </w:r>
    </w:p>
    <w:p>
      <w:pPr>
        <w:pStyle w:val="BodyText"/>
        <w:spacing w:line="357" w:lineRule="auto" w:before="108"/>
        <w:ind w:left="489" w:right="153" w:firstLine="84"/>
        <w:jc w:val="left"/>
      </w:pPr>
      <w:r>
        <w:rPr/>
        <w:pict>
          <v:shape style="position:absolute;margin-left:56.340012pt;margin-top:45.263683pt;width:454.55pt;height:101.4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955"/>
                    <w:gridCol w:w="2060"/>
                    <w:gridCol w:w="2056"/>
                  </w:tblGrid>
                  <w:tr>
                    <w:trPr>
                      <w:trHeight w:val="341" w:hRule="exact"/>
                    </w:trPr>
                    <w:tc>
                      <w:tcPr>
                        <w:tcW w:w="4955" w:type="dxa"/>
                        <w:vMerge w:val="restart"/>
                        <w:tcBorders>
                          <w:top w:val="single" w:sz="4" w:space="0" w:color="000000"/>
                          <w:left w:val="single" w:sz="4" w:space="0" w:color="000000"/>
                          <w:right w:val="single" w:sz="4"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1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5" w:right="0"/>
                          <w:jc w:val="center"/>
                          <w:rPr>
                            <w:rFonts w:ascii="宋体" w:hAnsi="宋体" w:cs="宋体" w:eastAsia="宋体" w:hint="default"/>
                            <w:sz w:val="21"/>
                            <w:szCs w:val="21"/>
                          </w:rPr>
                        </w:pPr>
                        <w:r>
                          <w:rPr>
                            <w:rFonts w:ascii="宋体" w:hAnsi="宋体" w:cs="宋体" w:eastAsia="宋体" w:hint="default"/>
                            <w:sz w:val="21"/>
                            <w:szCs w:val="21"/>
                          </w:rPr>
                          <w:t>是否合并</w:t>
                        </w:r>
                      </w:p>
                    </w:tc>
                  </w:tr>
                  <w:tr>
                    <w:trPr>
                      <w:trHeight w:val="344" w:hRule="exact"/>
                    </w:trPr>
                    <w:tc>
                      <w:tcPr>
                        <w:tcW w:w="4955" w:type="dxa"/>
                        <w:vMerge/>
                        <w:tcBorders>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年度</w:t>
                        </w:r>
                      </w:p>
                    </w:tc>
                    <w:tc>
                      <w:tcPr>
                        <w:tcW w:w="2056" w:type="dxa"/>
                        <w:tcBorders>
                          <w:top w:val="single" w:sz="4" w:space="0" w:color="000000"/>
                          <w:left w:val="single" w:sz="4" w:space="0" w:color="000000"/>
                          <w:bottom w:val="single" w:sz="4" w:space="0" w:color="000000"/>
                          <w:right w:val="single" w:sz="5" w:space="0" w:color="000000"/>
                        </w:tcBorders>
                      </w:tcPr>
                      <w:p>
                        <w:pPr>
                          <w:pStyle w:val="TableParagraph"/>
                          <w:spacing w:line="288"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宋体" w:hAnsi="宋体" w:cs="宋体" w:eastAsia="宋体" w:hint="default"/>
                            <w:sz w:val="21"/>
                            <w:szCs w:val="21"/>
                          </w:rPr>
                          <w:t>年度</w:t>
                        </w:r>
                      </w:p>
                    </w:tc>
                  </w:tr>
                  <w:tr>
                    <w:trPr>
                      <w:trHeight w:val="341" w:hRule="exact"/>
                    </w:trPr>
                    <w:tc>
                      <w:tcPr>
                        <w:tcW w:w="495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江西科为薄膜新型材料有限公司</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056" w:type="dxa"/>
                        <w:tcBorders>
                          <w:top w:val="single" w:sz="4" w:space="0" w:color="000000"/>
                          <w:left w:val="single" w:sz="4" w:space="0" w:color="000000"/>
                          <w:bottom w:val="single" w:sz="4" w:space="0" w:color="000000"/>
                          <w:right w:val="single" w:sz="5"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43" w:hRule="exact"/>
                    </w:trPr>
                    <w:tc>
                      <w:tcPr>
                        <w:tcW w:w="4955"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5" w:space="0" w:color="000000"/>
                        </w:tcBorders>
                      </w:tcPr>
                      <w:p>
                        <w:pPr/>
                      </w:p>
                    </w:tc>
                  </w:tr>
                  <w:tr>
                    <w:trPr>
                      <w:trHeight w:val="648" w:hRule="exact"/>
                    </w:trPr>
                    <w:tc>
                      <w:tcPr>
                        <w:tcW w:w="9070" w:type="dxa"/>
                        <w:gridSpan w:val="3"/>
                        <w:tcBorders>
                          <w:top w:val="single" w:sz="4" w:space="0" w:color="000000"/>
                          <w:left w:val="nil" w:sz="6" w:space="0" w:color="auto"/>
                          <w:bottom w:val="nil" w:sz="6" w:space="0" w:color="auto"/>
                          <w:right w:val="single" w:sz="6" w:space="0" w:color="000000"/>
                        </w:tcBorders>
                      </w:tcPr>
                      <w:p>
                        <w:pPr>
                          <w:pStyle w:val="TableParagraph"/>
                          <w:spacing w:line="256" w:lineRule="auto"/>
                          <w:ind w:left="12" w:right="-4"/>
                          <w:jc w:val="left"/>
                          <w:rPr>
                            <w:rFonts w:ascii="宋体" w:hAnsi="宋体" w:cs="宋体" w:eastAsia="宋体" w:hint="default"/>
                            <w:sz w:val="21"/>
                            <w:szCs w:val="21"/>
                          </w:rPr>
                        </w:pPr>
                        <w:r>
                          <w:rPr>
                            <w:rFonts w:ascii="宋体" w:hAnsi="宋体" w:cs="宋体" w:eastAsia="宋体" w:hint="default"/>
                            <w:spacing w:val="-3"/>
                            <w:sz w:val="21"/>
                            <w:szCs w:val="21"/>
                          </w:rPr>
                          <w:t>注：江西科为薄膜新型材料有限公司系公司于</w:t>
                        </w:r>
                        <w:r>
                          <w:rPr>
                            <w:rFonts w:ascii="Times New Roman" w:hAnsi="Times New Roman" w:cs="Times New Roman" w:eastAsia="Times New Roman" w:hint="default"/>
                            <w:spacing w:val="-3"/>
                            <w:sz w:val="21"/>
                            <w:szCs w:val="21"/>
                          </w:rPr>
                          <w:t>2015</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7</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7</w:t>
                        </w:r>
                        <w:r>
                          <w:rPr>
                            <w:rFonts w:ascii="宋体" w:hAnsi="宋体" w:cs="宋体" w:eastAsia="宋体" w:hint="default"/>
                            <w:spacing w:val="-3"/>
                            <w:sz w:val="21"/>
                            <w:szCs w:val="21"/>
                          </w:rPr>
                          <w:t>日完成收购的全资子公司，自</w:t>
                        </w:r>
                        <w:r>
                          <w:rPr>
                            <w:rFonts w:ascii="Times New Roman" w:hAnsi="Times New Roman" w:cs="Times New Roman" w:eastAsia="Times New Roman" w:hint="default"/>
                            <w:spacing w:val="-3"/>
                            <w:sz w:val="21"/>
                            <w:szCs w:val="21"/>
                          </w:rPr>
                          <w:t>2015</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7</w:t>
                        </w:r>
                        <w:r>
                          <w:rPr>
                            <w:rFonts w:ascii="宋体" w:hAnsi="宋体" w:cs="宋体" w:eastAsia="宋体" w:hint="default"/>
                            <w:spacing w:val="-3"/>
                            <w:sz w:val="21"/>
                            <w:szCs w:val="21"/>
                          </w:rPr>
                          <w:t>月起</w:t>
                        </w:r>
                        <w:r>
                          <w:rPr>
                            <w:rFonts w:ascii="宋体" w:hAnsi="宋体" w:cs="宋体" w:eastAsia="宋体" w:hint="default"/>
                            <w:spacing w:val="-52"/>
                            <w:sz w:val="21"/>
                            <w:szCs w:val="21"/>
                          </w:rPr>
                          <w:t> </w:t>
                        </w:r>
                        <w:r>
                          <w:rPr>
                            <w:rFonts w:ascii="宋体" w:hAnsi="宋体" w:cs="宋体" w:eastAsia="宋体" w:hint="default"/>
                            <w:sz w:val="21"/>
                            <w:szCs w:val="21"/>
                          </w:rPr>
                          <w:t>纳入公司合并财务报表范围。</w:t>
                        </w:r>
                      </w:p>
                    </w:tc>
                  </w:tr>
                </w:tbl>
                <w:p>
                  <w:pPr/>
                </w:p>
              </w:txbxContent>
            </v:textbox>
            <w10:wrap type="none"/>
          </v:shape>
        </w:pict>
      </w:r>
      <w:r>
        <w:rPr>
          <w:spacing w:val="-2"/>
        </w:rPr>
        <w:t>本公司主要产品包括聚酯薄膜、真空镀铝膜、</w:t>
      </w:r>
      <w:r>
        <w:rPr>
          <w:rFonts w:ascii="Times New Roman" w:hAnsi="Times New Roman" w:cs="Times New Roman" w:eastAsia="Times New Roman" w:hint="default"/>
          <w:spacing w:val="-2"/>
        </w:rPr>
        <w:t>PVC</w:t>
      </w:r>
      <w:r>
        <w:rPr>
          <w:spacing w:val="-2"/>
        </w:rPr>
        <w:t>功能薄膜、光学膜等。</w:t>
      </w:r>
      <w:r>
        <w:rPr>
          <w:w w:val="100"/>
        </w:rPr>
        <w:t> </w:t>
      </w:r>
      <w:r>
        <w:rPr/>
        <w:t>本财务报告的批准报出日：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200"/>
        <w:ind w:right="0"/>
        <w:jc w:val="both"/>
        <w:rPr>
          <w:b w:val="0"/>
          <w:bCs w:val="0"/>
        </w:rPr>
      </w:pP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right="153" w:firstLine="420"/>
        <w:jc w:val="left"/>
      </w:pPr>
      <w:r>
        <w:rPr>
          <w:spacing w:val="-2"/>
        </w:rPr>
        <w:t>本公司以持续经营为基础，根据实际发生的交易和事项，按照《企业会计准则</w:t>
      </w:r>
      <w:r>
        <w:rPr>
          <w:rFonts w:ascii="Times New Roman" w:hAnsi="Times New Roman" w:cs="Times New Roman" w:eastAsia="Times New Roman" w:hint="default"/>
          <w:spacing w:val="-2"/>
        </w:rPr>
        <w:t>—</w:t>
      </w:r>
      <w:r>
        <w:rPr>
          <w:spacing w:val="-2"/>
        </w:rPr>
        <w:t>基本准则》和其他各</w:t>
      </w:r>
      <w:r>
        <w:rPr>
          <w:w w:val="100"/>
        </w:rPr>
        <w:t> </w:t>
      </w:r>
      <w:r>
        <w:rPr/>
        <w:t>项会计准则的规定进行确认和计量，在此基础上编制财务报表。</w:t>
      </w:r>
    </w:p>
    <w:p>
      <w:pPr>
        <w:pStyle w:val="BodyText"/>
        <w:spacing w:line="240" w:lineRule="auto" w:before="22"/>
        <w:ind w:left="573" w:right="0"/>
        <w:jc w:val="left"/>
      </w:pPr>
      <w:r>
        <w:rPr/>
        <w:t>根据财政部《关于印发</w:t>
      </w:r>
      <w:r>
        <w:rPr>
          <w:rFonts w:ascii="Times New Roman" w:hAnsi="Times New Roman" w:cs="Times New Roman" w:eastAsia="Times New Roman" w:hint="default"/>
        </w:rPr>
        <w:t>&lt;</w:t>
      </w:r>
      <w:r>
        <w:rPr/>
        <w:t>企业会计准则第</w:t>
      </w:r>
      <w:r>
        <w:rPr>
          <w:rFonts w:ascii="Times New Roman" w:hAnsi="Times New Roman" w:cs="Times New Roman" w:eastAsia="Times New Roman" w:hint="default"/>
        </w:rPr>
        <w:t>42</w:t>
      </w:r>
      <w:r>
        <w:rPr/>
        <w:t>号</w:t>
      </w:r>
      <w:r>
        <w:rPr>
          <w:rFonts w:ascii="Times New Roman" w:hAnsi="Times New Roman" w:cs="Times New Roman" w:eastAsia="Times New Roman" w:hint="default"/>
        </w:rPr>
        <w:t>—</w:t>
      </w:r>
      <w:r>
        <w:rPr/>
        <w:t>持有待售的非流动资产、处置组和终止经营</w:t>
      </w:r>
      <w:r>
        <w:rPr>
          <w:rFonts w:ascii="Times New Roman" w:hAnsi="Times New Roman" w:cs="Times New Roman" w:eastAsia="Times New Roman" w:hint="default"/>
        </w:rPr>
        <w:t>&gt;</w:t>
      </w:r>
      <w:r>
        <w:rPr/>
        <w:t>的通知》</w:t>
      </w:r>
    </w:p>
    <w:p>
      <w:pPr>
        <w:pStyle w:val="BodyText"/>
        <w:spacing w:line="256" w:lineRule="auto" w:before="21"/>
        <w:ind w:right="148"/>
        <w:jc w:val="both"/>
      </w:pPr>
      <w:r>
        <w:rPr>
          <w:spacing w:val="-2"/>
        </w:rPr>
        <w:t>（财会〔</w:t>
      </w:r>
      <w:r>
        <w:rPr>
          <w:rFonts w:ascii="Times New Roman" w:hAnsi="Times New Roman" w:cs="Times New Roman" w:eastAsia="Times New Roman" w:hint="default"/>
          <w:spacing w:val="-2"/>
        </w:rPr>
        <w:t>2017</w:t>
      </w:r>
      <w:r>
        <w:rPr>
          <w:spacing w:val="-2"/>
        </w:rPr>
        <w:t>〕</w:t>
      </w:r>
      <w:r>
        <w:rPr>
          <w:rFonts w:ascii="Times New Roman" w:hAnsi="Times New Roman" w:cs="Times New Roman" w:eastAsia="Times New Roman" w:hint="default"/>
          <w:spacing w:val="-2"/>
        </w:rPr>
        <w:t>13</w:t>
      </w:r>
      <w:r>
        <w:rPr>
          <w:spacing w:val="-2"/>
        </w:rPr>
        <w:t>号）的规定，本公司自</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28</w:t>
      </w:r>
      <w:r>
        <w:rPr>
          <w:spacing w:val="-2"/>
        </w:rPr>
        <w:t>日起执行前述准则。根据财政部《关于印发修订</w:t>
      </w:r>
      <w:r>
        <w:rPr>
          <w:rFonts w:ascii="Times New Roman" w:hAnsi="Times New Roman" w:cs="Times New Roman" w:eastAsia="Times New Roman" w:hint="default"/>
          <w:spacing w:val="-2"/>
        </w:rPr>
        <w:t>&lt;</w:t>
      </w:r>
      <w:r>
        <w:rPr>
          <w:spacing w:val="-2"/>
        </w:rPr>
        <w:t>企</w:t>
      </w:r>
      <w:r>
        <w:rPr>
          <w:spacing w:val="-51"/>
        </w:rPr>
        <w:t> </w:t>
      </w:r>
      <w:r>
        <w:rPr>
          <w:spacing w:val="-2"/>
        </w:rPr>
        <w:t>业会计准则第</w:t>
      </w:r>
      <w:r>
        <w:rPr>
          <w:rFonts w:ascii="Times New Roman" w:hAnsi="Times New Roman" w:cs="Times New Roman" w:eastAsia="Times New Roman" w:hint="default"/>
          <w:spacing w:val="-2"/>
        </w:rPr>
        <w:t>16</w:t>
      </w:r>
      <w:r>
        <w:rPr>
          <w:spacing w:val="-2"/>
        </w:rPr>
        <w:t>号</w:t>
      </w:r>
      <w:r>
        <w:rPr>
          <w:rFonts w:ascii="Times New Roman" w:hAnsi="Times New Roman" w:cs="Times New Roman" w:eastAsia="Times New Roman" w:hint="default"/>
          <w:spacing w:val="-2"/>
        </w:rPr>
        <w:t>—</w:t>
      </w:r>
      <w:r>
        <w:rPr>
          <w:spacing w:val="-2"/>
        </w:rPr>
        <w:t>政府补助</w:t>
      </w:r>
      <w:r>
        <w:rPr>
          <w:rFonts w:ascii="Times New Roman" w:hAnsi="Times New Roman" w:cs="Times New Roman" w:eastAsia="Times New Roman" w:hint="default"/>
          <w:spacing w:val="-2"/>
        </w:rPr>
        <w:t>&gt;</w:t>
      </w:r>
      <w:r>
        <w:rPr>
          <w:spacing w:val="-2"/>
        </w:rPr>
        <w:t>的通知》（财会〔</w:t>
      </w:r>
      <w:r>
        <w:rPr>
          <w:rFonts w:ascii="Times New Roman" w:hAnsi="Times New Roman" w:cs="Times New Roman" w:eastAsia="Times New Roman" w:hint="default"/>
          <w:spacing w:val="-2"/>
        </w:rPr>
        <w:t>2017</w:t>
      </w:r>
      <w:r>
        <w:rPr>
          <w:spacing w:val="-2"/>
        </w:rPr>
        <w:t>〕</w:t>
      </w:r>
      <w:r>
        <w:rPr>
          <w:rFonts w:ascii="Times New Roman" w:hAnsi="Times New Roman" w:cs="Times New Roman" w:eastAsia="Times New Roman" w:hint="default"/>
          <w:spacing w:val="-2"/>
        </w:rPr>
        <w:t>15</w:t>
      </w:r>
      <w:r>
        <w:rPr>
          <w:spacing w:val="-2"/>
        </w:rPr>
        <w:t>号）的规定，本公司自</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12</w:t>
      </w:r>
      <w:r>
        <w:rPr>
          <w:spacing w:val="-2"/>
        </w:rPr>
        <w:t>日起执行前</w:t>
      </w:r>
      <w:r>
        <w:rPr>
          <w:spacing w:val="-49"/>
        </w:rPr>
        <w:t> </w:t>
      </w:r>
      <w:r>
        <w:rPr>
          <w:spacing w:val="-49"/>
        </w:rPr>
      </w:r>
      <w:r>
        <w:rPr>
          <w:spacing w:val="-2"/>
        </w:rPr>
        <w:t>述准则。根据财政部《关于修订印发一般企业财务报表格式的通知》（财会〔</w:t>
      </w:r>
      <w:r>
        <w:rPr>
          <w:rFonts w:ascii="Times New Roman" w:hAnsi="Times New Roman" w:cs="Times New Roman" w:eastAsia="Times New Roman" w:hint="default"/>
          <w:spacing w:val="-2"/>
        </w:rPr>
        <w:t>2017</w:t>
      </w:r>
      <w:r>
        <w:rPr>
          <w:spacing w:val="-2"/>
        </w:rPr>
        <w:t>〕</w:t>
      </w:r>
      <w:r>
        <w:rPr>
          <w:rFonts w:ascii="Times New Roman" w:hAnsi="Times New Roman" w:cs="Times New Roman" w:eastAsia="Times New Roman" w:hint="default"/>
          <w:spacing w:val="-2"/>
        </w:rPr>
        <w:t>30</w:t>
      </w:r>
      <w:r>
        <w:rPr>
          <w:spacing w:val="-2"/>
        </w:rPr>
        <w:t>号），本公司对财</w:t>
      </w:r>
      <w:r>
        <w:rPr>
          <w:spacing w:val="-41"/>
        </w:rPr>
        <w:t> </w:t>
      </w:r>
      <w:r>
        <w:rPr>
          <w:spacing w:val="-41"/>
        </w:rPr>
      </w:r>
      <w:r>
        <w:rPr/>
        <w:t>务报表格式进行了相应调整。</w:t>
      </w:r>
    </w:p>
    <w:p>
      <w:pPr>
        <w:spacing w:line="240" w:lineRule="auto" w:before="8"/>
        <w:rPr>
          <w:rFonts w:ascii="宋体" w:hAnsi="宋体" w:cs="宋体" w:eastAsia="宋体" w:hint="default"/>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ind w:right="153" w:firstLine="420"/>
        <w:jc w:val="left"/>
      </w:pPr>
      <w:r>
        <w:rPr>
          <w:spacing w:val="-2"/>
        </w:rPr>
        <w:t>经本公司评估，自本报告期末起的</w:t>
      </w:r>
      <w:r>
        <w:rPr>
          <w:rFonts w:ascii="Times New Roman" w:hAnsi="Times New Roman" w:cs="Times New Roman" w:eastAsia="Times New Roman" w:hint="default"/>
          <w:spacing w:val="-2"/>
        </w:rPr>
        <w:t>12</w:t>
      </w:r>
      <w:r>
        <w:rPr>
          <w:spacing w:val="-2"/>
        </w:rPr>
        <w:t>个月内，本公司持续经营能力良好，不存在导致对本公司持续经</w:t>
      </w:r>
      <w:r>
        <w:rPr>
          <w:w w:val="100"/>
        </w:rPr>
        <w:t> </w:t>
      </w:r>
      <w:r>
        <w:rPr/>
        <w:t>营能力产生重大怀疑的因素。</w:t>
      </w:r>
    </w:p>
    <w:p>
      <w:pPr>
        <w:spacing w:line="240" w:lineRule="auto" w:before="10"/>
        <w:rPr>
          <w:rFonts w:ascii="宋体" w:hAnsi="宋体" w:cs="宋体" w:eastAsia="宋体" w:hint="default"/>
          <w:sz w:val="22"/>
          <w:szCs w:val="22"/>
        </w:rPr>
      </w:pPr>
    </w:p>
    <w:p>
      <w:pPr>
        <w:pStyle w:val="Heading2"/>
        <w:spacing w:line="240" w:lineRule="auto"/>
        <w:ind w:right="0"/>
        <w:jc w:val="both"/>
        <w:rPr>
          <w:b w:val="0"/>
          <w:bCs w:val="0"/>
        </w:rPr>
      </w:pPr>
      <w:r>
        <w:rPr/>
        <w:t>五、重要会计政策及会计估计</w:t>
      </w:r>
      <w:r>
        <w:rPr>
          <w:b w:val="0"/>
          <w:bCs w:val="0"/>
        </w:rPr>
      </w:r>
    </w:p>
    <w:p>
      <w:pPr>
        <w:spacing w:line="240" w:lineRule="auto" w:before="4"/>
        <w:rPr>
          <w:rFonts w:ascii="宋体" w:hAnsi="宋体" w:cs="宋体" w:eastAsia="宋体" w:hint="default"/>
          <w:b/>
          <w:bCs/>
          <w:sz w:val="26"/>
          <w:szCs w:val="26"/>
        </w:rPr>
      </w:pPr>
    </w:p>
    <w:p>
      <w:pPr>
        <w:spacing w:line="360" w:lineRule="auto" w:before="0"/>
        <w:ind w:left="152" w:right="671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spacing w:line="357" w:lineRule="auto" w:before="27"/>
        <w:ind w:left="152" w:right="7254" w:firstLine="0"/>
        <w:jc w:val="left"/>
        <w:rPr>
          <w:rFonts w:ascii="宋体" w:hAnsi="宋体" w:cs="宋体" w:eastAsia="宋体" w:hint="default"/>
          <w:sz w:val="18"/>
          <w:szCs w:val="18"/>
        </w:rPr>
      </w:pPr>
      <w:r>
        <w:rPr>
          <w:rFonts w:ascii="宋体" w:hAnsi="宋体" w:cs="宋体" w:eastAsia="宋体" w:hint="default"/>
          <w:sz w:val="18"/>
          <w:szCs w:val="18"/>
        </w:rPr>
        <w:t>具体会计政策和会计估计提示： 本年度无</w:t>
      </w:r>
    </w:p>
    <w:p>
      <w:pPr>
        <w:spacing w:after="0" w:line="357"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101"/>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101" w:firstLine="420"/>
        <w:jc w:val="left"/>
      </w:pPr>
      <w:r>
        <w:rPr>
          <w:spacing w:val="-2"/>
        </w:rPr>
        <w:t>本公司所编制的财务报表符合企业会计准则的要求，真实、完整地反映了本公司的财务状况、经营成</w:t>
      </w:r>
      <w:r>
        <w:rPr>
          <w:w w:val="100"/>
        </w:rPr>
        <w:t> </w:t>
      </w:r>
      <w:r>
        <w:rPr/>
        <w:t>果、所有者权益变动和现金流量等有关信息。</w:t>
      </w:r>
    </w:p>
    <w:p>
      <w:pPr>
        <w:spacing w:line="240" w:lineRule="auto" w:before="7"/>
        <w:rPr>
          <w:rFonts w:ascii="宋体" w:hAnsi="宋体" w:cs="宋体" w:eastAsia="宋体" w:hint="default"/>
          <w:sz w:val="23"/>
          <w:szCs w:val="23"/>
        </w:rPr>
      </w:pPr>
    </w:p>
    <w:p>
      <w:pPr>
        <w:spacing w:line="506" w:lineRule="auto" w:before="0"/>
        <w:ind w:left="152" w:right="56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spacing w:val="-104"/>
          <w:sz w:val="21"/>
          <w:szCs w:val="21"/>
        </w:rPr>
        <w:t> </w:t>
      </w:r>
      <w:r>
        <w:rPr>
          <w:rFonts w:ascii="宋体" w:hAnsi="宋体" w:cs="宋体" w:eastAsia="宋体" w:hint="default"/>
          <w:spacing w:val="-2"/>
          <w:sz w:val="21"/>
          <w:szCs w:val="21"/>
        </w:rPr>
        <w:t>会计期间为自公历</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日起至</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日止。</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spacing w:line="506" w:lineRule="auto" w:before="65"/>
        <w:ind w:left="152" w:right="6774" w:firstLine="0"/>
        <w:jc w:val="left"/>
        <w:rPr>
          <w:rFonts w:ascii="宋体" w:hAnsi="宋体" w:cs="宋体" w:eastAsia="宋体" w:hint="default"/>
          <w:sz w:val="21"/>
          <w:szCs w:val="21"/>
        </w:rPr>
      </w:pPr>
      <w:r>
        <w:rPr>
          <w:rFonts w:ascii="宋体" w:hAnsi="宋体" w:cs="宋体" w:eastAsia="宋体" w:hint="default"/>
          <w:sz w:val="21"/>
          <w:szCs w:val="21"/>
        </w:rPr>
        <w:t>营业周期为</w:t>
      </w:r>
      <w:r>
        <w:rPr>
          <w:rFonts w:ascii="Times New Roman" w:hAnsi="Times New Roman" w:cs="Times New Roman" w:eastAsia="Times New Roman" w:hint="default"/>
          <w:sz w:val="21"/>
          <w:szCs w:val="21"/>
        </w:rPr>
        <w:t>12</w:t>
      </w:r>
      <w:r>
        <w:rPr>
          <w:rFonts w:ascii="宋体" w:hAnsi="宋体" w:cs="宋体" w:eastAsia="宋体" w:hint="default"/>
          <w:sz w:val="21"/>
          <w:szCs w:val="21"/>
        </w:rPr>
        <w:t>个月。</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b/>
          <w:bCs/>
          <w:spacing w:val="-103"/>
          <w:sz w:val="21"/>
          <w:szCs w:val="21"/>
        </w:rPr>
        <w:t> </w:t>
      </w:r>
      <w:r>
        <w:rPr>
          <w:rFonts w:ascii="宋体" w:hAnsi="宋体" w:cs="宋体" w:eastAsia="宋体" w:hint="default"/>
          <w:spacing w:val="-2"/>
          <w:sz w:val="21"/>
          <w:szCs w:val="21"/>
        </w:rPr>
        <w:t>记账本位币为人民币。</w:t>
      </w:r>
    </w:p>
    <w:p>
      <w:pPr>
        <w:pStyle w:val="Heading4"/>
        <w:spacing w:line="240" w:lineRule="auto" w:before="104"/>
        <w:ind w:right="101"/>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10"/>
        <w:rPr>
          <w:rFonts w:ascii="宋体" w:hAnsi="宋体" w:cs="宋体" w:eastAsia="宋体" w:hint="default"/>
          <w:b/>
          <w:bCs/>
          <w:sz w:val="24"/>
          <w:szCs w:val="24"/>
        </w:rPr>
      </w:pPr>
    </w:p>
    <w:p>
      <w:pPr>
        <w:pStyle w:val="BodyText"/>
        <w:spacing w:line="271" w:lineRule="auto"/>
        <w:ind w:right="101"/>
        <w:jc w:val="left"/>
      </w:pPr>
      <w:r>
        <w:rPr>
          <w:rFonts w:ascii="Times New Roman" w:hAnsi="Times New Roman" w:cs="Times New Roman" w:eastAsia="Times New Roman" w:hint="default"/>
        </w:rPr>
        <w:t>5.1</w:t>
      </w:r>
      <w:r>
        <w:rPr>
          <w:rFonts w:ascii="Times New Roman" w:hAnsi="Times New Roman" w:cs="Times New Roman" w:eastAsia="Times New Roman" w:hint="default"/>
          <w:spacing w:val="31"/>
        </w:rPr>
        <w:t> </w:t>
      </w:r>
      <w:r>
        <w:rPr/>
        <w:t>同一控制下的企业合并</w:t>
      </w:r>
      <w:r>
        <w:rPr>
          <w:w w:val="100"/>
        </w:rPr>
        <w:t> </w:t>
      </w:r>
      <w:r>
        <w:rPr>
          <w:spacing w:val="-2"/>
        </w:rPr>
        <w:t>参与合并的企业在合并前后均受同一方或相同的多方最终控制且该控制并非暂时性的，认定为同一控制下</w:t>
      </w:r>
      <w:r>
        <w:rPr>
          <w:spacing w:val="-43"/>
        </w:rPr>
        <w:t> </w:t>
      </w:r>
      <w:r>
        <w:rPr>
          <w:spacing w:val="-43"/>
        </w:rPr>
      </w:r>
      <w:r>
        <w:rPr/>
        <w:t>的企业合并。</w:t>
      </w:r>
      <w:r>
        <w:rPr>
          <w:w w:val="100"/>
        </w:rPr>
        <w:t> </w:t>
      </w:r>
      <w:r>
        <w:rPr>
          <w:spacing w:val="-2"/>
        </w:rPr>
        <w:t>合并方以支付现金、转让非现金资产或承担债务方式作为合并对价的，在合并日按照被合并方所有者权益</w:t>
      </w:r>
      <w:r>
        <w:rPr>
          <w:spacing w:val="-42"/>
        </w:rPr>
        <w:t> </w:t>
      </w:r>
      <w:r>
        <w:rPr>
          <w:spacing w:val="-42"/>
        </w:rPr>
      </w:r>
      <w:r>
        <w:rPr>
          <w:spacing w:val="-2"/>
        </w:rPr>
        <w:t>在最终控制方合并财务报表中的账面价值的份额作为长期股权投资的初始投资成本。长期股权投资初始投</w:t>
      </w:r>
      <w:r>
        <w:rPr>
          <w:spacing w:val="-43"/>
        </w:rPr>
        <w:t> </w:t>
      </w:r>
      <w:r>
        <w:rPr>
          <w:spacing w:val="-43"/>
        </w:rPr>
      </w:r>
      <w:r>
        <w:rPr>
          <w:spacing w:val="-2"/>
        </w:rPr>
        <w:t>资成本与支付的现金、转让的非现金资产以及所承担债务账面价值之间的差额，调整资本公积；资本公积</w:t>
      </w:r>
      <w:r>
        <w:rPr>
          <w:spacing w:val="-44"/>
        </w:rPr>
        <w:t> </w:t>
      </w:r>
      <w:r>
        <w:rPr>
          <w:spacing w:val="-44"/>
        </w:rPr>
      </w:r>
      <w:r>
        <w:rPr/>
        <w:t>不足冲减的，调整留存收益。</w:t>
      </w:r>
      <w:r>
        <w:rPr>
          <w:w w:val="100"/>
        </w:rPr>
        <w:t> </w:t>
      </w:r>
      <w:r>
        <w:rPr>
          <w:spacing w:val="-2"/>
        </w:rPr>
        <w:t>合并方以发行权益性证券作为合并对价的，在合并日按照被合并方所有者权益在最终控制方合并财务报表</w:t>
      </w:r>
      <w:r>
        <w:rPr>
          <w:spacing w:val="-43"/>
        </w:rPr>
        <w:t> </w:t>
      </w:r>
      <w:r>
        <w:rPr>
          <w:spacing w:val="-43"/>
        </w:rPr>
      </w:r>
      <w:r>
        <w:rPr>
          <w:spacing w:val="-2"/>
        </w:rPr>
        <w:t>中的账面价值的份额作为长期股权投资的初始投资成本。按照发行股份的面值总额作为股本，长期股权投</w:t>
      </w:r>
      <w:r>
        <w:rPr>
          <w:spacing w:val="-43"/>
        </w:rPr>
        <w:t> </w:t>
      </w:r>
      <w:r>
        <w:rPr>
          <w:spacing w:val="-43"/>
        </w:rPr>
      </w:r>
      <w:r>
        <w:rPr>
          <w:spacing w:val="-5"/>
        </w:rPr>
        <w:t>资初始投资成本与所发行股份面值总额之间的差额，调整资本公积；资本公积不足冲减的，调整留存收益。</w:t>
      </w:r>
      <w:r>
        <w:rPr>
          <w:spacing w:val="-8"/>
        </w:rPr>
        <w:t> </w:t>
      </w:r>
      <w:r>
        <w:rPr>
          <w:spacing w:val="-8"/>
        </w:rPr>
      </w:r>
      <w:r>
        <w:rPr>
          <w:spacing w:val="-2"/>
        </w:rPr>
        <w:t>合并方为企业合并发生的审计、法律服务、评估咨询等中介费用以及其他相关管理费用，于发生时计入当</w:t>
      </w:r>
      <w:r>
        <w:rPr>
          <w:spacing w:val="-43"/>
        </w:rPr>
        <w:t> </w:t>
      </w:r>
      <w:r>
        <w:rPr>
          <w:spacing w:val="-43"/>
        </w:rPr>
      </w:r>
      <w:r>
        <w:rPr/>
        <w:t>期损益。</w:t>
      </w:r>
    </w:p>
    <w:p>
      <w:pPr>
        <w:pStyle w:val="BodyText"/>
        <w:spacing w:line="271" w:lineRule="auto" w:before="10"/>
        <w:ind w:right="101"/>
        <w:jc w:val="left"/>
      </w:pPr>
      <w:r>
        <w:rPr>
          <w:rFonts w:ascii="Times New Roman" w:hAnsi="Times New Roman" w:cs="Times New Roman" w:eastAsia="Times New Roman" w:hint="default"/>
        </w:rPr>
        <w:t>5.2</w:t>
      </w:r>
      <w:r>
        <w:rPr>
          <w:rFonts w:ascii="Times New Roman" w:hAnsi="Times New Roman" w:cs="Times New Roman" w:eastAsia="Times New Roman" w:hint="default"/>
          <w:spacing w:val="31"/>
        </w:rPr>
        <w:t> </w:t>
      </w:r>
      <w:r>
        <w:rPr/>
        <w:t>非同一控制下的企业合并</w:t>
      </w:r>
      <w:r>
        <w:rPr>
          <w:w w:val="100"/>
        </w:rPr>
        <w:t> </w:t>
      </w:r>
      <w:r>
        <w:rPr/>
        <w:t>参与合并的各方在合并前后不受同一方或相同的多方最终控制的，认定为非同一控制下的企业合并。</w:t>
      </w:r>
      <w:r>
        <w:rPr>
          <w:w w:val="100"/>
        </w:rPr>
        <w:t> </w:t>
      </w:r>
      <w:r>
        <w:rPr>
          <w:spacing w:val="-2"/>
        </w:rPr>
        <w:t>购买方通过一次交换交易实现的企业合并，合并成本为购买方在购买日为取得对被购买方的控制权而付出</w:t>
      </w:r>
      <w:r>
        <w:rPr>
          <w:spacing w:val="-43"/>
        </w:rPr>
        <w:t> </w:t>
      </w:r>
      <w:r>
        <w:rPr>
          <w:spacing w:val="-43"/>
        </w:rPr>
      </w:r>
      <w:r>
        <w:rPr>
          <w:spacing w:val="-5"/>
        </w:rPr>
        <w:t>的资产、发生或承担的负债以及发行的权益性证券的公允价值。购买方为企业合并发生的审计、法律服务、 </w:t>
      </w:r>
      <w:r>
        <w:rPr>
          <w:spacing w:val="-5"/>
        </w:rPr>
      </w:r>
      <w:r>
        <w:rPr>
          <w:spacing w:val="-2"/>
        </w:rPr>
        <w:t>评估咨询等中介费用以及其他相关管理费用，于发生时计入当期损益；购买方作为合并对价发行的权益性</w:t>
      </w:r>
      <w:r>
        <w:rPr>
          <w:spacing w:val="-42"/>
        </w:rPr>
        <w:t> </w:t>
      </w:r>
      <w:r>
        <w:rPr>
          <w:spacing w:val="-42"/>
        </w:rPr>
      </w:r>
      <w:r>
        <w:rPr/>
        <w:t>证券或债务性证券的交易费用，计入权益性证券或债务性证券的初始确认金额。</w:t>
      </w:r>
      <w:r>
        <w:rPr>
          <w:w w:val="100"/>
        </w:rPr>
        <w:t> </w:t>
      </w:r>
      <w:r>
        <w:rPr>
          <w:spacing w:val="-2"/>
        </w:rPr>
        <w:t>购买方的合并成本和购买方在合并中取得的可辨认净资产按购买日的公允价值计量。合并成本大于合并中</w:t>
      </w:r>
      <w:r>
        <w:rPr>
          <w:spacing w:val="-43"/>
        </w:rPr>
        <w:t> </w:t>
      </w:r>
      <w:r>
        <w:rPr>
          <w:spacing w:val="-43"/>
        </w:rPr>
      </w:r>
      <w:r>
        <w:rPr>
          <w:spacing w:val="-2"/>
        </w:rPr>
        <w:t>取得的被购买方于购买日可辨认净资产公允价值份额的差额，确认为商誉；合并成本小于合并中取得的被</w:t>
      </w:r>
      <w:r>
        <w:rPr>
          <w:spacing w:val="-42"/>
        </w:rPr>
        <w:t> </w:t>
      </w:r>
      <w:r>
        <w:rPr>
          <w:spacing w:val="-42"/>
        </w:rPr>
      </w:r>
      <w:r>
        <w:rPr/>
        <w:t>购买方可辨认净资产公允价值份额的差额，计入当期损益。</w:t>
      </w:r>
    </w:p>
    <w:p>
      <w:pPr>
        <w:spacing w:line="240" w:lineRule="auto" w:before="9"/>
        <w:rPr>
          <w:rFonts w:ascii="宋体" w:hAnsi="宋体" w:cs="宋体" w:eastAsia="宋体" w:hint="default"/>
          <w:sz w:val="23"/>
          <w:szCs w:val="23"/>
        </w:rPr>
      </w:pPr>
    </w:p>
    <w:p>
      <w:pPr>
        <w:pStyle w:val="Heading4"/>
        <w:spacing w:line="240" w:lineRule="auto"/>
        <w:ind w:right="101"/>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right="101"/>
        <w:jc w:val="left"/>
      </w:pPr>
      <w:r>
        <w:rPr>
          <w:rFonts w:ascii="Times New Roman" w:hAnsi="Times New Roman" w:cs="Times New Roman" w:eastAsia="Times New Roman" w:hint="default"/>
        </w:rPr>
        <w:t>6.1</w:t>
      </w:r>
      <w:r>
        <w:rPr/>
        <w:t>合并范围</w:t>
      </w:r>
      <w:r>
        <w:rPr>
          <w:w w:val="100"/>
        </w:rPr>
        <w:t> </w:t>
      </w:r>
      <w:r>
        <w:rPr>
          <w:spacing w:val="-2"/>
        </w:rPr>
        <w:t>合并财务报表的合并范围包括本公司及子公司。合并财务报表的合并范围以控制为基础予以确定。</w:t>
      </w:r>
    </w:p>
    <w:p>
      <w:pPr>
        <w:spacing w:after="0" w:line="256" w:lineRule="auto"/>
        <w:jc w:val="left"/>
        <w:sectPr>
          <w:pgSz w:w="11910" w:h="16840"/>
          <w:pgMar w:header="745" w:footer="980" w:top="1060" w:bottom="1160" w:left="980" w:right="920"/>
        </w:sectPr>
      </w:pPr>
    </w:p>
    <w:p>
      <w:pPr>
        <w:spacing w:line="240" w:lineRule="auto" w:before="10"/>
        <w:rPr>
          <w:rFonts w:ascii="宋体" w:hAnsi="宋体" w:cs="宋体" w:eastAsia="宋体" w:hint="default"/>
          <w:sz w:val="24"/>
          <w:szCs w:val="24"/>
        </w:rPr>
      </w:pPr>
    </w:p>
    <w:p>
      <w:pPr>
        <w:pStyle w:val="BodyText"/>
        <w:spacing w:line="268" w:lineRule="auto" w:before="36"/>
        <w:ind w:right="101"/>
        <w:jc w:val="left"/>
      </w:pPr>
      <w:r>
        <w:rPr>
          <w:rFonts w:ascii="Times New Roman" w:hAnsi="Times New Roman" w:cs="Times New Roman" w:eastAsia="Times New Roman" w:hint="default"/>
        </w:rPr>
        <w:t>6.2</w:t>
      </w:r>
      <w:r>
        <w:rPr>
          <w:rFonts w:ascii="Times New Roman" w:hAnsi="Times New Roman" w:cs="Times New Roman" w:eastAsia="Times New Roman" w:hint="default"/>
          <w:spacing w:val="31"/>
        </w:rPr>
        <w:t> </w:t>
      </w:r>
      <w:r>
        <w:rPr/>
        <w:t>控制的依据</w:t>
      </w:r>
      <w:r>
        <w:rPr>
          <w:w w:val="100"/>
        </w:rPr>
        <w:t> </w:t>
      </w:r>
      <w:r>
        <w:rPr>
          <w:spacing w:val="-2"/>
        </w:rPr>
        <w:t>投资方拥有对被投资方的权力，通过参与被投资方的相关活动而享有可变回报，并且有能力运用对被投资</w:t>
      </w:r>
      <w:r>
        <w:rPr>
          <w:spacing w:val="-43"/>
        </w:rPr>
        <w:t> </w:t>
      </w:r>
      <w:r>
        <w:rPr>
          <w:spacing w:val="-43"/>
        </w:rPr>
      </w:r>
      <w:r>
        <w:rPr>
          <w:spacing w:val="-2"/>
        </w:rPr>
        <w:t>方的权力影响其回报金额，视为投资方控制被投资方。相关活动，系为对被投资方的回报产生重大影响的</w:t>
      </w:r>
      <w:r>
        <w:rPr>
          <w:spacing w:val="-44"/>
        </w:rPr>
        <w:t> </w:t>
      </w:r>
      <w:r>
        <w:rPr>
          <w:spacing w:val="-44"/>
        </w:rPr>
      </w:r>
      <w:r>
        <w:rPr/>
        <w:t>活动。</w:t>
      </w:r>
    </w:p>
    <w:p>
      <w:pPr>
        <w:pStyle w:val="BodyText"/>
        <w:spacing w:line="268" w:lineRule="auto" w:before="12"/>
        <w:ind w:right="101"/>
        <w:jc w:val="left"/>
      </w:pPr>
      <w:r>
        <w:rPr>
          <w:rFonts w:ascii="Times New Roman" w:hAnsi="Times New Roman" w:cs="Times New Roman" w:eastAsia="Times New Roman" w:hint="default"/>
        </w:rPr>
        <w:t>6.3</w:t>
      </w:r>
      <w:r>
        <w:rPr>
          <w:rFonts w:ascii="Times New Roman" w:hAnsi="Times New Roman" w:cs="Times New Roman" w:eastAsia="Times New Roman" w:hint="default"/>
          <w:spacing w:val="31"/>
        </w:rPr>
        <w:t> </w:t>
      </w:r>
      <w:r>
        <w:rPr/>
        <w:t>决策者和代理人</w:t>
      </w:r>
      <w:r>
        <w:rPr>
          <w:w w:val="100"/>
        </w:rPr>
        <w:t> </w:t>
      </w:r>
      <w:r>
        <w:rPr>
          <w:spacing w:val="-2"/>
        </w:rPr>
        <w:t>代理人仅代表主要责任人行使决策权，不控制被投资方。投资方将被投资方相关活动的决策权委托给代理</w:t>
      </w:r>
      <w:r>
        <w:rPr>
          <w:spacing w:val="-43"/>
        </w:rPr>
        <w:t> </w:t>
      </w:r>
      <w:r>
        <w:rPr>
          <w:spacing w:val="-43"/>
        </w:rPr>
      </w:r>
      <w:r>
        <w:rPr/>
        <w:t>人的，将该决策权视为自身直接持有。</w:t>
      </w:r>
      <w:r>
        <w:rPr>
          <w:w w:val="100"/>
        </w:rPr>
        <w:t> </w:t>
      </w:r>
      <w:r>
        <w:rPr/>
        <w:t>在确定决策者是否为代理人时，公司综合考虑该决策者与被投资方以及其他投资方之间的关系。</w:t>
      </w:r>
      <w:r>
        <w:rPr>
          <w:w w:val="100"/>
        </w:rPr>
        <w:t> </w:t>
      </w:r>
      <w:r>
        <w:rPr>
          <w:rFonts w:ascii="Times New Roman" w:hAnsi="Times New Roman" w:cs="Times New Roman" w:eastAsia="Times New Roman" w:hint="default"/>
        </w:rPr>
        <w:t>1</w:t>
      </w:r>
      <w:r>
        <w:rPr/>
        <w:t>）存在单独一方拥有实质性权利可以无条件罢免决策者的，该决策者为代理人。</w:t>
      </w:r>
    </w:p>
    <w:p>
      <w:pPr>
        <w:pStyle w:val="BodyText"/>
        <w:spacing w:line="256" w:lineRule="auto"/>
        <w:ind w:right="101"/>
        <w:jc w:val="left"/>
      </w:pPr>
      <w:r>
        <w:rPr>
          <w:rFonts w:ascii="Times New Roman" w:hAnsi="Times New Roman" w:cs="Times New Roman" w:eastAsia="Times New Roman" w:hint="default"/>
          <w:spacing w:val="-2"/>
        </w:rPr>
        <w:t>2</w:t>
      </w:r>
      <w:r>
        <w:rPr>
          <w:spacing w:val="-2"/>
        </w:rPr>
        <w:t>）除</w:t>
      </w:r>
      <w:r>
        <w:rPr>
          <w:rFonts w:ascii="Times New Roman" w:hAnsi="Times New Roman" w:cs="Times New Roman" w:eastAsia="Times New Roman" w:hint="default"/>
          <w:spacing w:val="-2"/>
        </w:rPr>
        <w:t>1</w:t>
      </w:r>
      <w:r>
        <w:rPr>
          <w:spacing w:val="-2"/>
        </w:rPr>
        <w:t>）以外的情况下，综合考虑决策者对被投资方的决策权范围、其他方享有的实质性权利、决策者的</w:t>
      </w:r>
      <w:r>
        <w:rPr>
          <w:spacing w:val="-41"/>
        </w:rPr>
        <w:t> </w:t>
      </w:r>
      <w:r>
        <w:rPr>
          <w:spacing w:val="-41"/>
        </w:rPr>
      </w:r>
      <w:r>
        <w:rPr/>
        <w:t>薪酬水平、决策者因持有被投资方中的其他权益所承担可变回报的风险等相关因素进行判断。</w:t>
      </w:r>
    </w:p>
    <w:p>
      <w:pPr>
        <w:pStyle w:val="BodyText"/>
        <w:spacing w:line="256" w:lineRule="auto" w:before="22"/>
        <w:ind w:right="5694"/>
        <w:jc w:val="left"/>
      </w:pPr>
      <w:r>
        <w:rPr>
          <w:rFonts w:ascii="Times New Roman" w:hAnsi="Times New Roman" w:cs="Times New Roman" w:eastAsia="Times New Roman" w:hint="default"/>
        </w:rPr>
        <w:t>6.4</w:t>
      </w:r>
      <w:r>
        <w:rPr>
          <w:rFonts w:ascii="Times New Roman" w:hAnsi="Times New Roman" w:cs="Times New Roman" w:eastAsia="Times New Roman" w:hint="default"/>
          <w:spacing w:val="31"/>
        </w:rPr>
        <w:t> </w:t>
      </w:r>
      <w:r>
        <w:rPr/>
        <w:t>投资性主体</w:t>
      </w:r>
      <w:r>
        <w:rPr>
          <w:w w:val="100"/>
        </w:rPr>
        <w:t> </w:t>
      </w:r>
      <w:r>
        <w:rPr>
          <w:spacing w:val="-2"/>
        </w:rPr>
        <w:t>当同时满足下列条件时，视为投资性主体：</w:t>
      </w:r>
    </w:p>
    <w:p>
      <w:pPr>
        <w:pStyle w:val="BodyText"/>
        <w:spacing w:line="240" w:lineRule="auto" w:before="23"/>
        <w:ind w:right="101"/>
        <w:jc w:val="left"/>
      </w:pPr>
      <w:r>
        <w:rPr>
          <w:rFonts w:ascii="Times New Roman" w:hAnsi="Times New Roman" w:cs="Times New Roman" w:eastAsia="Times New Roman" w:hint="default"/>
        </w:rPr>
        <w:t>1</w:t>
      </w:r>
      <w:r>
        <w:rPr/>
        <w:t>）该公司是以向投资者提供投资管理服务为目的，从一个或多个投资者处获取资金；</w:t>
      </w:r>
    </w:p>
    <w:p>
      <w:pPr>
        <w:pStyle w:val="BodyText"/>
        <w:spacing w:line="240" w:lineRule="auto" w:before="21"/>
        <w:ind w:right="101"/>
        <w:jc w:val="left"/>
      </w:pPr>
      <w:r>
        <w:rPr>
          <w:rFonts w:ascii="Times New Roman" w:hAnsi="Times New Roman" w:cs="Times New Roman" w:eastAsia="Times New Roman" w:hint="default"/>
        </w:rPr>
        <w:t>2</w:t>
      </w:r>
      <w:r>
        <w:rPr/>
        <w:t>）该公司的唯一经营目的，是通过资本增值、投资收益或两者兼有而让投资者获得回报；</w:t>
      </w:r>
    </w:p>
    <w:p>
      <w:pPr>
        <w:pStyle w:val="BodyText"/>
        <w:spacing w:line="264" w:lineRule="auto" w:before="21"/>
        <w:ind w:right="2839"/>
        <w:jc w:val="left"/>
      </w:pPr>
      <w:r>
        <w:rPr>
          <w:rFonts w:ascii="Times New Roman" w:hAnsi="Times New Roman" w:cs="Times New Roman" w:eastAsia="Times New Roman" w:hint="default"/>
          <w:spacing w:val="-2"/>
        </w:rPr>
        <w:t>3</w:t>
      </w:r>
      <w:r>
        <w:rPr>
          <w:spacing w:val="-2"/>
        </w:rPr>
        <w:t>）该公司按照公允价值对几乎所有投资的业绩进行考量和评价。</w:t>
      </w:r>
      <w:r>
        <w:rPr>
          <w:spacing w:val="-52"/>
        </w:rPr>
        <w:t> </w:t>
      </w:r>
      <w:r>
        <w:rPr>
          <w:spacing w:val="-52"/>
        </w:rPr>
      </w:r>
      <w:r>
        <w:rPr/>
        <w:t>属于投资性主体的，通常情况下符合下列所有特征：</w:t>
      </w:r>
      <w:r>
        <w:rPr>
          <w:w w:val="100"/>
        </w:rPr>
        <w:t> </w:t>
      </w:r>
      <w:r>
        <w:rPr>
          <w:rFonts w:ascii="Times New Roman" w:hAnsi="Times New Roman" w:cs="Times New Roman" w:eastAsia="Times New Roman" w:hint="default"/>
        </w:rPr>
        <w:t>1</w:t>
      </w:r>
      <w:r>
        <w:rPr/>
        <w:t>）拥有一个以上投资；</w:t>
      </w:r>
    </w:p>
    <w:p>
      <w:pPr>
        <w:pStyle w:val="BodyText"/>
        <w:spacing w:line="289" w:lineRule="exact"/>
        <w:ind w:right="101"/>
        <w:jc w:val="left"/>
      </w:pPr>
      <w:r>
        <w:rPr>
          <w:rFonts w:ascii="Times New Roman" w:hAnsi="Times New Roman" w:cs="Times New Roman" w:eastAsia="Times New Roman" w:hint="default"/>
        </w:rPr>
        <w:t>2</w:t>
      </w:r>
      <w:r>
        <w:rPr/>
        <w:t>）拥有一个以上投资者；</w:t>
      </w:r>
    </w:p>
    <w:p>
      <w:pPr>
        <w:pStyle w:val="BodyText"/>
        <w:spacing w:line="240" w:lineRule="auto" w:before="21"/>
        <w:ind w:right="101"/>
        <w:jc w:val="left"/>
      </w:pPr>
      <w:r>
        <w:rPr>
          <w:rFonts w:ascii="Times New Roman" w:hAnsi="Times New Roman" w:cs="Times New Roman" w:eastAsia="Times New Roman" w:hint="default"/>
        </w:rPr>
        <w:t>3</w:t>
      </w:r>
      <w:r>
        <w:rPr/>
        <w:t>）投资者不是该主体的关联方；</w:t>
      </w:r>
    </w:p>
    <w:p>
      <w:pPr>
        <w:pStyle w:val="BodyText"/>
        <w:spacing w:line="266" w:lineRule="auto" w:before="21"/>
        <w:ind w:right="101"/>
        <w:jc w:val="left"/>
      </w:pPr>
      <w:r>
        <w:rPr>
          <w:rFonts w:ascii="Times New Roman" w:hAnsi="Times New Roman" w:cs="Times New Roman" w:eastAsia="Times New Roman" w:hint="default"/>
        </w:rPr>
        <w:t>4</w:t>
      </w:r>
      <w:r>
        <w:rPr/>
        <w:t>）其所有者权益以股权或类似权益方式存在。</w:t>
      </w:r>
      <w:r>
        <w:rPr>
          <w:w w:val="100"/>
        </w:rPr>
        <w:t> </w:t>
      </w:r>
      <w:r>
        <w:rPr>
          <w:spacing w:val="-2"/>
        </w:rPr>
        <w:t>如果母公司是投资性主体，则母公司仅将为其投资活动提供相关服务的子公司</w:t>
      </w:r>
      <w:r>
        <w:rPr>
          <w:rFonts w:ascii="Times New Roman" w:hAnsi="Times New Roman" w:cs="Times New Roman" w:eastAsia="Times New Roman" w:hint="default"/>
          <w:spacing w:val="-2"/>
        </w:rPr>
        <w:t>(</w:t>
      </w:r>
      <w:r>
        <w:rPr>
          <w:spacing w:val="-2"/>
        </w:rPr>
        <w:t>如有</w:t>
      </w:r>
      <w:r>
        <w:rPr>
          <w:rFonts w:ascii="Times New Roman" w:hAnsi="Times New Roman" w:cs="Times New Roman" w:eastAsia="Times New Roman" w:hint="default"/>
          <w:spacing w:val="-2"/>
        </w:rPr>
        <w:t>)</w:t>
      </w:r>
      <w:r>
        <w:rPr>
          <w:spacing w:val="-2"/>
        </w:rPr>
        <w:t>纳入合并范围并编制</w:t>
      </w:r>
      <w:r>
        <w:rPr>
          <w:spacing w:val="-18"/>
        </w:rPr>
        <w:t> </w:t>
      </w:r>
      <w:r>
        <w:rPr>
          <w:spacing w:val="-18"/>
        </w:rPr>
      </w:r>
      <w:r>
        <w:rPr>
          <w:spacing w:val="-2"/>
        </w:rPr>
        <w:t>合并财务报表；其他子公司不予以合并，母公司对其他子公司的投资按照公允价值计量且其变动计入当期</w:t>
      </w:r>
      <w:r>
        <w:rPr>
          <w:spacing w:val="-42"/>
        </w:rPr>
        <w:t> </w:t>
      </w:r>
      <w:r>
        <w:rPr>
          <w:spacing w:val="-42"/>
        </w:rPr>
      </w:r>
      <w:r>
        <w:rPr/>
        <w:t>损益。</w:t>
      </w:r>
      <w:r>
        <w:rPr>
          <w:spacing w:val="-102"/>
        </w:rPr>
        <w:t> </w:t>
      </w:r>
      <w:r>
        <w:rPr>
          <w:spacing w:val="-2"/>
        </w:rPr>
        <w:t>投资性主体的母公司本身不是投资性主体，则将其控制的全部主体，包括那些通过投资性主体所间接控制</w:t>
      </w:r>
      <w:r>
        <w:rPr>
          <w:spacing w:val="-44"/>
        </w:rPr>
        <w:t> </w:t>
      </w:r>
      <w:r>
        <w:rPr>
          <w:spacing w:val="-44"/>
        </w:rPr>
      </w:r>
      <w:r>
        <w:rPr/>
        <w:t>的主体，纳入合并财务报表范围。</w:t>
      </w:r>
    </w:p>
    <w:p>
      <w:pPr>
        <w:spacing w:line="240" w:lineRule="auto" w:before="0"/>
        <w:rPr>
          <w:rFonts w:ascii="宋体" w:hAnsi="宋体" w:cs="宋体" w:eastAsia="宋体" w:hint="default"/>
          <w:sz w:val="24"/>
          <w:szCs w:val="24"/>
        </w:rPr>
      </w:pPr>
    </w:p>
    <w:p>
      <w:pPr>
        <w:pStyle w:val="Heading4"/>
        <w:spacing w:line="240" w:lineRule="auto"/>
        <w:ind w:right="101"/>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10"/>
        <w:rPr>
          <w:rFonts w:ascii="宋体" w:hAnsi="宋体" w:cs="宋体" w:eastAsia="宋体" w:hint="default"/>
          <w:b/>
          <w:bCs/>
          <w:sz w:val="24"/>
          <w:szCs w:val="24"/>
        </w:rPr>
      </w:pPr>
    </w:p>
    <w:p>
      <w:pPr>
        <w:pStyle w:val="BodyText"/>
        <w:spacing w:line="264" w:lineRule="auto"/>
        <w:ind w:right="6144"/>
        <w:jc w:val="left"/>
      </w:pPr>
      <w:r>
        <w:rPr>
          <w:rFonts w:ascii="Times New Roman" w:hAnsi="Times New Roman" w:cs="Times New Roman" w:eastAsia="Times New Roman" w:hint="default"/>
        </w:rPr>
        <w:t>7.1</w:t>
      </w:r>
      <w:r>
        <w:rPr>
          <w:rFonts w:ascii="Times New Roman" w:hAnsi="Times New Roman" w:cs="Times New Roman" w:eastAsia="Times New Roman" w:hint="default"/>
          <w:spacing w:val="31"/>
        </w:rPr>
        <w:t> </w:t>
      </w:r>
      <w:r>
        <w:rPr/>
        <w:t>合营安排的分类</w:t>
      </w:r>
      <w:r>
        <w:rPr>
          <w:w w:val="100"/>
        </w:rPr>
        <w:t> </w:t>
      </w:r>
      <w:r>
        <w:rPr>
          <w:spacing w:val="-2"/>
        </w:rPr>
        <w:t>合营安排分为共同经营和合营企业。</w:t>
      </w:r>
      <w:r>
        <w:rPr>
          <w:spacing w:val="-72"/>
        </w:rPr>
        <w:t> </w:t>
      </w:r>
      <w:r>
        <w:rPr>
          <w:spacing w:val="-72"/>
        </w:rPr>
      </w:r>
      <w:r>
        <w:rPr>
          <w:rFonts w:ascii="Times New Roman" w:hAnsi="Times New Roman" w:cs="Times New Roman" w:eastAsia="Times New Roman" w:hint="default"/>
        </w:rPr>
        <w:t>7.2</w:t>
      </w:r>
      <w:r>
        <w:rPr/>
        <w:t>共同经营参与方的会计处理</w:t>
      </w:r>
    </w:p>
    <w:p>
      <w:pPr>
        <w:pStyle w:val="BodyText"/>
        <w:spacing w:line="273" w:lineRule="exact"/>
        <w:ind w:right="101"/>
        <w:jc w:val="left"/>
      </w:pPr>
      <w:r>
        <w:rPr/>
        <w:t>合营方确认其与共同经营中利益份额相关的下列项目，并按照相关企业会计准则的规定进行会计处理：</w:t>
      </w:r>
    </w:p>
    <w:p>
      <w:pPr>
        <w:pStyle w:val="BodyText"/>
        <w:spacing w:line="240" w:lineRule="auto" w:before="37"/>
        <w:ind w:right="101"/>
        <w:jc w:val="left"/>
      </w:pPr>
      <w:r>
        <w:rPr>
          <w:rFonts w:ascii="Times New Roman" w:hAnsi="Times New Roman" w:cs="Times New Roman" w:eastAsia="Times New Roman" w:hint="default"/>
        </w:rPr>
        <w:t>1</w:t>
      </w:r>
      <w:r>
        <w:rPr/>
        <w:t>）确认单独所持有的资产，以及按其份额确认共同持有的资产；</w:t>
      </w:r>
    </w:p>
    <w:p>
      <w:pPr>
        <w:pStyle w:val="BodyText"/>
        <w:spacing w:line="240" w:lineRule="auto" w:before="21"/>
        <w:ind w:right="101"/>
        <w:jc w:val="left"/>
      </w:pPr>
      <w:r>
        <w:rPr>
          <w:rFonts w:ascii="Times New Roman" w:hAnsi="Times New Roman" w:cs="Times New Roman" w:eastAsia="Times New Roman" w:hint="default"/>
        </w:rPr>
        <w:t>2</w:t>
      </w:r>
      <w:r>
        <w:rPr/>
        <w:t>）确认单独所承担的负债，以及按其份额确认共同承担的负债；</w:t>
      </w:r>
    </w:p>
    <w:p>
      <w:pPr>
        <w:pStyle w:val="BodyText"/>
        <w:spacing w:line="240" w:lineRule="auto" w:before="21"/>
        <w:ind w:right="101"/>
        <w:jc w:val="left"/>
      </w:pPr>
      <w:r>
        <w:rPr>
          <w:rFonts w:ascii="Times New Roman" w:hAnsi="Times New Roman" w:cs="Times New Roman" w:eastAsia="Times New Roman" w:hint="default"/>
        </w:rPr>
        <w:t>3</w:t>
      </w:r>
      <w:r>
        <w:rPr/>
        <w:t>）确认出售其享有的共同经营产出份额所产生的收入；</w:t>
      </w:r>
    </w:p>
    <w:p>
      <w:pPr>
        <w:pStyle w:val="BodyText"/>
        <w:spacing w:line="240" w:lineRule="auto" w:before="19"/>
        <w:ind w:right="101"/>
        <w:jc w:val="left"/>
      </w:pPr>
      <w:r>
        <w:rPr>
          <w:rFonts w:ascii="Times New Roman" w:hAnsi="Times New Roman" w:cs="Times New Roman" w:eastAsia="Times New Roman" w:hint="default"/>
        </w:rPr>
        <w:t>4</w:t>
      </w:r>
      <w:r>
        <w:rPr/>
        <w:t>）按其份额确认共同经营因出售产出所产生的收入；</w:t>
      </w:r>
    </w:p>
    <w:p>
      <w:pPr>
        <w:pStyle w:val="BodyText"/>
        <w:spacing w:line="259" w:lineRule="auto" w:before="21"/>
        <w:ind w:right="101"/>
        <w:jc w:val="left"/>
      </w:pPr>
      <w:r>
        <w:rPr>
          <w:rFonts w:ascii="Times New Roman" w:hAnsi="Times New Roman" w:cs="Times New Roman" w:eastAsia="Times New Roman" w:hint="default"/>
        </w:rPr>
        <w:t>5</w:t>
      </w:r>
      <w:r>
        <w:rPr/>
        <w:t>）确认单独所发生的费用，以及按其份额确认共同经营发生的费用。</w:t>
      </w:r>
      <w:r>
        <w:rPr>
          <w:w w:val="100"/>
        </w:rPr>
        <w:t> </w:t>
      </w:r>
      <w:r>
        <w:rPr>
          <w:spacing w:val="-3"/>
        </w:rPr>
        <w:t>合营方向共同经营投出或出售资产等</w:t>
      </w:r>
      <w:r>
        <w:rPr>
          <w:rFonts w:ascii="Times New Roman" w:hAnsi="Times New Roman" w:cs="Times New Roman" w:eastAsia="Times New Roman" w:hint="default"/>
          <w:spacing w:val="-3"/>
        </w:rPr>
        <w:t>(</w:t>
      </w:r>
      <w:r>
        <w:rPr>
          <w:spacing w:val="-3"/>
        </w:rPr>
        <w:t>该资产构成业务的除外</w:t>
      </w:r>
      <w:r>
        <w:rPr>
          <w:rFonts w:ascii="Times New Roman" w:hAnsi="Times New Roman" w:cs="Times New Roman" w:eastAsia="Times New Roman" w:hint="default"/>
          <w:spacing w:val="-3"/>
        </w:rPr>
        <w:t>)</w:t>
      </w:r>
      <w:r>
        <w:rPr>
          <w:spacing w:val="-3"/>
        </w:rPr>
        <w:t>，在该资产等由共同经营出售给第三方之前，</w:t>
      </w:r>
      <w:r>
        <w:rPr>
          <w:spacing w:val="-24"/>
        </w:rPr>
        <w:t> </w:t>
      </w:r>
      <w:r>
        <w:rPr>
          <w:spacing w:val="-24"/>
        </w:rPr>
      </w:r>
      <w:r>
        <w:rPr/>
        <w:t>仅确认因该交易产生的损益中归属于共同经营其他参与方的部分。投出或出售的资产发生符合《企业会计</w:t>
      </w:r>
      <w:r>
        <w:rPr>
          <w:w w:val="100"/>
        </w:rPr>
        <w:t> </w:t>
      </w:r>
      <w:r>
        <w:rPr/>
        <w:t>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资产减值》等规定的资产减值损失的，合营方全额确认该损失。</w:t>
      </w:r>
      <w:r>
        <w:rPr>
          <w:w w:val="100"/>
        </w:rPr>
        <w:t> </w:t>
      </w:r>
      <w:r>
        <w:rPr/>
        <w:t>合营方自共同经营购买资产等</w:t>
      </w:r>
      <w:r>
        <w:rPr>
          <w:rFonts w:ascii="Times New Roman" w:hAnsi="Times New Roman" w:cs="Times New Roman" w:eastAsia="Times New Roman" w:hint="default"/>
        </w:rPr>
        <w:t>(</w:t>
      </w:r>
      <w:r>
        <w:rPr/>
        <w:t>该资产构成业务的除外</w:t>
      </w:r>
      <w:r>
        <w:rPr>
          <w:rFonts w:ascii="Times New Roman" w:hAnsi="Times New Roman" w:cs="Times New Roman" w:eastAsia="Times New Roman" w:hint="default"/>
        </w:rPr>
        <w:t>)</w:t>
      </w:r>
      <w:r>
        <w:rPr/>
        <w:t>，在将该资产等出售给第三方之前，仅确认因该交</w:t>
      </w:r>
      <w:r>
        <w:rPr>
          <w:w w:val="100"/>
        </w:rPr>
        <w:t> </w:t>
      </w:r>
      <w:r>
        <w:rPr/>
        <w:t>易产生的损益中归属于共同经营其他参与方的部分。购入的资产发生符合《企业会计准则第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w:t>
      </w:r>
      <w:r>
        <w:rPr>
          <w:spacing w:val="-3"/>
          <w:w w:val="100"/>
        </w:rPr>
        <w:t> </w:t>
      </w:r>
      <w:r>
        <w:rPr/>
        <w:t>减值》等规定的资产减值损失的，合营方按其承担的份额确认该部分损失。</w:t>
      </w:r>
    </w:p>
    <w:p>
      <w:pPr>
        <w:spacing w:after="0" w:line="259" w:lineRule="auto"/>
        <w:jc w:val="left"/>
        <w:sectPr>
          <w:pgSz w:w="11910" w:h="16840"/>
          <w:pgMar w:header="745" w:footer="980" w:top="1060" w:bottom="1160" w:left="980" w:right="920"/>
        </w:sectPr>
      </w:pPr>
    </w:p>
    <w:p>
      <w:pPr>
        <w:spacing w:line="240" w:lineRule="auto" w:before="10"/>
        <w:rPr>
          <w:rFonts w:ascii="宋体" w:hAnsi="宋体" w:cs="宋体" w:eastAsia="宋体" w:hint="default"/>
          <w:sz w:val="24"/>
          <w:szCs w:val="24"/>
        </w:rPr>
      </w:pPr>
    </w:p>
    <w:p>
      <w:pPr>
        <w:pStyle w:val="BodyText"/>
        <w:spacing w:line="273" w:lineRule="auto" w:before="36"/>
        <w:ind w:right="153"/>
        <w:jc w:val="left"/>
      </w:pPr>
      <w:r>
        <w:rPr>
          <w:spacing w:val="-2"/>
        </w:rPr>
        <w:t>对共同经营不享有共同控制的参与方，如果享有该共同经营相关资产且承担该共同经营相关负债的，按照</w:t>
      </w:r>
      <w:r>
        <w:rPr>
          <w:spacing w:val="-43"/>
        </w:rPr>
        <w:t> </w:t>
      </w:r>
      <w:r>
        <w:rPr>
          <w:spacing w:val="-43"/>
        </w:rPr>
      </w:r>
      <w:r>
        <w:rPr/>
        <w:t>上述方法进行会计处理；否则，按照相关企业会计准则的规定进行会计处理。</w:t>
      </w:r>
    </w:p>
    <w:p>
      <w:pPr>
        <w:spacing w:line="240" w:lineRule="auto" w:before="7"/>
        <w:rPr>
          <w:rFonts w:ascii="宋体" w:hAnsi="宋体" w:cs="宋体" w:eastAsia="宋体" w:hint="default"/>
          <w:sz w:val="23"/>
          <w:szCs w:val="23"/>
        </w:rPr>
      </w:pPr>
    </w:p>
    <w:p>
      <w:pPr>
        <w:pStyle w:val="Heading4"/>
        <w:spacing w:line="240" w:lineRule="auto"/>
        <w:ind w:right="153"/>
        <w:jc w:val="left"/>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153"/>
        <w:jc w:val="left"/>
      </w:pPr>
      <w:r>
        <w:rPr>
          <w:spacing w:val="-2"/>
        </w:rPr>
        <w:t>列示于现金流量表中的现金是指库存现金及可随时用于支付的存款，现金等价物是指持有的期限短（一般</w:t>
      </w:r>
      <w:r>
        <w:rPr>
          <w:spacing w:val="-44"/>
        </w:rPr>
        <w:t> </w:t>
      </w:r>
      <w:r>
        <w:rPr>
          <w:spacing w:val="-44"/>
        </w:rPr>
      </w:r>
      <w:r>
        <w:rPr/>
        <w:t>指从购买日起三个月内到期）、流动性强、易于转换为已知金额现金及价值变动风险很小的投资。</w:t>
      </w:r>
    </w:p>
    <w:p>
      <w:pPr>
        <w:spacing w:line="240" w:lineRule="auto" w:before="7"/>
        <w:rPr>
          <w:rFonts w:ascii="宋体" w:hAnsi="宋体" w:cs="宋体" w:eastAsia="宋体" w:hint="default"/>
          <w:sz w:val="23"/>
          <w:szCs w:val="23"/>
        </w:rPr>
      </w:pPr>
    </w:p>
    <w:p>
      <w:pPr>
        <w:pStyle w:val="Heading4"/>
        <w:spacing w:line="240" w:lineRule="auto"/>
        <w:ind w:right="153"/>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right="3474"/>
        <w:jc w:val="left"/>
      </w:pPr>
      <w:r>
        <w:rPr>
          <w:rFonts w:ascii="Times New Roman" w:hAnsi="Times New Roman" w:cs="Times New Roman" w:eastAsia="Times New Roman" w:hint="default"/>
        </w:rPr>
        <w:t>9.1</w:t>
      </w:r>
      <w:r>
        <w:rPr>
          <w:rFonts w:ascii="Times New Roman" w:hAnsi="Times New Roman" w:cs="Times New Roman" w:eastAsia="Times New Roman" w:hint="default"/>
          <w:spacing w:val="31"/>
        </w:rPr>
        <w:t> </w:t>
      </w:r>
      <w:r>
        <w:rPr/>
        <w:t>外币业务</w:t>
      </w:r>
      <w:r>
        <w:rPr>
          <w:w w:val="100"/>
        </w:rPr>
        <w:t> </w:t>
      </w:r>
      <w:r>
        <w:rPr>
          <w:spacing w:val="-2"/>
        </w:rPr>
        <w:t>外币业务按业务发生日的即期汇率将外币金额折算为人民币入账。</w:t>
      </w:r>
    </w:p>
    <w:p>
      <w:pPr>
        <w:pStyle w:val="BodyText"/>
        <w:spacing w:line="273" w:lineRule="auto" w:before="22"/>
        <w:ind w:right="146"/>
        <w:jc w:val="both"/>
      </w:pPr>
      <w:r>
        <w:rPr>
          <w:spacing w:val="-2"/>
        </w:rPr>
        <w:t>于资产负债表日，外币货币性项目采用资产负债表日的即期汇率折算为人民币，所产生的折算差额除了为</w:t>
      </w:r>
      <w:r>
        <w:rPr>
          <w:spacing w:val="-44"/>
        </w:rPr>
        <w:t> </w:t>
      </w:r>
      <w:r>
        <w:rPr>
          <w:spacing w:val="-44"/>
        </w:rPr>
      </w:r>
      <w:r>
        <w:rPr>
          <w:spacing w:val="-2"/>
        </w:rPr>
        <w:t>购建或生产符合资本化条件的资产而借入的外币借款产生的汇兑差额按资本化的原则处理外，直接计入当</w:t>
      </w:r>
      <w:r>
        <w:rPr>
          <w:spacing w:val="-43"/>
        </w:rPr>
        <w:t> </w:t>
      </w:r>
      <w:r>
        <w:rPr>
          <w:spacing w:val="-43"/>
        </w:rPr>
      </w:r>
      <w:r>
        <w:rPr/>
        <w:t>期损益。以历史成本计量的外币非货币性项目，于资产负债表日采用交易发生日的即期汇率折算。</w:t>
      </w:r>
    </w:p>
    <w:p>
      <w:pPr>
        <w:pStyle w:val="BodyText"/>
        <w:spacing w:line="276" w:lineRule="auto" w:before="7"/>
        <w:ind w:right="153"/>
        <w:jc w:val="left"/>
      </w:pPr>
      <w:r>
        <w:rPr>
          <w:rFonts w:ascii="Times New Roman" w:hAnsi="Times New Roman" w:cs="Times New Roman" w:eastAsia="Times New Roman" w:hint="default"/>
        </w:rPr>
        <w:t>9.2</w:t>
      </w:r>
      <w:r>
        <w:rPr>
          <w:rFonts w:ascii="Times New Roman" w:hAnsi="Times New Roman" w:cs="Times New Roman" w:eastAsia="Times New Roman" w:hint="default"/>
          <w:spacing w:val="31"/>
        </w:rPr>
        <w:t> </w:t>
      </w:r>
      <w:r>
        <w:rPr/>
        <w:t>外币财务报表的折算</w:t>
      </w:r>
      <w:r>
        <w:rPr>
          <w:w w:val="100"/>
        </w:rPr>
        <w:t> </w:t>
      </w:r>
      <w:r>
        <w:rPr>
          <w:spacing w:val="2"/>
        </w:rPr>
        <w:t>以非记账本位币编制的资产负债表中的资产和负债项目，采用资产负债表日的即期汇率折算成记账本位</w:t>
      </w:r>
      <w:r>
        <w:rPr>
          <w:spacing w:val="-30"/>
        </w:rPr>
        <w:t> </w:t>
      </w:r>
      <w:r>
        <w:rPr>
          <w:spacing w:val="-30"/>
        </w:rPr>
      </w:r>
      <w:r>
        <w:rPr>
          <w:spacing w:val="-2"/>
        </w:rPr>
        <w:t>币，所有者权益中除未分配利润项目外，其他项目采用发生时的即期汇率折算。以非记账本位币编制的利</w:t>
      </w:r>
      <w:r>
        <w:rPr>
          <w:spacing w:val="-43"/>
        </w:rPr>
        <w:t> </w:t>
      </w:r>
      <w:r>
        <w:rPr>
          <w:spacing w:val="-43"/>
        </w:rPr>
      </w:r>
      <w:r>
        <w:rPr>
          <w:spacing w:val="-2"/>
        </w:rPr>
        <w:t>润表中的收入与费用项目，采用交易发生日的即期汇率折算成记账本位币。上述折算产生的外币报表折算</w:t>
      </w:r>
      <w:r>
        <w:rPr>
          <w:spacing w:val="-43"/>
        </w:rPr>
        <w:t> </w:t>
      </w:r>
      <w:r>
        <w:rPr>
          <w:spacing w:val="-43"/>
        </w:rPr>
      </w:r>
      <w:r>
        <w:rPr>
          <w:spacing w:val="-2"/>
        </w:rPr>
        <w:t>差额，在其他综合收益中核算。以非记账本位币编制的现金流量表中各项目的现金流量采用现金流量发生</w:t>
      </w:r>
      <w:r>
        <w:rPr>
          <w:spacing w:val="-42"/>
        </w:rPr>
        <w:t> </w:t>
      </w:r>
      <w:r>
        <w:rPr>
          <w:spacing w:val="-42"/>
        </w:rPr>
      </w:r>
      <w:r>
        <w:rPr/>
        <w:t>日的即期汇率折算成记账本位币。汇率变动对现金的影响额，在现金流量表中单独列示。</w:t>
      </w:r>
    </w:p>
    <w:p>
      <w:pPr>
        <w:spacing w:line="240" w:lineRule="auto" w:before="2"/>
        <w:rPr>
          <w:rFonts w:ascii="宋体" w:hAnsi="宋体" w:cs="宋体" w:eastAsia="宋体" w:hint="default"/>
          <w:sz w:val="23"/>
          <w:szCs w:val="23"/>
        </w:rPr>
      </w:pPr>
    </w:p>
    <w:p>
      <w:pPr>
        <w:pStyle w:val="Heading4"/>
        <w:spacing w:line="240" w:lineRule="auto"/>
        <w:ind w:right="153"/>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10"/>
        <w:rPr>
          <w:rFonts w:ascii="宋体" w:hAnsi="宋体" w:cs="宋体" w:eastAsia="宋体" w:hint="default"/>
          <w:b/>
          <w:bCs/>
          <w:sz w:val="24"/>
          <w:szCs w:val="24"/>
        </w:rPr>
      </w:pPr>
    </w:p>
    <w:p>
      <w:pPr>
        <w:pStyle w:val="BodyText"/>
        <w:spacing w:line="268" w:lineRule="auto"/>
        <w:ind w:right="1674"/>
        <w:jc w:val="left"/>
      </w:pPr>
      <w:r>
        <w:rPr>
          <w:rFonts w:ascii="Times New Roman" w:hAnsi="Times New Roman" w:cs="Times New Roman" w:eastAsia="Times New Roman" w:hint="default"/>
        </w:rPr>
        <w:t>10.1</w:t>
      </w:r>
      <w:r>
        <w:rPr>
          <w:rFonts w:ascii="Times New Roman" w:hAnsi="Times New Roman" w:cs="Times New Roman" w:eastAsia="Times New Roman" w:hint="default"/>
          <w:spacing w:val="31"/>
        </w:rPr>
        <w:t> </w:t>
      </w:r>
      <w:r>
        <w:rPr/>
        <w:t>金融工具的确认和终止确认</w:t>
      </w:r>
      <w:r>
        <w:rPr>
          <w:w w:val="100"/>
        </w:rPr>
        <w:t> </w:t>
      </w:r>
      <w:r>
        <w:rPr>
          <w:spacing w:val="-2"/>
        </w:rPr>
        <w:t>本公司于成为金融工具合同的一方时确认一项金融资产或金融负债。</w:t>
      </w:r>
      <w:r>
        <w:rPr>
          <w:spacing w:val="-48"/>
        </w:rPr>
        <w:t> </w:t>
      </w:r>
      <w:r>
        <w:rPr>
          <w:spacing w:val="-48"/>
        </w:rPr>
      </w:r>
      <w:r>
        <w:rPr/>
        <w:t>金融资产满足下列条件之一的，终止确认：</w:t>
      </w:r>
      <w:r>
        <w:rPr>
          <w:w w:val="100"/>
        </w:rPr>
        <w:t> </w:t>
      </w:r>
      <w:r>
        <w:rPr>
          <w:rFonts w:ascii="Times New Roman" w:hAnsi="Times New Roman" w:cs="Times New Roman" w:eastAsia="Times New Roman" w:hint="default"/>
        </w:rPr>
        <w:t>1</w:t>
      </w:r>
      <w:r>
        <w:rPr/>
        <w:t>）收取该金融资产现金流量的合同权利终止；</w:t>
      </w:r>
    </w:p>
    <w:p>
      <w:pPr>
        <w:pStyle w:val="BodyText"/>
        <w:spacing w:line="256" w:lineRule="auto"/>
        <w:ind w:right="153"/>
        <w:jc w:val="left"/>
      </w:pPr>
      <w:r>
        <w:rPr>
          <w:rFonts w:ascii="Times New Roman" w:hAnsi="Times New Roman" w:cs="Times New Roman" w:eastAsia="Times New Roman" w:hint="default"/>
          <w:spacing w:val="-2"/>
        </w:rPr>
        <w:t>2</w:t>
      </w:r>
      <w:r>
        <w:rPr>
          <w:spacing w:val="-2"/>
        </w:rPr>
        <w:t>）该金融资产已转移，且符合《企业会计准则第</w:t>
      </w:r>
      <w:r>
        <w:rPr>
          <w:rFonts w:ascii="Times New Roman" w:hAnsi="Times New Roman" w:cs="Times New Roman" w:eastAsia="Times New Roman" w:hint="default"/>
          <w:spacing w:val="-2"/>
        </w:rPr>
        <w:t>23</w:t>
      </w:r>
      <w:r>
        <w:rPr>
          <w:spacing w:val="-2"/>
        </w:rPr>
        <w:t>号－金融资产转移》规定的金融资产终止确认条件。</w:t>
      </w:r>
      <w:r>
        <w:rPr>
          <w:spacing w:val="-20"/>
        </w:rPr>
        <w:t> </w:t>
      </w:r>
      <w:r>
        <w:rPr>
          <w:spacing w:val="-20"/>
        </w:rPr>
      </w:r>
      <w:r>
        <w:rPr/>
        <w:t>金融负债的现时义务全部或部分已经解除的，终止确认该金融负债或其一部分。</w:t>
      </w:r>
    </w:p>
    <w:p>
      <w:pPr>
        <w:pStyle w:val="BodyText"/>
        <w:spacing w:line="264" w:lineRule="auto" w:before="22"/>
        <w:ind w:right="153"/>
        <w:jc w:val="left"/>
      </w:pPr>
      <w:r>
        <w:rPr>
          <w:rFonts w:ascii="Times New Roman" w:hAnsi="Times New Roman" w:cs="Times New Roman" w:eastAsia="Times New Roman" w:hint="default"/>
        </w:rPr>
        <w:t>10.2</w:t>
      </w:r>
      <w:r>
        <w:rPr/>
        <w:t>金融资产的分类</w:t>
      </w:r>
      <w:r>
        <w:rPr>
          <w:w w:val="100"/>
        </w:rPr>
        <w:t> </w:t>
      </w:r>
      <w:r>
        <w:rPr>
          <w:spacing w:val="-2"/>
        </w:rPr>
        <w:t>金融资产于初始确认时分类为：以公允价值计量且其变动计入当期损益的金融资产、应收款项、可供出售</w:t>
      </w:r>
      <w:r>
        <w:rPr>
          <w:spacing w:val="-44"/>
        </w:rPr>
        <w:t> </w:t>
      </w:r>
      <w:r>
        <w:rPr>
          <w:spacing w:val="-44"/>
        </w:rPr>
      </w:r>
      <w:r>
        <w:rPr/>
        <w:t>金融资产和持有至到期投资。金融资产的分类取决于本公司对金融资产的持有意图和持有能力。</w:t>
      </w:r>
    </w:p>
    <w:p>
      <w:pPr>
        <w:pStyle w:val="BodyText"/>
        <w:spacing w:line="264" w:lineRule="auto" w:before="16"/>
        <w:ind w:right="15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以公允价值计量且其变动计入当期损益的金融资产</w:t>
      </w:r>
      <w:r>
        <w:rPr>
          <w:w w:val="100"/>
        </w:rPr>
        <w:t> </w:t>
      </w:r>
      <w:r>
        <w:rPr>
          <w:spacing w:val="-2"/>
        </w:rPr>
        <w:t>以公允价值计量且其变动计入当期损益的金融资产包括持有目的为短期内出售的金融资产，该资产在资产</w:t>
      </w:r>
      <w:r>
        <w:rPr>
          <w:spacing w:val="-43"/>
        </w:rPr>
        <w:t> </w:t>
      </w:r>
      <w:r>
        <w:rPr>
          <w:spacing w:val="-43"/>
        </w:rPr>
      </w:r>
      <w:r>
        <w:rPr/>
        <w:t>负债表中以交易性金融资产列示。</w:t>
      </w:r>
    </w:p>
    <w:p>
      <w:pPr>
        <w:pStyle w:val="BodyText"/>
        <w:spacing w:line="266" w:lineRule="auto" w:before="16"/>
        <w:ind w:right="15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应收款项</w:t>
      </w:r>
      <w:r>
        <w:rPr>
          <w:spacing w:val="-103"/>
        </w:rPr>
        <w:t> </w:t>
      </w:r>
      <w:r>
        <w:rPr>
          <w:spacing w:val="-103"/>
        </w:rPr>
      </w:r>
      <w:r>
        <w:rPr>
          <w:spacing w:val="-2"/>
        </w:rPr>
        <w:t>应收款项是指在活跃市场中没有报价、回收金额固定或可确定的非衍生金融资产，包括应收账款、其他应</w:t>
      </w:r>
      <w:r>
        <w:rPr>
          <w:spacing w:val="-43"/>
        </w:rPr>
        <w:t> </w:t>
      </w:r>
      <w:r>
        <w:rPr>
          <w:spacing w:val="-43"/>
        </w:rPr>
      </w:r>
      <w:r>
        <w:rPr/>
        <w:t>收款和长期应收款等。</w:t>
      </w:r>
    </w:p>
    <w:p>
      <w:pPr>
        <w:pStyle w:val="BodyText"/>
        <w:spacing w:line="261" w:lineRule="auto" w:before="14"/>
        <w:ind w:right="153"/>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0"/>
        </w:rPr>
        <w:t> </w:t>
      </w:r>
      <w:r>
        <w:rPr/>
        <w:t>可供出售金融资产</w:t>
      </w:r>
      <w:r>
        <w:rPr>
          <w:w w:val="100"/>
        </w:rPr>
        <w:t> </w:t>
      </w:r>
      <w:r>
        <w:rPr/>
        <w:t>可供出售金融资产包括初始确认时即被指定为可供出售的非衍生金融资产及未被划分为其他类的金融资</w:t>
      </w:r>
      <w:r>
        <w:rPr>
          <w:w w:val="100"/>
        </w:rPr>
        <w:t> </w:t>
      </w:r>
      <w:r>
        <w:rPr>
          <w:spacing w:val="-2"/>
        </w:rPr>
        <w:t>产。自资产负债表日起</w:t>
      </w:r>
      <w:r>
        <w:rPr>
          <w:rFonts w:ascii="Times New Roman" w:hAnsi="Times New Roman" w:cs="Times New Roman" w:eastAsia="Times New Roman" w:hint="default"/>
          <w:spacing w:val="-2"/>
        </w:rPr>
        <w:t>12</w:t>
      </w:r>
      <w:r>
        <w:rPr>
          <w:spacing w:val="-2"/>
        </w:rPr>
        <w:t>个月内将出售的可供出售金融资产在资产负债表中列示为一年内到期的非流动资</w:t>
      </w:r>
      <w:r>
        <w:rPr>
          <w:spacing w:val="-41"/>
        </w:rPr>
        <w:t> </w:t>
      </w:r>
      <w:r>
        <w:rPr>
          <w:spacing w:val="-41"/>
        </w:rPr>
      </w:r>
      <w:r>
        <w:rPr/>
        <w:t>产。</w:t>
      </w:r>
    </w:p>
    <w:p>
      <w:pPr>
        <w:pStyle w:val="BodyText"/>
        <w:spacing w:line="240" w:lineRule="auto" w:before="18"/>
        <w:ind w:right="153"/>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33"/>
        </w:rPr>
        <w:t> </w:t>
      </w:r>
      <w:r>
        <w:rPr/>
        <w:t>持有至到期投资</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BodyText"/>
        <w:spacing w:line="266" w:lineRule="auto" w:before="36"/>
        <w:ind w:right="146"/>
        <w:jc w:val="both"/>
      </w:pPr>
      <w:r>
        <w:rPr>
          <w:spacing w:val="-2"/>
        </w:rPr>
        <w:t>持有至到期投资是指到期日固定、回收金额固定或可确定，且管理层有明确意图和能力持有至到期的非衍</w:t>
      </w:r>
      <w:r>
        <w:rPr>
          <w:spacing w:val="-44"/>
        </w:rPr>
        <w:t> </w:t>
      </w:r>
      <w:r>
        <w:rPr>
          <w:spacing w:val="-44"/>
        </w:rPr>
      </w:r>
      <w:r>
        <w:rPr>
          <w:spacing w:val="-2"/>
        </w:rPr>
        <w:t>生金融资产。自资产负债表日起</w:t>
      </w:r>
      <w:r>
        <w:rPr>
          <w:rFonts w:ascii="Times New Roman" w:hAnsi="Times New Roman" w:cs="Times New Roman" w:eastAsia="Times New Roman" w:hint="default"/>
          <w:spacing w:val="-2"/>
        </w:rPr>
        <w:t>12</w:t>
      </w:r>
      <w:r>
        <w:rPr>
          <w:spacing w:val="-2"/>
        </w:rPr>
        <w:t>个月内到期的持有至到期投资在资产负债表中列示为一年内到期的非流</w:t>
      </w:r>
      <w:r>
        <w:rPr>
          <w:spacing w:val="-40"/>
        </w:rPr>
        <w:t> </w:t>
      </w:r>
      <w:r>
        <w:rPr>
          <w:spacing w:val="-40"/>
        </w:rPr>
      </w:r>
      <w:r>
        <w:rPr/>
        <w:t>动资产。</w:t>
      </w:r>
    </w:p>
    <w:p>
      <w:pPr>
        <w:pStyle w:val="BodyText"/>
        <w:spacing w:line="271" w:lineRule="auto" w:before="14"/>
        <w:ind w:right="153"/>
        <w:jc w:val="left"/>
      </w:pPr>
      <w:r>
        <w:rPr>
          <w:rFonts w:ascii="Times New Roman" w:hAnsi="Times New Roman" w:cs="Times New Roman" w:eastAsia="Times New Roman" w:hint="default"/>
        </w:rPr>
        <w:t>10.3</w:t>
      </w:r>
      <w:r>
        <w:rPr>
          <w:rFonts w:ascii="Times New Roman" w:hAnsi="Times New Roman" w:cs="Times New Roman" w:eastAsia="Times New Roman" w:hint="default"/>
          <w:spacing w:val="31"/>
        </w:rPr>
        <w:t> </w:t>
      </w:r>
      <w:r>
        <w:rPr/>
        <w:t>金融资产的计量</w:t>
      </w:r>
      <w:r>
        <w:rPr>
          <w:w w:val="100"/>
        </w:rPr>
        <w:t> </w:t>
      </w:r>
      <w:r>
        <w:rPr>
          <w:spacing w:val="-2"/>
        </w:rPr>
        <w:t>金融资产于本公司成为金融工具合同的一方时，按公允价值在资产负债表内确认。以公允价值计量且其变</w:t>
      </w:r>
      <w:r>
        <w:rPr>
          <w:spacing w:val="-43"/>
        </w:rPr>
        <w:t> </w:t>
      </w:r>
      <w:r>
        <w:rPr>
          <w:spacing w:val="-43"/>
        </w:rPr>
      </w:r>
      <w:r>
        <w:rPr>
          <w:spacing w:val="-2"/>
        </w:rPr>
        <w:t>动计入当期损益的金融资产，取得时发生的相关交易费用直接计入当期损益。其他金融资产的相关交易费</w:t>
      </w:r>
      <w:r>
        <w:rPr>
          <w:spacing w:val="-44"/>
        </w:rPr>
        <w:t> </w:t>
      </w:r>
      <w:r>
        <w:rPr>
          <w:spacing w:val="-44"/>
        </w:rPr>
      </w:r>
      <w:r>
        <w:rPr/>
        <w:t>用计入初始确认金额。</w:t>
      </w:r>
      <w:r>
        <w:rPr>
          <w:w w:val="100"/>
        </w:rPr>
        <w:t> </w:t>
      </w:r>
      <w:r>
        <w:rPr>
          <w:spacing w:val="-2"/>
        </w:rPr>
        <w:t>以公允价值计量且其变动计入当期损益的金融资产和可供出售金融资产按照公允价值进行后续计量，但在</w:t>
      </w:r>
      <w:r>
        <w:rPr>
          <w:spacing w:val="-42"/>
        </w:rPr>
        <w:t> </w:t>
      </w:r>
      <w:r>
        <w:rPr>
          <w:spacing w:val="-42"/>
        </w:rPr>
      </w:r>
      <w:r>
        <w:rPr>
          <w:spacing w:val="-2"/>
        </w:rPr>
        <w:t>活跃市场中没有报价且其公允价值不能可靠计量的权益工具投资，按照成本计量；应收款项以及持有至到</w:t>
      </w:r>
      <w:r>
        <w:rPr>
          <w:spacing w:val="-42"/>
        </w:rPr>
        <w:t> </w:t>
      </w:r>
      <w:r>
        <w:rPr>
          <w:spacing w:val="-42"/>
        </w:rPr>
      </w:r>
      <w:r>
        <w:rPr/>
        <w:t>期投资采用实际利率法，以摊余成本计量。</w:t>
      </w:r>
      <w:r>
        <w:rPr>
          <w:w w:val="100"/>
        </w:rPr>
        <w:t> </w:t>
      </w:r>
      <w:r>
        <w:rPr>
          <w:spacing w:val="-2"/>
        </w:rPr>
        <w:t>以公允价值计量且其变动计入当期损益的金融资产的公允价值变动计入公允价值变动损益；在资产持有期</w:t>
      </w:r>
      <w:r>
        <w:rPr>
          <w:spacing w:val="-43"/>
        </w:rPr>
        <w:t> </w:t>
      </w:r>
      <w:r>
        <w:rPr>
          <w:spacing w:val="-43"/>
        </w:rPr>
      </w:r>
      <w:r>
        <w:rPr/>
        <w:t>间所取得的利息或现金股利以及在处置时产生的处置损益，计入当期损益。</w:t>
      </w:r>
      <w:r>
        <w:rPr>
          <w:w w:val="100"/>
        </w:rPr>
        <w:t> </w:t>
      </w:r>
      <w:r>
        <w:rPr>
          <w:spacing w:val="-2"/>
        </w:rPr>
        <w:t>除减值损失及外币货币性金融资产形成的汇兑损益外，可供出售金融资产公允价值变动计入股东权益，待</w:t>
      </w:r>
      <w:r>
        <w:rPr>
          <w:spacing w:val="-44"/>
        </w:rPr>
        <w:t> </w:t>
      </w:r>
      <w:r>
        <w:rPr>
          <w:spacing w:val="-44"/>
        </w:rPr>
      </w:r>
      <w:r>
        <w:rPr>
          <w:spacing w:val="-2"/>
        </w:rPr>
        <w:t>该金融资产终止确认时，原直接计入权益的公允价值变动累计额转入当期损益。可供出售债务工具投资在</w:t>
      </w:r>
      <w:r>
        <w:rPr>
          <w:spacing w:val="-43"/>
        </w:rPr>
        <w:t> </w:t>
      </w:r>
      <w:r>
        <w:rPr>
          <w:spacing w:val="-43"/>
        </w:rPr>
      </w:r>
      <w:r>
        <w:rPr>
          <w:spacing w:val="-2"/>
        </w:rPr>
        <w:t>持有期间按实际利率法计算利息，计入投资收益；可供出售权益工具投资的现金股利，于被投资单位宣告</w:t>
      </w:r>
      <w:r>
        <w:rPr>
          <w:spacing w:val="-43"/>
        </w:rPr>
        <w:t> </w:t>
      </w:r>
      <w:r>
        <w:rPr>
          <w:spacing w:val="-43"/>
        </w:rPr>
      </w:r>
      <w:r>
        <w:rPr/>
        <w:t>发放股利时计入投资收益。</w:t>
      </w:r>
    </w:p>
    <w:p>
      <w:pPr>
        <w:pStyle w:val="BodyText"/>
        <w:spacing w:line="268" w:lineRule="auto" w:before="10"/>
        <w:ind w:right="153"/>
        <w:jc w:val="left"/>
      </w:pPr>
      <w:r>
        <w:rPr>
          <w:rFonts w:ascii="Times New Roman" w:hAnsi="Times New Roman" w:cs="Times New Roman" w:eastAsia="Times New Roman" w:hint="default"/>
        </w:rPr>
        <w:t>10.4</w:t>
      </w:r>
      <w:r>
        <w:rPr/>
        <w:t>金融资产转移的确认依据和计量方法</w:t>
      </w:r>
      <w:r>
        <w:rPr>
          <w:w w:val="100"/>
        </w:rPr>
        <w:t> </w:t>
      </w:r>
      <w:r>
        <w:rPr>
          <w:spacing w:val="-2"/>
        </w:rPr>
        <w:t>公司已将金融资产所有权上几乎所有的风险和报酬转移给转入方的，终止确认该金融资产；保留了金融资</w:t>
      </w:r>
      <w:r>
        <w:rPr>
          <w:spacing w:val="-43"/>
        </w:rPr>
        <w:t> </w:t>
      </w:r>
      <w:r>
        <w:rPr>
          <w:spacing w:val="-43"/>
        </w:rPr>
      </w:r>
      <w:r>
        <w:rPr/>
        <w:t>产所有权上几乎所有的风险和报酬的，不终止确认该金融资产。</w:t>
      </w:r>
      <w:r>
        <w:rPr>
          <w:w w:val="100"/>
        </w:rPr>
        <w:t> </w:t>
      </w:r>
      <w:r>
        <w:rPr/>
        <w:t>金融资产整体转移满足终止确认条件的，将下列两项金额的差额计入当期损益：</w:t>
      </w:r>
      <w:r>
        <w:rPr>
          <w:w w:val="100"/>
        </w:rPr>
        <w:t> </w:t>
      </w:r>
      <w:r>
        <w:rPr>
          <w:rFonts w:ascii="Times New Roman" w:hAnsi="Times New Roman" w:cs="Times New Roman" w:eastAsia="Times New Roman" w:hint="default"/>
        </w:rPr>
        <w:t>1</w:t>
      </w:r>
      <w:r>
        <w:rPr/>
        <w:t>）所转移金融资产的账面价值；</w:t>
      </w:r>
    </w:p>
    <w:p>
      <w:pPr>
        <w:pStyle w:val="BodyText"/>
        <w:spacing w:line="271" w:lineRule="auto"/>
        <w:ind w:right="153"/>
        <w:jc w:val="left"/>
      </w:pPr>
      <w:r>
        <w:rPr>
          <w:rFonts w:ascii="Times New Roman" w:hAnsi="Times New Roman" w:cs="Times New Roman" w:eastAsia="Times New Roman" w:hint="default"/>
        </w:rPr>
        <w:t>2</w:t>
      </w:r>
      <w:r>
        <w:rPr/>
        <w:t>）因转移而收到的对价，与原直接计入所有者权益的公允价值变动累计额（涉及转移的金融资产为可供</w:t>
      </w:r>
      <w:r>
        <w:rPr>
          <w:spacing w:val="-25"/>
        </w:rPr>
        <w:t> </w:t>
      </w:r>
      <w:r>
        <w:rPr>
          <w:spacing w:val="-25"/>
        </w:rPr>
      </w:r>
      <w:r>
        <w:rPr/>
        <w:t>出售金融资产的情形）之和。</w:t>
      </w:r>
      <w:r>
        <w:rPr>
          <w:w w:val="100"/>
        </w:rPr>
        <w:t> </w:t>
      </w:r>
      <w:r>
        <w:rPr>
          <w:spacing w:val="-2"/>
        </w:rPr>
        <w:t>因金融资产转移获得了新金融资产或承担了新金融负债的，在转移日按照公允价值确认该金融资产或金融</w:t>
      </w:r>
      <w:r>
        <w:rPr>
          <w:spacing w:val="-43"/>
        </w:rPr>
        <w:t> </w:t>
      </w:r>
      <w:r>
        <w:rPr>
          <w:spacing w:val="-43"/>
        </w:rPr>
      </w:r>
      <w:r>
        <w:rPr>
          <w:spacing w:val="-2"/>
        </w:rPr>
        <w:t>负债（包括看涨期权、看跌期权、担保负债、远期合同、互换等），并将该金融资产扣除金融负债后的净</w:t>
      </w:r>
      <w:r>
        <w:rPr>
          <w:spacing w:val="-44"/>
        </w:rPr>
        <w:t> </w:t>
      </w:r>
      <w:r>
        <w:rPr>
          <w:spacing w:val="-44"/>
        </w:rPr>
      </w:r>
      <w:r>
        <w:rPr/>
        <w:t>额作为上述对价的组成部分。</w:t>
      </w:r>
      <w:r>
        <w:rPr>
          <w:w w:val="100"/>
        </w:rPr>
        <w:t> </w:t>
      </w:r>
      <w:r>
        <w:rPr>
          <w:spacing w:val="-2"/>
        </w:rPr>
        <w:t>公司与金融资产转入方签订服务合同提供相关服务的（包括收取该金融资产的现金流量，并将所收取的现</w:t>
      </w:r>
      <w:r>
        <w:rPr>
          <w:spacing w:val="-44"/>
        </w:rPr>
        <w:t> </w:t>
      </w:r>
      <w:r>
        <w:rPr>
          <w:spacing w:val="-44"/>
        </w:rPr>
      </w:r>
      <w:r>
        <w:rPr>
          <w:spacing w:val="-2"/>
        </w:rPr>
        <w:t>金流量交付给指定的资金保管机构等），就该服务合同确认一项服务资产或服务负债。服务负债应当按照</w:t>
      </w:r>
      <w:r>
        <w:rPr>
          <w:spacing w:val="-44"/>
        </w:rPr>
        <w:t> </w:t>
      </w:r>
      <w:r>
        <w:rPr>
          <w:spacing w:val="-44"/>
        </w:rPr>
      </w:r>
      <w:r>
        <w:rPr/>
        <w:t>公允价值进行初始计量，并作为上述对价的组成部分。</w:t>
      </w:r>
    </w:p>
    <w:p>
      <w:pPr>
        <w:pStyle w:val="BodyText"/>
        <w:spacing w:line="266" w:lineRule="auto" w:before="10"/>
        <w:ind w:right="153"/>
        <w:jc w:val="left"/>
      </w:pPr>
      <w:r>
        <w:rPr>
          <w:rFonts w:ascii="Times New Roman" w:hAnsi="Times New Roman" w:cs="Times New Roman" w:eastAsia="Times New Roman" w:hint="default"/>
        </w:rPr>
        <w:t>10.5</w:t>
      </w:r>
      <w:r>
        <w:rPr/>
        <w:t>金融负债的分类</w:t>
      </w:r>
      <w:r>
        <w:rPr>
          <w:w w:val="100"/>
        </w:rPr>
        <w:t> </w:t>
      </w:r>
      <w:r>
        <w:rPr>
          <w:spacing w:val="-2"/>
        </w:rPr>
        <w:t>金融负债于初始确认时分类为：以公允价值计量且其变动计入当期损益的金融负债和其他金融负债。以公</w:t>
      </w:r>
      <w:r>
        <w:rPr>
          <w:spacing w:val="-42"/>
        </w:rPr>
        <w:t> </w:t>
      </w:r>
      <w:r>
        <w:rPr>
          <w:spacing w:val="-42"/>
        </w:rPr>
      </w:r>
      <w:r>
        <w:rPr>
          <w:spacing w:val="-2"/>
        </w:rPr>
        <w:t>允价值计量且其变动计入当期损益的金融负债，包括交易性金融负债和初始确认时指定为以公允价值计量</w:t>
      </w:r>
      <w:r>
        <w:rPr>
          <w:spacing w:val="-43"/>
        </w:rPr>
        <w:t> </w:t>
      </w:r>
      <w:r>
        <w:rPr>
          <w:spacing w:val="-43"/>
        </w:rPr>
      </w:r>
      <w:r>
        <w:rPr/>
        <w:t>且其变动计入当期损益的金融负债。</w:t>
      </w:r>
    </w:p>
    <w:p>
      <w:pPr>
        <w:pStyle w:val="BodyText"/>
        <w:spacing w:line="268" w:lineRule="auto" w:before="14"/>
        <w:ind w:right="153"/>
        <w:jc w:val="left"/>
      </w:pPr>
      <w:r>
        <w:rPr>
          <w:rFonts w:ascii="Times New Roman" w:hAnsi="Times New Roman" w:cs="Times New Roman" w:eastAsia="Times New Roman" w:hint="default"/>
        </w:rPr>
        <w:t>10.6</w:t>
      </w:r>
      <w:r>
        <w:rPr/>
        <w:t>金融负债的计量</w:t>
      </w:r>
      <w:r>
        <w:rPr>
          <w:w w:val="100"/>
        </w:rPr>
        <w:t> </w:t>
      </w:r>
      <w:r>
        <w:rPr>
          <w:spacing w:val="-2"/>
        </w:rPr>
        <w:t>金融负债于本公司成为金融工具合同的一方时，按公允价值在资产负债表内确认。以公允价值计量且其变</w:t>
      </w:r>
      <w:r>
        <w:rPr>
          <w:spacing w:val="-43"/>
        </w:rPr>
        <w:t> </w:t>
      </w:r>
      <w:r>
        <w:rPr>
          <w:spacing w:val="-43"/>
        </w:rPr>
      </w:r>
      <w:r>
        <w:rPr>
          <w:spacing w:val="-2"/>
        </w:rPr>
        <w:t>动计入当期损益的金融负债，取得时发生的相关交易费用直接计入当期损益；其他金融负债的相关交易费</w:t>
      </w:r>
      <w:r>
        <w:rPr>
          <w:spacing w:val="-44"/>
        </w:rPr>
        <w:t> </w:t>
      </w:r>
      <w:r>
        <w:rPr>
          <w:spacing w:val="-44"/>
        </w:rPr>
      </w:r>
      <w:r>
        <w:rPr/>
        <w:t>用计入初始确认金额。</w:t>
      </w:r>
      <w:r>
        <w:rPr>
          <w:w w:val="100"/>
        </w:rPr>
        <w:t> </w:t>
      </w:r>
      <w:r>
        <w:rPr>
          <w:spacing w:val="-2"/>
        </w:rPr>
        <w:t>以公允价值计量且其变动计入当期损益的金融负债，按照公允价值后续计量，且不扣除将来结清金融负债</w:t>
      </w:r>
      <w:r>
        <w:rPr>
          <w:spacing w:val="-44"/>
        </w:rPr>
        <w:t> </w:t>
      </w:r>
      <w:r>
        <w:rPr>
          <w:spacing w:val="-44"/>
        </w:rPr>
      </w:r>
      <w:r>
        <w:rPr/>
        <w:t>时可能发生的交易费用。</w:t>
      </w:r>
    </w:p>
    <w:p>
      <w:pPr>
        <w:pStyle w:val="BodyText"/>
        <w:spacing w:line="240" w:lineRule="auto" w:before="12"/>
        <w:ind w:right="153"/>
        <w:jc w:val="left"/>
      </w:pPr>
      <w:r>
        <w:rPr/>
        <w:t>其他金融负债，采用实际利率法，按照摊余成本进行后续计量。</w:t>
      </w:r>
    </w:p>
    <w:p>
      <w:pPr>
        <w:pStyle w:val="BodyText"/>
        <w:spacing w:line="266" w:lineRule="auto" w:before="37"/>
        <w:ind w:right="153"/>
        <w:jc w:val="left"/>
      </w:pPr>
      <w:r>
        <w:rPr>
          <w:rFonts w:ascii="Times New Roman" w:hAnsi="Times New Roman" w:cs="Times New Roman" w:eastAsia="Times New Roman" w:hint="default"/>
        </w:rPr>
        <w:t>10.7</w:t>
      </w:r>
      <w:r>
        <w:rPr>
          <w:rFonts w:ascii="Times New Roman" w:hAnsi="Times New Roman" w:cs="Times New Roman" w:eastAsia="Times New Roman" w:hint="default"/>
          <w:spacing w:val="31"/>
        </w:rPr>
        <w:t> </w:t>
      </w:r>
      <w:r>
        <w:rPr/>
        <w:t>金融资产和金融负债的公允价值的确定方法</w:t>
      </w:r>
      <w:r>
        <w:rPr>
          <w:w w:val="100"/>
        </w:rPr>
        <w:t> </w:t>
      </w:r>
      <w:r>
        <w:rPr>
          <w:spacing w:val="-2"/>
        </w:rPr>
        <w:t>存在活跃市场的金融资产或金融负债，采用活跃市场中的报价确定其公允价值。金融工具不存在活跃市场</w:t>
      </w:r>
      <w:r>
        <w:rPr>
          <w:spacing w:val="-44"/>
        </w:rPr>
        <w:t> </w:t>
      </w:r>
      <w:r>
        <w:rPr>
          <w:spacing w:val="-44"/>
        </w:rPr>
      </w:r>
      <w:r>
        <w:rPr>
          <w:spacing w:val="-2"/>
        </w:rPr>
        <w:t>的，采用估值技术确定其公允价值，估值技术包括参考熟悉情况并自愿交易的各方最近进行的市场交易中</w:t>
      </w:r>
      <w:r>
        <w:rPr>
          <w:spacing w:val="-43"/>
        </w:rPr>
        <w:t> </w:t>
      </w:r>
      <w:r>
        <w:rPr>
          <w:spacing w:val="-43"/>
        </w:rPr>
      </w:r>
      <w:r>
        <w:rPr/>
        <w:t>使用的价格、参照实质上相同的其他金融工具的当前公允价值、现金流量折现法和期权定价模型等。</w:t>
      </w:r>
    </w:p>
    <w:p>
      <w:pPr>
        <w:spacing w:after="0" w:line="266"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BodyText"/>
        <w:spacing w:line="266" w:lineRule="auto" w:before="36"/>
        <w:ind w:right="153"/>
        <w:jc w:val="left"/>
      </w:pPr>
      <w:r>
        <w:rPr>
          <w:rFonts w:ascii="Times New Roman" w:hAnsi="Times New Roman" w:cs="Times New Roman" w:eastAsia="Times New Roman" w:hint="default"/>
        </w:rPr>
        <w:t>10.8</w:t>
      </w:r>
      <w:r>
        <w:rPr/>
        <w:t>金融资产和金融负债的公允价值的确定方法</w:t>
      </w:r>
      <w:r>
        <w:rPr>
          <w:w w:val="100"/>
        </w:rPr>
        <w:t> </w:t>
      </w:r>
      <w:r>
        <w:rPr>
          <w:spacing w:val="-2"/>
        </w:rPr>
        <w:t>除以公允价值计量且其变动计入当期损益的金融资产外，本公司于资产负债表日对金融资产的账面价值进</w:t>
      </w:r>
      <w:r>
        <w:rPr>
          <w:spacing w:val="-43"/>
        </w:rPr>
        <w:t> </w:t>
      </w:r>
      <w:r>
        <w:rPr>
          <w:spacing w:val="-43"/>
        </w:rPr>
      </w:r>
      <w:r>
        <w:rPr/>
        <w:t>行检查，如果有客观证据表明某项金融资产发生减值的，计提减值准备。</w:t>
      </w:r>
      <w:r>
        <w:rPr>
          <w:w w:val="100"/>
        </w:rPr>
        <w:t> </w:t>
      </w:r>
      <w:r>
        <w:rPr>
          <w:spacing w:val="-2"/>
        </w:rPr>
        <w:t>以摊余成本计量的金融资产发生减值时，按预计未来现金流量</w:t>
      </w:r>
      <w:r>
        <w:rPr>
          <w:rFonts w:ascii="Times New Roman" w:hAnsi="Times New Roman" w:cs="Times New Roman" w:eastAsia="Times New Roman" w:hint="default"/>
          <w:spacing w:val="-2"/>
        </w:rPr>
        <w:t>(</w:t>
      </w:r>
      <w:r>
        <w:rPr>
          <w:spacing w:val="-2"/>
        </w:rPr>
        <w:t>不包括尚未发生的未来信用损失</w:t>
      </w:r>
      <w:r>
        <w:rPr>
          <w:rFonts w:ascii="Times New Roman" w:hAnsi="Times New Roman" w:cs="Times New Roman" w:eastAsia="Times New Roman" w:hint="default"/>
          <w:spacing w:val="-2"/>
        </w:rPr>
        <w:t>)</w:t>
      </w:r>
      <w:r>
        <w:rPr>
          <w:spacing w:val="-2"/>
        </w:rPr>
        <w:t>现值低于</w:t>
      </w:r>
      <w:r>
        <w:rPr>
          <w:spacing w:val="-19"/>
        </w:rPr>
        <w:t> </w:t>
      </w:r>
      <w:r>
        <w:rPr>
          <w:spacing w:val="-19"/>
        </w:rPr>
      </w:r>
      <w:r>
        <w:rPr>
          <w:spacing w:val="-2"/>
        </w:rPr>
        <w:t>账面价值的差额，计提减值准备。如果有客观证据表明该金融资产价值已恢复，且客观上与确认该损失后</w:t>
      </w:r>
      <w:r>
        <w:rPr>
          <w:spacing w:val="-43"/>
        </w:rPr>
        <w:t> </w:t>
      </w:r>
      <w:r>
        <w:rPr>
          <w:spacing w:val="-43"/>
        </w:rPr>
      </w:r>
      <w:r>
        <w:rPr/>
        <w:t>发生的事项有关，原确认的减值损失予以转回，计入当期损益。</w:t>
      </w:r>
    </w:p>
    <w:p>
      <w:pPr>
        <w:pStyle w:val="BodyText"/>
        <w:spacing w:line="273" w:lineRule="auto" w:before="55"/>
        <w:ind w:right="125"/>
        <w:jc w:val="both"/>
      </w:pPr>
      <w:r>
        <w:rPr>
          <w:spacing w:val="-2"/>
        </w:rPr>
        <w:t>当可供出售金融资产的公允价值发生较大幅度或非暂时性下降，原直接计入所有者权益的因公允价值下降</w:t>
      </w:r>
      <w:r>
        <w:rPr>
          <w:spacing w:val="-43"/>
        </w:rPr>
        <w:t> </w:t>
      </w:r>
      <w:r>
        <w:rPr>
          <w:spacing w:val="-43"/>
        </w:rPr>
      </w:r>
      <w:r>
        <w:rPr>
          <w:spacing w:val="-2"/>
        </w:rPr>
        <w:t>形成的累计损失计入减值损失。对已确认减值损失的可供出售债务工具投资，在期后公允价值上升且客观</w:t>
      </w:r>
      <w:r>
        <w:rPr>
          <w:spacing w:val="-43"/>
        </w:rPr>
        <w:t> </w:t>
      </w:r>
      <w:r>
        <w:rPr>
          <w:spacing w:val="-43"/>
        </w:rPr>
      </w:r>
      <w:r>
        <w:rPr>
          <w:spacing w:val="-2"/>
        </w:rPr>
        <w:t>上与确认原减值损失确认后发生的事项有关的，原确认的减值损失予以转回，计入当期损益。对已确认减</w:t>
      </w:r>
      <w:r>
        <w:rPr>
          <w:spacing w:val="-44"/>
        </w:rPr>
        <w:t> </w:t>
      </w:r>
      <w:r>
        <w:rPr>
          <w:spacing w:val="-44"/>
        </w:rPr>
      </w:r>
      <w:r>
        <w:rPr>
          <w:spacing w:val="-2"/>
        </w:rPr>
        <w:t>值损失的可供出售权益工具投资，在期后公允价值上升且客观上与确认原减值损失后发生的事项有关的，</w:t>
      </w:r>
      <w:r>
        <w:rPr>
          <w:spacing w:val="-21"/>
        </w:rPr>
        <w:t> </w:t>
      </w:r>
      <w:r>
        <w:rPr>
          <w:spacing w:val="-21"/>
        </w:rPr>
      </w:r>
      <w:r>
        <w:rPr>
          <w:spacing w:val="-2"/>
        </w:rPr>
        <w:t>原确认的减值损失予以转回，直接计入所有者权益。在活跃市场中没有报价且其公允价值不能可靠计量的</w:t>
      </w:r>
      <w:r>
        <w:rPr>
          <w:spacing w:val="-44"/>
        </w:rPr>
        <w:t> </w:t>
      </w:r>
      <w:r>
        <w:rPr>
          <w:spacing w:val="-44"/>
        </w:rPr>
      </w:r>
      <w:r>
        <w:rPr/>
        <w:t>权益工具投资发生的减值损失，如果在以后期间价值得以恢复，也不予转回。</w:t>
      </w:r>
    </w:p>
    <w:p>
      <w:pPr>
        <w:spacing w:line="240" w:lineRule="auto" w:before="5"/>
        <w:rPr>
          <w:rFonts w:ascii="宋体" w:hAnsi="宋体" w:cs="宋体" w:eastAsia="宋体" w:hint="default"/>
          <w:sz w:val="23"/>
          <w:szCs w:val="23"/>
        </w:rPr>
      </w:pPr>
    </w:p>
    <w:p>
      <w:pPr>
        <w:pStyle w:val="Heading4"/>
        <w:spacing w:line="240" w:lineRule="auto"/>
        <w:ind w:right="153"/>
        <w:jc w:val="left"/>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应收款项余额前五名。</w:t>
            </w:r>
          </w:p>
        </w:tc>
      </w:tr>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根据该款项预计未来现金流量现值低于其账面价值的差额， 单独进行减值测试，计提坏账准备。</w:t>
            </w:r>
          </w:p>
        </w:tc>
      </w:tr>
    </w:tbl>
    <w:p>
      <w:pPr>
        <w:spacing w:line="240" w:lineRule="auto" w:before="3"/>
        <w:rPr>
          <w:rFonts w:ascii="宋体" w:hAnsi="宋体" w:cs="宋体" w:eastAsia="宋体" w:hint="default"/>
          <w:b/>
          <w:bCs/>
          <w:sz w:val="19"/>
          <w:szCs w:val="19"/>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性质组合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5"/>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40" w:lineRule="auto" w:before="115"/>
        <w:ind w:left="152" w:right="65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w:t>
      </w:r>
    </w:p>
    <w:p>
      <w:pPr>
        <w:spacing w:before="39"/>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102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对于单项金额不重大但单项计提坏账准备的应收款项，当存 在客观证据表明本公司将无法按应收款项的原有条款收回所 有款项时，确认相应的坏账准备。</w:t>
            </w:r>
          </w:p>
        </w:tc>
      </w:tr>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根据该款项预计未来现金流量现值低于其账面价值的差额， 单独进行减值测试，计提坏账准备。</w:t>
            </w:r>
          </w:p>
        </w:tc>
      </w:tr>
    </w:tbl>
    <w:p>
      <w:pPr>
        <w:spacing w:line="240" w:lineRule="auto" w:before="3"/>
        <w:rPr>
          <w:rFonts w:ascii="宋体" w:hAnsi="宋体" w:cs="宋体" w:eastAsia="宋体" w:hint="default"/>
          <w:b/>
          <w:bCs/>
          <w:sz w:val="19"/>
          <w:szCs w:val="19"/>
        </w:rPr>
      </w:pPr>
    </w:p>
    <w:p>
      <w:pPr>
        <w:pStyle w:val="Heading4"/>
        <w:spacing w:line="240" w:lineRule="auto" w:before="36"/>
        <w:ind w:right="153"/>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2"/>
        <w:rPr>
          <w:rFonts w:ascii="宋体" w:hAnsi="宋体" w:cs="宋体" w:eastAsia="宋体" w:hint="default"/>
          <w:b/>
          <w:bCs/>
          <w:sz w:val="26"/>
          <w:szCs w:val="26"/>
        </w:rPr>
      </w:pPr>
    </w:p>
    <w:p>
      <w:pPr>
        <w:spacing w:line="360" w:lineRule="auto" w:before="0"/>
        <w:ind w:left="152" w:right="671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spacing w:line="309" w:lineRule="auto" w:before="27"/>
        <w:ind w:left="152" w:right="32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存货的类别</w:t>
      </w:r>
      <w:r>
        <w:rPr>
          <w:rFonts w:ascii="宋体" w:hAnsi="宋体" w:cs="宋体" w:eastAsia="宋体" w:hint="default"/>
          <w:w w:val="99"/>
          <w:sz w:val="18"/>
          <w:szCs w:val="18"/>
        </w:rPr>
        <w:t> </w:t>
      </w:r>
      <w:r>
        <w:rPr>
          <w:rFonts w:ascii="宋体" w:hAnsi="宋体" w:cs="宋体" w:eastAsia="宋体" w:hint="default"/>
          <w:sz w:val="18"/>
          <w:szCs w:val="18"/>
        </w:rPr>
        <w:t>存货包括原材料、在产品、产成品和周转材料等，按成本与可变现净值孰低列示。</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发出存货的计价方法</w:t>
      </w:r>
    </w:p>
    <w:p>
      <w:pPr>
        <w:spacing w:line="316" w:lineRule="auto" w:before="5"/>
        <w:ind w:left="152" w:right="142" w:firstLine="0"/>
        <w:jc w:val="left"/>
        <w:rPr>
          <w:rFonts w:ascii="宋体" w:hAnsi="宋体" w:cs="宋体" w:eastAsia="宋体" w:hint="default"/>
          <w:sz w:val="18"/>
          <w:szCs w:val="18"/>
        </w:rPr>
      </w:pPr>
      <w:r>
        <w:rPr>
          <w:rFonts w:ascii="宋体" w:hAnsi="宋体" w:cs="宋体" w:eastAsia="宋体" w:hint="default"/>
          <w:spacing w:val="-2"/>
          <w:sz w:val="18"/>
          <w:szCs w:val="18"/>
        </w:rPr>
        <w:t>存货发出时的成本按加权平均法核算，产成品和在产品成本包括原材料、直接人工以及在正常生产能力下按照一定方法分配</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的制造费用。周转材料包括低值易耗品和包装物等。</w:t>
      </w:r>
    </w:p>
    <w:p>
      <w:pPr>
        <w:spacing w:line="300" w:lineRule="auto" w:before="19"/>
        <w:ind w:left="441" w:right="153" w:hanging="28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确定不同类别存货可变现净值的依据</w:t>
      </w:r>
      <w:r>
        <w:rPr>
          <w:rFonts w:ascii="宋体" w:hAnsi="宋体" w:cs="宋体" w:eastAsia="宋体" w:hint="default"/>
          <w:w w:val="99"/>
          <w:sz w:val="18"/>
          <w:szCs w:val="18"/>
        </w:rPr>
        <w:t> </w:t>
      </w:r>
      <w:r>
        <w:rPr>
          <w:rFonts w:ascii="宋体" w:hAnsi="宋体" w:cs="宋体" w:eastAsia="宋体" w:hint="default"/>
          <w:spacing w:val="-1"/>
          <w:sz w:val="18"/>
          <w:szCs w:val="18"/>
        </w:rPr>
        <w:t>存货成本高于其可变现净值的，计提存货跌价准备，计入当期损益。可变现净值，是指在日常活动中，存货的估计售价</w:t>
      </w:r>
    </w:p>
    <w:p>
      <w:pPr>
        <w:spacing w:line="316" w:lineRule="auto" w:before="31"/>
        <w:ind w:left="152" w:right="142" w:firstLine="0"/>
        <w:jc w:val="left"/>
        <w:rPr>
          <w:rFonts w:ascii="宋体" w:hAnsi="宋体" w:cs="宋体" w:eastAsia="宋体" w:hint="default"/>
          <w:sz w:val="18"/>
          <w:szCs w:val="18"/>
        </w:rPr>
      </w:pPr>
      <w:r>
        <w:rPr>
          <w:rFonts w:ascii="宋体" w:hAnsi="宋体" w:cs="宋体" w:eastAsia="宋体" w:hint="default"/>
          <w:spacing w:val="-2"/>
          <w:sz w:val="18"/>
          <w:szCs w:val="18"/>
        </w:rPr>
        <w:t>减去至完工时估计将要发生的成本、估计的销售费用以及相关税费后的金额。公司确定存货的可变现净值，以取得的确凿证</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据为基础，并且考虑持有存货的目的、资产负债表日后事项的影响等因素。</w:t>
      </w:r>
    </w:p>
    <w:p>
      <w:pPr>
        <w:spacing w:line="316" w:lineRule="auto" w:before="19"/>
        <w:ind w:left="152" w:right="153" w:firstLine="288"/>
        <w:jc w:val="left"/>
        <w:rPr>
          <w:rFonts w:ascii="宋体" w:hAnsi="宋体" w:cs="宋体" w:eastAsia="宋体" w:hint="default"/>
          <w:sz w:val="18"/>
          <w:szCs w:val="18"/>
        </w:rPr>
      </w:pPr>
      <w:r>
        <w:rPr>
          <w:rFonts w:ascii="宋体" w:hAnsi="宋体" w:cs="宋体" w:eastAsia="宋体" w:hint="default"/>
          <w:spacing w:val="-1"/>
          <w:sz w:val="18"/>
          <w:szCs w:val="18"/>
        </w:rPr>
        <w:t>为生产而持有的材料等，用其生产的产成品的可变现净值高于成本的，该材料仍然按照成本计量；材料价格的下降表明</w:t>
      </w:r>
      <w:r>
        <w:rPr>
          <w:rFonts w:ascii="宋体" w:hAnsi="宋体" w:cs="宋体" w:eastAsia="宋体" w:hint="default"/>
          <w:sz w:val="18"/>
          <w:szCs w:val="18"/>
        </w:rPr>
        <w:t> 产成品的可变现净值低于成本的，该材料按照可变现净值计量。</w:t>
      </w:r>
    </w:p>
    <w:p>
      <w:pPr>
        <w:spacing w:line="316" w:lineRule="auto" w:before="19"/>
        <w:ind w:left="152" w:right="153" w:firstLine="288"/>
        <w:jc w:val="left"/>
        <w:rPr>
          <w:rFonts w:ascii="宋体" w:hAnsi="宋体" w:cs="宋体" w:eastAsia="宋体" w:hint="default"/>
          <w:sz w:val="18"/>
          <w:szCs w:val="18"/>
        </w:rPr>
      </w:pPr>
      <w:r>
        <w:rPr>
          <w:rFonts w:ascii="宋体" w:hAnsi="宋体" w:cs="宋体" w:eastAsia="宋体" w:hint="default"/>
          <w:spacing w:val="-1"/>
          <w:sz w:val="18"/>
          <w:szCs w:val="18"/>
        </w:rPr>
        <w:t>为执行销售合同或者劳务合同而持有的存货，其可变现净值以合同价格为基础计算。持有存货的数量多于销售合同订购</w:t>
      </w:r>
      <w:r>
        <w:rPr>
          <w:rFonts w:ascii="宋体" w:hAnsi="宋体" w:cs="宋体" w:eastAsia="宋体" w:hint="default"/>
          <w:sz w:val="18"/>
          <w:szCs w:val="18"/>
        </w:rPr>
        <w:t> 数量的，超出部分的存货的可变现净值以一般销售价格为基础计算</w:t>
      </w:r>
    </w:p>
    <w:p>
      <w:pPr>
        <w:spacing w:line="300" w:lineRule="auto" w:before="19"/>
        <w:ind w:left="152" w:right="72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存货的盘存制度</w:t>
      </w:r>
      <w:r>
        <w:rPr>
          <w:rFonts w:ascii="宋体" w:hAnsi="宋体" w:cs="宋体" w:eastAsia="宋体" w:hint="default"/>
          <w:w w:val="99"/>
          <w:sz w:val="18"/>
          <w:szCs w:val="18"/>
        </w:rPr>
        <w:t> </w:t>
      </w:r>
      <w:r>
        <w:rPr>
          <w:rFonts w:ascii="宋体" w:hAnsi="宋体" w:cs="宋体" w:eastAsia="宋体" w:hint="default"/>
          <w:sz w:val="18"/>
          <w:szCs w:val="18"/>
        </w:rPr>
        <w:t>存货盘存制度采用永续盘存制。</w:t>
      </w:r>
    </w:p>
    <w:p>
      <w:pPr>
        <w:spacing w:line="300" w:lineRule="auto" w:before="31"/>
        <w:ind w:left="152" w:right="25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低值易耗品和包装物的摊销方法</w:t>
      </w:r>
      <w:r>
        <w:rPr>
          <w:rFonts w:ascii="宋体" w:hAnsi="宋体" w:cs="宋体" w:eastAsia="宋体" w:hint="default"/>
          <w:w w:val="99"/>
          <w:sz w:val="18"/>
          <w:szCs w:val="18"/>
        </w:rPr>
        <w:t> </w:t>
      </w:r>
      <w:r>
        <w:rPr>
          <w:rFonts w:ascii="宋体" w:hAnsi="宋体" w:cs="宋体" w:eastAsia="宋体" w:hint="default"/>
          <w:sz w:val="18"/>
          <w:szCs w:val="18"/>
        </w:rPr>
        <w:t>低值易耗品在领用时采用一次摊销法核算成本。包装物在领用时采用一次转销法核算成本。</w:t>
      </w:r>
    </w:p>
    <w:p>
      <w:pPr>
        <w:spacing w:line="240" w:lineRule="auto" w:before="10"/>
        <w:rPr>
          <w:rFonts w:ascii="宋体" w:hAnsi="宋体" w:cs="宋体" w:eastAsia="宋体" w:hint="default"/>
          <w:sz w:val="23"/>
          <w:szCs w:val="23"/>
        </w:rPr>
      </w:pPr>
    </w:p>
    <w:p>
      <w:pPr>
        <w:pStyle w:val="Heading4"/>
        <w:spacing w:line="240" w:lineRule="auto"/>
        <w:ind w:right="153"/>
        <w:jc w:val="left"/>
        <w:rPr>
          <w:b w:val="0"/>
          <w:bCs w:val="0"/>
        </w:rPr>
      </w:pPr>
      <w:r>
        <w:rPr>
          <w:rFonts w:ascii="Times New Roman" w:hAnsi="Times New Roman" w:cs="Times New Roman" w:eastAsia="Times New Roman" w:hint="default"/>
        </w:rPr>
        <w:t>13</w:t>
      </w:r>
      <w:r>
        <w:rPr/>
        <w:t>、持有待售资产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53"/>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10"/>
        <w:rPr>
          <w:rFonts w:ascii="宋体" w:hAnsi="宋体" w:cs="宋体" w:eastAsia="宋体" w:hint="default"/>
          <w:b/>
          <w:bCs/>
          <w:sz w:val="24"/>
          <w:szCs w:val="24"/>
        </w:rPr>
      </w:pPr>
    </w:p>
    <w:p>
      <w:pPr>
        <w:pStyle w:val="BodyText"/>
        <w:spacing w:line="268" w:lineRule="auto"/>
        <w:ind w:right="153"/>
        <w:jc w:val="left"/>
      </w:pPr>
      <w:r>
        <w:rPr>
          <w:rFonts w:ascii="Times New Roman" w:hAnsi="Times New Roman" w:cs="Times New Roman" w:eastAsia="Times New Roman" w:hint="default"/>
        </w:rPr>
        <w:t>14.1</w:t>
      </w:r>
      <w:r>
        <w:rPr/>
        <w:t>共同控制、重大影响的判断标准</w:t>
      </w:r>
      <w:r>
        <w:rPr>
          <w:w w:val="100"/>
        </w:rPr>
        <w:t> </w:t>
      </w:r>
      <w:r>
        <w:rPr>
          <w:spacing w:val="-2"/>
        </w:rPr>
        <w:t>按照相关约定对某项安排所共有的控制，并且该安排的相关活动必须经过分享控制权的参与方一致同意后</w:t>
      </w:r>
      <w:r>
        <w:rPr>
          <w:spacing w:val="-43"/>
        </w:rPr>
        <w:t> </w:t>
      </w:r>
      <w:r>
        <w:rPr>
          <w:spacing w:val="-43"/>
        </w:rPr>
      </w:r>
      <w:r>
        <w:rPr>
          <w:spacing w:val="-2"/>
        </w:rPr>
        <w:t>才能决策，则视为共同控制。如果存在两个或两个以上的参与方组合能够集体控制某项安排的，不视为共</w:t>
      </w:r>
      <w:r>
        <w:rPr>
          <w:spacing w:val="-43"/>
        </w:rPr>
        <w:t> </w:t>
      </w:r>
      <w:r>
        <w:rPr>
          <w:spacing w:val="-43"/>
        </w:rPr>
      </w:r>
      <w:r>
        <w:rPr/>
        <w:t>同控制。</w:t>
      </w:r>
      <w:r>
        <w:rPr>
          <w:w w:val="100"/>
        </w:rPr>
        <w:t> </w:t>
      </w:r>
      <w:r>
        <w:rPr>
          <w:spacing w:val="-2"/>
        </w:rPr>
        <w:t>对被投资单位的财务和经营政策有参与决策的权力，但并不能够控制或者与其他方一起共同控制这些政策</w:t>
      </w:r>
      <w:r>
        <w:rPr>
          <w:spacing w:val="-43"/>
        </w:rPr>
        <w:t> </w:t>
      </w:r>
      <w:r>
        <w:rPr>
          <w:spacing w:val="-43"/>
        </w:rPr>
      </w:r>
      <w:r>
        <w:rPr/>
        <w:t>的制定，则视为对被投资单位实施重大影响。</w:t>
      </w:r>
    </w:p>
    <w:p>
      <w:pPr>
        <w:pStyle w:val="BodyText"/>
        <w:spacing w:line="261" w:lineRule="auto" w:before="12"/>
        <w:ind w:right="153"/>
        <w:jc w:val="left"/>
      </w:pPr>
      <w:r>
        <w:rPr>
          <w:rFonts w:ascii="Times New Roman" w:hAnsi="Times New Roman" w:cs="Times New Roman" w:eastAsia="Times New Roman" w:hint="default"/>
        </w:rPr>
        <w:t>14.2</w:t>
      </w:r>
      <w:r>
        <w:rPr/>
        <w:t>初始投资成本确定</w:t>
      </w:r>
      <w:r>
        <w:rPr>
          <w:spacing w:val="-3"/>
          <w:w w:val="100"/>
        </w:rPr>
        <w:t> </w:t>
      </w:r>
      <w:r>
        <w:rPr>
          <w:spacing w:val="-3"/>
        </w:rPr>
        <w:t>企业合并形成的长期股权投资，按照本附注</w:t>
      </w:r>
      <w:r>
        <w:rPr>
          <w:rFonts w:ascii="Times New Roman" w:hAnsi="Times New Roman" w:cs="Times New Roman" w:eastAsia="Times New Roman" w:hint="default"/>
          <w:spacing w:val="-3"/>
        </w:rPr>
        <w:t>“3.5</w:t>
      </w:r>
      <w:r>
        <w:rPr>
          <w:spacing w:val="-3"/>
        </w:rPr>
        <w:t>同一控制下和非同一控制下企业合并的会计处理方法</w:t>
      </w:r>
      <w:r>
        <w:rPr>
          <w:rFonts w:ascii="Times New Roman" w:hAnsi="Times New Roman" w:cs="Times New Roman" w:eastAsia="Times New Roman" w:hint="default"/>
          <w:spacing w:val="-3"/>
        </w:rPr>
        <w:t>”</w:t>
      </w:r>
      <w:r>
        <w:rPr>
          <w:spacing w:val="-3"/>
        </w:rPr>
        <w:t>的相</w:t>
      </w:r>
      <w:r>
        <w:rPr>
          <w:spacing w:val="-24"/>
        </w:rPr>
        <w:t> </w:t>
      </w:r>
      <w:r>
        <w:rPr>
          <w:spacing w:val="-2"/>
        </w:rPr>
        <w:t>关内容确认初始投资成本；除企业合并形成的长期股权投资以外，其他方式取得的长期股权投资，按照下</w:t>
      </w:r>
      <w:r>
        <w:rPr>
          <w:spacing w:val="-45"/>
        </w:rPr>
        <w:t> </w:t>
      </w:r>
      <w:r>
        <w:rPr>
          <w:spacing w:val="-45"/>
        </w:rPr>
      </w:r>
      <w:r>
        <w:rPr/>
        <w:t>述方法确认其初始投资成本：</w:t>
      </w:r>
    </w:p>
    <w:p>
      <w:pPr>
        <w:spacing w:after="0" w:line="261"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BodyText"/>
        <w:spacing w:line="264" w:lineRule="auto" w:before="36"/>
        <w:ind w:right="101"/>
        <w:jc w:val="left"/>
      </w:pPr>
      <w:r>
        <w:rPr>
          <w:rFonts w:ascii="Times New Roman" w:hAnsi="Times New Roman" w:cs="Times New Roman" w:eastAsia="Times New Roman" w:hint="default"/>
        </w:rPr>
        <w:t>1</w:t>
      </w:r>
      <w:r>
        <w:rPr/>
        <w:t>）以支付现金取得的长期股权投资，应当按照实际支付的购买价款作为初始投资成本。初始投资成本包</w:t>
      </w:r>
      <w:r>
        <w:rPr>
          <w:spacing w:val="-25"/>
        </w:rPr>
        <w:t> </w:t>
      </w:r>
      <w:r>
        <w:rPr>
          <w:spacing w:val="-25"/>
        </w:rPr>
      </w:r>
      <w:r>
        <w:rPr/>
        <w:t>括与取得长期股权投资直接相关的费用、税金及其他必要支出。</w:t>
      </w:r>
      <w:r>
        <w:rPr>
          <w:w w:val="100"/>
        </w:rPr>
        <w:t> </w:t>
      </w:r>
      <w:r>
        <w:rPr>
          <w:rFonts w:ascii="Times New Roman" w:hAnsi="Times New Roman" w:cs="Times New Roman" w:eastAsia="Times New Roman" w:hint="default"/>
        </w:rPr>
        <w:t>2</w:t>
      </w:r>
      <w:r>
        <w:rPr/>
        <w:t>）以发行权益性证券取得的长期股权投资，应当按照发行权益性证券的公允价值作为初始投资成本。与</w:t>
      </w:r>
      <w:r>
        <w:rPr>
          <w:spacing w:val="-25"/>
        </w:rPr>
        <w:t> </w:t>
      </w:r>
      <w:r>
        <w:rPr>
          <w:spacing w:val="-25"/>
        </w:rPr>
      </w:r>
      <w:r>
        <w:rPr>
          <w:spacing w:val="-2"/>
        </w:rPr>
        <w:t>发行权益行证券直接相关的费用，应当按照《企业会计准则第</w:t>
      </w:r>
      <w:r>
        <w:rPr>
          <w:rFonts w:ascii="Times New Roman" w:hAnsi="Times New Roman" w:cs="Times New Roman" w:eastAsia="Times New Roman" w:hint="default"/>
          <w:spacing w:val="-2"/>
        </w:rPr>
        <w:t>37</w:t>
      </w:r>
      <w:r>
        <w:rPr>
          <w:spacing w:val="-2"/>
        </w:rPr>
        <w:t>号</w:t>
      </w:r>
      <w:r>
        <w:rPr>
          <w:rFonts w:ascii="Times New Roman" w:hAnsi="Times New Roman" w:cs="Times New Roman" w:eastAsia="Times New Roman" w:hint="default"/>
          <w:spacing w:val="-2"/>
        </w:rPr>
        <w:t>——</w:t>
      </w:r>
      <w:r>
        <w:rPr>
          <w:spacing w:val="-2"/>
        </w:rPr>
        <w:t>金融工具列报》的有关规定确定。</w:t>
      </w:r>
      <w:r>
        <w:rPr>
          <w:spacing w:val="-22"/>
        </w:rPr>
        <w:t> </w:t>
      </w:r>
      <w:r>
        <w:rPr>
          <w:spacing w:val="-22"/>
        </w:rPr>
      </w:r>
      <w:r>
        <w:rPr>
          <w:rFonts w:ascii="Times New Roman" w:hAnsi="Times New Roman" w:cs="Times New Roman" w:eastAsia="Times New Roman" w:hint="default"/>
        </w:rPr>
        <w:t>3</w:t>
      </w:r>
      <w:r>
        <w:rPr/>
        <w:t>）在非货币性资产交换具备商业实质和换入资产或换出资产的公允价值能够可靠计量的前提下，非货币</w:t>
      </w:r>
      <w:r>
        <w:rPr>
          <w:spacing w:val="-25"/>
        </w:rPr>
        <w:t> </w:t>
      </w:r>
      <w:r>
        <w:rPr>
          <w:spacing w:val="-25"/>
        </w:rPr>
      </w:r>
      <w:r>
        <w:rPr>
          <w:spacing w:val="-2"/>
        </w:rPr>
        <w:t>性资产交换换入的长期股权投资以换出资产的公允价值为基础确定其初始投资成本，除非有确凿证据表明</w:t>
      </w:r>
      <w:r>
        <w:rPr>
          <w:spacing w:val="-43"/>
        </w:rPr>
        <w:t> </w:t>
      </w:r>
      <w:r>
        <w:rPr>
          <w:spacing w:val="-43"/>
        </w:rPr>
      </w:r>
      <w:r>
        <w:rPr>
          <w:spacing w:val="-2"/>
        </w:rPr>
        <w:t>换入资产的公允价值更加可靠；不满足上述前提的非货币性资产交换，以换出资产的账面价值和应支付的</w:t>
      </w:r>
      <w:r>
        <w:rPr>
          <w:spacing w:val="-42"/>
        </w:rPr>
        <w:t> </w:t>
      </w:r>
      <w:r>
        <w:rPr>
          <w:spacing w:val="-42"/>
        </w:rPr>
      </w:r>
      <w:r>
        <w:rPr/>
        <w:t>相关税费作为换入长期股权投资的初始投资成本。</w:t>
      </w:r>
      <w:r>
        <w:rPr>
          <w:w w:val="100"/>
        </w:rPr>
        <w:t> </w:t>
      </w:r>
      <w:r>
        <w:rPr>
          <w:rFonts w:ascii="Times New Roman" w:hAnsi="Times New Roman" w:cs="Times New Roman" w:eastAsia="Times New Roman" w:hint="default"/>
        </w:rPr>
        <w:t>4</w:t>
      </w:r>
      <w:r>
        <w:rPr/>
        <w:t>）通过债务重组取得的长期股权投资，其初始投资成本按照公允价值为基础确定。</w:t>
      </w:r>
    </w:p>
    <w:p>
      <w:pPr>
        <w:pStyle w:val="BodyText"/>
        <w:spacing w:line="289" w:lineRule="exact"/>
        <w:ind w:right="101"/>
        <w:jc w:val="left"/>
      </w:pPr>
      <w:r>
        <w:rPr>
          <w:rFonts w:ascii="Times New Roman" w:hAnsi="Times New Roman" w:cs="Times New Roman" w:eastAsia="Times New Roman" w:hint="default"/>
        </w:rPr>
        <w:t>14.3</w:t>
      </w:r>
      <w:r>
        <w:rPr/>
        <w:t>后续计量及损益确认方法</w:t>
      </w:r>
    </w:p>
    <w:p>
      <w:pPr>
        <w:pStyle w:val="BodyText"/>
        <w:spacing w:line="271" w:lineRule="auto" w:before="21"/>
        <w:ind w:right="101"/>
        <w:jc w:val="left"/>
      </w:pPr>
      <w:r>
        <w:rPr>
          <w:rFonts w:ascii="Times New Roman" w:hAnsi="Times New Roman" w:cs="Times New Roman" w:eastAsia="Times New Roman" w:hint="default"/>
        </w:rPr>
        <w:t>14.3.1</w:t>
      </w:r>
      <w:r>
        <w:rPr>
          <w:rFonts w:ascii="Times New Roman" w:hAnsi="Times New Roman" w:cs="Times New Roman" w:eastAsia="Times New Roman" w:hint="default"/>
          <w:spacing w:val="29"/>
        </w:rPr>
        <w:t> </w:t>
      </w:r>
      <w:r>
        <w:rPr/>
        <w:t>成本法后续计量</w:t>
      </w:r>
      <w:r>
        <w:rPr>
          <w:spacing w:val="-103"/>
        </w:rPr>
        <w:t> </w:t>
      </w:r>
      <w:r>
        <w:rPr>
          <w:spacing w:val="-103"/>
        </w:rPr>
      </w:r>
      <w:r>
        <w:rPr/>
        <w:t>公司能够对被投资单位实施控制的长期股权投资采用成本法核算，长期股权投资按照初始投资成本计价。</w:t>
      </w:r>
      <w:r>
        <w:rPr>
          <w:w w:val="100"/>
        </w:rPr>
        <w:t> </w:t>
      </w:r>
      <w:r>
        <w:rPr>
          <w:spacing w:val="-5"/>
        </w:rPr>
        <w:t>追加或收回投资调整长期股权投资的成本。被投资单位宣告分派的现金股利或利润，确认为当期投资收益。</w:t>
      </w:r>
      <w:r>
        <w:rPr>
          <w:spacing w:val="-7"/>
        </w:rPr>
        <w:t> </w:t>
      </w:r>
      <w:r>
        <w:rPr>
          <w:spacing w:val="-7"/>
        </w:rPr>
      </w:r>
      <w:r>
        <w:rPr>
          <w:rFonts w:ascii="Times New Roman" w:hAnsi="Times New Roman" w:cs="Times New Roman" w:eastAsia="Times New Roman" w:hint="default"/>
        </w:rPr>
        <w:t>14.3.2</w:t>
      </w:r>
      <w:r>
        <w:rPr>
          <w:rFonts w:ascii="Times New Roman" w:hAnsi="Times New Roman" w:cs="Times New Roman" w:eastAsia="Times New Roman" w:hint="default"/>
          <w:spacing w:val="29"/>
        </w:rPr>
        <w:t> </w:t>
      </w:r>
      <w:r>
        <w:rPr/>
        <w:t>权益法后续计量</w:t>
      </w:r>
      <w:r>
        <w:rPr>
          <w:spacing w:val="-103"/>
        </w:rPr>
        <w:t> </w:t>
      </w:r>
      <w:r>
        <w:rPr>
          <w:spacing w:val="-103"/>
        </w:rPr>
      </w:r>
      <w:r>
        <w:rPr>
          <w:spacing w:val="-2"/>
        </w:rPr>
        <w:t>公司对联营企业和合营企业的长期股权投资，采用权益法核算，长期股权投资的初始投资成本大于投资时</w:t>
      </w:r>
      <w:r>
        <w:rPr>
          <w:spacing w:val="-43"/>
        </w:rPr>
        <w:t> </w:t>
      </w:r>
      <w:r>
        <w:rPr>
          <w:spacing w:val="-43"/>
        </w:rPr>
      </w:r>
      <w:r>
        <w:rPr>
          <w:spacing w:val="-2"/>
        </w:rPr>
        <w:t>应享有被投资单位可辨认净资产公允价值份额的，不调整长期股权投资的初始投资成本；长期股权投资的</w:t>
      </w:r>
      <w:r>
        <w:rPr>
          <w:spacing w:val="-43"/>
        </w:rPr>
        <w:t> </w:t>
      </w:r>
      <w:r>
        <w:rPr>
          <w:spacing w:val="-43"/>
        </w:rPr>
      </w:r>
      <w:r>
        <w:rPr>
          <w:spacing w:val="-2"/>
        </w:rPr>
        <w:t>初始投资成本小于投资时应享有被投资单位可辨认净资产公允价值份额的，其差额计入当期损益，同时调</w:t>
      </w:r>
      <w:r>
        <w:rPr>
          <w:spacing w:val="-43"/>
        </w:rPr>
        <w:t> </w:t>
      </w:r>
      <w:r>
        <w:rPr>
          <w:spacing w:val="-43"/>
        </w:rPr>
      </w:r>
      <w:r>
        <w:rPr/>
        <w:t>整长期股权投资的成本。</w:t>
      </w:r>
      <w:r>
        <w:rPr>
          <w:w w:val="100"/>
        </w:rPr>
        <w:t> </w:t>
      </w:r>
      <w:r>
        <w:rPr>
          <w:spacing w:val="-2"/>
        </w:rPr>
        <w:t>采用权益法核算时，投资方取得长期股权投资后，按照应享有或应分担的被投资单位实现的净损益和其他</w:t>
      </w:r>
      <w:r>
        <w:rPr>
          <w:spacing w:val="-42"/>
        </w:rPr>
        <w:t> </w:t>
      </w:r>
      <w:r>
        <w:rPr>
          <w:spacing w:val="-42"/>
        </w:rPr>
      </w:r>
      <w:r>
        <w:rPr>
          <w:spacing w:val="-2"/>
        </w:rPr>
        <w:t>综合收益的份额，分别确认投资收益和其他综合收益，同时调整长期股权投资的账面价值；投资方按照被</w:t>
      </w:r>
      <w:r>
        <w:rPr>
          <w:spacing w:val="-44"/>
        </w:rPr>
        <w:t> </w:t>
      </w:r>
      <w:r>
        <w:rPr>
          <w:spacing w:val="-44"/>
        </w:rPr>
      </w:r>
      <w:r>
        <w:rPr>
          <w:spacing w:val="-2"/>
        </w:rPr>
        <w:t>投资单位宣告分派的利润或现金股利计算应享有的部分，相应减少长期股权投资的账面价值；投资方对于</w:t>
      </w:r>
      <w:r>
        <w:rPr>
          <w:spacing w:val="-43"/>
        </w:rPr>
        <w:t> </w:t>
      </w:r>
      <w:r>
        <w:rPr>
          <w:spacing w:val="-43"/>
        </w:rPr>
      </w:r>
      <w:r>
        <w:rPr>
          <w:spacing w:val="-2"/>
        </w:rPr>
        <w:t>被投资单位除净损益、其他综合收益和利润分配以外所有者权益的其他变动，调整长期股权投资的账面价</w:t>
      </w:r>
      <w:r>
        <w:rPr>
          <w:spacing w:val="-44"/>
        </w:rPr>
        <w:t> </w:t>
      </w:r>
      <w:r>
        <w:rPr>
          <w:spacing w:val="-44"/>
        </w:rPr>
      </w:r>
      <w:r>
        <w:rPr>
          <w:spacing w:val="-2"/>
        </w:rPr>
        <w:t>值并计入所有者权益。投资方在确认应享有被投资单位净损益的份额时，以取得投资时被投资单位可辨认</w:t>
      </w:r>
      <w:r>
        <w:rPr>
          <w:spacing w:val="-44"/>
        </w:rPr>
        <w:t> </w:t>
      </w:r>
      <w:r>
        <w:rPr>
          <w:spacing w:val="-44"/>
        </w:rPr>
      </w:r>
      <w:r>
        <w:rPr>
          <w:spacing w:val="-2"/>
        </w:rPr>
        <w:t>净资产的公允价值为基础，对被投资单位的净利润进行调整后确认。被投资单位采用的会计政策及会计期</w:t>
      </w:r>
      <w:r>
        <w:rPr>
          <w:spacing w:val="-44"/>
        </w:rPr>
        <w:t> </w:t>
      </w:r>
      <w:r>
        <w:rPr>
          <w:spacing w:val="-44"/>
        </w:rPr>
      </w:r>
      <w:r>
        <w:rPr>
          <w:spacing w:val="-2"/>
        </w:rPr>
        <w:t>间与投资方不一致的，按照投资方的会计政策及会计期间对被投资单位的财务报表进行调整，并据以确认</w:t>
      </w:r>
      <w:r>
        <w:rPr>
          <w:spacing w:val="-44"/>
        </w:rPr>
        <w:t> </w:t>
      </w:r>
      <w:r>
        <w:rPr>
          <w:spacing w:val="-44"/>
        </w:rPr>
      </w:r>
      <w:r>
        <w:rPr/>
        <w:t>投资收益和其他综合收益等。</w:t>
      </w:r>
      <w:r>
        <w:rPr>
          <w:w w:val="100"/>
        </w:rPr>
        <w:t> </w:t>
      </w:r>
      <w:r>
        <w:rPr>
          <w:spacing w:val="-2"/>
        </w:rPr>
        <w:t>投资方确认被投资单位发生的净亏损，以长期股权投资的账面价值以及其他实质上构成对被投资单位净投</w:t>
      </w:r>
      <w:r>
        <w:rPr>
          <w:spacing w:val="-43"/>
        </w:rPr>
        <w:t> </w:t>
      </w:r>
      <w:r>
        <w:rPr>
          <w:spacing w:val="-43"/>
        </w:rPr>
      </w:r>
      <w:r>
        <w:rPr>
          <w:spacing w:val="-2"/>
        </w:rPr>
        <w:t>资的长期权益减记至零为限，投资方负有承担额外损失义务的除外。被投资单位以后实现净利润的，投资</w:t>
      </w:r>
      <w:r>
        <w:rPr>
          <w:spacing w:val="-43"/>
        </w:rPr>
        <w:t> </w:t>
      </w:r>
      <w:r>
        <w:rPr>
          <w:spacing w:val="-43"/>
        </w:rPr>
      </w:r>
      <w:r>
        <w:rPr/>
        <w:t>方在其收益分享额弥补未确认的亏损分担额后，恢复确认收益分享额。</w:t>
      </w:r>
      <w:r>
        <w:rPr>
          <w:w w:val="100"/>
        </w:rPr>
        <w:t> </w:t>
      </w:r>
      <w:r>
        <w:rPr>
          <w:spacing w:val="-2"/>
        </w:rPr>
        <w:t>投资方计算确认应享有或应分担被投资单位的净损益时，与联营企业、合营企业之间发生的未实现内部交</w:t>
      </w:r>
      <w:r>
        <w:rPr>
          <w:spacing w:val="-43"/>
        </w:rPr>
        <w:t> </w:t>
      </w:r>
      <w:r>
        <w:rPr>
          <w:spacing w:val="-43"/>
        </w:rPr>
      </w:r>
      <w:r>
        <w:rPr>
          <w:spacing w:val="-2"/>
        </w:rPr>
        <w:t>易损益按照应享有的比例计算归属于投资方的部分，予以抵销，在此基础上确认投资收益。投资方与被投</w:t>
      </w:r>
      <w:r>
        <w:rPr>
          <w:spacing w:val="-44"/>
        </w:rPr>
        <w:t> </w:t>
      </w:r>
      <w:r>
        <w:rPr>
          <w:spacing w:val="-44"/>
        </w:rPr>
      </w:r>
      <w:r>
        <w:rPr/>
        <w:t>资单位发生的未实现内部交易损失，按照《企业会计准则第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资产减值》等的有关规定属于资产减</w:t>
      </w:r>
      <w:r>
        <w:rPr>
          <w:w w:val="100"/>
        </w:rPr>
        <w:t> </w:t>
      </w:r>
      <w:r>
        <w:rPr/>
        <w:t>值损失的，全额确认。</w:t>
      </w:r>
      <w:r>
        <w:rPr>
          <w:w w:val="100"/>
        </w:rPr>
        <w:t> </w:t>
      </w:r>
      <w:r>
        <w:rPr>
          <w:spacing w:val="-2"/>
        </w:rPr>
        <w:t>投资方对联营企业的权益性投资，其中一部分通过风险投资机构、共同基金、信托公司或包括投连险基金</w:t>
      </w:r>
      <w:r>
        <w:rPr>
          <w:spacing w:val="-44"/>
        </w:rPr>
        <w:t> </w:t>
      </w:r>
      <w:r>
        <w:rPr>
          <w:spacing w:val="-44"/>
        </w:rPr>
      </w:r>
      <w:r>
        <w:rPr>
          <w:spacing w:val="-2"/>
        </w:rPr>
        <w:t>在内的类似主体间接持有的，无论以上主体是否对这部分投资具有重大影响，投资方都按照金融工具政策</w:t>
      </w:r>
      <w:r>
        <w:rPr>
          <w:spacing w:val="-44"/>
        </w:rPr>
        <w:t> </w:t>
      </w:r>
      <w:r>
        <w:rPr>
          <w:spacing w:val="-44"/>
        </w:rPr>
      </w:r>
      <w:r>
        <w:rPr>
          <w:spacing w:val="-2"/>
        </w:rPr>
        <w:t>的有关规定，对间接持有的该部分投资选择以公允价值计量且其变动计入损益，并对其余部分采用权益法</w:t>
      </w:r>
      <w:r>
        <w:rPr>
          <w:spacing w:val="-44"/>
        </w:rPr>
        <w:t> </w:t>
      </w:r>
      <w:r>
        <w:rPr>
          <w:spacing w:val="-44"/>
        </w:rPr>
      </w:r>
      <w:r>
        <w:rPr/>
        <w:t>核算。</w:t>
      </w:r>
    </w:p>
    <w:p>
      <w:pPr>
        <w:pStyle w:val="BodyText"/>
        <w:spacing w:line="264" w:lineRule="auto" w:before="10"/>
        <w:ind w:right="101"/>
        <w:jc w:val="left"/>
      </w:pPr>
      <w:r>
        <w:rPr>
          <w:rFonts w:ascii="Times New Roman" w:hAnsi="Times New Roman" w:cs="Times New Roman" w:eastAsia="Times New Roman" w:hint="default"/>
        </w:rPr>
        <w:t>14.3.3</w:t>
      </w:r>
      <w:r>
        <w:rPr>
          <w:rFonts w:ascii="Times New Roman" w:hAnsi="Times New Roman" w:cs="Times New Roman" w:eastAsia="Times New Roman" w:hint="default"/>
          <w:spacing w:val="29"/>
        </w:rPr>
        <w:t> </w:t>
      </w:r>
      <w:r>
        <w:rPr/>
        <w:t>因追加投资等原因能够对被投资单位施加重大影响或实施共同控制但不构成控制的处理</w:t>
      </w:r>
      <w:r>
        <w:rPr>
          <w:w w:val="100"/>
        </w:rPr>
        <w:t> </w:t>
      </w:r>
      <w:r>
        <w:rPr>
          <w:spacing w:val="-2"/>
        </w:rPr>
        <w:t>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金融工具确认和计量》确定的原持有的股权投资的公允价值加上新增投资</w:t>
      </w:r>
      <w:r>
        <w:rPr>
          <w:spacing w:val="-41"/>
        </w:rPr>
        <w:t> </w:t>
      </w:r>
      <w:r>
        <w:rPr>
          <w:spacing w:val="-41"/>
        </w:rPr>
      </w:r>
      <w:r>
        <w:rPr>
          <w:spacing w:val="-2"/>
        </w:rPr>
        <w:t>成本之和，作为改按权益法核算的初始投资成本。原持有的股权投资分类为可供出售金融资产的，其公允</w:t>
      </w:r>
      <w:r>
        <w:rPr>
          <w:spacing w:val="-44"/>
        </w:rPr>
        <w:t> </w:t>
      </w:r>
      <w:r>
        <w:rPr>
          <w:spacing w:val="-44"/>
        </w:rPr>
      </w:r>
      <w:r>
        <w:rPr>
          <w:spacing w:val="-2"/>
        </w:rPr>
        <w:t>价值与账面价值之间的差额，以及原计入其他综合收益的累计公允价值变动转入改按权益法核算的当期损</w:t>
      </w:r>
      <w:r>
        <w:rPr>
          <w:spacing w:val="-43"/>
        </w:rPr>
        <w:t> </w:t>
      </w:r>
      <w:r>
        <w:rPr>
          <w:spacing w:val="-43"/>
        </w:rPr>
      </w:r>
      <w:r>
        <w:rPr/>
        <w:t>益。</w:t>
      </w:r>
    </w:p>
    <w:p>
      <w:pPr>
        <w:pStyle w:val="BodyText"/>
        <w:spacing w:line="256" w:lineRule="auto" w:before="16"/>
        <w:ind w:right="101"/>
        <w:jc w:val="left"/>
      </w:pPr>
      <w:r>
        <w:rPr>
          <w:rFonts w:ascii="Times New Roman" w:hAnsi="Times New Roman" w:cs="Times New Roman" w:eastAsia="Times New Roman" w:hint="default"/>
        </w:rPr>
        <w:t>14.3.4</w:t>
      </w:r>
      <w:r>
        <w:rPr/>
        <w:t>处置部分股权的处理</w:t>
      </w:r>
      <w:r>
        <w:rPr>
          <w:w w:val="100"/>
        </w:rPr>
        <w:t> </w:t>
      </w:r>
      <w:r>
        <w:rPr>
          <w:spacing w:val="-2"/>
        </w:rPr>
        <w:t>因处置部分股权投资等原因丧失了对被投资单位的共同控制或重大影响的，处置后的剩余股权改按本附注</w:t>
      </w:r>
    </w:p>
    <w:p>
      <w:pPr>
        <w:spacing w:after="0" w:line="256" w:lineRule="auto"/>
        <w:jc w:val="left"/>
        <w:sectPr>
          <w:pgSz w:w="11910" w:h="16840"/>
          <w:pgMar w:header="745" w:footer="980" w:top="1060" w:bottom="1160" w:left="980" w:right="920"/>
        </w:sectPr>
      </w:pPr>
    </w:p>
    <w:p>
      <w:pPr>
        <w:spacing w:line="240" w:lineRule="auto" w:before="10"/>
        <w:rPr>
          <w:rFonts w:ascii="宋体" w:hAnsi="宋体" w:cs="宋体" w:eastAsia="宋体" w:hint="default"/>
          <w:sz w:val="24"/>
          <w:szCs w:val="24"/>
        </w:rPr>
      </w:pPr>
    </w:p>
    <w:p>
      <w:pPr>
        <w:pStyle w:val="BodyText"/>
        <w:spacing w:line="268" w:lineRule="auto" w:before="36"/>
        <w:ind w:right="101"/>
        <w:jc w:val="left"/>
      </w:pPr>
      <w:r>
        <w:rPr>
          <w:rFonts w:ascii="Times New Roman" w:hAnsi="Times New Roman" w:cs="Times New Roman" w:eastAsia="Times New Roman" w:hint="default"/>
        </w:rPr>
        <w:t>“</w:t>
      </w:r>
      <w:r>
        <w:rPr/>
        <w:t>金融工具</w:t>
      </w:r>
      <w:r>
        <w:rPr>
          <w:rFonts w:ascii="Times New Roman" w:hAnsi="Times New Roman" w:cs="Times New Roman" w:eastAsia="Times New Roman" w:hint="default"/>
        </w:rPr>
        <w:t>”</w:t>
      </w:r>
      <w:r>
        <w:rPr/>
        <w:t>的政策核算，其在丧失共同控制或重大影响之日的公允价值与账面价值之间的差额计入当期损</w:t>
      </w:r>
      <w:r>
        <w:rPr>
          <w:w w:val="100"/>
        </w:rPr>
        <w:t> </w:t>
      </w:r>
      <w:r>
        <w:rPr/>
        <w:t>益。原股权投资因采用权益法核算而确认的其他综合收益，在终止采用权益法核算时采用与被投资单位直</w:t>
      </w:r>
      <w:r>
        <w:rPr>
          <w:w w:val="100"/>
        </w:rPr>
        <w:t> </w:t>
      </w:r>
      <w:r>
        <w:rPr/>
        <w:t>接处置相关资产或负债相同的基础进行会计处理。</w:t>
      </w:r>
      <w:r>
        <w:rPr>
          <w:w w:val="100"/>
        </w:rPr>
        <w:t> </w:t>
      </w:r>
      <w:r>
        <w:rPr/>
        <w:t>因处置部分权益性投资等原因丧失了对被投资单位的控制的，在编制个别财务报表时，处置后的剩余股权</w:t>
      </w:r>
      <w:r>
        <w:rPr>
          <w:w w:val="100"/>
        </w:rPr>
        <w:t> </w:t>
      </w:r>
      <w:r>
        <w:rPr/>
        <w:t>能够对被投资单位实施共同控制或施加重大影响的，改按权益法核算，并对该剩余股权视同自取得时即采</w:t>
      </w:r>
      <w:r>
        <w:rPr>
          <w:w w:val="100"/>
        </w:rPr>
        <w:t> </w:t>
      </w:r>
      <w:r>
        <w:rPr/>
        <w:t>用权益法核算进行调整；处置后的剩余股权不能对被投资单位实施共同控制或施加重大影响的，改按本附</w:t>
      </w:r>
      <w:r>
        <w:rPr>
          <w:w w:val="100"/>
        </w:rPr>
        <w:t> </w:t>
      </w:r>
      <w:r>
        <w:rPr>
          <w:spacing w:val="-4"/>
          <w:w w:val="100"/>
        </w:rPr>
        <w:t>注</w:t>
      </w:r>
      <w:r>
        <w:rPr>
          <w:rFonts w:ascii="Times New Roman" w:hAnsi="Times New Roman" w:cs="Times New Roman" w:eastAsia="Times New Roman" w:hint="default"/>
          <w:spacing w:val="-4"/>
          <w:w w:val="100"/>
        </w:rPr>
        <w:t>“</w:t>
      </w:r>
      <w:r>
        <w:rPr>
          <w:spacing w:val="-4"/>
          <w:w w:val="100"/>
        </w:rPr>
        <w:t>金融工具</w:t>
      </w:r>
      <w:r>
        <w:rPr>
          <w:rFonts w:ascii="Times New Roman" w:hAnsi="Times New Roman" w:cs="Times New Roman" w:eastAsia="Times New Roman" w:hint="default"/>
          <w:spacing w:val="-4"/>
          <w:w w:val="100"/>
        </w:rPr>
        <w:t>”</w:t>
      </w:r>
      <w:r>
        <w:rPr>
          <w:spacing w:val="-4"/>
          <w:w w:val="100"/>
        </w:rPr>
        <w:t>的有关政策进行会计处理，其在丧失控制之日的公允价值与账面价值间的差额计入当期损益。</w:t>
      </w:r>
      <w:r>
        <w:rPr>
          <w:spacing w:val="-84"/>
          <w:w w:val="100"/>
        </w:rPr>
        <w:t> </w:t>
      </w:r>
      <w:r>
        <w:rPr>
          <w:spacing w:val="-84"/>
          <w:w w:val="100"/>
        </w:rPr>
      </w:r>
      <w:r>
        <w:rPr/>
        <w:t>在编制合并财务报表时，按照本附注</w:t>
      </w:r>
      <w:r>
        <w:rPr>
          <w:rFonts w:ascii="Times New Roman" w:hAnsi="Times New Roman" w:cs="Times New Roman" w:eastAsia="Times New Roman" w:hint="default"/>
        </w:rPr>
        <w:t>“</w:t>
      </w:r>
      <w:r>
        <w:rPr/>
        <w:t>合并财务报表的编制方法</w:t>
      </w:r>
      <w:r>
        <w:rPr>
          <w:rFonts w:ascii="Times New Roman" w:hAnsi="Times New Roman" w:cs="Times New Roman" w:eastAsia="Times New Roman" w:hint="default"/>
        </w:rPr>
        <w:t>”</w:t>
      </w:r>
      <w:r>
        <w:rPr/>
        <w:t>的相关内容处理。</w:t>
      </w:r>
      <w:r>
        <w:rPr>
          <w:w w:val="100"/>
        </w:rPr>
        <w:t> </w:t>
      </w:r>
      <w:r>
        <w:rPr>
          <w:rFonts w:ascii="Times New Roman" w:hAnsi="Times New Roman" w:cs="Times New Roman" w:eastAsia="Times New Roman" w:hint="default"/>
        </w:rPr>
        <w:t>14.3.5</w:t>
      </w:r>
      <w:r>
        <w:rPr/>
        <w:t>对联营企业或合营企业的权益性投资全部或部分分类为持有待售资产的处理</w:t>
      </w:r>
      <w:r>
        <w:rPr>
          <w:w w:val="100"/>
        </w:rPr>
        <w:t> </w:t>
      </w:r>
      <w:r>
        <w:rPr/>
        <w:t>分类为持有待售资产的对联营企业或合营企业的权益性投资，以账面价值与公允价值减去处置费用孰低的</w:t>
      </w:r>
      <w:r>
        <w:rPr>
          <w:w w:val="100"/>
        </w:rPr>
        <w:t> </w:t>
      </w:r>
      <w:r>
        <w:rPr>
          <w:spacing w:val="-2"/>
        </w:rPr>
        <w:t>金额列示，公允价值减去处置费用低于原账面价值的金额，确认为资产减值损失。对于未划分为持有待售</w:t>
      </w:r>
      <w:r>
        <w:rPr>
          <w:spacing w:val="-44"/>
        </w:rPr>
        <w:t> </w:t>
      </w:r>
      <w:r>
        <w:rPr>
          <w:spacing w:val="-44"/>
        </w:rPr>
      </w:r>
      <w:r>
        <w:rPr/>
        <w:t>资产的剩余权益性投资，采用权益法进行会计处理。已划分为持有待售的对联营企业或合营企业的权益性</w:t>
      </w:r>
      <w:r>
        <w:rPr>
          <w:w w:val="100"/>
        </w:rPr>
        <w:t> </w:t>
      </w:r>
      <w:r>
        <w:rPr>
          <w:spacing w:val="-2"/>
        </w:rPr>
        <w:t>投资，不再符合持有待售资产分类条件的，从被分类为持有待售资产之日起采用权益法进行追溯调整。分</w:t>
      </w:r>
      <w:r>
        <w:rPr>
          <w:spacing w:val="-44"/>
        </w:rPr>
        <w:t> </w:t>
      </w:r>
      <w:r>
        <w:rPr>
          <w:spacing w:val="-44"/>
        </w:rPr>
      </w:r>
      <w:r>
        <w:rPr/>
        <w:t>类为持有待售期间的财务报表作相应调整。</w:t>
      </w:r>
    </w:p>
    <w:p>
      <w:pPr>
        <w:pStyle w:val="BodyText"/>
        <w:spacing w:line="278" w:lineRule="auto" w:before="12"/>
        <w:ind w:right="101"/>
        <w:jc w:val="left"/>
      </w:pPr>
      <w:r>
        <w:rPr>
          <w:rFonts w:ascii="Times New Roman" w:hAnsi="Times New Roman" w:cs="Times New Roman" w:eastAsia="Times New Roman" w:hint="default"/>
        </w:rPr>
        <w:t>14.3.6</w:t>
      </w:r>
      <w:r>
        <w:rPr>
          <w:rFonts w:ascii="Times New Roman" w:hAnsi="Times New Roman" w:cs="Times New Roman" w:eastAsia="Times New Roman" w:hint="default"/>
          <w:spacing w:val="29"/>
        </w:rPr>
        <w:t> </w:t>
      </w:r>
      <w:r>
        <w:rPr/>
        <w:t>处置长期股权投资的处理</w:t>
      </w:r>
      <w:r>
        <w:rPr>
          <w:spacing w:val="-101"/>
        </w:rPr>
        <w:t> </w:t>
      </w:r>
      <w:r>
        <w:rPr>
          <w:spacing w:val="-101"/>
        </w:rPr>
      </w:r>
      <w:r>
        <w:rPr>
          <w:spacing w:val="-2"/>
        </w:rPr>
        <w:t>处置长期股权投资，其账面价值与实际取得价款之间的差额，计入当期损益。采用权益法核算的长期股权</w:t>
      </w:r>
      <w:r>
        <w:rPr>
          <w:spacing w:val="-44"/>
        </w:rPr>
        <w:t> </w:t>
      </w:r>
      <w:r>
        <w:rPr>
          <w:spacing w:val="-44"/>
        </w:rPr>
      </w:r>
      <w:r>
        <w:rPr>
          <w:spacing w:val="-2"/>
        </w:rPr>
        <w:t>投资，在处置该项投资时，采用与被投资单位直接处置相关资产或负债相同的基础，按相应比例对原计入</w:t>
      </w:r>
      <w:r>
        <w:rPr>
          <w:spacing w:val="-44"/>
        </w:rPr>
        <w:t> </w:t>
      </w:r>
      <w:r>
        <w:rPr>
          <w:spacing w:val="-44"/>
        </w:rPr>
      </w:r>
      <w:r>
        <w:rPr/>
        <w:t>其他综合收益的部分进行会计处理。</w:t>
      </w:r>
    </w:p>
    <w:p>
      <w:pPr>
        <w:spacing w:line="240" w:lineRule="auto" w:before="0"/>
        <w:rPr>
          <w:rFonts w:ascii="宋体" w:hAnsi="宋体" w:cs="宋体" w:eastAsia="宋体" w:hint="default"/>
          <w:sz w:val="23"/>
          <w:szCs w:val="23"/>
        </w:rPr>
      </w:pPr>
    </w:p>
    <w:p>
      <w:pPr>
        <w:pStyle w:val="Heading4"/>
        <w:spacing w:line="240" w:lineRule="auto"/>
        <w:ind w:right="101"/>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4"/>
        <w:rPr>
          <w:rFonts w:ascii="宋体" w:hAnsi="宋体" w:cs="宋体" w:eastAsia="宋体" w:hint="default"/>
          <w:b/>
          <w:bCs/>
          <w:sz w:val="26"/>
          <w:szCs w:val="26"/>
        </w:rPr>
      </w:pPr>
    </w:p>
    <w:p>
      <w:pPr>
        <w:spacing w:line="360" w:lineRule="auto" w:before="0"/>
        <w:ind w:left="152" w:right="8034"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不适用</w:t>
      </w:r>
    </w:p>
    <w:p>
      <w:pPr>
        <w:spacing w:line="240" w:lineRule="auto" w:before="4"/>
        <w:rPr>
          <w:rFonts w:ascii="宋体" w:hAnsi="宋体" w:cs="宋体" w:eastAsia="宋体" w:hint="default"/>
          <w:sz w:val="20"/>
          <w:szCs w:val="20"/>
        </w:rPr>
      </w:pPr>
    </w:p>
    <w:p>
      <w:pPr>
        <w:pStyle w:val="Heading4"/>
        <w:spacing w:line="240" w:lineRule="auto"/>
        <w:ind w:right="101"/>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1"/>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4"/>
        <w:rPr>
          <w:rFonts w:ascii="宋体" w:hAnsi="宋体" w:cs="宋体" w:eastAsia="宋体" w:hint="default"/>
          <w:b/>
          <w:bCs/>
          <w:sz w:val="26"/>
          <w:szCs w:val="26"/>
        </w:rPr>
      </w:pPr>
    </w:p>
    <w:p>
      <w:pPr>
        <w:spacing w:line="316" w:lineRule="auto" w:before="0"/>
        <w:ind w:left="152" w:right="101" w:firstLine="0"/>
        <w:jc w:val="left"/>
        <w:rPr>
          <w:rFonts w:ascii="宋体" w:hAnsi="宋体" w:cs="宋体" w:eastAsia="宋体" w:hint="default"/>
          <w:sz w:val="18"/>
          <w:szCs w:val="18"/>
        </w:rPr>
      </w:pPr>
      <w:r>
        <w:rPr>
          <w:rFonts w:ascii="宋体" w:hAnsi="宋体" w:cs="宋体" w:eastAsia="宋体" w:hint="default"/>
          <w:spacing w:val="-2"/>
          <w:sz w:val="18"/>
          <w:szCs w:val="18"/>
        </w:rPr>
        <w:t>固定资产是指为生产商品、提供劳务、出租或经营管理而持有的，使用寿命超过一个会计年度的有形资产。固定资产同时满</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足下列条件的，才能予以确认：</w:t>
      </w:r>
      <w:r>
        <w:rPr>
          <w:rFonts w:ascii="Times New Roman" w:hAnsi="Times New Roman" w:cs="Times New Roman" w:eastAsia="Times New Roman" w:hint="default"/>
          <w:sz w:val="18"/>
          <w:szCs w:val="18"/>
        </w:rPr>
        <w:t>(1)</w:t>
      </w:r>
      <w:r>
        <w:rPr>
          <w:rFonts w:ascii="宋体" w:hAnsi="宋体" w:cs="宋体" w:eastAsia="宋体" w:hint="default"/>
          <w:sz w:val="18"/>
          <w:szCs w:val="18"/>
        </w:rPr>
        <w:t>与该固定资产有关的经济利益很可能流入企业；</w:t>
      </w:r>
      <w:r>
        <w:rPr>
          <w:rFonts w:ascii="Times New Roman" w:hAnsi="Times New Roman" w:cs="Times New Roman" w:eastAsia="Times New Roman" w:hint="default"/>
          <w:sz w:val="18"/>
          <w:szCs w:val="18"/>
        </w:rPr>
        <w:t>(2)</w:t>
      </w:r>
      <w:r>
        <w:rPr>
          <w:rFonts w:ascii="宋体" w:hAnsi="宋体" w:cs="宋体" w:eastAsia="宋体" w:hint="default"/>
          <w:sz w:val="18"/>
          <w:szCs w:val="18"/>
        </w:rPr>
        <w:t>该固定资产的成本能够可靠地计量。</w:t>
      </w:r>
    </w:p>
    <w:p>
      <w:pPr>
        <w:spacing w:line="240" w:lineRule="auto" w:before="4"/>
        <w:rPr>
          <w:rFonts w:ascii="宋体" w:hAnsi="宋体" w:cs="宋体" w:eastAsia="宋体" w:hint="default"/>
          <w:sz w:val="21"/>
          <w:szCs w:val="21"/>
        </w:rPr>
      </w:pPr>
    </w:p>
    <w:p>
      <w:pPr>
        <w:pStyle w:val="Heading4"/>
        <w:spacing w:line="240" w:lineRule="auto"/>
        <w:ind w:right="101"/>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4.75%</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5-10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9.5%-19%</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19%</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20"/>
        </w:sectPr>
      </w:pPr>
    </w:p>
    <w:p>
      <w:pPr>
        <w:spacing w:line="240" w:lineRule="auto" w:before="10"/>
        <w:rPr>
          <w:rFonts w:ascii="宋体" w:hAnsi="宋体" w:cs="宋体" w:eastAsia="宋体" w:hint="default"/>
          <w:b/>
          <w:bCs/>
          <w:sz w:val="24"/>
          <w:szCs w:val="24"/>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53"/>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2"/>
        <w:rPr>
          <w:rFonts w:ascii="宋体" w:hAnsi="宋体" w:cs="宋体" w:eastAsia="宋体" w:hint="default"/>
          <w:b/>
          <w:bCs/>
          <w:sz w:val="26"/>
          <w:szCs w:val="26"/>
        </w:rPr>
      </w:pPr>
    </w:p>
    <w:p>
      <w:pPr>
        <w:spacing w:line="360" w:lineRule="auto" w:before="0"/>
        <w:ind w:left="152" w:right="671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spacing w:line="240" w:lineRule="auto" w:before="2"/>
        <w:rPr>
          <w:rFonts w:ascii="宋体" w:hAnsi="宋体" w:cs="宋体" w:eastAsia="宋体" w:hint="default"/>
          <w:sz w:val="20"/>
          <w:szCs w:val="20"/>
        </w:rPr>
      </w:pPr>
    </w:p>
    <w:p>
      <w:pPr>
        <w:pStyle w:val="Heading4"/>
        <w:spacing w:line="240" w:lineRule="auto"/>
        <w:ind w:right="153"/>
        <w:jc w:val="left"/>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10"/>
        <w:rPr>
          <w:rFonts w:ascii="宋体" w:hAnsi="宋体" w:cs="宋体" w:eastAsia="宋体" w:hint="default"/>
          <w:b/>
          <w:bCs/>
          <w:sz w:val="24"/>
          <w:szCs w:val="24"/>
        </w:rPr>
      </w:pPr>
    </w:p>
    <w:p>
      <w:pPr>
        <w:pStyle w:val="BodyText"/>
        <w:spacing w:line="271" w:lineRule="auto"/>
        <w:ind w:right="153"/>
        <w:jc w:val="left"/>
      </w:pPr>
      <w:r>
        <w:rPr/>
        <w:t>发生的可直接归属于需要经过相当长时间的购建活动才能达到预定可使用状态之固定资产的购建的借款</w:t>
      </w:r>
      <w:r>
        <w:rPr>
          <w:w w:val="100"/>
        </w:rPr>
        <w:t> </w:t>
      </w:r>
      <w:r>
        <w:rPr>
          <w:spacing w:val="-2"/>
        </w:rPr>
        <w:t>费用，在资产支出及借款费用已经发生、为使资产达到预定可使用状态所必要的购建活动已经开始时，开</w:t>
      </w:r>
      <w:r>
        <w:rPr>
          <w:spacing w:val="-44"/>
        </w:rPr>
        <w:t> </w:t>
      </w:r>
      <w:r>
        <w:rPr>
          <w:spacing w:val="-44"/>
        </w:rPr>
      </w:r>
      <w:r>
        <w:rPr>
          <w:spacing w:val="-2"/>
        </w:rPr>
        <w:t>始资本化并计入该资产的成本。当购建的资产达到预定可使用状态时停止资本化，其后发生的借款费用计</w:t>
      </w:r>
      <w:r>
        <w:rPr>
          <w:spacing w:val="-42"/>
        </w:rPr>
        <w:t> </w:t>
      </w:r>
      <w:r>
        <w:rPr>
          <w:spacing w:val="-42"/>
        </w:rPr>
      </w:r>
      <w:r>
        <w:rPr/>
        <w:t>入当期损益。如果资产的购建活动发生非正常中断，并且中断时间连续超过</w:t>
      </w:r>
      <w:r>
        <w:rPr>
          <w:rFonts w:ascii="Times New Roman" w:hAnsi="Times New Roman" w:cs="Times New Roman" w:eastAsia="Times New Roman" w:hint="default"/>
        </w:rPr>
        <w:t>3</w:t>
      </w:r>
      <w:r>
        <w:rPr/>
        <w:t>个月，暂停借款费用的资本</w:t>
      </w:r>
      <w:r>
        <w:rPr>
          <w:w w:val="100"/>
        </w:rPr>
        <w:t> </w:t>
      </w:r>
      <w:r>
        <w:rPr/>
        <w:t>化，直至资产的购建活动重新开始。</w:t>
      </w:r>
      <w:r>
        <w:rPr>
          <w:w w:val="100"/>
        </w:rPr>
        <w:t> </w:t>
      </w:r>
      <w:r>
        <w:rPr>
          <w:spacing w:val="-2"/>
        </w:rPr>
        <w:t>在资本化期间内，专门借款（指为购建或者生产符合资本化条件的资产而专门借入的款项）以专门借款当</w:t>
      </w:r>
      <w:r>
        <w:rPr>
          <w:spacing w:val="-44"/>
        </w:rPr>
        <w:t> </w:t>
      </w:r>
      <w:r>
        <w:rPr>
          <w:spacing w:val="-44"/>
        </w:rPr>
      </w:r>
      <w:r>
        <w:rPr>
          <w:spacing w:val="-2"/>
        </w:rPr>
        <w:t>期实际发生的利息费用，减去将尚未动用的借款资金存入银行取得的利息收入或进行暂时性投资取得的投</w:t>
      </w:r>
      <w:r>
        <w:rPr>
          <w:spacing w:val="-43"/>
        </w:rPr>
        <w:t> </w:t>
      </w:r>
      <w:r>
        <w:rPr>
          <w:spacing w:val="-43"/>
        </w:rPr>
      </w:r>
      <w:r>
        <w:rPr>
          <w:spacing w:val="-2"/>
        </w:rPr>
        <w:t>资收益后确定应予资本化的利息金额；一般借款则根据累计资产支出超过专门借款部分的资产支出加权平</w:t>
      </w:r>
      <w:r>
        <w:rPr>
          <w:spacing w:val="-43"/>
        </w:rPr>
        <w:t> </w:t>
      </w:r>
      <w:r>
        <w:rPr>
          <w:spacing w:val="-43"/>
        </w:rPr>
      </w:r>
      <w:r>
        <w:rPr>
          <w:spacing w:val="-2"/>
        </w:rPr>
        <w:t>均数乘以所占用一般借款的资本化率，计算确定一般借款应予资本化的利息金额。资本化率根据一般借款</w:t>
      </w:r>
      <w:r>
        <w:rPr>
          <w:spacing w:val="-43"/>
        </w:rPr>
        <w:t> </w:t>
      </w:r>
      <w:r>
        <w:rPr>
          <w:spacing w:val="-43"/>
        </w:rPr>
      </w:r>
      <w:r>
        <w:rPr/>
        <w:t>加权平均利率计算确定。</w:t>
      </w:r>
    </w:p>
    <w:p>
      <w:pPr>
        <w:pStyle w:val="BodyText"/>
        <w:spacing w:line="273" w:lineRule="auto" w:before="50"/>
        <w:ind w:right="153"/>
        <w:jc w:val="left"/>
      </w:pPr>
      <w:r>
        <w:rPr>
          <w:spacing w:val="-2"/>
        </w:rPr>
        <w:t>借款存在折价或者溢价的，按照实际利率法确定每一会计期间应摊销的折价或者溢价金额，调整每期利息</w:t>
      </w:r>
      <w:r>
        <w:rPr>
          <w:spacing w:val="-43"/>
        </w:rPr>
        <w:t> </w:t>
      </w:r>
      <w:r>
        <w:rPr>
          <w:spacing w:val="-43"/>
        </w:rPr>
      </w:r>
      <w:r>
        <w:rPr/>
        <w:t>金额。</w:t>
      </w:r>
    </w:p>
    <w:p>
      <w:pPr>
        <w:spacing w:line="240" w:lineRule="auto" w:before="7"/>
        <w:rPr>
          <w:rFonts w:ascii="宋体" w:hAnsi="宋体" w:cs="宋体" w:eastAsia="宋体" w:hint="default"/>
          <w:sz w:val="23"/>
          <w:szCs w:val="23"/>
        </w:rPr>
      </w:pPr>
    </w:p>
    <w:p>
      <w:pPr>
        <w:pStyle w:val="Heading4"/>
        <w:spacing w:line="240" w:lineRule="auto"/>
        <w:ind w:right="153"/>
        <w:jc w:val="left"/>
        <w:rPr>
          <w:b w:val="0"/>
          <w:bCs w:val="0"/>
        </w:rPr>
      </w:pPr>
      <w:r>
        <w:rPr>
          <w:rFonts w:ascii="Times New Roman" w:hAnsi="Times New Roman" w:cs="Times New Roman" w:eastAsia="Times New Roman" w:hint="default"/>
        </w:rPr>
        <w:t>19</w:t>
      </w:r>
      <w:r>
        <w:rPr/>
        <w:t>、生物资产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53"/>
        <w:jc w:val="left"/>
        <w:rPr>
          <w:b w:val="0"/>
          <w:bCs w:val="0"/>
        </w:rPr>
      </w:pPr>
      <w:r>
        <w:rPr>
          <w:rFonts w:ascii="Times New Roman" w:hAnsi="Times New Roman" w:cs="Times New Roman" w:eastAsia="Times New Roman" w:hint="default"/>
        </w:rPr>
        <w:t>20</w:t>
      </w:r>
      <w:r>
        <w:rPr/>
        <w:t>、油气资产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53"/>
        <w:jc w:val="left"/>
        <w:rPr>
          <w:b w:val="0"/>
          <w:bCs w:val="0"/>
        </w:rPr>
      </w:pPr>
      <w:r>
        <w:rPr>
          <w:rFonts w:ascii="Times New Roman" w:hAnsi="Times New Roman" w:cs="Times New Roman" w:eastAsia="Times New Roman" w:hint="default"/>
        </w:rPr>
        <w:t>21</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4"/>
          <w:szCs w:val="24"/>
        </w:rPr>
      </w:pPr>
    </w:p>
    <w:p>
      <w:pPr>
        <w:pStyle w:val="BodyText"/>
        <w:spacing w:line="266" w:lineRule="auto"/>
        <w:ind w:right="153"/>
        <w:jc w:val="left"/>
      </w:pPr>
      <w:r>
        <w:rPr>
          <w:spacing w:val="-2"/>
        </w:rPr>
        <w:t>无形资产包括土地使用权、专利权及非专利技术、通过建设经营移交方式</w:t>
      </w:r>
      <w:r>
        <w:rPr>
          <w:rFonts w:ascii="Times New Roman" w:hAnsi="Times New Roman" w:cs="Times New Roman" w:eastAsia="Times New Roman" w:hint="default"/>
          <w:spacing w:val="-2"/>
        </w:rPr>
        <w:t>(BOT)</w:t>
      </w:r>
      <w:r>
        <w:rPr>
          <w:spacing w:val="-2"/>
        </w:rPr>
        <w:t>取得的资产等。无形资产</w:t>
      </w:r>
      <w:r>
        <w:rPr>
          <w:spacing w:val="-18"/>
        </w:rPr>
        <w:t> </w:t>
      </w:r>
      <w:r>
        <w:rPr>
          <w:spacing w:val="-18"/>
        </w:rPr>
      </w:r>
      <w:r>
        <w:rPr>
          <w:spacing w:val="-2"/>
        </w:rPr>
        <w:t>以实际成本计量。公司制改建时国有股股东投入的无形资产，按国有资产管理部门确认的评估值作为入账</w:t>
      </w:r>
      <w:r>
        <w:rPr>
          <w:spacing w:val="-43"/>
        </w:rPr>
        <w:t> </w:t>
      </w:r>
      <w:r>
        <w:rPr>
          <w:spacing w:val="-43"/>
        </w:rPr>
      </w:r>
      <w:r>
        <w:rPr/>
        <w:t>价值。</w:t>
      </w:r>
      <w:r>
        <w:rPr>
          <w:spacing w:val="-102"/>
        </w:rPr>
        <w:t> </w:t>
      </w:r>
      <w:r>
        <w:rPr/>
        <w:t>土地使用权按使用年限年平均摊销。外购土地及建筑物的价款难以在土地使用权与建筑物之间合理分配</w:t>
      </w:r>
      <w:r>
        <w:rPr>
          <w:w w:val="100"/>
        </w:rPr>
        <w:t> </w:t>
      </w:r>
      <w:r>
        <w:rPr>
          <w:spacing w:val="-2"/>
        </w:rPr>
        <w:t>的，全部作为固定资产。专利权按法律规定的有效年限年平均摊销。通过</w:t>
      </w:r>
      <w:r>
        <w:rPr>
          <w:rFonts w:ascii="Times New Roman" w:hAnsi="Times New Roman" w:cs="Times New Roman" w:eastAsia="Times New Roman" w:hint="default"/>
          <w:spacing w:val="-2"/>
        </w:rPr>
        <w:t>BOT</w:t>
      </w:r>
      <w:r>
        <w:rPr>
          <w:spacing w:val="-2"/>
        </w:rPr>
        <w:t>方式取得的资产按基础设施</w:t>
      </w:r>
      <w:r>
        <w:rPr>
          <w:spacing w:val="-46"/>
        </w:rPr>
        <w:t> </w:t>
      </w:r>
      <w:r>
        <w:rPr>
          <w:spacing w:val="-46"/>
        </w:rPr>
      </w:r>
      <w:r>
        <w:rPr/>
        <w:t>经营权期限年平均摊销。</w:t>
      </w:r>
    </w:p>
    <w:p>
      <w:pPr>
        <w:pStyle w:val="BodyText"/>
        <w:spacing w:line="240" w:lineRule="auto" w:before="55"/>
        <w:ind w:right="153"/>
        <w:jc w:val="left"/>
      </w:pPr>
      <w:r>
        <w:rPr/>
        <w:t>对使用寿命有限的无形资产的预计使用寿命及摊销方法于每年年度终了进行复核并作适当调整。</w:t>
      </w:r>
    </w:p>
    <w:p>
      <w:pPr>
        <w:spacing w:line="240" w:lineRule="auto" w:before="8"/>
        <w:rPr>
          <w:rFonts w:ascii="宋体" w:hAnsi="宋体" w:cs="宋体" w:eastAsia="宋体" w:hint="default"/>
          <w:sz w:val="25"/>
          <w:szCs w:val="25"/>
        </w:rPr>
      </w:pPr>
    </w:p>
    <w:p>
      <w:pPr>
        <w:pStyle w:val="Heading4"/>
        <w:spacing w:line="240" w:lineRule="auto"/>
        <w:ind w:right="153"/>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153"/>
        <w:jc w:val="left"/>
      </w:pPr>
      <w:r>
        <w:rPr>
          <w:spacing w:val="-2"/>
        </w:rPr>
        <w:t>根据内部研究开发项目支出的性质以及研发活动最终形成无形资产是否具有较大不确定性，分为研究阶段</w:t>
      </w:r>
      <w:r>
        <w:rPr>
          <w:spacing w:val="-42"/>
        </w:rPr>
        <w:t> </w:t>
      </w:r>
      <w:r>
        <w:rPr>
          <w:spacing w:val="-42"/>
        </w:rPr>
      </w:r>
      <w:r>
        <w:rPr/>
        <w:t>支出和开发阶段支出。</w:t>
      </w:r>
      <w:r>
        <w:rPr>
          <w:w w:val="100"/>
        </w:rPr>
        <w:t> </w:t>
      </w:r>
      <w:r>
        <w:rPr/>
        <w:t>研究阶段的支出，于发生时计入当期损益；开发阶段的支出，同时满足下列条件的，确认为无形资产：</w:t>
      </w:r>
      <w:r>
        <w:rPr>
          <w:w w:val="100"/>
        </w:rPr>
        <w:t> </w:t>
      </w:r>
      <w:r>
        <w:rPr>
          <w:rFonts w:ascii="Times New Roman" w:hAnsi="Times New Roman" w:cs="Times New Roman" w:eastAsia="Times New Roman" w:hint="default"/>
        </w:rPr>
        <w:t>1</w:t>
      </w:r>
      <w:r>
        <w:rPr/>
        <w:t>）完成该无形资产以使其能够使用或出售在技术上具有可行性；</w:t>
      </w:r>
    </w:p>
    <w:p>
      <w:pPr>
        <w:spacing w:after="0" w:line="273"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BodyText"/>
        <w:spacing w:line="240" w:lineRule="auto" w:before="36"/>
        <w:ind w:right="101"/>
        <w:jc w:val="left"/>
      </w:pPr>
      <w:r>
        <w:rPr>
          <w:rFonts w:ascii="Times New Roman" w:hAnsi="Times New Roman" w:cs="Times New Roman" w:eastAsia="Times New Roman" w:hint="default"/>
        </w:rPr>
        <w:t>2</w:t>
      </w:r>
      <w:r>
        <w:rPr/>
        <w:t>）管理层具有完成该无形资产并使用或出售的意图；</w:t>
      </w:r>
    </w:p>
    <w:p>
      <w:pPr>
        <w:pStyle w:val="BodyText"/>
        <w:spacing w:line="240" w:lineRule="auto" w:before="21"/>
        <w:ind w:right="101"/>
        <w:jc w:val="left"/>
      </w:pPr>
      <w:r>
        <w:rPr>
          <w:rFonts w:ascii="Times New Roman" w:hAnsi="Times New Roman" w:cs="Times New Roman" w:eastAsia="Times New Roman" w:hint="default"/>
        </w:rPr>
        <w:t>3</w:t>
      </w:r>
      <w:r>
        <w:rPr/>
        <w:t>）能够证明该无形资产将如何产生经济利益；</w:t>
      </w:r>
    </w:p>
    <w:p>
      <w:pPr>
        <w:pStyle w:val="BodyText"/>
        <w:spacing w:line="256" w:lineRule="auto" w:before="21"/>
        <w:ind w:right="101"/>
        <w:jc w:val="left"/>
      </w:pPr>
      <w:r>
        <w:rPr>
          <w:rFonts w:ascii="Times New Roman" w:hAnsi="Times New Roman" w:cs="Times New Roman" w:eastAsia="Times New Roman" w:hint="default"/>
        </w:rPr>
        <w:t>4</w:t>
      </w:r>
      <w:r>
        <w:rPr/>
        <w:t>）有足够的技术、财务资源和其他资源支持，以完成该无形资产的开发，并有能力使用或出售该无形资</w:t>
      </w:r>
      <w:r>
        <w:rPr>
          <w:spacing w:val="-25"/>
        </w:rPr>
        <w:t> </w:t>
      </w:r>
      <w:r>
        <w:rPr>
          <w:spacing w:val="-25"/>
        </w:rPr>
      </w:r>
      <w:r>
        <w:rPr/>
        <w:t>产；</w:t>
      </w:r>
    </w:p>
    <w:p>
      <w:pPr>
        <w:pStyle w:val="BodyText"/>
        <w:spacing w:line="266" w:lineRule="auto" w:before="22"/>
        <w:ind w:right="101"/>
        <w:jc w:val="left"/>
      </w:pPr>
      <w:r>
        <w:rPr>
          <w:rFonts w:ascii="Times New Roman" w:hAnsi="Times New Roman" w:cs="Times New Roman" w:eastAsia="Times New Roman" w:hint="default"/>
        </w:rPr>
        <w:t>5</w:t>
      </w:r>
      <w:r>
        <w:rPr/>
        <w:t>）归属于该无形资产开发阶段的支出能够可靠地计量。</w:t>
      </w:r>
      <w:r>
        <w:rPr>
          <w:w w:val="100"/>
        </w:rPr>
        <w:t> </w:t>
      </w:r>
      <w:r>
        <w:rPr>
          <w:spacing w:val="-2"/>
        </w:rPr>
        <w:t>不满足上述条件的开发阶段的支出，于发生时计入当期损益。前期已计入损益的开发支出不在以后期间确</w:t>
      </w:r>
      <w:r>
        <w:rPr>
          <w:spacing w:val="-42"/>
        </w:rPr>
        <w:t> </w:t>
      </w:r>
      <w:r>
        <w:rPr>
          <w:spacing w:val="-42"/>
        </w:rPr>
      </w:r>
      <w:r>
        <w:rPr>
          <w:spacing w:val="-2"/>
        </w:rPr>
        <w:t>认为资产。已资本化的开发阶段的支出在资产负债表上列示为开发支出，自该项目达到预定可使用状态之</w:t>
      </w:r>
      <w:r>
        <w:rPr>
          <w:spacing w:val="-43"/>
        </w:rPr>
        <w:t> </w:t>
      </w:r>
      <w:r>
        <w:rPr>
          <w:spacing w:val="-43"/>
        </w:rPr>
      </w:r>
      <w:r>
        <w:rPr/>
        <w:t>日起转为无形资产。</w:t>
      </w:r>
    </w:p>
    <w:p>
      <w:pPr>
        <w:pStyle w:val="BodyText"/>
        <w:spacing w:line="240" w:lineRule="auto" w:before="55"/>
        <w:ind w:right="101"/>
        <w:jc w:val="left"/>
      </w:pPr>
      <w:r>
        <w:rPr/>
        <w:t>当开发支出的可收回金额低于其账面价值时，账面价值减记至可收回金额。</w:t>
      </w:r>
    </w:p>
    <w:p>
      <w:pPr>
        <w:spacing w:line="240" w:lineRule="auto" w:before="8"/>
        <w:rPr>
          <w:rFonts w:ascii="宋体" w:hAnsi="宋体" w:cs="宋体" w:eastAsia="宋体" w:hint="default"/>
          <w:sz w:val="25"/>
          <w:szCs w:val="25"/>
        </w:rPr>
      </w:pPr>
    </w:p>
    <w:p>
      <w:pPr>
        <w:pStyle w:val="Heading4"/>
        <w:spacing w:line="240" w:lineRule="auto"/>
        <w:ind w:right="101"/>
        <w:jc w:val="left"/>
        <w:rPr>
          <w:b w:val="0"/>
          <w:bCs w:val="0"/>
        </w:rPr>
      </w:pPr>
      <w:r>
        <w:rPr>
          <w:rFonts w:ascii="Times New Roman" w:hAnsi="Times New Roman" w:cs="Times New Roman" w:eastAsia="Times New Roman" w:hint="default"/>
        </w:rPr>
        <w:t>22</w:t>
      </w:r>
      <w:r>
        <w:rPr/>
        <w:t>、长期资产减值</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206"/>
        <w:jc w:val="both"/>
      </w:pPr>
      <w:r>
        <w:rPr>
          <w:spacing w:val="-2"/>
        </w:rPr>
        <w:t>在财务报表中单独列示的商誉和使用寿命不确定的无形资产，无论是否存在减值迹象，至少每年进行减值</w:t>
      </w:r>
      <w:r>
        <w:rPr>
          <w:spacing w:val="-42"/>
        </w:rPr>
        <w:t> </w:t>
      </w:r>
      <w:r>
        <w:rPr>
          <w:spacing w:val="-42"/>
        </w:rPr>
      </w:r>
      <w:r>
        <w:rPr>
          <w:spacing w:val="-2"/>
        </w:rPr>
        <w:t>测试。固定资产、无形资产、以成本模式计量的投资性房地产及长期股权投资等，于资产负债表日存在减</w:t>
      </w:r>
      <w:r>
        <w:rPr>
          <w:spacing w:val="-47"/>
        </w:rPr>
        <w:t> </w:t>
      </w:r>
      <w:r>
        <w:rPr>
          <w:spacing w:val="-47"/>
        </w:rPr>
      </w:r>
      <w:r>
        <w:rPr>
          <w:spacing w:val="-2"/>
        </w:rPr>
        <w:t>值迹象的，进行减值测试。减值测试结果表明资产的可收回金额低于其账面价值的，按其差额计提减值准</w:t>
      </w:r>
      <w:r>
        <w:rPr>
          <w:spacing w:val="-44"/>
        </w:rPr>
        <w:t> </w:t>
      </w:r>
      <w:r>
        <w:rPr>
          <w:spacing w:val="-44"/>
        </w:rPr>
      </w:r>
      <w:r>
        <w:rPr>
          <w:spacing w:val="-2"/>
        </w:rPr>
        <w:t>备并计入减值损失。可收回金额为资产的公允价值减去处置费用后的净额与资产预计未来现金流量的现值</w:t>
      </w:r>
      <w:r>
        <w:rPr>
          <w:spacing w:val="-43"/>
        </w:rPr>
        <w:t> </w:t>
      </w:r>
      <w:r>
        <w:rPr>
          <w:spacing w:val="-43"/>
        </w:rPr>
      </w:r>
      <w:r>
        <w:rPr>
          <w:spacing w:val="-2"/>
        </w:rPr>
        <w:t>两者之间的较高者。资产减值准备按单项资产为基础计算并确认，如果难以对单项资产的可收回金额进行</w:t>
      </w:r>
      <w:r>
        <w:rPr>
          <w:spacing w:val="-42"/>
        </w:rPr>
        <w:t> </w:t>
      </w:r>
      <w:r>
        <w:rPr>
          <w:spacing w:val="-42"/>
        </w:rPr>
      </w:r>
      <w:r>
        <w:rPr>
          <w:spacing w:val="-2"/>
        </w:rPr>
        <w:t>估计的，以该资产所属的资产组确定资产组的可收回金额。资产组是能够独立产生现金流入的最小资产组</w:t>
      </w:r>
      <w:r>
        <w:rPr>
          <w:spacing w:val="-44"/>
        </w:rPr>
        <w:t> </w:t>
      </w:r>
      <w:r>
        <w:rPr>
          <w:spacing w:val="-44"/>
        </w:rPr>
      </w:r>
      <w:r>
        <w:rPr/>
        <w:t>合。前述资产减值损失一经确认，如果在以后期间价值得以恢复，也不予转回。</w:t>
      </w:r>
    </w:p>
    <w:p>
      <w:pPr>
        <w:spacing w:line="240" w:lineRule="auto" w:before="7"/>
        <w:rPr>
          <w:rFonts w:ascii="宋体" w:hAnsi="宋体" w:cs="宋体" w:eastAsia="宋体" w:hint="default"/>
          <w:sz w:val="23"/>
          <w:szCs w:val="23"/>
        </w:rPr>
      </w:pPr>
    </w:p>
    <w:p>
      <w:pPr>
        <w:pStyle w:val="Heading4"/>
        <w:spacing w:line="240" w:lineRule="auto"/>
        <w:ind w:right="101"/>
        <w:jc w:val="left"/>
        <w:rPr>
          <w:b w:val="0"/>
          <w:bCs w:val="0"/>
        </w:rPr>
      </w:pPr>
      <w:r>
        <w:rPr>
          <w:rFonts w:ascii="Times New Roman" w:hAnsi="Times New Roman" w:cs="Times New Roman" w:eastAsia="Times New Roman" w:hint="default"/>
        </w:rPr>
        <w:t>23</w:t>
      </w:r>
      <w:r>
        <w:rPr/>
        <w:t>、长期待摊费用</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101"/>
        <w:jc w:val="left"/>
      </w:pPr>
      <w:r>
        <w:rPr>
          <w:spacing w:val="-2"/>
        </w:rPr>
        <w:t>长期待摊费用包括经营租入固定资产改良及其他已经发生但由本期和以后各期负担的分摊期限在一年以</w:t>
      </w:r>
      <w:r>
        <w:rPr>
          <w:spacing w:val="-21"/>
        </w:rPr>
        <w:t> </w:t>
      </w:r>
      <w:r>
        <w:rPr>
          <w:spacing w:val="-21"/>
        </w:rPr>
      </w:r>
      <w:r>
        <w:rPr/>
        <w:t>上的各项费用，按预计受益期间分期平均摊销，并以实际支出减去累计摊销后的净额列示。</w:t>
      </w:r>
    </w:p>
    <w:p>
      <w:pPr>
        <w:spacing w:line="240" w:lineRule="auto" w:before="7"/>
        <w:rPr>
          <w:rFonts w:ascii="宋体" w:hAnsi="宋体" w:cs="宋体" w:eastAsia="宋体" w:hint="default"/>
          <w:sz w:val="23"/>
          <w:szCs w:val="23"/>
        </w:rPr>
      </w:pPr>
    </w:p>
    <w:p>
      <w:pPr>
        <w:pStyle w:val="Heading4"/>
        <w:spacing w:line="240" w:lineRule="auto"/>
        <w:ind w:right="101"/>
        <w:jc w:val="left"/>
        <w:rPr>
          <w:b w:val="0"/>
          <w:bCs w:val="0"/>
        </w:rPr>
      </w:pPr>
      <w:r>
        <w:rPr>
          <w:rFonts w:ascii="Times New Roman" w:hAnsi="Times New Roman" w:cs="Times New Roman" w:eastAsia="Times New Roman" w:hint="default"/>
        </w:rPr>
        <w:t>24</w:t>
      </w:r>
      <w:r>
        <w:rPr/>
        <w:t>、职工薪酬</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01"/>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101"/>
        <w:jc w:val="left"/>
      </w:pPr>
      <w:r>
        <w:rPr>
          <w:spacing w:val="-5"/>
        </w:rPr>
        <w:t>在职工为公司提供服务的会计期间，将实际发生的短期薪酬确认为负债，并计入当期损益或相关资产成本。 </w:t>
      </w:r>
      <w:r>
        <w:rPr>
          <w:spacing w:val="-2"/>
        </w:rPr>
        <w:t>发生的职工福利费，在实际发生时根据实际发生额计入当期损益或相关资产成本。职工福利费为非货币性</w:t>
      </w:r>
      <w:r>
        <w:rPr>
          <w:spacing w:val="-42"/>
        </w:rPr>
        <w:t> </w:t>
      </w:r>
      <w:r>
        <w:rPr>
          <w:spacing w:val="-42"/>
        </w:rPr>
      </w:r>
      <w:r>
        <w:rPr>
          <w:spacing w:val="-2"/>
        </w:rPr>
        <w:t>福利的，按照公允价值计量。为职工缴纳的医疗保险费、工伤保险费、生育保险费等社会保险费和住房公</w:t>
      </w:r>
      <w:r>
        <w:rPr>
          <w:spacing w:val="-47"/>
        </w:rPr>
        <w:t> </w:t>
      </w:r>
      <w:r>
        <w:rPr>
          <w:spacing w:val="-47"/>
        </w:rPr>
      </w:r>
      <w:r>
        <w:rPr>
          <w:spacing w:val="-2"/>
        </w:rPr>
        <w:t>积金，以及按规定提取的工会经费和职工教育经费，在职工为公司提供服务的会计期间，根据规定的计提</w:t>
      </w:r>
      <w:r>
        <w:rPr>
          <w:spacing w:val="-44"/>
        </w:rPr>
        <w:t> </w:t>
      </w:r>
      <w:r>
        <w:rPr>
          <w:spacing w:val="-44"/>
        </w:rPr>
      </w:r>
      <w:r>
        <w:rPr/>
        <w:t>基础和计提比例计算确定相应的职工薪酬金额，并确认相应负债，计入当期损益或相关资产成本。</w:t>
      </w:r>
      <w:r>
        <w:rPr>
          <w:w w:val="100"/>
        </w:rPr>
        <w:t> </w:t>
      </w:r>
      <w:r>
        <w:rPr>
          <w:spacing w:val="-2"/>
        </w:rPr>
        <w:t>在职工提供服务从而增加了其未来享有的带薪缺勤权利时，确认与累积带薪缺勤相关的职工薪酬，并以累</w:t>
      </w:r>
      <w:r>
        <w:rPr>
          <w:spacing w:val="-44"/>
        </w:rPr>
        <w:t> </w:t>
      </w:r>
      <w:r>
        <w:rPr>
          <w:spacing w:val="-44"/>
        </w:rPr>
      </w:r>
      <w:r>
        <w:rPr>
          <w:spacing w:val="-2"/>
        </w:rPr>
        <w:t>积未行使权利而增加的预期支付金额计量。在职工实际发生缺勤的会计期间确认与非累积带薪缺勤相关的</w:t>
      </w:r>
      <w:r>
        <w:rPr>
          <w:spacing w:val="-43"/>
        </w:rPr>
        <w:t> </w:t>
      </w:r>
      <w:r>
        <w:rPr>
          <w:spacing w:val="-43"/>
        </w:rPr>
      </w:r>
      <w:r>
        <w:rPr/>
        <w:t>职工薪酬。</w:t>
      </w:r>
    </w:p>
    <w:p>
      <w:pPr>
        <w:pStyle w:val="BodyText"/>
        <w:spacing w:line="240" w:lineRule="auto" w:before="7"/>
        <w:ind w:right="101"/>
        <w:jc w:val="left"/>
      </w:pPr>
      <w:r>
        <w:rPr/>
        <w:t>利润分享计划同时满足下列条件时，公司确认相关的应付职工薪酬：</w:t>
      </w:r>
    </w:p>
    <w:p>
      <w:pPr>
        <w:pStyle w:val="BodyText"/>
        <w:spacing w:line="240" w:lineRule="auto" w:before="37"/>
        <w:ind w:right="101"/>
        <w:jc w:val="left"/>
      </w:pPr>
      <w:r>
        <w:rPr>
          <w:rFonts w:ascii="Times New Roman" w:hAnsi="Times New Roman" w:cs="Times New Roman" w:eastAsia="Times New Roman" w:hint="default"/>
        </w:rPr>
        <w:t>1</w:t>
      </w:r>
      <w:r>
        <w:rPr/>
        <w:t>）因过去事项导致现在具有支付职工薪酬的法定义务或推定义务；</w:t>
      </w:r>
    </w:p>
    <w:p>
      <w:pPr>
        <w:pStyle w:val="BodyText"/>
        <w:spacing w:line="240" w:lineRule="auto" w:before="21"/>
        <w:ind w:right="101"/>
        <w:jc w:val="left"/>
      </w:pPr>
      <w:r>
        <w:rPr>
          <w:rFonts w:ascii="Times New Roman" w:hAnsi="Times New Roman" w:cs="Times New Roman" w:eastAsia="Times New Roman" w:hint="default"/>
        </w:rPr>
        <w:t>2</w:t>
      </w:r>
      <w:r>
        <w:rPr/>
        <w:t>）因利润分享计划所产生的应付职工薪酬义务金额能够可靠估计。</w:t>
      </w:r>
    </w:p>
    <w:p>
      <w:pPr>
        <w:spacing w:line="240" w:lineRule="auto" w:before="7"/>
        <w:rPr>
          <w:rFonts w:ascii="宋体" w:hAnsi="宋体" w:cs="宋体" w:eastAsia="宋体" w:hint="default"/>
          <w:sz w:val="24"/>
          <w:szCs w:val="24"/>
        </w:rPr>
      </w:pPr>
    </w:p>
    <w:p>
      <w:pPr>
        <w:spacing w:line="506" w:lineRule="auto" w:before="0"/>
        <w:ind w:left="152" w:right="101"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公司在职工为其提供服务的会计期间，将根据设定提存计划计算的应缴存金额确认为负债，并计入当期损</w:t>
      </w:r>
    </w:p>
    <w:p>
      <w:pPr>
        <w:spacing w:after="0" w:line="506" w:lineRule="auto"/>
        <w:jc w:val="left"/>
        <w:rPr>
          <w:rFonts w:ascii="宋体" w:hAnsi="宋体" w:cs="宋体" w:eastAsia="宋体" w:hint="default"/>
          <w:sz w:val="21"/>
          <w:szCs w:val="21"/>
        </w:rPr>
        <w:sectPr>
          <w:pgSz w:w="11910" w:h="16840"/>
          <w:pgMar w:header="745" w:footer="980" w:top="1060" w:bottom="1160" w:left="980" w:right="920"/>
        </w:sectPr>
      </w:pPr>
    </w:p>
    <w:p>
      <w:pPr>
        <w:spacing w:line="240" w:lineRule="auto" w:before="10"/>
        <w:rPr>
          <w:rFonts w:ascii="宋体" w:hAnsi="宋体" w:cs="宋体" w:eastAsia="宋体" w:hint="default"/>
          <w:sz w:val="24"/>
          <w:szCs w:val="24"/>
        </w:rPr>
      </w:pPr>
    </w:p>
    <w:p>
      <w:pPr>
        <w:pStyle w:val="BodyText"/>
        <w:spacing w:line="268" w:lineRule="auto" w:before="36"/>
        <w:ind w:right="153"/>
        <w:jc w:val="left"/>
      </w:pPr>
      <w:r>
        <w:rPr>
          <w:spacing w:val="-2"/>
        </w:rPr>
        <w:t>益或相关资产成本。根据设定提存计划，预期不会在职工提供相关服务的年度报告期结束后十二个月内支</w:t>
      </w:r>
      <w:r>
        <w:rPr>
          <w:spacing w:val="-42"/>
        </w:rPr>
        <w:t> </w:t>
      </w:r>
      <w:r>
        <w:rPr>
          <w:spacing w:val="-42"/>
        </w:rPr>
      </w:r>
      <w:r>
        <w:rPr/>
        <w:t>付全部应缴存金额的，公司将全部应缴存金额以折现后的金额计量应付职工薪酬。</w:t>
      </w:r>
      <w:r>
        <w:rPr>
          <w:w w:val="100"/>
        </w:rPr>
        <w:t> </w:t>
      </w:r>
      <w:r>
        <w:rPr>
          <w:rFonts w:ascii="Times New Roman" w:hAnsi="Times New Roman" w:cs="Times New Roman" w:eastAsia="Times New Roman" w:hint="default"/>
        </w:rPr>
        <w:t>(1)</w:t>
      </w:r>
      <w:r>
        <w:rPr/>
        <w:t>根据预期累计福利单位法，采用无偏且相互一致的精算假设对有关人口统计变量和财务变量等做出估</w:t>
      </w:r>
      <w:r>
        <w:rPr>
          <w:w w:val="100"/>
        </w:rPr>
        <w:t> </w:t>
      </w:r>
      <w:r>
        <w:rPr>
          <w:spacing w:val="-2"/>
        </w:rPr>
        <w:t>计，计量设定受益计划所产生的义务，并确定相关义务的归属期间。公司将设定受益计划所产生的义务予</w:t>
      </w:r>
      <w:r>
        <w:rPr>
          <w:spacing w:val="-43"/>
        </w:rPr>
        <w:t> </w:t>
      </w:r>
      <w:r>
        <w:rPr>
          <w:spacing w:val="-43"/>
        </w:rPr>
      </w:r>
      <w:r>
        <w:rPr/>
        <w:t>以折现，以确定设定受益计划义务的现值和当期服务成本。</w:t>
      </w:r>
      <w:r>
        <w:rPr>
          <w:w w:val="100"/>
        </w:rPr>
        <w:t> </w:t>
      </w:r>
      <w:r>
        <w:rPr>
          <w:rFonts w:ascii="Times New Roman" w:hAnsi="Times New Roman" w:cs="Times New Roman" w:eastAsia="Times New Roman" w:hint="default"/>
          <w:spacing w:val="-3"/>
        </w:rPr>
        <w:t>(2)</w:t>
      </w:r>
      <w:r>
        <w:rPr>
          <w:spacing w:val="-3"/>
        </w:rPr>
        <w:t>设定受益计划存在资产的，公司将设定受益计划义务现值减去设定受益计划资产公允价值所形成的赤字</w:t>
      </w:r>
      <w:r>
        <w:rPr>
          <w:spacing w:val="-26"/>
        </w:rPr>
        <w:t> </w:t>
      </w:r>
      <w:r>
        <w:rPr>
          <w:spacing w:val="-26"/>
        </w:rPr>
      </w:r>
      <w:r>
        <w:rPr>
          <w:spacing w:val="-2"/>
        </w:rPr>
        <w:t>或盈余确认为一项设定受益计划净负债或净资产。设定受益计划存在盈余的，公司以设定受益计划的盈余</w:t>
      </w:r>
      <w:r>
        <w:rPr>
          <w:spacing w:val="-43"/>
        </w:rPr>
        <w:t> </w:t>
      </w:r>
      <w:r>
        <w:rPr>
          <w:spacing w:val="-43"/>
        </w:rPr>
      </w:r>
      <w:r>
        <w:rPr/>
        <w:t>和资产上限两项的孰低者计量设定受益计划净资产。</w:t>
      </w:r>
    </w:p>
    <w:p>
      <w:pPr>
        <w:pStyle w:val="BodyText"/>
        <w:spacing w:line="256" w:lineRule="auto" w:before="12"/>
        <w:ind w:right="5814"/>
        <w:jc w:val="left"/>
      </w:pPr>
      <w:r>
        <w:rPr>
          <w:rFonts w:ascii="Times New Roman" w:hAnsi="Times New Roman" w:cs="Times New Roman" w:eastAsia="Times New Roman" w:hint="default"/>
        </w:rPr>
        <w:t>(3)</w:t>
      </w:r>
      <w:r>
        <w:rPr/>
        <w:t>确定应当计入当期损益的金额。</w:t>
      </w:r>
      <w:r>
        <w:rPr>
          <w:w w:val="100"/>
        </w:rPr>
        <w:t> </w:t>
      </w:r>
      <w:r>
        <w:rPr>
          <w:rFonts w:ascii="Times New Roman" w:hAnsi="Times New Roman" w:cs="Times New Roman" w:eastAsia="Times New Roman" w:hint="default"/>
          <w:spacing w:val="-2"/>
        </w:rPr>
        <w:t>(4)</w:t>
      </w:r>
      <w:r>
        <w:rPr>
          <w:spacing w:val="-2"/>
        </w:rPr>
        <w:t>确定应当计入其他综合收益的金额。</w:t>
      </w:r>
    </w:p>
    <w:p>
      <w:pPr>
        <w:pStyle w:val="BodyText"/>
        <w:spacing w:line="273" w:lineRule="auto" w:before="5"/>
        <w:ind w:right="153"/>
        <w:jc w:val="left"/>
      </w:pPr>
      <w:r>
        <w:rPr>
          <w:spacing w:val="-2"/>
        </w:rPr>
        <w:t>公司根据预期累计福利单位法确定的公式将设定受益计划产生的福利义务归属于职工提供服务的期间，并</w:t>
      </w:r>
      <w:r>
        <w:rPr>
          <w:spacing w:val="-43"/>
        </w:rPr>
        <w:t> </w:t>
      </w:r>
      <w:r>
        <w:rPr>
          <w:spacing w:val="-43"/>
        </w:rPr>
      </w:r>
      <w:r>
        <w:rPr>
          <w:spacing w:val="-2"/>
        </w:rPr>
        <w:t>计入当期损益或相关资产成本。当职工后续年度的服务将导致其享有的设定受益计划福利水平显著高于以</w:t>
      </w:r>
      <w:r>
        <w:rPr>
          <w:spacing w:val="-43"/>
        </w:rPr>
        <w:t> </w:t>
      </w:r>
      <w:r>
        <w:rPr>
          <w:spacing w:val="-43"/>
        </w:rPr>
      </w:r>
      <w:r>
        <w:rPr>
          <w:spacing w:val="-2"/>
        </w:rPr>
        <w:t>前年度时，按照直线法将累计设定受益计划义务分摊确认于职工提供服务而导致企业第一次产生设定受益</w:t>
      </w:r>
      <w:r>
        <w:rPr>
          <w:spacing w:val="-43"/>
        </w:rPr>
        <w:t> </w:t>
      </w:r>
      <w:r>
        <w:rPr>
          <w:spacing w:val="-43"/>
        </w:rPr>
      </w:r>
      <w:r>
        <w:rPr/>
        <w:t>计划福利义务至职工提供服务不再导致该福利义务显著增加的期间。</w:t>
      </w:r>
      <w:r>
        <w:rPr>
          <w:w w:val="100"/>
        </w:rPr>
        <w:t> </w:t>
      </w:r>
      <w:r>
        <w:rPr>
          <w:spacing w:val="-2"/>
        </w:rPr>
        <w:t>报告期末，公司将设定受益计划产生的职工薪酬成本确认为：服务成本、设定受益计划净负债或净资产的</w:t>
      </w:r>
      <w:r>
        <w:rPr>
          <w:spacing w:val="-44"/>
        </w:rPr>
        <w:t> </w:t>
      </w:r>
      <w:r>
        <w:rPr>
          <w:spacing w:val="-44"/>
        </w:rPr>
      </w:r>
      <w:r>
        <w:rPr/>
        <w:t>利息净额，以及重新计量设定受益计划净负债或净资产所产生的变动。</w:t>
      </w:r>
      <w:r>
        <w:rPr>
          <w:w w:val="100"/>
        </w:rPr>
        <w:t> </w:t>
      </w:r>
      <w:r>
        <w:rPr/>
        <w:t>在设定受益计划下，公司在下列日期孰早日将过去服务成本确认为当期费用：</w:t>
      </w:r>
    </w:p>
    <w:p>
      <w:pPr>
        <w:pStyle w:val="BodyText"/>
        <w:spacing w:line="240" w:lineRule="auto" w:before="7"/>
        <w:ind w:right="153"/>
        <w:jc w:val="left"/>
      </w:pPr>
      <w:r>
        <w:rPr>
          <w:rFonts w:ascii="Times New Roman" w:hAnsi="Times New Roman" w:cs="Times New Roman" w:eastAsia="Times New Roman" w:hint="default"/>
        </w:rPr>
        <w:t>1</w:t>
      </w:r>
      <w:r>
        <w:rPr/>
        <w:t>）修改设定受益计划时。</w:t>
      </w:r>
    </w:p>
    <w:p>
      <w:pPr>
        <w:pStyle w:val="BodyText"/>
        <w:spacing w:line="290" w:lineRule="auto" w:before="21"/>
        <w:ind w:right="1479"/>
        <w:jc w:val="left"/>
      </w:pPr>
      <w:r>
        <w:rPr>
          <w:rFonts w:ascii="Times New Roman" w:hAnsi="Times New Roman" w:cs="Times New Roman" w:eastAsia="Times New Roman" w:hint="default"/>
        </w:rPr>
        <w:t>2</w:t>
      </w:r>
      <w:r>
        <w:rPr/>
        <w:t>）企业确认相关重组费用或辞退福利时。</w:t>
      </w:r>
      <w:r>
        <w:rPr>
          <w:w w:val="100"/>
        </w:rPr>
        <w:t> </w:t>
      </w:r>
      <w:r>
        <w:rPr>
          <w:spacing w:val="-2"/>
        </w:rPr>
        <w:t>公司在设定受益计划结算时，确认一项结算利得或损失。</w:t>
      </w:r>
    </w:p>
    <w:p>
      <w:pPr>
        <w:spacing w:line="614" w:lineRule="exact" w:before="44"/>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公司向职工提供辞退福利的，在下列两者孰早日确认辞退福利产生的职工薪酬负债，并计入当期损益：</w:t>
      </w:r>
    </w:p>
    <w:p>
      <w:pPr>
        <w:pStyle w:val="BodyText"/>
        <w:spacing w:line="235" w:lineRule="exact"/>
        <w:ind w:right="153"/>
        <w:jc w:val="left"/>
      </w:pPr>
      <w:r>
        <w:rPr>
          <w:rFonts w:ascii="Times New Roman" w:hAnsi="Times New Roman" w:cs="Times New Roman" w:eastAsia="Times New Roman" w:hint="default"/>
        </w:rPr>
        <w:t>1</w:t>
      </w:r>
      <w:r>
        <w:rPr/>
        <w:t>）公司不能单方面撤回因解除劳动关系计划或裁减建议所提供的辞退福利时。</w:t>
      </w:r>
    </w:p>
    <w:p>
      <w:pPr>
        <w:pStyle w:val="BodyText"/>
        <w:spacing w:line="290" w:lineRule="auto" w:before="21"/>
        <w:ind w:right="153"/>
        <w:jc w:val="left"/>
      </w:pPr>
      <w:r>
        <w:rPr>
          <w:rFonts w:ascii="Times New Roman" w:hAnsi="Times New Roman" w:cs="Times New Roman" w:eastAsia="Times New Roman" w:hint="default"/>
        </w:rPr>
        <w:t>2</w:t>
      </w:r>
      <w:r>
        <w:rPr/>
        <w:t>）公司确认与涉及支付辞退福利的重组相关的成本或费用时。</w:t>
      </w:r>
      <w:r>
        <w:rPr>
          <w:w w:val="100"/>
        </w:rPr>
        <w:t> </w:t>
      </w:r>
      <w:r>
        <w:rPr>
          <w:spacing w:val="-2"/>
        </w:rPr>
        <w:t>公司按照辞退计划条款的规定，合理预计并确认辞退福利产生的应付职工薪酬。</w:t>
      </w:r>
    </w:p>
    <w:p>
      <w:pPr>
        <w:spacing w:line="240" w:lineRule="auto" w:before="5"/>
        <w:rPr>
          <w:rFonts w:ascii="宋体" w:hAnsi="宋体" w:cs="宋体" w:eastAsia="宋体" w:hint="default"/>
          <w:sz w:val="22"/>
          <w:szCs w:val="22"/>
        </w:rPr>
      </w:pPr>
    </w:p>
    <w:p>
      <w:pPr>
        <w:pStyle w:val="Heading4"/>
        <w:spacing w:line="240" w:lineRule="auto"/>
        <w:ind w:right="153"/>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53"/>
        <w:jc w:val="left"/>
      </w:pPr>
      <w:r>
        <w:rPr>
          <w:spacing w:val="-2"/>
        </w:rPr>
        <w:t>公司向职工提供的其他长期职工福利，符合设定提存计划条件的，按照关于设定提存计划的有关政策进行</w:t>
      </w:r>
      <w:r>
        <w:rPr>
          <w:spacing w:val="-43"/>
        </w:rPr>
        <w:t> </w:t>
      </w:r>
      <w:r>
        <w:rPr>
          <w:spacing w:val="-43"/>
        </w:rPr>
      </w:r>
      <w:r>
        <w:rPr/>
        <w:t>处理。</w:t>
      </w:r>
      <w:r>
        <w:rPr>
          <w:spacing w:val="-102"/>
        </w:rPr>
        <w:t> </w:t>
      </w:r>
      <w:r>
        <w:rPr>
          <w:spacing w:val="-2"/>
        </w:rPr>
        <w:t>除上述情形外，公司按照关于设定受益计划的有关政策，确认和计量其他长期职工福利净负债或净资产。</w:t>
      </w:r>
      <w:r>
        <w:rPr>
          <w:spacing w:val="-21"/>
        </w:rPr>
        <w:t> </w:t>
      </w:r>
      <w:r>
        <w:rPr>
          <w:spacing w:val="-21"/>
        </w:rPr>
      </w:r>
      <w:r>
        <w:rPr/>
        <w:t>在报告期末，将其他长期职工福利产生的职工薪酬成本确认为下列组成部分：</w:t>
      </w:r>
    </w:p>
    <w:p>
      <w:pPr>
        <w:pStyle w:val="BodyText"/>
        <w:spacing w:line="256" w:lineRule="auto" w:before="7"/>
        <w:ind w:right="4014"/>
        <w:jc w:val="left"/>
      </w:pPr>
      <w:r>
        <w:rPr>
          <w:rFonts w:ascii="Times New Roman" w:hAnsi="Times New Roman" w:cs="Times New Roman" w:eastAsia="Times New Roman" w:hint="default"/>
        </w:rPr>
        <w:t>(1)</w:t>
      </w:r>
      <w:r>
        <w:rPr/>
        <w:t>服务成本。</w:t>
      </w:r>
      <w:r>
        <w:rPr>
          <w:spacing w:val="-103"/>
        </w:rPr>
        <w:t> </w:t>
      </w:r>
      <w:r>
        <w:rPr>
          <w:spacing w:val="-103"/>
        </w:rPr>
      </w:r>
      <w:r>
        <w:rPr>
          <w:rFonts w:ascii="Times New Roman" w:hAnsi="Times New Roman" w:cs="Times New Roman" w:eastAsia="Times New Roman" w:hint="default"/>
        </w:rPr>
        <w:t>(2)</w:t>
      </w:r>
      <w:r>
        <w:rPr/>
        <w:t>其他长期职工福利净负债或净资产的利息净额。</w:t>
      </w:r>
      <w:r>
        <w:rPr>
          <w:w w:val="100"/>
        </w:rPr>
        <w:t> </w:t>
      </w:r>
      <w:r>
        <w:rPr>
          <w:rFonts w:ascii="Times New Roman" w:hAnsi="Times New Roman" w:cs="Times New Roman" w:eastAsia="Times New Roman" w:hint="default"/>
          <w:spacing w:val="-2"/>
        </w:rPr>
        <w:t>(3)</w:t>
      </w:r>
      <w:r>
        <w:rPr>
          <w:spacing w:val="-2"/>
        </w:rPr>
        <w:t>重新计量其他长期职工福利净负债或净资产所产生的变动。</w:t>
      </w:r>
    </w:p>
    <w:p>
      <w:pPr>
        <w:pStyle w:val="BodyText"/>
        <w:spacing w:line="283" w:lineRule="auto" w:before="5"/>
        <w:ind w:right="153"/>
        <w:jc w:val="left"/>
      </w:pPr>
      <w:r>
        <w:rPr/>
        <w:t>为简化相关会计处理，上述项目的总净额应计入当期损益或相关资产成本。</w:t>
      </w:r>
      <w:r>
        <w:rPr>
          <w:w w:val="100"/>
        </w:rPr>
        <w:t> </w:t>
      </w:r>
      <w:r>
        <w:rPr>
          <w:spacing w:val="-2"/>
        </w:rPr>
        <w:t>长期残疾福利水平取决于职工提供服务期间长短的，公司在职工提供服务的期间确认应付长期残疾福利义</w:t>
      </w:r>
      <w:r>
        <w:rPr>
          <w:spacing w:val="-43"/>
        </w:rPr>
        <w:t> </w:t>
      </w:r>
      <w:r>
        <w:rPr>
          <w:spacing w:val="-43"/>
        </w:rPr>
      </w:r>
      <w:r>
        <w:rPr>
          <w:spacing w:val="-2"/>
        </w:rPr>
        <w:t>务；长期残疾福利与职工提供服务期间长短无关的，公司在导致职工长期残疾的事件发生的当期确认应付</w:t>
      </w:r>
      <w:r>
        <w:rPr>
          <w:spacing w:val="-44"/>
        </w:rPr>
        <w:t> </w:t>
      </w:r>
      <w:r>
        <w:rPr>
          <w:spacing w:val="-44"/>
        </w:rPr>
      </w:r>
      <w:r>
        <w:rPr/>
        <w:t>长期残疾福利义务。</w:t>
      </w:r>
    </w:p>
    <w:p>
      <w:pPr>
        <w:spacing w:after="0" w:line="283"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153"/>
        <w:jc w:val="left"/>
        <w:rPr>
          <w:b w:val="0"/>
          <w:bCs w:val="0"/>
        </w:rPr>
      </w:pPr>
      <w:r>
        <w:rPr>
          <w:rFonts w:ascii="Times New Roman" w:hAnsi="Times New Roman" w:cs="Times New Roman" w:eastAsia="Times New Roman" w:hint="default"/>
        </w:rPr>
        <w:t>25</w:t>
      </w:r>
      <w:r>
        <w:rPr/>
        <w:t>、预计负债</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153"/>
        <w:jc w:val="left"/>
      </w:pPr>
      <w:r>
        <w:rPr>
          <w:spacing w:val="-2"/>
        </w:rPr>
        <w:t>对因产品质量保证、亏损合同等形成的现时义务，其履行很可能导致经济利益的流出，在该义务的金额能</w:t>
      </w:r>
      <w:r>
        <w:rPr>
          <w:spacing w:val="-42"/>
        </w:rPr>
        <w:t> </w:t>
      </w:r>
      <w:r>
        <w:rPr>
          <w:spacing w:val="-42"/>
        </w:rPr>
      </w:r>
      <w:r>
        <w:rPr/>
        <w:t>够可靠计量时，确认为预计负债。对于未来经营亏损，不确认预计负债。</w:t>
      </w:r>
      <w:r>
        <w:rPr>
          <w:w w:val="100"/>
        </w:rPr>
        <w:t> </w:t>
      </w:r>
      <w:r>
        <w:rPr/>
        <w:t>预计负债按照履行相关现时义务所需支出的最佳估计数进行初始计量，并综合考虑与或有事项有关的风</w:t>
      </w:r>
      <w:r>
        <w:rPr>
          <w:w w:val="100"/>
        </w:rPr>
        <w:t> </w:t>
      </w:r>
      <w:r>
        <w:rPr>
          <w:spacing w:val="-2"/>
        </w:rPr>
        <w:t>险、不确定性和货币时间价值等因素。货币时间价值影响重大的，通过对相关未来现金流出进行折现后确</w:t>
      </w:r>
      <w:r>
        <w:rPr>
          <w:spacing w:val="-43"/>
        </w:rPr>
        <w:t> </w:t>
      </w:r>
      <w:r>
        <w:rPr>
          <w:spacing w:val="-43"/>
        </w:rPr>
      </w:r>
      <w:r>
        <w:rPr>
          <w:spacing w:val="-2"/>
        </w:rPr>
        <w:t>定最佳估计数；因随着时间推移所进行的折现还原而导致的预计负债账面价值的增加金额，确认为利息费</w:t>
      </w:r>
      <w:r>
        <w:rPr>
          <w:spacing w:val="-42"/>
        </w:rPr>
        <w:t> </w:t>
      </w:r>
      <w:r>
        <w:rPr>
          <w:spacing w:val="-42"/>
        </w:rPr>
      </w:r>
      <w:r>
        <w:rPr/>
        <w:t>用。</w:t>
      </w:r>
    </w:p>
    <w:p>
      <w:pPr>
        <w:pStyle w:val="BodyText"/>
        <w:spacing w:line="240" w:lineRule="auto" w:before="48"/>
        <w:ind w:right="153"/>
        <w:jc w:val="left"/>
      </w:pPr>
      <w:r>
        <w:rPr/>
        <w:t>于资产负债表日，对预计负债的账面价值进行复核并作适当调整，以反映当前的最佳估计数。</w:t>
      </w:r>
    </w:p>
    <w:p>
      <w:pPr>
        <w:spacing w:line="240" w:lineRule="auto" w:before="8"/>
        <w:rPr>
          <w:rFonts w:ascii="宋体" w:hAnsi="宋体" w:cs="宋体" w:eastAsia="宋体" w:hint="default"/>
          <w:sz w:val="25"/>
          <w:szCs w:val="25"/>
        </w:rPr>
      </w:pPr>
    </w:p>
    <w:p>
      <w:pPr>
        <w:pStyle w:val="Heading4"/>
        <w:spacing w:line="240" w:lineRule="auto"/>
        <w:ind w:right="153"/>
        <w:jc w:val="left"/>
        <w:rPr>
          <w:b w:val="0"/>
          <w:bCs w:val="0"/>
        </w:rPr>
      </w:pPr>
      <w:r>
        <w:rPr>
          <w:rFonts w:ascii="Times New Roman" w:hAnsi="Times New Roman" w:cs="Times New Roman" w:eastAsia="Times New Roman" w:hint="default"/>
        </w:rPr>
        <w:t>26</w:t>
      </w:r>
      <w:r>
        <w:rPr/>
        <w:t>、股份支付</w:t>
      </w:r>
      <w:r>
        <w:rPr>
          <w:b w:val="0"/>
          <w:bCs w:val="0"/>
        </w:rPr>
      </w:r>
    </w:p>
    <w:p>
      <w:pPr>
        <w:spacing w:line="240" w:lineRule="auto" w:before="4"/>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宋体" w:hAnsi="宋体" w:cs="宋体" w:eastAsia="宋体" w:hint="default"/>
          <w:sz w:val="18"/>
          <w:szCs w:val="18"/>
        </w:rPr>
        <w:t>本报告期无</w:t>
      </w:r>
    </w:p>
    <w:p>
      <w:pPr>
        <w:spacing w:line="240" w:lineRule="auto" w:before="0"/>
        <w:rPr>
          <w:rFonts w:ascii="宋体" w:hAnsi="宋体" w:cs="宋体" w:eastAsia="宋体" w:hint="default"/>
          <w:sz w:val="18"/>
          <w:szCs w:val="18"/>
        </w:rPr>
      </w:pPr>
    </w:p>
    <w:p>
      <w:pPr>
        <w:pStyle w:val="Heading4"/>
        <w:spacing w:line="240" w:lineRule="auto" w:before="121"/>
        <w:ind w:right="153"/>
        <w:jc w:val="left"/>
        <w:rPr>
          <w:b w:val="0"/>
          <w:bCs w:val="0"/>
        </w:rPr>
      </w:pPr>
      <w:r>
        <w:rPr>
          <w:rFonts w:ascii="Times New Roman" w:hAnsi="Times New Roman" w:cs="Times New Roman" w:eastAsia="Times New Roman" w:hint="default"/>
        </w:rPr>
        <w:t>27</w:t>
      </w:r>
      <w:r>
        <w:rPr/>
        <w:t>、优先股、永续债等其他金融工具</w:t>
      </w:r>
      <w:r>
        <w:rPr>
          <w:b w:val="0"/>
          <w:bCs w:val="0"/>
        </w:rPr>
      </w:r>
    </w:p>
    <w:p>
      <w:pPr>
        <w:spacing w:line="240" w:lineRule="auto" w:before="2"/>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宋体" w:hAnsi="宋体" w:cs="宋体" w:eastAsia="宋体" w:hint="default"/>
          <w:sz w:val="18"/>
          <w:szCs w:val="18"/>
        </w:rPr>
        <w:t>本报告期无。</w:t>
      </w:r>
    </w:p>
    <w:p>
      <w:pPr>
        <w:spacing w:line="240" w:lineRule="auto" w:before="0"/>
        <w:rPr>
          <w:rFonts w:ascii="宋体" w:hAnsi="宋体" w:cs="宋体" w:eastAsia="宋体" w:hint="default"/>
          <w:sz w:val="18"/>
          <w:szCs w:val="18"/>
        </w:rPr>
      </w:pPr>
    </w:p>
    <w:p>
      <w:pPr>
        <w:pStyle w:val="Heading4"/>
        <w:spacing w:line="240" w:lineRule="auto" w:before="120"/>
        <w:ind w:right="153"/>
        <w:jc w:val="left"/>
        <w:rPr>
          <w:b w:val="0"/>
          <w:bCs w:val="0"/>
        </w:rPr>
      </w:pPr>
      <w:r>
        <w:rPr>
          <w:rFonts w:ascii="Times New Roman" w:hAnsi="Times New Roman" w:cs="Times New Roman" w:eastAsia="Times New Roman" w:hint="default"/>
        </w:rPr>
        <w:t>28</w:t>
      </w:r>
      <w:r>
        <w:rPr/>
        <w:t>、收入</w:t>
      </w:r>
      <w:r>
        <w:rPr>
          <w:b w:val="0"/>
          <w:bCs w:val="0"/>
        </w:rPr>
      </w:r>
    </w:p>
    <w:p>
      <w:pPr>
        <w:spacing w:line="240" w:lineRule="auto" w:before="4"/>
        <w:rPr>
          <w:rFonts w:ascii="宋体" w:hAnsi="宋体" w:cs="宋体" w:eastAsia="宋体" w:hint="default"/>
          <w:b/>
          <w:bCs/>
          <w:sz w:val="26"/>
          <w:szCs w:val="26"/>
        </w:rPr>
      </w:pPr>
    </w:p>
    <w:p>
      <w:pPr>
        <w:spacing w:line="357" w:lineRule="auto" w:before="0"/>
        <w:ind w:left="152" w:right="671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290" w:lineRule="auto" w:before="8"/>
        <w:ind w:right="153"/>
        <w:jc w:val="left"/>
      </w:pPr>
      <w:r>
        <w:rPr/>
        <w:t>收入确认：</w:t>
      </w:r>
      <w:r>
        <w:rPr>
          <w:spacing w:val="-102"/>
        </w:rPr>
        <w:t> </w:t>
      </w:r>
      <w:r>
        <w:rPr>
          <w:spacing w:val="-102"/>
        </w:rPr>
      </w:r>
      <w:r>
        <w:rPr>
          <w:spacing w:val="-2"/>
        </w:rPr>
        <w:t>收入的金额按照本公司在日常经营活动中销售商品和提供劳务时，已收或应收合同或协议价款的公允价值</w:t>
      </w:r>
      <w:r>
        <w:rPr>
          <w:spacing w:val="-43"/>
        </w:rPr>
        <w:t> </w:t>
      </w:r>
      <w:r>
        <w:rPr>
          <w:spacing w:val="-43"/>
        </w:rPr>
      </w:r>
      <w:r>
        <w:rPr/>
        <w:t>确定。收入按扣除增值税、商业折扣、销售折让及销售退回的净额列示。</w:t>
      </w:r>
      <w:r>
        <w:rPr>
          <w:w w:val="100"/>
        </w:rPr>
        <w:t> </w:t>
      </w:r>
      <w:r>
        <w:rPr>
          <w:spacing w:val="-2"/>
        </w:rPr>
        <w:t>与交易相关的经济利益能够流入本公司，相关的收入能够可靠计量且满足下列各项经营活动的特定收入确</w:t>
      </w:r>
      <w:r>
        <w:rPr>
          <w:spacing w:val="-43"/>
        </w:rPr>
        <w:t> </w:t>
      </w:r>
      <w:r>
        <w:rPr>
          <w:spacing w:val="-43"/>
        </w:rPr>
      </w:r>
      <w:r>
        <w:rPr/>
        <w:t>认标准时，确认相关的收入</w:t>
      </w:r>
    </w:p>
    <w:p>
      <w:pPr>
        <w:pStyle w:val="BodyText"/>
        <w:spacing w:line="278" w:lineRule="auto" w:before="34"/>
        <w:ind w:right="153"/>
        <w:jc w:val="left"/>
      </w:pPr>
      <w:r>
        <w:rPr/>
        <w:t>（</w:t>
      </w:r>
      <w:r>
        <w:rPr>
          <w:rFonts w:ascii="Times New Roman" w:hAnsi="Times New Roman" w:cs="Times New Roman" w:eastAsia="Times New Roman" w:hint="default"/>
        </w:rPr>
        <w:t>1</w:t>
      </w:r>
      <w:r>
        <w:rPr/>
        <w:t>）销售商品</w:t>
      </w:r>
      <w:r>
        <w:rPr>
          <w:w w:val="100"/>
        </w:rPr>
        <w:t> </w:t>
      </w:r>
      <w:r>
        <w:rPr>
          <w:spacing w:val="-2"/>
        </w:rPr>
        <w:t>商品销售在商品所有权上的主要风险和报酬已转移给买方，本公司不再对该商品实施继续管理权和实际控</w:t>
      </w:r>
      <w:r>
        <w:rPr>
          <w:spacing w:val="-43"/>
        </w:rPr>
        <w:t> </w:t>
      </w:r>
      <w:r>
        <w:rPr>
          <w:spacing w:val="-43"/>
        </w:rPr>
      </w:r>
      <w:r>
        <w:rPr>
          <w:spacing w:val="-2"/>
        </w:rPr>
        <w:t>制权，与交易相关的经济利益很可能流入企业，并且与销售该商品相关的收入和成本能够可靠地计量时，</w:t>
      </w:r>
      <w:r>
        <w:rPr>
          <w:spacing w:val="-21"/>
        </w:rPr>
        <w:t> </w:t>
      </w:r>
      <w:r>
        <w:rPr>
          <w:spacing w:val="-21"/>
        </w:rPr>
      </w:r>
      <w:r>
        <w:rPr/>
        <w:t>确认营业收入的实现。</w:t>
      </w:r>
    </w:p>
    <w:p>
      <w:pPr>
        <w:pStyle w:val="BodyText"/>
        <w:spacing w:line="240" w:lineRule="auto" w:before="42"/>
        <w:ind w:right="153"/>
        <w:jc w:val="left"/>
      </w:pPr>
      <w:r>
        <w:rPr/>
        <w:t>收入确认具体政策：</w:t>
      </w:r>
    </w:p>
    <w:p>
      <w:pPr>
        <w:pStyle w:val="BodyText"/>
        <w:spacing w:line="240" w:lineRule="auto" w:before="78"/>
        <w:ind w:right="153"/>
        <w:jc w:val="left"/>
      </w:pPr>
      <w:r>
        <w:rPr>
          <w:rFonts w:ascii="Times New Roman" w:hAnsi="Times New Roman" w:cs="Times New Roman" w:eastAsia="Times New Roman" w:hint="default"/>
        </w:rPr>
        <w:t>1</w:t>
      </w:r>
      <w:r>
        <w:rPr/>
        <w:t>）根据国内销售合同约定在所有权和管理权发生转移时点确认产品收入。</w:t>
      </w:r>
    </w:p>
    <w:p>
      <w:pPr>
        <w:pStyle w:val="BodyText"/>
        <w:spacing w:line="256" w:lineRule="auto" w:before="62"/>
        <w:ind w:right="153"/>
        <w:jc w:val="left"/>
      </w:pPr>
      <w:r>
        <w:rPr>
          <w:rFonts w:ascii="Times New Roman" w:hAnsi="Times New Roman" w:cs="Times New Roman" w:eastAsia="Times New Roman" w:hint="default"/>
          <w:spacing w:val="-2"/>
        </w:rPr>
        <w:t>2</w:t>
      </w:r>
      <w:r>
        <w:rPr>
          <w:spacing w:val="-2"/>
        </w:rPr>
        <w:t>）根据出口销售合同约定，在所有权和管理权发生转移时点确认产品销售收入，一般情况下在出口业务</w:t>
      </w:r>
      <w:r>
        <w:rPr>
          <w:spacing w:val="-22"/>
        </w:rPr>
        <w:t> </w:t>
      </w:r>
      <w:r>
        <w:rPr>
          <w:spacing w:val="-22"/>
        </w:rPr>
      </w:r>
      <w:r>
        <w:rPr/>
        <w:t>办妥出口手续时确认收入。</w:t>
      </w:r>
    </w:p>
    <w:p>
      <w:pPr>
        <w:pStyle w:val="BodyText"/>
        <w:spacing w:line="278" w:lineRule="auto" w:before="61"/>
        <w:ind w:right="153"/>
        <w:jc w:val="left"/>
      </w:pPr>
      <w:r>
        <w:rPr>
          <w:sz w:val="18"/>
          <w:szCs w:val="18"/>
        </w:rPr>
        <w:t>（</w:t>
      </w:r>
      <w:r>
        <w:rPr>
          <w:rFonts w:ascii="Times New Roman" w:hAnsi="Times New Roman" w:cs="Times New Roman" w:eastAsia="Times New Roman" w:hint="default"/>
          <w:sz w:val="18"/>
          <w:szCs w:val="18"/>
        </w:rPr>
        <w:t>2</w:t>
      </w:r>
      <w:r>
        <w:rPr>
          <w:sz w:val="18"/>
          <w:szCs w:val="18"/>
        </w:rPr>
        <w:t>）</w:t>
      </w:r>
      <w:r>
        <w:rPr/>
        <w:t>提供劳务</w:t>
      </w:r>
      <w:r>
        <w:rPr>
          <w:spacing w:val="-103"/>
        </w:rPr>
        <w:t> </w:t>
      </w:r>
      <w:r>
        <w:rPr>
          <w:spacing w:val="-103"/>
        </w:rPr>
      </w:r>
      <w:r>
        <w:rPr>
          <w:spacing w:val="-2"/>
        </w:rPr>
        <w:t>提供的劳务在同一会计年度开始并完成的，在劳务已经提供，收到价款或取得收取价款的证据时，确认营</w:t>
      </w:r>
      <w:r>
        <w:rPr>
          <w:spacing w:val="-45"/>
        </w:rPr>
        <w:t> </w:t>
      </w:r>
      <w:r>
        <w:rPr>
          <w:spacing w:val="-45"/>
        </w:rPr>
      </w:r>
      <w:r>
        <w:rPr>
          <w:spacing w:val="-2"/>
        </w:rPr>
        <w:t>业收入的实现；劳务的开始和完成分属不同会计年度的，在劳务合同的总收入、劳务的完成程度能够可靠</w:t>
      </w:r>
      <w:r>
        <w:rPr>
          <w:spacing w:val="-44"/>
        </w:rPr>
        <w:t> </w:t>
      </w:r>
      <w:r>
        <w:rPr>
          <w:spacing w:val="-44"/>
        </w:rPr>
      </w:r>
      <w:r>
        <w:rPr>
          <w:spacing w:val="-2"/>
        </w:rPr>
        <w:t>地确定，与交易相关的价款能够流入，已经发生的成本和为完成劳务将要发生的成本能够可靠地计量时，</w:t>
      </w:r>
      <w:r>
        <w:rPr>
          <w:spacing w:val="-21"/>
        </w:rPr>
        <w:t> </w:t>
      </w:r>
      <w:r>
        <w:rPr>
          <w:spacing w:val="-21"/>
        </w:rPr>
      </w:r>
      <w:r>
        <w:rPr>
          <w:spacing w:val="-2"/>
        </w:rPr>
        <w:t>按完工百分比法确认营业收入的实现；长期合同工程在合同结果已经能够合理地预见时，按结账时已完成</w:t>
      </w:r>
      <w:r>
        <w:rPr>
          <w:spacing w:val="-44"/>
        </w:rPr>
        <w:t> </w:t>
      </w:r>
      <w:r>
        <w:rPr>
          <w:spacing w:val="-44"/>
        </w:rPr>
      </w:r>
      <w:r>
        <w:rPr/>
        <w:t>工程进度的百分比法确认营业收入的实现。</w:t>
      </w:r>
    </w:p>
    <w:p>
      <w:pPr>
        <w:pStyle w:val="BodyText"/>
        <w:spacing w:line="290" w:lineRule="auto" w:before="44"/>
        <w:ind w:right="153"/>
        <w:jc w:val="left"/>
      </w:pPr>
      <w:r>
        <w:rPr/>
        <w:t>（</w:t>
      </w:r>
      <w:r>
        <w:rPr>
          <w:rFonts w:ascii="Times New Roman" w:hAnsi="Times New Roman" w:cs="Times New Roman" w:eastAsia="Times New Roman" w:hint="default"/>
        </w:rPr>
        <w:t>3</w:t>
      </w:r>
      <w:r>
        <w:rPr/>
        <w:t>）让渡资产使用权</w:t>
      </w:r>
      <w:r>
        <w:rPr>
          <w:w w:val="100"/>
        </w:rPr>
        <w:t> </w:t>
      </w:r>
      <w:r>
        <w:rPr>
          <w:spacing w:val="-2"/>
        </w:rPr>
        <w:t>让渡资产使用权取得的利息收入和使用费收入，在与交易相关的经济利益能够流入企业，且收入的金额能</w:t>
      </w:r>
    </w:p>
    <w:p>
      <w:pPr>
        <w:spacing w:after="0" w:line="29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BodyText"/>
        <w:spacing w:line="240" w:lineRule="auto" w:before="36"/>
        <w:ind w:right="0"/>
        <w:jc w:val="both"/>
      </w:pPr>
      <w:r>
        <w:rPr/>
        <w:t>够可靠地计量时，确认收入的实现。</w:t>
      </w:r>
    </w:p>
    <w:p>
      <w:pPr>
        <w:pStyle w:val="BodyText"/>
        <w:spacing w:line="276" w:lineRule="auto" w:before="78"/>
        <w:ind w:right="101"/>
        <w:jc w:val="left"/>
      </w:pPr>
      <w:r>
        <w:rPr/>
        <w:t>（</w:t>
      </w:r>
      <w:r>
        <w:rPr>
          <w:rFonts w:ascii="Times New Roman" w:hAnsi="Times New Roman" w:cs="Times New Roman" w:eastAsia="Times New Roman" w:hint="default"/>
        </w:rPr>
        <w:t>4</w:t>
      </w:r>
      <w:r>
        <w:rPr/>
        <w:t>）建造合同收入</w:t>
      </w:r>
      <w:r>
        <w:rPr>
          <w:w w:val="100"/>
        </w:rPr>
        <w:t> </w:t>
      </w:r>
      <w:r>
        <w:rPr>
          <w:spacing w:val="-2"/>
        </w:rPr>
        <w:t>建造合同的结果能够可靠估计的，于资产负债表日按完工百分比法确认合同收入和合同费用；在建造合同</w:t>
      </w:r>
      <w:r>
        <w:rPr>
          <w:spacing w:val="-44"/>
        </w:rPr>
        <w:t> </w:t>
      </w:r>
      <w:r>
        <w:rPr>
          <w:spacing w:val="-44"/>
        </w:rPr>
      </w:r>
      <w:r>
        <w:rPr/>
        <w:t>的结果不能可靠地估计时，如果合同成本能够收回的，合同收入根据能够收回的实际合同成本加以确认，</w:t>
      </w:r>
      <w:r>
        <w:rPr>
          <w:w w:val="100"/>
        </w:rPr>
        <w:t> </w:t>
      </w:r>
      <w:r>
        <w:rPr>
          <w:spacing w:val="-5"/>
        </w:rPr>
        <w:t>合同成本在其发生的当期确认为合同费用。如果合同成本不可能收回的，应在发生时立即确认为合同费用，</w:t>
      </w:r>
      <w:r>
        <w:rPr>
          <w:spacing w:val="-4"/>
        </w:rPr>
        <w:t> </w:t>
      </w:r>
      <w:r>
        <w:rPr>
          <w:spacing w:val="-4"/>
        </w:rPr>
      </w:r>
      <w:r>
        <w:rPr/>
        <w:t>不确认收入。</w:t>
      </w:r>
    </w:p>
    <w:p>
      <w:pPr>
        <w:spacing w:line="240" w:lineRule="auto" w:before="5"/>
        <w:rPr>
          <w:rFonts w:ascii="宋体" w:hAnsi="宋体" w:cs="宋体" w:eastAsia="宋体" w:hint="default"/>
          <w:sz w:val="23"/>
          <w:szCs w:val="23"/>
        </w:rPr>
      </w:pPr>
    </w:p>
    <w:p>
      <w:pPr>
        <w:pStyle w:val="Heading4"/>
        <w:spacing w:line="240" w:lineRule="auto"/>
        <w:ind w:right="0"/>
        <w:jc w:val="both"/>
        <w:rPr>
          <w:b w:val="0"/>
          <w:bCs w:val="0"/>
        </w:rPr>
      </w:pPr>
      <w:r>
        <w:rPr>
          <w:rFonts w:ascii="Times New Roman" w:hAnsi="Times New Roman" w:cs="Times New Roman" w:eastAsia="Times New Roman" w:hint="default"/>
        </w:rPr>
        <w:t>29</w:t>
      </w:r>
      <w:r>
        <w:rPr/>
        <w:t>、政府补助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206"/>
        <w:jc w:val="both"/>
      </w:pPr>
      <w:r>
        <w:rPr>
          <w:spacing w:val="-2"/>
        </w:rPr>
        <w:t>与资产相关的政府补助，是指公司取得的、用于购建或以其他方式形成长期资产的政府补助。与资产相关</w:t>
      </w:r>
      <w:r>
        <w:rPr>
          <w:spacing w:val="-44"/>
        </w:rPr>
        <w:t> </w:t>
      </w:r>
      <w:r>
        <w:rPr>
          <w:spacing w:val="-44"/>
        </w:rPr>
      </w:r>
      <w:r>
        <w:rPr>
          <w:spacing w:val="-2"/>
        </w:rPr>
        <w:t>的政府补助，确认为递延收益，并在相关资产使用寿命内平均分配，计入当期损益。但是，按照名义金额</w:t>
      </w:r>
      <w:r>
        <w:rPr>
          <w:spacing w:val="-43"/>
        </w:rPr>
        <w:t> </w:t>
      </w:r>
      <w:r>
        <w:rPr>
          <w:spacing w:val="-43"/>
        </w:rPr>
      </w:r>
      <w:r>
        <w:rPr/>
        <w:t>计量的政府补助，直接计入当期损益。</w:t>
      </w:r>
    </w:p>
    <w:p>
      <w:pPr>
        <w:spacing w:line="240" w:lineRule="auto" w:before="7"/>
        <w:rPr>
          <w:rFonts w:ascii="宋体" w:hAnsi="宋体" w:cs="宋体" w:eastAsia="宋体" w:hint="default"/>
          <w:sz w:val="23"/>
          <w:szCs w:val="23"/>
        </w:rPr>
      </w:pPr>
    </w:p>
    <w:p>
      <w:pPr>
        <w:pStyle w:val="Heading4"/>
        <w:spacing w:line="240" w:lineRule="auto"/>
        <w:ind w:right="0"/>
        <w:jc w:val="both"/>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206"/>
        <w:jc w:val="both"/>
      </w:pPr>
      <w:r>
        <w:rPr>
          <w:spacing w:val="-2"/>
        </w:rPr>
        <w:t>与收益相关的政府补助，是指除与资产相关的政府补助之外的政府补助。与收益相关的政府补助，用于补</w:t>
      </w:r>
      <w:r>
        <w:rPr>
          <w:spacing w:val="-44"/>
        </w:rPr>
        <w:t> </w:t>
      </w:r>
      <w:r>
        <w:rPr>
          <w:spacing w:val="-44"/>
        </w:rPr>
      </w:r>
      <w:r>
        <w:rPr>
          <w:spacing w:val="-2"/>
        </w:rPr>
        <w:t>偿公司以后期间的相关费用或损失的，确认为递延收益，并在确认相关费用的期间，计入当期损益；用于</w:t>
      </w:r>
      <w:r>
        <w:rPr>
          <w:spacing w:val="-47"/>
        </w:rPr>
        <w:t> </w:t>
      </w:r>
      <w:r>
        <w:rPr>
          <w:spacing w:val="-47"/>
        </w:rPr>
      </w:r>
      <w:r>
        <w:rPr/>
        <w:t>补偿公司已发生的相关费用或损失的，直接计入当期损益。</w:t>
      </w:r>
    </w:p>
    <w:p>
      <w:pPr>
        <w:spacing w:line="240" w:lineRule="auto" w:before="7"/>
        <w:rPr>
          <w:rFonts w:ascii="宋体" w:hAnsi="宋体" w:cs="宋体" w:eastAsia="宋体" w:hint="default"/>
          <w:sz w:val="23"/>
          <w:szCs w:val="23"/>
        </w:rPr>
      </w:pPr>
    </w:p>
    <w:p>
      <w:pPr>
        <w:pStyle w:val="Heading4"/>
        <w:spacing w:line="240" w:lineRule="auto"/>
        <w:ind w:right="0"/>
        <w:jc w:val="both"/>
        <w:rPr>
          <w:b w:val="0"/>
          <w:bCs w:val="0"/>
        </w:rPr>
      </w:pP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85"/>
        <w:jc w:val="both"/>
      </w:pPr>
      <w:r>
        <w:rPr>
          <w:spacing w:val="-2"/>
        </w:rPr>
        <w:t>递延所得税资产和递延所得税负债根据资产和负债的计税基础与其账面价值的差额（包括应纳税暂时性差</w:t>
      </w:r>
      <w:r>
        <w:rPr>
          <w:spacing w:val="-43"/>
        </w:rPr>
        <w:t> </w:t>
      </w:r>
      <w:r>
        <w:rPr>
          <w:spacing w:val="-43"/>
        </w:rPr>
      </w:r>
      <w:r>
        <w:rPr>
          <w:spacing w:val="-2"/>
        </w:rPr>
        <w:t>异和可抵扣暂时性差异）计算确认。对于按照税法规定能够于以后年度抵减应纳税所得额的可抵扣亏损，</w:t>
      </w:r>
      <w:r>
        <w:rPr>
          <w:spacing w:val="-21"/>
        </w:rPr>
        <w:t> </w:t>
      </w:r>
      <w:r>
        <w:rPr>
          <w:spacing w:val="-21"/>
        </w:rPr>
      </w:r>
      <w:r>
        <w:rPr>
          <w:spacing w:val="-2"/>
        </w:rPr>
        <w:t>视同可抵扣暂时性差异。对于商誉的初始确认产生的暂时性差异，不确认相应的递延所得税负债。对于既</w:t>
      </w:r>
      <w:r>
        <w:rPr>
          <w:spacing w:val="-44"/>
        </w:rPr>
        <w:t> </w:t>
      </w:r>
      <w:r>
        <w:rPr>
          <w:spacing w:val="-44"/>
        </w:rPr>
      </w:r>
      <w:r>
        <w:rPr>
          <w:spacing w:val="-2"/>
        </w:rPr>
        <w:t>不影响会计利润也不影响应纳税所得额（或可抵扣亏损）的非企业合并的交易中产生的资产或负债的初始</w:t>
      </w:r>
      <w:r>
        <w:rPr>
          <w:spacing w:val="-43"/>
        </w:rPr>
        <w:t> </w:t>
      </w:r>
      <w:r>
        <w:rPr>
          <w:spacing w:val="-43"/>
        </w:rPr>
      </w:r>
      <w:r>
        <w:rPr>
          <w:spacing w:val="-2"/>
        </w:rPr>
        <w:t>确认形成的暂时性差异，不确认相应的递延所得税资产和递延所得税负债。于资产负债表日，递延所得税</w:t>
      </w:r>
      <w:r>
        <w:rPr>
          <w:spacing w:val="-43"/>
        </w:rPr>
        <w:t> </w:t>
      </w:r>
      <w:r>
        <w:rPr>
          <w:spacing w:val="-43"/>
        </w:rPr>
      </w:r>
      <w:r>
        <w:rPr/>
        <w:t>资产和递延所得税负债，按照预期收回该资产或清偿该负债期间的适用税率计量。</w:t>
      </w:r>
    </w:p>
    <w:p>
      <w:pPr>
        <w:pStyle w:val="BodyText"/>
        <w:spacing w:line="283" w:lineRule="auto" w:before="48"/>
        <w:ind w:right="101"/>
        <w:jc w:val="left"/>
      </w:pPr>
      <w:r>
        <w:rPr>
          <w:spacing w:val="-2"/>
        </w:rPr>
        <w:t>递延所得税资产的确认以本公司很可能取得用来抵扣可抵扣暂时性差异、可抵扣亏损和税款抵减的应纳税</w:t>
      </w:r>
      <w:r>
        <w:rPr>
          <w:spacing w:val="-43"/>
        </w:rPr>
        <w:t> </w:t>
      </w:r>
      <w:r>
        <w:rPr>
          <w:spacing w:val="-43"/>
        </w:rPr>
      </w:r>
      <w:r>
        <w:rPr/>
        <w:t>所得额为限。</w:t>
      </w:r>
      <w:r>
        <w:rPr>
          <w:w w:val="100"/>
        </w:rPr>
        <w:t> </w:t>
      </w:r>
      <w:r>
        <w:rPr>
          <w:spacing w:val="-2"/>
        </w:rPr>
        <w:t>对子公司、联营企业及合营企业投资相关的暂时性差异产生的递延所得税资产和递延所得税负债，予以确</w:t>
      </w:r>
      <w:r>
        <w:rPr>
          <w:spacing w:val="-43"/>
        </w:rPr>
        <w:t> </w:t>
      </w:r>
      <w:r>
        <w:rPr>
          <w:spacing w:val="-43"/>
        </w:rPr>
      </w:r>
      <w:r>
        <w:rPr>
          <w:spacing w:val="-2"/>
        </w:rPr>
        <w:t>认。但本公司能够控制暂时性差异转回的时间且该暂时性差异在可预见的未来很可能不会转回的，不予确</w:t>
      </w:r>
    </w:p>
    <w:p>
      <w:pPr>
        <w:pStyle w:val="BodyText"/>
        <w:spacing w:line="274" w:lineRule="exact"/>
        <w:ind w:right="0"/>
        <w:jc w:val="both"/>
      </w:pPr>
      <w:r>
        <w:rPr/>
        <w:t>认。</w:t>
      </w:r>
    </w:p>
    <w:p>
      <w:pPr>
        <w:spacing w:after="0" w:line="274" w:lineRule="exact"/>
        <w:jc w:val="both"/>
        <w:sectPr>
          <w:pgSz w:w="11910" w:h="16840"/>
          <w:pgMar w:header="745" w:footer="980" w:top="1060" w:bottom="1160" w:left="980" w:right="920"/>
        </w:sectPr>
      </w:pPr>
    </w:p>
    <w:p>
      <w:pPr>
        <w:spacing w:line="240" w:lineRule="auto" w:before="10"/>
        <w:rPr>
          <w:rFonts w:ascii="宋体" w:hAnsi="宋体" w:cs="宋体" w:eastAsia="宋体" w:hint="default"/>
          <w:sz w:val="24"/>
          <w:szCs w:val="24"/>
        </w:rPr>
      </w:pPr>
    </w:p>
    <w:p>
      <w:pPr>
        <w:pStyle w:val="Heading4"/>
        <w:spacing w:line="240" w:lineRule="auto" w:before="36"/>
        <w:ind w:right="153"/>
        <w:jc w:val="left"/>
        <w:rPr>
          <w:b w:val="0"/>
          <w:bCs w:val="0"/>
        </w:rPr>
      </w:pPr>
      <w:r>
        <w:rPr>
          <w:rFonts w:ascii="Times New Roman" w:hAnsi="Times New Roman" w:cs="Times New Roman" w:eastAsia="Times New Roman" w:hint="default"/>
        </w:rPr>
        <w:t>31</w:t>
      </w:r>
      <w:r>
        <w:rPr/>
        <w:t>、租赁</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53"/>
        <w:jc w:val="left"/>
        <w:rPr>
          <w:b w:val="0"/>
          <w:bCs w:val="0"/>
        </w:rPr>
      </w:pPr>
      <w:r>
        <w:rPr>
          <w:rFonts w:ascii="Times New Roman" w:hAnsi="Times New Roman" w:cs="Times New Roman" w:eastAsia="Times New Roman" w:hint="default"/>
        </w:rPr>
        <w:t>32</w:t>
      </w:r>
      <w:r>
        <w:rPr/>
        <w:t>、其他重要的会计政策和会计估计</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53"/>
        <w:jc w:val="left"/>
        <w:rPr>
          <w:b w:val="0"/>
          <w:bCs w:val="0"/>
        </w:rPr>
      </w:pPr>
      <w:r>
        <w:rPr>
          <w:rFonts w:ascii="Times New Roman" w:hAnsi="Times New Roman" w:cs="Times New Roman" w:eastAsia="Times New Roman" w:hint="default"/>
        </w:rPr>
        <w:t>33</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2"/>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pict>
          <v:group style="position:absolute;margin-left:216.529999pt;margin-top:76.301735pt;width:157.85pt;height:20.8pt;mso-position-horizontal-relative:page;mso-position-vertical-relative:paragraph;z-index:-757768" coordorigin="4331,1526" coordsize="3157,416">
            <v:group style="position:absolute;left:4343;top:1538;width:2;height:392" coordorigin="4343,1538" coordsize="2,392">
              <v:shape style="position:absolute;left:4343;top:1538;width:2;height:392" coordorigin="4343,1538" coordsize="0,392" path="m4343,1538l4343,1929e" filled="false" stroked="true" strokeweight="1.2pt" strokecolor="#ffffff">
                <v:path arrowok="t"/>
              </v:shape>
            </v:group>
            <v:group style="position:absolute;left:4355;top:1538;width:3133;height:392" coordorigin="4355,1538" coordsize="3133,392">
              <v:shape style="position:absolute;left:4355;top:1538;width:3133;height:392" coordorigin="4355,1538" coordsize="3133,392" path="m4355,1929l7487,1929,7487,1538,4355,1538,4355,1929xe" filled="true" fillcolor="#ffffff" stroked="false">
                <v:path arrowok="t"/>
                <v:fill type="solid"/>
              </v:shape>
            </v:group>
            <w10:wrap type="none"/>
          </v:group>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8"/>
        <w:gridCol w:w="3190"/>
      </w:tblGrid>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96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4" w:right="-34"/>
              <w:jc w:val="left"/>
              <w:rPr>
                <w:rFonts w:ascii="宋体" w:hAnsi="宋体" w:cs="宋体" w:eastAsia="宋体" w:hint="default"/>
                <w:sz w:val="18"/>
                <w:szCs w:val="18"/>
              </w:rPr>
            </w:pPr>
            <w:r>
              <w:rPr>
                <w:rFonts w:ascii="宋体" w:hAnsi="宋体" w:cs="宋体" w:eastAsia="宋体" w:hint="default"/>
                <w:sz w:val="18"/>
                <w:szCs w:val="18"/>
              </w:rPr>
              <w:t>根据财政部《关于印发</w:t>
            </w:r>
            <w:r>
              <w:rPr>
                <w:rFonts w:ascii="Times New Roman" w:hAnsi="Times New Roman" w:cs="Times New Roman" w:eastAsia="Times New Roman" w:hint="default"/>
                <w:sz w:val="18"/>
                <w:szCs w:val="18"/>
              </w:rPr>
              <w:t>&lt;</w:t>
            </w:r>
            <w:r>
              <w:rPr>
                <w:rFonts w:ascii="宋体" w:hAnsi="宋体" w:cs="宋体" w:eastAsia="宋体" w:hint="default"/>
                <w:sz w:val="18"/>
                <w:szCs w:val="18"/>
              </w:rPr>
              <w:t>企业会计准则第 </w:t>
            </w:r>
            <w:r>
              <w:rPr>
                <w:rFonts w:ascii="Times New Roman" w:hAnsi="Times New Roman" w:cs="Times New Roman" w:eastAsia="Times New Roman" w:hint="default"/>
                <w:sz w:val="18"/>
                <w:szCs w:val="18"/>
              </w:rPr>
              <w:t>42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持有待售的非流动资产、处置组和</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9"/>
                <w:sz w:val="18"/>
                <w:szCs w:val="18"/>
              </w:rPr>
              <w:t>终止经营</w:t>
            </w:r>
            <w:r>
              <w:rPr>
                <w:rFonts w:ascii="Times New Roman" w:hAnsi="Times New Roman" w:cs="Times New Roman" w:eastAsia="Times New Roman" w:hint="default"/>
                <w:spacing w:val="-9"/>
                <w:sz w:val="18"/>
                <w:szCs w:val="18"/>
              </w:rPr>
              <w:t>&gt;</w:t>
            </w:r>
            <w:r>
              <w:rPr>
                <w:rFonts w:ascii="宋体" w:hAnsi="宋体" w:cs="宋体" w:eastAsia="宋体" w:hint="default"/>
                <w:spacing w:val="-9"/>
                <w:sz w:val="18"/>
                <w:szCs w:val="18"/>
              </w:rPr>
              <w:t>的通知》（财会〔</w:t>
            </w:r>
            <w:r>
              <w:rPr>
                <w:rFonts w:ascii="Times New Roman" w:hAnsi="Times New Roman" w:cs="Times New Roman" w:eastAsia="Times New Roman" w:hint="default"/>
                <w:spacing w:val="-9"/>
                <w:sz w:val="18"/>
                <w:szCs w:val="18"/>
              </w:rPr>
              <w:t>2017</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13</w:t>
            </w:r>
            <w:r>
              <w:rPr>
                <w:rFonts w:ascii="Times New Roman" w:hAnsi="Times New Roman" w:cs="Times New Roman" w:eastAsia="Times New Roman" w:hint="default"/>
                <w:spacing w:val="13"/>
                <w:sz w:val="18"/>
                <w:szCs w:val="18"/>
              </w:rPr>
              <w:t> </w:t>
            </w:r>
            <w:r>
              <w:rPr>
                <w:rFonts w:ascii="宋体" w:hAnsi="宋体" w:cs="宋体" w:eastAsia="宋体" w:hint="default"/>
                <w:spacing w:val="-18"/>
                <w:sz w:val="18"/>
                <w:szCs w:val="18"/>
              </w:rPr>
              <w:t>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的规定，本公司自</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日起 执行前述准则。</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第三届董事会第十次会议通过审批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47"/>
              <w:jc w:val="both"/>
              <w:rPr>
                <w:rFonts w:ascii="宋体" w:hAnsi="宋体" w:cs="宋体" w:eastAsia="宋体" w:hint="default"/>
                <w:sz w:val="18"/>
                <w:szCs w:val="18"/>
              </w:rPr>
            </w:pPr>
            <w:r>
              <w:rPr>
                <w:rFonts w:ascii="宋体" w:hAnsi="宋体" w:cs="宋体" w:eastAsia="宋体" w:hint="default"/>
                <w:sz w:val="18"/>
                <w:szCs w:val="18"/>
              </w:rPr>
              <w:t>根据该准则的相关规定，施行日存在的 持有待售的非流动资产、处置组和终止 经营，应当采追溯调整法处理。</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度公司计入资产处置收益金额为</w:t>
            </w:r>
          </w:p>
          <w:p>
            <w:pPr>
              <w:pStyle w:val="TableParagraph"/>
              <w:spacing w:line="300" w:lineRule="auto" w:before="22"/>
              <w:ind w:left="23" w:right="79"/>
              <w:jc w:val="both"/>
              <w:rPr>
                <w:rFonts w:ascii="宋体" w:hAnsi="宋体" w:cs="宋体" w:eastAsia="宋体" w:hint="default"/>
                <w:sz w:val="18"/>
                <w:szCs w:val="18"/>
              </w:rPr>
            </w:pPr>
            <w:r>
              <w:rPr>
                <w:rFonts w:ascii="Times New Roman" w:hAnsi="Times New Roman" w:cs="Times New Roman" w:eastAsia="Times New Roman" w:hint="default"/>
                <w:sz w:val="18"/>
                <w:szCs w:val="18"/>
              </w:rPr>
              <w:t>-47,684.44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元，调整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年可比期间的</w:t>
            </w:r>
            <w:r>
              <w:rPr>
                <w:rFonts w:ascii="宋体" w:hAnsi="宋体" w:cs="宋体" w:eastAsia="宋体" w:hint="default"/>
                <w:w w:val="99"/>
                <w:sz w:val="18"/>
                <w:szCs w:val="18"/>
              </w:rPr>
              <w:t> </w:t>
            </w:r>
            <w:r>
              <w:rPr>
                <w:rFonts w:ascii="宋体" w:hAnsi="宋体" w:cs="宋体" w:eastAsia="宋体" w:hint="default"/>
                <w:sz w:val="18"/>
                <w:szCs w:val="18"/>
              </w:rPr>
              <w:t>比较数据</w:t>
            </w:r>
            <w:r>
              <w:rPr>
                <w:rFonts w:ascii="Times New Roman" w:hAnsi="Times New Roman" w:cs="Times New Roman" w:eastAsia="Times New Roman" w:hint="default"/>
                <w:sz w:val="18"/>
                <w:szCs w:val="18"/>
              </w:rPr>
              <w:t>-54,244.30 </w:t>
            </w:r>
            <w:r>
              <w:rPr>
                <w:rFonts w:ascii="宋体" w:hAnsi="宋体" w:cs="宋体" w:eastAsia="宋体" w:hint="default"/>
                <w:sz w:val="18"/>
                <w:szCs w:val="18"/>
              </w:rPr>
              <w:t>元。</w:t>
            </w:r>
          </w:p>
        </w:tc>
      </w:tr>
      <w:tr>
        <w:trPr>
          <w:trHeight w:val="352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00" w:lineRule="auto"/>
              <w:ind w:left="24" w:right="22"/>
              <w:jc w:val="left"/>
              <w:rPr>
                <w:rFonts w:ascii="宋体" w:hAnsi="宋体" w:cs="宋体" w:eastAsia="宋体" w:hint="default"/>
                <w:sz w:val="18"/>
                <w:szCs w:val="18"/>
              </w:rPr>
            </w:pPr>
            <w:r>
              <w:rPr>
                <w:rFonts w:ascii="宋体" w:hAnsi="宋体" w:cs="宋体" w:eastAsia="宋体" w:hint="default"/>
                <w:spacing w:val="-2"/>
                <w:sz w:val="18"/>
                <w:szCs w:val="18"/>
              </w:rPr>
              <w:t>根据财政部《关于印发修订</w:t>
            </w:r>
            <w:r>
              <w:rPr>
                <w:rFonts w:ascii="Times New Roman" w:hAnsi="Times New Roman" w:cs="Times New Roman" w:eastAsia="Times New Roman" w:hint="default"/>
                <w:spacing w:val="-2"/>
                <w:sz w:val="18"/>
                <w:szCs w:val="18"/>
              </w:rPr>
              <w:t>&lt;</w:t>
            </w:r>
            <w:r>
              <w:rPr>
                <w:rFonts w:ascii="宋体" w:hAnsi="宋体" w:cs="宋体" w:eastAsia="宋体" w:hint="default"/>
                <w:spacing w:val="-2"/>
                <w:sz w:val="18"/>
                <w:szCs w:val="18"/>
              </w:rPr>
              <w:t>企业会计准</w:t>
            </w:r>
            <w:r>
              <w:rPr>
                <w:rFonts w:ascii="宋体" w:hAnsi="宋体" w:cs="宋体" w:eastAsia="宋体" w:hint="default"/>
                <w:spacing w:val="-82"/>
                <w:sz w:val="18"/>
                <w:szCs w:val="18"/>
              </w:rPr>
              <w:t> </w:t>
            </w:r>
            <w:r>
              <w:rPr>
                <w:rFonts w:ascii="宋体" w:hAnsi="宋体" w:cs="宋体" w:eastAsia="宋体" w:hint="default"/>
                <w:sz w:val="18"/>
                <w:szCs w:val="18"/>
              </w:rPr>
              <w:t>则第</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政府补助</w:t>
            </w:r>
            <w:r>
              <w:rPr>
                <w:rFonts w:ascii="Times New Roman" w:hAnsi="Times New Roman" w:cs="Times New Roman" w:eastAsia="Times New Roman" w:hint="default"/>
                <w:spacing w:val="-7"/>
                <w:sz w:val="18"/>
                <w:szCs w:val="18"/>
              </w:rPr>
              <w:t>&gt;</w:t>
            </w:r>
            <w:r>
              <w:rPr>
                <w:rFonts w:ascii="宋体" w:hAnsi="宋体" w:cs="宋体" w:eastAsia="宋体" w:hint="default"/>
                <w:spacing w:val="-7"/>
                <w:sz w:val="18"/>
                <w:szCs w:val="18"/>
              </w:rPr>
              <w:t>的通知》（财会</w:t>
            </w:r>
          </w:p>
          <w:p>
            <w:pPr>
              <w:pStyle w:val="TableParagraph"/>
              <w:spacing w:line="240" w:lineRule="auto" w:before="1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15 </w:t>
            </w:r>
            <w:r>
              <w:rPr>
                <w:rFonts w:ascii="宋体" w:hAnsi="宋体" w:cs="宋体" w:eastAsia="宋体" w:hint="default"/>
                <w:sz w:val="18"/>
                <w:szCs w:val="18"/>
              </w:rPr>
              <w:t>号）的规定，本公司自</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2017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日起执行前述准则。</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第三届董事会第十次会议通过审批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根据该准则的相关规定，本公司对</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日存在的政府补助采用未来适</w:t>
            </w:r>
          </w:p>
          <w:p>
            <w:pPr>
              <w:pStyle w:val="TableParagraph"/>
              <w:spacing w:line="302" w:lineRule="auto" w:before="63"/>
              <w:ind w:left="23" w:right="21"/>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用法处理，对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日至该准则 施行日之间新增的政府补助根据该准则 进行调整。</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年度公司将相应政府补 助金额从利润表</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营业外收入</w:t>
            </w:r>
            <w:r>
              <w:rPr>
                <w:rFonts w:ascii="Times New Roman" w:hAnsi="Times New Roman" w:cs="Times New Roman" w:eastAsia="Times New Roman" w:hint="default"/>
                <w:sz w:val="18"/>
                <w:szCs w:val="18"/>
              </w:rPr>
              <w:t>"</w:t>
            </w:r>
            <w:r>
              <w:rPr>
                <w:rFonts w:ascii="宋体" w:hAnsi="宋体" w:cs="宋体" w:eastAsia="宋体" w:hint="default"/>
                <w:sz w:val="18"/>
                <w:szCs w:val="18"/>
              </w:rPr>
              <w:t>项目调整 为利润表</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项目列报，调减</w:t>
            </w:r>
            <w:r>
              <w:rPr>
                <w:rFonts w:ascii="Times New Roman" w:hAnsi="Times New Roman" w:cs="Times New Roman" w:eastAsia="Times New Roman" w:hint="default"/>
                <w:sz w:val="18"/>
                <w:szCs w:val="18"/>
              </w:rPr>
              <w:t>"</w:t>
            </w:r>
            <w:r>
              <w:rPr>
                <w:rFonts w:ascii="宋体" w:hAnsi="宋体" w:cs="宋体" w:eastAsia="宋体" w:hint="default"/>
                <w:sz w:val="18"/>
                <w:szCs w:val="18"/>
              </w:rPr>
              <w:t>营 业外收入</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年半年度发生额 </w:t>
            </w:r>
            <w:r>
              <w:rPr>
                <w:rFonts w:ascii="Times New Roman" w:hAnsi="Times New Roman" w:cs="Times New Roman" w:eastAsia="Times New Roman" w:hint="default"/>
                <w:sz w:val="18"/>
                <w:szCs w:val="18"/>
              </w:rPr>
              <w:t>8,018,400.00</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元，调增</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r>
              <w:rPr>
                <w:rFonts w:ascii="Times New Roman" w:hAnsi="Times New Roman" w:cs="Times New Roman" w:eastAsia="Times New Roman" w:hint="default"/>
                <w:sz w:val="18"/>
                <w:szCs w:val="18"/>
              </w:rPr>
              <w:t>"2017</w:t>
            </w:r>
          </w:p>
          <w:p>
            <w:pPr>
              <w:pStyle w:val="TableParagraph"/>
              <w:spacing w:line="300" w:lineRule="auto" w:before="11"/>
              <w:ind w:left="23" w:right="95"/>
              <w:jc w:val="left"/>
              <w:rPr>
                <w:rFonts w:ascii="宋体" w:hAnsi="宋体" w:cs="宋体" w:eastAsia="宋体" w:hint="default"/>
                <w:sz w:val="18"/>
                <w:szCs w:val="18"/>
              </w:rPr>
            </w:pPr>
            <w:r>
              <w:rPr>
                <w:rFonts w:ascii="宋体" w:hAnsi="宋体" w:cs="宋体" w:eastAsia="宋体" w:hint="default"/>
                <w:sz w:val="18"/>
                <w:szCs w:val="18"/>
              </w:rPr>
              <w:t>年半年度发生额 </w:t>
            </w:r>
            <w:r>
              <w:rPr>
                <w:rFonts w:ascii="Times New Roman" w:hAnsi="Times New Roman" w:cs="Times New Roman" w:eastAsia="Times New Roman" w:hint="default"/>
                <w:sz w:val="18"/>
                <w:szCs w:val="18"/>
              </w:rPr>
              <w:t>8,018,400.00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元，对净 利润未造成影响。</w:t>
            </w:r>
          </w:p>
        </w:tc>
      </w:tr>
      <w:tr>
        <w:trPr>
          <w:trHeight w:val="1339"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97"/>
              <w:jc w:val="left"/>
              <w:rPr>
                <w:rFonts w:ascii="宋体" w:hAnsi="宋体" w:cs="宋体" w:eastAsia="宋体" w:hint="default"/>
                <w:sz w:val="18"/>
                <w:szCs w:val="18"/>
              </w:rPr>
            </w:pPr>
            <w:r>
              <w:rPr>
                <w:rFonts w:ascii="宋体" w:hAnsi="宋体" w:cs="宋体" w:eastAsia="宋体" w:hint="default"/>
                <w:sz w:val="18"/>
                <w:szCs w:val="18"/>
              </w:rPr>
              <w:t>根据财政部《关于修订印发一般企业财 </w:t>
            </w:r>
            <w:r>
              <w:rPr>
                <w:rFonts w:ascii="宋体" w:hAnsi="宋体" w:cs="宋体" w:eastAsia="宋体" w:hint="default"/>
                <w:spacing w:val="-17"/>
                <w:sz w:val="18"/>
                <w:szCs w:val="18"/>
              </w:rPr>
              <w:t>务报表格式的通知》（财会〔</w:t>
            </w:r>
            <w:r>
              <w:rPr>
                <w:rFonts w:ascii="Times New Roman" w:hAnsi="Times New Roman" w:cs="Times New Roman" w:eastAsia="Times New Roman" w:hint="default"/>
                <w:spacing w:val="-17"/>
                <w:sz w:val="18"/>
                <w:szCs w:val="18"/>
              </w:rPr>
              <w:t>2017</w:t>
            </w:r>
            <w:r>
              <w:rPr>
                <w:rFonts w:ascii="宋体" w:hAnsi="宋体" w:cs="宋体" w:eastAsia="宋体" w:hint="default"/>
                <w:spacing w:val="-17"/>
                <w:sz w:val="18"/>
                <w:szCs w:val="18"/>
              </w:rPr>
              <w:t>〕</w:t>
            </w:r>
            <w:r>
              <w:rPr>
                <w:rFonts w:ascii="Times New Roman" w:hAnsi="Times New Roman" w:cs="Times New Roman" w:eastAsia="Times New Roman" w:hint="default"/>
                <w:spacing w:val="-17"/>
                <w:sz w:val="18"/>
                <w:szCs w:val="18"/>
              </w:rPr>
              <w:t>30</w:t>
            </w:r>
            <w:r>
              <w:rPr>
                <w:rFonts w:ascii="Times New Roman" w:hAnsi="Times New Roman" w:cs="Times New Roman" w:eastAsia="Times New Roman" w:hint="default"/>
                <w:spacing w:val="5"/>
                <w:sz w:val="18"/>
                <w:szCs w:val="18"/>
              </w:rPr>
              <w:t> </w:t>
            </w:r>
            <w:r>
              <w:rPr>
                <w:rFonts w:ascii="宋体" w:hAnsi="宋体" w:cs="宋体" w:eastAsia="宋体" w:hint="default"/>
                <w:spacing w:val="-46"/>
                <w:sz w:val="18"/>
                <w:szCs w:val="18"/>
              </w:rPr>
              <w:t>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本公司对财务报表格式进行了相应调</w:t>
            </w:r>
            <w:r>
              <w:rPr>
                <w:rFonts w:ascii="宋体" w:hAnsi="宋体" w:cs="宋体" w:eastAsia="宋体" w:hint="default"/>
                <w:sz w:val="18"/>
                <w:szCs w:val="18"/>
              </w:rPr>
              <w:t> 整。</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197" w:lineRule="exact" w:before="125"/>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7" w:lineRule="exact"/>
              <w:ind w:left="23" w:right="0"/>
              <w:jc w:val="left"/>
              <w:rPr>
                <w:rFonts w:ascii="宋体" w:hAnsi="宋体" w:cs="宋体" w:eastAsia="宋体" w:hint="default"/>
                <w:sz w:val="18"/>
                <w:szCs w:val="18"/>
              </w:rPr>
            </w:pPr>
            <w:r>
              <w:rPr>
                <w:rFonts w:ascii="宋体" w:hAnsi="宋体" w:cs="宋体" w:eastAsia="宋体" w:hint="default"/>
                <w:sz w:val="18"/>
                <w:szCs w:val="18"/>
              </w:rPr>
              <w:t>第三届董事会第十八次会议通过审批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年度公司计入资产处置收益金额为</w:t>
            </w:r>
          </w:p>
          <w:p>
            <w:pPr>
              <w:pStyle w:val="TableParagraph"/>
              <w:spacing w:line="300" w:lineRule="auto" w:before="60"/>
              <w:ind w:left="23" w:right="79"/>
              <w:jc w:val="left"/>
              <w:rPr>
                <w:rFonts w:ascii="宋体" w:hAnsi="宋体" w:cs="宋体" w:eastAsia="宋体" w:hint="default"/>
                <w:sz w:val="18"/>
                <w:szCs w:val="18"/>
              </w:rPr>
            </w:pPr>
            <w:r>
              <w:rPr>
                <w:rFonts w:ascii="Times New Roman" w:hAnsi="Times New Roman" w:cs="Times New Roman" w:eastAsia="Times New Roman" w:hint="default"/>
                <w:sz w:val="18"/>
                <w:szCs w:val="18"/>
              </w:rPr>
              <w:t>-47,684.44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元，调整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年可比期间的</w:t>
            </w:r>
            <w:r>
              <w:rPr>
                <w:rFonts w:ascii="宋体" w:hAnsi="宋体" w:cs="宋体" w:eastAsia="宋体" w:hint="default"/>
                <w:w w:val="99"/>
                <w:sz w:val="18"/>
                <w:szCs w:val="18"/>
              </w:rPr>
              <w:t> </w:t>
            </w:r>
            <w:r>
              <w:rPr>
                <w:rFonts w:ascii="宋体" w:hAnsi="宋体" w:cs="宋体" w:eastAsia="宋体" w:hint="default"/>
                <w:sz w:val="18"/>
                <w:szCs w:val="18"/>
              </w:rPr>
              <w:t>比较数据</w:t>
            </w:r>
            <w:r>
              <w:rPr>
                <w:rFonts w:ascii="Times New Roman" w:hAnsi="Times New Roman" w:cs="Times New Roman" w:eastAsia="Times New Roman" w:hint="default"/>
                <w:sz w:val="18"/>
                <w:szCs w:val="18"/>
              </w:rPr>
              <w:t>-54,244.30 </w:t>
            </w:r>
            <w:r>
              <w:rPr>
                <w:rFonts w:ascii="宋体" w:hAnsi="宋体" w:cs="宋体" w:eastAsia="宋体" w:hint="default"/>
                <w:sz w:val="18"/>
                <w:szCs w:val="18"/>
              </w:rPr>
              <w:t>元。</w:t>
            </w: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pict>
          <v:group style="position:absolute;margin-left:216.529999pt;margin-top:-79.446335pt;width:159.050pt;height:43.6pt;mso-position-horizontal-relative:page;mso-position-vertical-relative:paragraph;z-index:-757744" coordorigin="4331,-1589" coordsize="3181,872">
            <v:group style="position:absolute;left:4331;top:-1589;width:3181;height:468" coordorigin="4331,-1589" coordsize="3181,468">
              <v:shape style="position:absolute;left:4331;top:-1589;width:3181;height:468" coordorigin="4331,-1589" coordsize="3181,468" path="m4331,-1121l7511,-1121,7511,-1589,4331,-1589,4331,-1121xe" filled="true" fillcolor="#ffffff" stroked="false">
                <v:path arrowok="t"/>
                <v:fill type="solid"/>
              </v:shape>
            </v:group>
            <v:group style="position:absolute;left:4343;top:-1121;width:2;height:392" coordorigin="4343,-1121" coordsize="2,392">
              <v:shape style="position:absolute;left:4343;top:-1121;width:2;height:392" coordorigin="4343,-1121" coordsize="0,392" path="m4343,-1121l4343,-730e" filled="false" stroked="true" strokeweight="1.2pt" strokecolor="#ffffff">
                <v:path arrowok="t"/>
              </v:shape>
            </v:group>
            <v:group style="position:absolute;left:4355;top:-1121;width:3133;height:392" coordorigin="4355,-1121" coordsize="3133,392">
              <v:shape style="position:absolute;left:4355;top:-1121;width:3133;height:392" coordorigin="4355,-1121" coordsize="3133,392" path="m4355,-730l7487,-730,7487,-1121,4355,-1121,4355,-730xe" filled="true" fillcolor="#ffffff" stroked="false">
                <v:path arrowok="t"/>
                <v:fill type="solid"/>
              </v:shape>
            </v:group>
            <w10:wrap type="none"/>
          </v:group>
        </w:pict>
      </w:r>
      <w:r>
        <w:rPr/>
        <w:t>（</w:t>
      </w:r>
      <w:r>
        <w:rPr>
          <w:rFonts w:ascii="Times New Roman" w:hAnsi="Times New Roman" w:cs="Times New Roman" w:eastAsia="Times New Roman" w:hint="default"/>
        </w:rPr>
        <w:t>2</w:t>
      </w:r>
      <w:r>
        <w:rPr/>
        <w:t>）重要会计估计变更</w:t>
      </w:r>
      <w:r>
        <w:rPr>
          <w:b w:val="0"/>
          <w:bCs w:val="0"/>
        </w:rPr>
      </w:r>
    </w:p>
    <w:p>
      <w:pPr>
        <w:spacing w:line="240" w:lineRule="auto" w:before="4"/>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spacing w:line="487" w:lineRule="auto" w:before="36"/>
        <w:ind w:left="152" w:right="798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六、税项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17"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09" w:lineRule="auto" w:before="49"/>
              <w:ind w:left="17" w:right="34"/>
              <w:jc w:val="left"/>
              <w:rPr>
                <w:rFonts w:ascii="Times New Roman" w:hAnsi="Times New Roman" w:cs="Times New Roman" w:eastAsia="Times New Roman" w:hint="default"/>
                <w:sz w:val="18"/>
                <w:szCs w:val="18"/>
              </w:rPr>
            </w:pPr>
            <w:r>
              <w:rPr>
                <w:rFonts w:ascii="宋体" w:hAnsi="宋体" w:cs="宋体" w:eastAsia="宋体" w:hint="default"/>
                <w:sz w:val="18"/>
                <w:szCs w:val="18"/>
              </w:rPr>
              <w:t>应纳税增值额</w:t>
            </w:r>
            <w:r>
              <w:rPr>
                <w:rFonts w:ascii="Times New Roman" w:hAnsi="Times New Roman" w:cs="Times New Roman" w:eastAsia="Times New Roman" w:hint="default"/>
                <w:sz w:val="18"/>
                <w:szCs w:val="18"/>
              </w:rPr>
              <w:t>(</w:t>
            </w:r>
            <w:r>
              <w:rPr>
                <w:rFonts w:ascii="宋体" w:hAnsi="宋体" w:cs="宋体" w:eastAsia="宋体" w:hint="default"/>
                <w:sz w:val="18"/>
                <w:szCs w:val="18"/>
              </w:rPr>
              <w:t>应纳税额按应纳税销售额 乘以适用税率扣除当期允计抵扣的进项 税后的余额计算</w:t>
            </w:r>
            <w:r>
              <w:rPr>
                <w:rFonts w:ascii="Times New Roman" w:hAnsi="Times New Roman" w:cs="Times New Roman" w:eastAsia="Times New Roman" w:hint="default"/>
                <w:sz w:val="18"/>
                <w:szCs w:val="18"/>
              </w:rPr>
              <w:t>)</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17%</w:t>
            </w:r>
          </w:p>
        </w:tc>
      </w:tr>
      <w:tr>
        <w:trPr>
          <w:trHeight w:val="394"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317"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应纳税营业额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当期应纳流转税额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当期应纳流转税额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ind w:right="153"/>
        <w:jc w:val="left"/>
      </w:pPr>
      <w:r>
        <w:rPr>
          <w:spacing w:val="-2"/>
        </w:rPr>
        <w:t>本公司于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8</w:t>
      </w:r>
      <w:r>
        <w:rPr>
          <w:spacing w:val="-2"/>
        </w:rPr>
        <w:t>月被评定为高新技术企业并取得认定证书，并于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24</w:t>
      </w:r>
      <w:r>
        <w:rPr>
          <w:spacing w:val="-2"/>
        </w:rPr>
        <w:t>日通过高新技术企业复评，</w:t>
      </w:r>
      <w:r>
        <w:rPr>
          <w:spacing w:val="-14"/>
        </w:rPr>
        <w:t> </w:t>
      </w:r>
      <w:r>
        <w:rPr>
          <w:spacing w:val="-14"/>
        </w:rPr>
      </w:r>
      <w:r>
        <w:rPr/>
        <w:t>按照《中华人民共和国企业所得税法》的规定，</w:t>
      </w:r>
      <w:r>
        <w:rPr>
          <w:rFonts w:ascii="Times New Roman" w:hAnsi="Times New Roman" w:cs="Times New Roman" w:eastAsia="Times New Roman" w:hint="default"/>
        </w:rPr>
        <w:t>2017</w:t>
      </w:r>
      <w:r>
        <w:rPr/>
        <w:t>年度执行</w:t>
      </w:r>
      <w:r>
        <w:rPr>
          <w:rFonts w:ascii="Times New Roman" w:hAnsi="Times New Roman" w:cs="Times New Roman" w:eastAsia="Times New Roman" w:hint="default"/>
        </w:rPr>
        <w:t>15%</w:t>
      </w:r>
      <w:r>
        <w:rPr/>
        <w:t>的所得税税率。</w:t>
      </w:r>
      <w:r>
        <w:rPr>
          <w:w w:val="100"/>
        </w:rPr>
        <w:t> </w:t>
      </w:r>
      <w:r>
        <w:rPr/>
        <w:t>本公司子公司江西科为江西科为薄膜新型材料有限公司于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月被评定为高新技术并取得认定证书，</w:t>
      </w:r>
      <w:r>
        <w:rPr>
          <w:w w:val="100"/>
        </w:rPr>
        <w:t> </w:t>
      </w:r>
      <w:r>
        <w:rPr/>
        <w:t>按照《中华人民共和国企业所得税法》的规定，</w:t>
      </w:r>
      <w:r>
        <w:rPr>
          <w:rFonts w:ascii="Times New Roman" w:hAnsi="Times New Roman" w:cs="Times New Roman" w:eastAsia="Times New Roman" w:hint="default"/>
        </w:rPr>
        <w:t>2017</w:t>
      </w:r>
      <w:r>
        <w:rPr/>
        <w:t>年度执行</w:t>
      </w:r>
      <w:r>
        <w:rPr>
          <w:rFonts w:ascii="Times New Roman" w:hAnsi="Times New Roman" w:cs="Times New Roman" w:eastAsia="Times New Roman" w:hint="default"/>
        </w:rPr>
        <w:t>15%</w:t>
      </w:r>
      <w:r>
        <w:rPr/>
        <w:t>的所得税税率。</w:t>
      </w:r>
    </w:p>
    <w:p>
      <w:pPr>
        <w:spacing w:line="240" w:lineRule="auto" w:before="4"/>
        <w:rPr>
          <w:rFonts w:ascii="宋体" w:hAnsi="宋体" w:cs="宋体" w:eastAsia="宋体" w:hint="default"/>
          <w:sz w:val="23"/>
          <w:szCs w:val="23"/>
        </w:rPr>
      </w:pPr>
    </w:p>
    <w:p>
      <w:pPr>
        <w:spacing w:line="487" w:lineRule="auto" w:before="0"/>
        <w:ind w:left="152" w:right="688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七、合并财务报表项目注释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before="102"/>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87,662.66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200.84</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725,303,762.74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1,060,456,500.03</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100,232,319.82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73,154,538.52</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825,623,745.22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1,133,611,239.39</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4"/>
        <w:ind w:right="176"/>
        <w:jc w:val="left"/>
      </w:pPr>
      <w:r>
        <w:rPr/>
        <w:t>货币资金期末数比年初数减少</w:t>
      </w:r>
      <w:r>
        <w:rPr>
          <w:rFonts w:ascii="Times New Roman" w:hAnsi="Times New Roman" w:cs="Times New Roman" w:eastAsia="Times New Roman" w:hint="default"/>
        </w:rPr>
        <w:t>307,987,494.17</w:t>
      </w:r>
      <w:r>
        <w:rPr>
          <w:rFonts w:ascii="Times New Roman" w:hAnsi="Times New Roman" w:cs="Times New Roman" w:eastAsia="Times New Roman" w:hint="default"/>
          <w:spacing w:val="25"/>
        </w:rPr>
        <w:t> </w:t>
      </w:r>
      <w:r>
        <w:rPr/>
        <w:t>元，减少比例为</w:t>
      </w:r>
      <w:r>
        <w:rPr>
          <w:rFonts w:ascii="Times New Roman" w:hAnsi="Times New Roman" w:cs="Times New Roman" w:eastAsia="Times New Roman" w:hint="default"/>
        </w:rPr>
        <w:t>27.17%</w:t>
      </w:r>
      <w:r>
        <w:rPr/>
        <w:t>，减少原因系本期新增以自有资金投</w:t>
      </w:r>
      <w:r>
        <w:rPr>
          <w:w w:val="100"/>
        </w:rPr>
        <w:t> </w:t>
      </w:r>
      <w:r>
        <w:rPr/>
        <w:t>资苏宁银行</w:t>
      </w:r>
      <w:r>
        <w:rPr>
          <w:rFonts w:ascii="Times New Roman" w:hAnsi="Times New Roman" w:cs="Times New Roman" w:eastAsia="Times New Roman" w:hint="default"/>
        </w:rPr>
        <w:t>3.98</w:t>
      </w:r>
      <w:r>
        <w:rPr/>
        <w:t>亿元所致。</w:t>
      </w:r>
    </w:p>
    <w:p>
      <w:pPr>
        <w:spacing w:after="0" w:line="256"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BodyText"/>
        <w:spacing w:line="256" w:lineRule="auto" w:before="36"/>
        <w:ind w:right="153"/>
        <w:jc w:val="left"/>
      </w:pPr>
      <w:r>
        <w:rPr>
          <w:spacing w:val="-2"/>
        </w:rPr>
        <w:t>期末中国建设银行宿迁分行账号为</w:t>
      </w:r>
      <w:r>
        <w:rPr>
          <w:rFonts w:ascii="Times New Roman" w:hAnsi="Times New Roman" w:cs="Times New Roman" w:eastAsia="Times New Roman" w:hint="default"/>
          <w:spacing w:val="-2"/>
        </w:rPr>
        <w:t>32001778636049998888</w:t>
      </w:r>
      <w:r>
        <w:rPr>
          <w:spacing w:val="-2"/>
        </w:rPr>
        <w:t>中存有美元定期存款，本金</w:t>
      </w:r>
      <w:r>
        <w:rPr>
          <w:rFonts w:ascii="Times New Roman" w:hAnsi="Times New Roman" w:cs="Times New Roman" w:eastAsia="Times New Roman" w:hint="default"/>
          <w:spacing w:val="-2"/>
        </w:rPr>
        <w:t>51,245,999.99</w:t>
      </w:r>
      <w:r>
        <w:rPr>
          <w:spacing w:val="-2"/>
        </w:rPr>
        <w:t>美元，</w:t>
      </w:r>
      <w:r>
        <w:rPr>
          <w:spacing w:val="10"/>
        </w:rPr>
        <w:t> </w:t>
      </w:r>
      <w:r>
        <w:rPr>
          <w:spacing w:val="10"/>
        </w:rPr>
      </w:r>
      <w:r>
        <w:rPr/>
        <w:t>汇率为</w:t>
      </w:r>
      <w:r>
        <w:rPr>
          <w:rFonts w:ascii="Times New Roman" w:hAnsi="Times New Roman" w:cs="Times New Roman" w:eastAsia="Times New Roman" w:hint="default"/>
        </w:rPr>
        <w:t>6.6348</w:t>
      </w:r>
      <w:r>
        <w:rPr/>
        <w:t>，折合成人民币</w:t>
      </w:r>
      <w:r>
        <w:rPr>
          <w:rFonts w:ascii="Times New Roman" w:hAnsi="Times New Roman" w:cs="Times New Roman" w:eastAsia="Times New Roman" w:hint="default"/>
        </w:rPr>
        <w:t>340,007,809.50</w:t>
      </w:r>
      <w:r>
        <w:rPr/>
        <w:t>元，该定期存款为锁汇存款。</w:t>
      </w:r>
    </w:p>
    <w:p>
      <w:pPr>
        <w:spacing w:line="240" w:lineRule="auto" w:before="4"/>
        <w:rPr>
          <w:rFonts w:ascii="宋体" w:hAnsi="宋体" w:cs="宋体" w:eastAsia="宋体" w:hint="default"/>
          <w:sz w:val="23"/>
          <w:szCs w:val="23"/>
        </w:rPr>
      </w:pPr>
    </w:p>
    <w:p>
      <w:pPr>
        <w:pStyle w:val="Heading4"/>
        <w:spacing w:line="240" w:lineRule="auto"/>
        <w:ind w:right="153"/>
        <w:jc w:val="left"/>
        <w:rPr>
          <w:b w:val="0"/>
          <w:bCs w:val="0"/>
        </w:rPr>
      </w:pP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153"/>
        <w:jc w:val="left"/>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12"/>
        <w:rPr>
          <w:rFonts w:ascii="宋体" w:hAnsi="宋体" w:cs="宋体" w:eastAsia="宋体" w:hint="default"/>
          <w:b/>
          <w:bCs/>
          <w:sz w:val="22"/>
          <w:szCs w:val="22"/>
        </w:rPr>
      </w:pPr>
    </w:p>
    <w:p>
      <w:pPr>
        <w:spacing w:before="44"/>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153"/>
        <w:jc w:val="left"/>
        <w:rPr>
          <w:b w:val="0"/>
          <w:bCs w:val="0"/>
        </w:rPr>
      </w:pP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226,066,884.89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179,368,361.34</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19,495,654.66</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270,566,884.89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198,864,016.00</w:t>
            </w: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4"/>
        <w:rPr>
          <w:rFonts w:ascii="宋体" w:hAnsi="宋体" w:cs="宋体" w:eastAsia="宋体" w:hint="default"/>
          <w:sz w:val="19"/>
          <w:szCs w:val="19"/>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264,515,642.76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264,515,642.76</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11"/>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4783"/>
        <w:gridCol w:w="4787"/>
      </w:tblGrid>
      <w:tr>
        <w:trPr>
          <w:trHeight w:val="334" w:hRule="exact"/>
        </w:trPr>
        <w:tc>
          <w:tcPr>
            <w:tcW w:w="4783" w:type="dxa"/>
            <w:tcBorders>
              <w:top w:val="single" w:sz="6" w:space="0" w:color="000000"/>
              <w:left w:val="nil" w:sz="6" w:space="0" w:color="auto"/>
              <w:bottom w:val="single" w:sz="4" w:space="0" w:color="000000"/>
              <w:right w:val="nil" w:sz="6" w:space="0" w:color="auto"/>
            </w:tcBorders>
          </w:tcPr>
          <w:p>
            <w:pPr/>
          </w:p>
        </w:tc>
        <w:tc>
          <w:tcPr>
            <w:tcW w:w="4787" w:type="dxa"/>
            <w:tcBorders>
              <w:top w:val="single" w:sz="6" w:space="0" w:color="000000"/>
              <w:left w:val="nil" w:sz="6" w:space="0" w:color="auto"/>
              <w:bottom w:val="single" w:sz="4" w:space="0" w:color="000000"/>
              <w:right w:val="nil" w:sz="6" w:space="0" w:color="auto"/>
            </w:tcBorders>
          </w:tcPr>
          <w:p>
            <w:pP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spacing w:before="50"/>
        <w:ind w:left="112" w:right="13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4"/>
        <w:ind w:left="112" w:right="134"/>
        <w:jc w:val="left"/>
      </w:pPr>
      <w:r>
        <w:rPr>
          <w:spacing w:val="-2"/>
        </w:rPr>
        <w:t>应收票据期末数比年初数增加</w:t>
      </w:r>
      <w:r>
        <w:rPr>
          <w:rFonts w:ascii="Times New Roman" w:hAnsi="Times New Roman" w:cs="Times New Roman" w:eastAsia="Times New Roman" w:hint="default"/>
          <w:spacing w:val="-2"/>
        </w:rPr>
        <w:t>71,702,868.89</w:t>
      </w:r>
      <w:r>
        <w:rPr>
          <w:spacing w:val="-2"/>
        </w:rPr>
        <w:t>元，增长比例为</w:t>
      </w:r>
      <w:r>
        <w:rPr>
          <w:rFonts w:ascii="Times New Roman" w:hAnsi="Times New Roman" w:cs="Times New Roman" w:eastAsia="Times New Roman" w:hint="default"/>
          <w:spacing w:val="-2"/>
        </w:rPr>
        <w:t>36.06%</w:t>
      </w:r>
      <w:r>
        <w:rPr>
          <w:spacing w:val="-2"/>
        </w:rPr>
        <w:t>，增加原因系以票据形式结算货款比例</w:t>
      </w:r>
      <w:r>
        <w:rPr>
          <w:spacing w:val="-1"/>
        </w:rPr>
        <w:t> </w:t>
      </w:r>
      <w:r>
        <w:rPr>
          <w:spacing w:val="-1"/>
        </w:rPr>
      </w:r>
      <w:r>
        <w:rPr/>
        <w:t>较上年同期增长所致。</w:t>
      </w:r>
    </w:p>
    <w:p>
      <w:pPr>
        <w:spacing w:line="240" w:lineRule="auto" w:before="8"/>
        <w:rPr>
          <w:rFonts w:ascii="宋体" w:hAnsi="宋体" w:cs="宋体" w:eastAsia="宋体" w:hint="default"/>
          <w:sz w:val="24"/>
          <w:szCs w:val="24"/>
        </w:rPr>
      </w:pPr>
    </w:p>
    <w:p>
      <w:pPr>
        <w:pStyle w:val="Heading4"/>
        <w:spacing w:line="240" w:lineRule="auto"/>
        <w:ind w:left="112" w:right="134"/>
        <w:jc w:val="left"/>
        <w:rPr>
          <w:b w:val="0"/>
          <w:bCs w:val="0"/>
        </w:rPr>
      </w:pP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2" w:right="134"/>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2"/>
        <w:rPr>
          <w:rFonts w:ascii="宋体" w:hAnsi="宋体" w:cs="宋体" w:eastAsia="宋体" w:hint="default"/>
          <w:b/>
          <w:bCs/>
          <w:sz w:val="26"/>
          <w:szCs w:val="26"/>
        </w:rPr>
      </w:pPr>
    </w:p>
    <w:p>
      <w:pPr>
        <w:spacing w:before="0"/>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624"/>
        <w:gridCol w:w="774"/>
        <w:gridCol w:w="761"/>
        <w:gridCol w:w="763"/>
        <w:gridCol w:w="763"/>
        <w:gridCol w:w="788"/>
        <w:gridCol w:w="655"/>
        <w:gridCol w:w="761"/>
        <w:gridCol w:w="814"/>
        <w:gridCol w:w="934"/>
        <w:gridCol w:w="931"/>
      </w:tblGrid>
      <w:tr>
        <w:trPr>
          <w:trHeight w:val="396" w:hRule="exact"/>
        </w:trPr>
        <w:tc>
          <w:tcPr>
            <w:tcW w:w="1624"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4"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4"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624"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4"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4"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967,213,</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768.76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58,317,4</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34.64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6.03%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908,896,3</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34.12</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679,846</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,404.81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38,751,56</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7.48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5.70%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641,094,83</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7.33</w:t>
            </w:r>
          </w:p>
        </w:tc>
      </w:tr>
      <w:tr>
        <w:trPr>
          <w:trHeight w:val="161" w:hRule="exact"/>
        </w:trPr>
        <w:tc>
          <w:tcPr>
            <w:tcW w:w="1624"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967,213,</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768.76</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58,317,4</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34.64</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6.03%</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908,896,3</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34.12</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679,846</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,404.81</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38,751,56</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7.48</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5.70%</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641,094,83</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7.33</w:t>
            </w:r>
          </w:p>
        </w:tc>
      </w:tr>
      <w:tr>
        <w:trPr>
          <w:trHeight w:val="391" w:hRule="exact"/>
        </w:trPr>
        <w:tc>
          <w:tcPr>
            <w:tcW w:w="16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24"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1020" w:right="1020"/>
        </w:sectPr>
      </w:pPr>
    </w:p>
    <w:p>
      <w:pPr>
        <w:spacing w:before="49"/>
        <w:ind w:left="11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11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组合中，按账龄分析法计提坏账准备的应收账款：</w:t>
      </w:r>
    </w:p>
    <w:p>
      <w:pPr>
        <w:spacing w:before="43"/>
        <w:ind w:left="11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1020" w:right="1020"/>
          <w:cols w:num="2" w:equalWidth="0">
            <w:col w:w="4253" w:space="4576"/>
            <w:col w:w="1041"/>
          </w:cols>
        </w:sectPr>
      </w:pPr>
    </w:p>
    <w:p>
      <w:pPr>
        <w:spacing w:line="240" w:lineRule="auto" w:before="3"/>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2381"/>
        <w:gridCol w:w="2392"/>
        <w:gridCol w:w="2393"/>
        <w:gridCol w:w="2393"/>
      </w:tblGrid>
      <w:tr>
        <w:trPr>
          <w:trHeight w:val="205" w:hRule="exact"/>
        </w:trPr>
        <w:tc>
          <w:tcPr>
            <w:tcW w:w="2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3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账龄</w:t>
            </w:r>
          </w:p>
        </w:tc>
        <w:tc>
          <w:tcPr>
            <w:tcW w:w="7178"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381" w:type="dxa"/>
            <w:vMerge/>
            <w:tcBorders>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929,944,601.14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46,497,230.07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28,546,255.17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5,709,251.03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5,121,917.83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2,560,958.92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3,549,994.62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3,549,994.62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967,162,768.76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58,317,434.64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6.03%</w:t>
            </w:r>
          </w:p>
        </w:tc>
      </w:tr>
    </w:tbl>
    <w:p>
      <w:pPr>
        <w:spacing w:line="357" w:lineRule="auto" w:before="49"/>
        <w:ind w:left="112" w:right="541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38" w:lineRule="auto" w:before="29"/>
        <w:ind w:left="112" w:right="5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组合中，采用其他方法计提坏账准备的应收账款：</w:t>
      </w:r>
    </w:p>
    <w:p>
      <w:pPr>
        <w:spacing w:after="0" w:line="338" w:lineRule="auto"/>
        <w:jc w:val="left"/>
        <w:rPr>
          <w:rFonts w:ascii="宋体" w:hAnsi="宋体" w:cs="宋体" w:eastAsia="宋体" w:hint="default"/>
          <w:sz w:val="18"/>
          <w:szCs w:val="18"/>
        </w:rPr>
        <w:sectPr>
          <w:type w:val="continuous"/>
          <w:pgSz w:w="11910" w:h="16840"/>
          <w:pgMar w:top="1060" w:bottom="1160" w:left="1020" w:right="10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0"/>
          <w:szCs w:val="20"/>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980"/>
        </w:sectPr>
      </w:pPr>
    </w:p>
    <w:p>
      <w:pPr>
        <w:spacing w:line="357" w:lineRule="auto"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本期计提坏账准备金额元；本期收回或转回坏账准备金额元。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5013" w:space="3816"/>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3" w:right="7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0"/>
        <w:rPr>
          <w:rFonts w:ascii="宋体" w:hAnsi="宋体" w:cs="宋体" w:eastAsia="宋体" w:hint="default"/>
          <w:sz w:val="18"/>
          <w:szCs w:val="18"/>
        </w:rPr>
      </w:pPr>
    </w:p>
    <w:p>
      <w:pPr>
        <w:pStyle w:val="Heading4"/>
        <w:spacing w:line="240" w:lineRule="auto" w:before="118"/>
        <w:ind w:right="153"/>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ind w:right="153"/>
        <w:jc w:val="left"/>
      </w:pPr>
      <w:r>
        <w:rPr>
          <w:spacing w:val="-3"/>
        </w:rPr>
        <w:t>本公司按欠款方归集的期末余额前五名的应收账款合计金额为</w:t>
      </w:r>
      <w:r>
        <w:rPr>
          <w:rFonts w:ascii="Times New Roman" w:hAnsi="Times New Roman" w:cs="Times New Roman" w:eastAsia="Times New Roman" w:hint="default"/>
          <w:spacing w:val="-3"/>
        </w:rPr>
        <w:t>691,627,986.04</w:t>
      </w:r>
      <w:r>
        <w:rPr>
          <w:spacing w:val="-3"/>
        </w:rPr>
        <w:t>元，占应收账款原值年末余额</w:t>
      </w:r>
      <w:r>
        <w:rPr>
          <w:spacing w:val="-27"/>
        </w:rPr>
        <w:t> </w:t>
      </w:r>
      <w:r>
        <w:rPr>
          <w:spacing w:val="-27"/>
        </w:rPr>
      </w:r>
      <w:r>
        <w:rPr/>
        <w:t>总计数的比施为</w:t>
      </w:r>
      <w:r>
        <w:rPr>
          <w:rFonts w:ascii="Times New Roman" w:hAnsi="Times New Roman" w:cs="Times New Roman" w:eastAsia="Times New Roman" w:hint="default"/>
        </w:rPr>
        <w:t>71.50%</w:t>
      </w:r>
      <w:r>
        <w:rPr/>
        <w:t>，相应计提坏账准备年末余额合计金额为</w:t>
      </w:r>
      <w:r>
        <w:rPr>
          <w:rFonts w:ascii="Times New Roman" w:hAnsi="Times New Roman" w:cs="Times New Roman" w:eastAsia="Times New Roman" w:hint="default"/>
        </w:rPr>
        <w:t>34,581,399.30</w:t>
      </w:r>
      <w:r>
        <w:rPr/>
        <w:t>元。</w:t>
      </w:r>
    </w:p>
    <w:p>
      <w:pPr>
        <w:spacing w:line="240" w:lineRule="auto" w:before="4"/>
        <w:rPr>
          <w:rFonts w:ascii="宋体" w:hAnsi="宋体" w:cs="宋体" w:eastAsia="宋体" w:hint="default"/>
          <w:sz w:val="23"/>
          <w:szCs w:val="23"/>
        </w:rPr>
      </w:pPr>
    </w:p>
    <w:p>
      <w:pPr>
        <w:pStyle w:val="Heading4"/>
        <w:spacing w:line="240" w:lineRule="auto"/>
        <w:ind w:right="153"/>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4"/>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153"/>
        <w:jc w:val="left"/>
        <w:rPr>
          <w:b w:val="0"/>
          <w:bCs w:val="0"/>
        </w:rPr>
      </w:pPr>
      <w:r>
        <w:rPr>
          <w:rFonts w:ascii="Times New Roman" w:hAnsi="Times New Roman" w:cs="Times New Roman" w:eastAsia="Times New Roman" w:hint="default"/>
        </w:rPr>
        <w:t>6</w:t>
      </w:r>
      <w:r>
        <w:rPr/>
        <w:t>、预付款项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2"/>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3"/>
        <w:gridCol w:w="1915"/>
        <w:gridCol w:w="1916"/>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591,392,168.47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96.27%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429,149,658.50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93.36%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4,287,403.97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12,747,723.72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2.77%</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10,515,609.87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9,185,566.90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8,097,199.46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8,605,253.16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1.87%</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614,292,381.77</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459,688,202.28</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9"/>
        <w:rPr>
          <w:rFonts w:ascii="宋体" w:hAnsi="宋体" w:cs="宋体" w:eastAsia="宋体" w:hint="default"/>
          <w:sz w:val="25"/>
          <w:szCs w:val="25"/>
        </w:rPr>
      </w:pPr>
    </w:p>
    <w:p>
      <w:pPr>
        <w:spacing w:before="44"/>
        <w:ind w:left="152" w:right="153"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903"/>
        <w:gridCol w:w="2263"/>
        <w:gridCol w:w="1467"/>
        <w:gridCol w:w="2710"/>
      </w:tblGrid>
      <w:tr>
        <w:trPr>
          <w:trHeight w:val="341"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83"/>
              <w:jc w:val="right"/>
              <w:rPr>
                <w:rFonts w:ascii="宋体" w:hAnsi="宋体" w:cs="宋体" w:eastAsia="宋体" w:hint="default"/>
                <w:sz w:val="18"/>
                <w:szCs w:val="18"/>
              </w:rPr>
            </w:pPr>
            <w:r>
              <w:rPr>
                <w:rFonts w:ascii="宋体" w:hAnsi="宋体" w:cs="宋体" w:eastAsia="宋体" w:hint="default"/>
                <w:sz w:val="18"/>
                <w:szCs w:val="18"/>
              </w:rPr>
              <w:t>单位名称</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343"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83"/>
              <w:jc w:val="right"/>
              <w:rPr>
                <w:rFonts w:ascii="宋体" w:hAnsi="宋体" w:cs="宋体" w:eastAsia="宋体" w:hint="default"/>
                <w:sz w:val="18"/>
                <w:szCs w:val="18"/>
              </w:rPr>
            </w:pPr>
            <w:r>
              <w:rPr>
                <w:rFonts w:ascii="宋体" w:hAnsi="宋体" w:cs="宋体" w:eastAsia="宋体" w:hint="default"/>
                <w:sz w:val="18"/>
                <w:szCs w:val="18"/>
              </w:rPr>
              <w:t>供应商一</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7,171,862.92</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年以上</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尚未到结算期</w:t>
            </w:r>
          </w:p>
        </w:tc>
      </w:tr>
      <w:tr>
        <w:trPr>
          <w:trHeight w:val="341"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83"/>
              <w:jc w:val="right"/>
              <w:rPr>
                <w:rFonts w:ascii="宋体" w:hAnsi="宋体" w:cs="宋体" w:eastAsia="宋体" w:hint="default"/>
                <w:sz w:val="18"/>
                <w:szCs w:val="18"/>
              </w:rPr>
            </w:pPr>
            <w:r>
              <w:rPr>
                <w:rFonts w:ascii="宋体" w:hAnsi="宋体" w:cs="宋体" w:eastAsia="宋体" w:hint="default"/>
                <w:sz w:val="18"/>
                <w:szCs w:val="18"/>
              </w:rPr>
              <w:t>供应商二</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4,271,883.20</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尚未到结算期</w:t>
            </w:r>
          </w:p>
        </w:tc>
      </w:tr>
      <w:tr>
        <w:trPr>
          <w:trHeight w:val="343"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83"/>
              <w:jc w:val="right"/>
              <w:rPr>
                <w:rFonts w:ascii="宋体" w:hAnsi="宋体" w:cs="宋体" w:eastAsia="宋体" w:hint="default"/>
                <w:sz w:val="18"/>
                <w:szCs w:val="18"/>
              </w:rPr>
            </w:pPr>
            <w:r>
              <w:rPr>
                <w:rFonts w:ascii="宋体" w:hAnsi="宋体" w:cs="宋体" w:eastAsia="宋体" w:hint="default"/>
                <w:sz w:val="18"/>
                <w:szCs w:val="18"/>
              </w:rPr>
              <w:t>供应商三</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1,000,000.00</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尚未到结算期</w:t>
            </w:r>
          </w:p>
        </w:tc>
      </w:tr>
      <w:tr>
        <w:trPr>
          <w:trHeight w:val="341"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83"/>
              <w:jc w:val="right"/>
              <w:rPr>
                <w:rFonts w:ascii="宋体" w:hAnsi="宋体" w:cs="宋体" w:eastAsia="宋体" w:hint="default"/>
                <w:sz w:val="18"/>
                <w:szCs w:val="18"/>
              </w:rPr>
            </w:pPr>
            <w:r>
              <w:rPr>
                <w:rFonts w:ascii="宋体" w:hAnsi="宋体" w:cs="宋体" w:eastAsia="宋体" w:hint="default"/>
                <w:sz w:val="18"/>
                <w:szCs w:val="18"/>
              </w:rPr>
              <w:t>供应商四</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934,063.89</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年</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尚未到结算期</w:t>
            </w:r>
          </w:p>
        </w:tc>
      </w:tr>
      <w:tr>
        <w:trPr>
          <w:trHeight w:val="343"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83"/>
              <w:jc w:val="right"/>
              <w:rPr>
                <w:rFonts w:ascii="宋体" w:hAnsi="宋体" w:cs="宋体" w:eastAsia="宋体" w:hint="default"/>
                <w:sz w:val="18"/>
                <w:szCs w:val="18"/>
              </w:rPr>
            </w:pPr>
            <w:r>
              <w:rPr>
                <w:rFonts w:ascii="宋体" w:hAnsi="宋体" w:cs="宋体" w:eastAsia="宋体" w:hint="default"/>
                <w:sz w:val="18"/>
                <w:szCs w:val="18"/>
              </w:rPr>
              <w:t>供应商五</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900,000.00</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尚未到结算期</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right="153"/>
        <w:jc w:val="left"/>
      </w:pPr>
      <w:r>
        <w:rPr>
          <w:spacing w:val="-3"/>
        </w:rPr>
        <w:t>本公司按预付对象归集的期末余额前五名的预付款汇总金额为</w:t>
      </w:r>
      <w:r>
        <w:rPr>
          <w:rFonts w:ascii="Times New Roman" w:hAnsi="Times New Roman" w:cs="Times New Roman" w:eastAsia="Times New Roman" w:hint="default"/>
          <w:spacing w:val="-3"/>
        </w:rPr>
        <w:t>469,819,534.03</w:t>
      </w:r>
      <w:r>
        <w:rPr>
          <w:spacing w:val="-3"/>
        </w:rPr>
        <w:t>元，占预付账款期末余额合计</w:t>
      </w:r>
      <w:r>
        <w:rPr>
          <w:spacing w:val="-27"/>
        </w:rPr>
        <w:t> </w:t>
      </w:r>
      <w:r>
        <w:rPr>
          <w:spacing w:val="-27"/>
        </w:rPr>
      </w:r>
      <w:r>
        <w:rPr/>
        <w:t>数的比例为</w:t>
      </w:r>
      <w:r>
        <w:rPr>
          <w:rFonts w:ascii="Times New Roman" w:hAnsi="Times New Roman" w:cs="Times New Roman" w:eastAsia="Times New Roman" w:hint="default"/>
        </w:rPr>
        <w:t>74.85%</w:t>
      </w:r>
      <w:r>
        <w:rPr/>
        <w:t>。</w:t>
      </w:r>
    </w:p>
    <w:p>
      <w:pPr>
        <w:spacing w:before="67"/>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153"/>
        <w:jc w:val="left"/>
        <w:rPr>
          <w:b w:val="0"/>
          <w:bCs w:val="0"/>
        </w:rPr>
      </w:pPr>
      <w:r>
        <w:rPr>
          <w:rFonts w:ascii="Times New Roman" w:hAnsi="Times New Roman" w:cs="Times New Roman" w:eastAsia="Times New Roman" w:hint="default"/>
        </w:rPr>
        <w:t>7</w:t>
      </w:r>
      <w:r>
        <w:rPr/>
        <w:t>、应收利息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）应收利息分类</w:t>
      </w:r>
      <w:r>
        <w:rPr>
          <w:b w:val="0"/>
          <w:bCs w:val="0"/>
        </w:rPr>
      </w:r>
    </w:p>
    <w:p>
      <w:pPr>
        <w:spacing w:line="240" w:lineRule="auto" w:before="2"/>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11,931,218.36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1,418,350.68</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11,931,218.36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1,418,350.68</w:t>
            </w: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2</w:t>
      </w:r>
      <w:r>
        <w:rPr/>
        <w:t>）重要逾期利息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0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3" w:right="38" w:hanging="721"/>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50"/>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300" w:lineRule="auto" w:before="115"/>
        <w:ind w:left="152" w:right="174" w:firstLine="0"/>
        <w:jc w:val="left"/>
        <w:rPr>
          <w:rFonts w:ascii="宋体" w:hAnsi="宋体" w:cs="宋体" w:eastAsia="宋体" w:hint="default"/>
          <w:sz w:val="18"/>
          <w:szCs w:val="18"/>
        </w:rPr>
      </w:pPr>
      <w:r>
        <w:rPr>
          <w:rFonts w:ascii="宋体" w:hAnsi="宋体" w:cs="宋体" w:eastAsia="宋体" w:hint="default"/>
          <w:sz w:val="18"/>
          <w:szCs w:val="18"/>
        </w:rPr>
        <w:t>应收利息期末数比期初数增加</w:t>
      </w:r>
      <w:r>
        <w:rPr>
          <w:rFonts w:ascii="Times New Roman" w:hAnsi="Times New Roman" w:cs="Times New Roman" w:eastAsia="Times New Roman" w:hint="default"/>
          <w:sz w:val="18"/>
          <w:szCs w:val="18"/>
        </w:rPr>
        <w:t>10,512,867.68</w:t>
      </w:r>
      <w:r>
        <w:rPr>
          <w:rFonts w:ascii="宋体" w:hAnsi="宋体" w:cs="宋体" w:eastAsia="宋体" w:hint="default"/>
          <w:sz w:val="18"/>
          <w:szCs w:val="18"/>
        </w:rPr>
        <w:t>元，增加比例为</w:t>
      </w:r>
      <w:r>
        <w:rPr>
          <w:rFonts w:ascii="Times New Roman" w:hAnsi="Times New Roman" w:cs="Times New Roman" w:eastAsia="Times New Roman" w:hint="default"/>
          <w:sz w:val="18"/>
          <w:szCs w:val="18"/>
        </w:rPr>
        <w:t>741.20%</w:t>
      </w:r>
      <w:r>
        <w:rPr>
          <w:rFonts w:ascii="宋体" w:hAnsi="宋体" w:cs="宋体" w:eastAsia="宋体" w:hint="default"/>
          <w:sz w:val="18"/>
          <w:szCs w:val="18"/>
        </w:rPr>
        <w:t>，增加原因系本期公司计提的募集资金理财产品利息较 上年增加所致。</w:t>
      </w:r>
    </w:p>
    <w:p>
      <w:pPr>
        <w:spacing w:line="240" w:lineRule="auto" w:before="10"/>
        <w:rPr>
          <w:rFonts w:ascii="宋体" w:hAnsi="宋体" w:cs="宋体" w:eastAsia="宋体" w:hint="default"/>
          <w:sz w:val="23"/>
          <w:szCs w:val="23"/>
        </w:rPr>
      </w:pPr>
    </w:p>
    <w:p>
      <w:pPr>
        <w:pStyle w:val="Heading4"/>
        <w:spacing w:line="240" w:lineRule="auto"/>
        <w:ind w:right="153"/>
        <w:jc w:val="left"/>
        <w:rPr>
          <w:b w:val="0"/>
          <w:bCs w:val="0"/>
        </w:rPr>
      </w:pPr>
      <w:r>
        <w:rPr>
          <w:rFonts w:ascii="Times New Roman" w:hAnsi="Times New Roman" w:cs="Times New Roman" w:eastAsia="Times New Roman" w:hint="default"/>
        </w:rPr>
        <w:t>8</w:t>
      </w:r>
      <w:r>
        <w:rPr/>
        <w:t>、应收股利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）应收股利</w:t>
      </w:r>
      <w:r>
        <w:rPr>
          <w:b w:val="0"/>
          <w:bCs w:val="0"/>
        </w:rPr>
      </w:r>
    </w:p>
    <w:p>
      <w:pPr>
        <w:spacing w:line="240" w:lineRule="auto" w:before="2"/>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2</w:t>
      </w:r>
      <w:r>
        <w:rPr/>
        <w:t>）重要的账龄超过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0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73" w:right="39" w:hanging="721"/>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50"/>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153"/>
        <w:jc w:val="left"/>
        <w:rPr>
          <w:b w:val="0"/>
          <w:bCs w:val="0"/>
        </w:rPr>
      </w:pPr>
      <w:r>
        <w:rPr>
          <w:rFonts w:ascii="Times New Roman" w:hAnsi="Times New Roman" w:cs="Times New Roman" w:eastAsia="Times New Roman" w:hint="default"/>
        </w:rPr>
        <w:t>9</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24"/>
        <w:gridCol w:w="774"/>
        <w:gridCol w:w="761"/>
        <w:gridCol w:w="763"/>
        <w:gridCol w:w="763"/>
        <w:gridCol w:w="788"/>
        <w:gridCol w:w="655"/>
        <w:gridCol w:w="761"/>
        <w:gridCol w:w="814"/>
        <w:gridCol w:w="934"/>
        <w:gridCol w:w="931"/>
      </w:tblGrid>
      <w:tr>
        <w:trPr>
          <w:trHeight w:val="398" w:hRule="exact"/>
        </w:trPr>
        <w:tc>
          <w:tcPr>
            <w:tcW w:w="1624"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4"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4"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4"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4"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4"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8,144,27</w:t>
            </w:r>
          </w:p>
          <w:p>
            <w:pPr>
              <w:pStyle w:val="TableParagraph"/>
              <w:spacing w:line="240" w:lineRule="auto" w:before="102"/>
              <w:ind w:left="422" w:right="0"/>
              <w:jc w:val="left"/>
              <w:rPr>
                <w:rFonts w:ascii="Times New Roman" w:hAnsi="Times New Roman" w:cs="Times New Roman" w:eastAsia="Times New Roman" w:hint="default"/>
                <w:sz w:val="18"/>
                <w:szCs w:val="18"/>
              </w:rPr>
            </w:pPr>
            <w:r>
              <w:rPr>
                <w:rFonts w:ascii="Times New Roman"/>
                <w:sz w:val="18"/>
              </w:rPr>
              <w:t>5.14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1,340,39</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2.26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16.46%</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6,803,882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8,235,1</w:t>
            </w:r>
          </w:p>
          <w:p>
            <w:pPr>
              <w:pStyle w:val="TableParagraph"/>
              <w:spacing w:line="240" w:lineRule="auto" w:before="102"/>
              <w:ind w:left="197" w:right="0"/>
              <w:jc w:val="center"/>
              <w:rPr>
                <w:rFonts w:ascii="Times New Roman" w:hAnsi="Times New Roman" w:cs="Times New Roman" w:eastAsia="Times New Roman" w:hint="default"/>
                <w:sz w:val="18"/>
                <w:szCs w:val="18"/>
              </w:rPr>
            </w:pPr>
            <w:r>
              <w:rPr>
                <w:rFonts w:ascii="Times New Roman"/>
                <w:sz w:val="18"/>
              </w:rPr>
              <w:t>53.38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1,858,274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6" w:right="0"/>
              <w:jc w:val="left"/>
              <w:rPr>
                <w:rFonts w:ascii="Times New Roman" w:hAnsi="Times New Roman" w:cs="Times New Roman" w:eastAsia="Times New Roman" w:hint="default"/>
                <w:sz w:val="18"/>
                <w:szCs w:val="18"/>
              </w:rPr>
            </w:pPr>
            <w:r>
              <w:rPr>
                <w:rFonts w:ascii="Times New Roman"/>
                <w:sz w:val="18"/>
              </w:rPr>
              <w:t>22.57%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6,376,879.2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r>
      <w:tr>
        <w:trPr>
          <w:trHeight w:val="161" w:hRule="exact"/>
        </w:trPr>
        <w:tc>
          <w:tcPr>
            <w:tcW w:w="1624"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8,144,27</w:t>
            </w:r>
          </w:p>
          <w:p>
            <w:pPr>
              <w:pStyle w:val="TableParagraph"/>
              <w:spacing w:line="240" w:lineRule="auto" w:before="105"/>
              <w:ind w:left="422" w:right="0"/>
              <w:jc w:val="left"/>
              <w:rPr>
                <w:rFonts w:ascii="Times New Roman" w:hAnsi="Times New Roman" w:cs="Times New Roman" w:eastAsia="Times New Roman" w:hint="default"/>
                <w:sz w:val="18"/>
                <w:szCs w:val="18"/>
              </w:rPr>
            </w:pPr>
            <w:r>
              <w:rPr>
                <w:rFonts w:ascii="Times New Roman"/>
                <w:sz w:val="18"/>
              </w:rPr>
              <w:t>5.14</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1,340,39</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2.26</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16.46%</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6,803,882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.88</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8,235,1</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53.38</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1,858,274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.13</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6" w:right="0"/>
              <w:jc w:val="left"/>
              <w:rPr>
                <w:rFonts w:ascii="Times New Roman" w:hAnsi="Times New Roman" w:cs="Times New Roman" w:eastAsia="Times New Roman" w:hint="default"/>
                <w:sz w:val="18"/>
                <w:szCs w:val="18"/>
              </w:rPr>
            </w:pPr>
            <w:r>
              <w:rPr>
                <w:rFonts w:ascii="Times New Roman"/>
                <w:sz w:val="18"/>
              </w:rPr>
              <w:t>22.57%</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6,376,879.2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r>
      <w:tr>
        <w:trPr>
          <w:trHeight w:val="394" w:hRule="exact"/>
        </w:trPr>
        <w:tc>
          <w:tcPr>
            <w:tcW w:w="16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24"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40" w:lineRule="auto" w:before="115"/>
        <w:ind w:left="15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组合中，按账龄分析法计提坏账准备的其他应收款：</w:t>
      </w:r>
    </w:p>
    <w:p>
      <w:pPr>
        <w:spacing w:before="39"/>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473" w:space="4356"/>
            <w:col w:w="1121"/>
          </w:cols>
        </w:sectPr>
      </w:pP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9"/>
        <w:gridCol w:w="2393"/>
        <w:gridCol w:w="2393"/>
        <w:gridCol w:w="2393"/>
      </w:tblGrid>
      <w:tr>
        <w:trPr>
          <w:trHeight w:val="206" w:hRule="exact"/>
        </w:trPr>
        <w:tc>
          <w:tcPr>
            <w:tcW w:w="2379"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0" w:hRule="exact"/>
        </w:trPr>
        <w:tc>
          <w:tcPr>
            <w:tcW w:w="23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9"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379"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9"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6,609,225.87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329,138.79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4.98%</w:t>
            </w:r>
          </w:p>
        </w:tc>
      </w:tr>
      <w:tr>
        <w:trPr>
          <w:trHeight w:val="401"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453,113.42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90,622.68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322,610.12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161,305.06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759,325.73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759,325.73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8,144,275.14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1,340,392.26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16.46%</w:t>
            </w:r>
          </w:p>
        </w:tc>
      </w:tr>
    </w:tbl>
    <w:p>
      <w:pPr>
        <w:spacing w:line="357" w:lineRule="auto" w:before="49"/>
        <w:ind w:left="152" w:right="527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40" w:lineRule="auto" w:before="29"/>
        <w:ind w:left="152" w:right="56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组合中，采用其他方法计提坏账准备的其他应收款：</w:t>
      </w:r>
    </w:p>
    <w:p>
      <w:pPr>
        <w:spacing w:before="39"/>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footerReference w:type="default" r:id="rId14"/>
          <w:pgSz w:w="11910" w:h="16840"/>
          <w:pgMar w:footer="980" w:header="745" w:top="1060" w:bottom="1160" w:left="980" w:right="980"/>
        </w:sectPr>
      </w:pPr>
    </w:p>
    <w:p>
      <w:pPr>
        <w:spacing w:line="357" w:lineRule="auto"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本期计提坏账准备金额元；本期收回或转回坏账准备金额元。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5013" w:space="3816"/>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6"/>
      </w:tblGrid>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0"/>
        <w:rPr>
          <w:rFonts w:ascii="宋体" w:hAnsi="宋体" w:cs="宋体" w:eastAsia="宋体" w:hint="default"/>
          <w:sz w:val="18"/>
          <w:szCs w:val="18"/>
        </w:rPr>
      </w:pPr>
    </w:p>
    <w:p>
      <w:pPr>
        <w:pStyle w:val="Heading4"/>
        <w:spacing w:line="240" w:lineRule="auto" w:before="118"/>
        <w:ind w:right="153"/>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员工暂支款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6,932,857.66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5,906,752.96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1,723,631.35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891,271.48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559,186.07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320,146.00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45,583.00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8,144,275.14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8,235,153.38</w:t>
            </w: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6"/>
      </w:tblGrid>
      <w:tr>
        <w:trPr>
          <w:trHeight w:val="714"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line="240" w:lineRule="auto" w:before="4"/>
        <w:rPr>
          <w:rFonts w:ascii="宋体" w:hAnsi="宋体" w:cs="宋体" w:eastAsia="宋体" w:hint="default"/>
          <w:sz w:val="19"/>
          <w:szCs w:val="19"/>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6"/>
        <w:gridCol w:w="1913"/>
        <w:gridCol w:w="1906"/>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84" w:right="41"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after="0" w:line="316"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2"/>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153"/>
        <w:jc w:val="left"/>
        <w:rPr>
          <w:b w:val="0"/>
          <w:bCs w:val="0"/>
        </w:rPr>
      </w:pPr>
      <w:r>
        <w:rPr>
          <w:rFonts w:ascii="Times New Roman" w:hAnsi="Times New Roman" w:cs="Times New Roman" w:eastAsia="Times New Roman" w:hint="default"/>
        </w:rPr>
        <w:t>10</w:t>
      </w:r>
      <w:r>
        <w:rPr/>
        <w:t>、存货</w:t>
      </w:r>
      <w:r>
        <w:rPr>
          <w:b w:val="0"/>
          <w:bCs w:val="0"/>
        </w:rPr>
      </w:r>
    </w:p>
    <w:p>
      <w:pPr>
        <w:spacing w:line="240" w:lineRule="auto" w:before="4"/>
        <w:rPr>
          <w:rFonts w:ascii="宋体" w:hAnsi="宋体" w:cs="宋体" w:eastAsia="宋体" w:hint="default"/>
          <w:b/>
          <w:bCs/>
          <w:sz w:val="26"/>
          <w:szCs w:val="26"/>
        </w:rPr>
      </w:pPr>
    </w:p>
    <w:p>
      <w:pPr>
        <w:spacing w:line="357" w:lineRule="auto" w:before="0"/>
        <w:ind w:left="152" w:right="6534" w:firstLine="0"/>
        <w:jc w:val="left"/>
        <w:rPr>
          <w:rFonts w:ascii="宋体" w:hAnsi="宋体" w:cs="宋体" w:eastAsia="宋体" w:hint="default"/>
          <w:sz w:val="18"/>
          <w:szCs w:val="18"/>
        </w:rPr>
      </w:pPr>
      <w:r>
        <w:rPr>
          <w:rFonts w:ascii="宋体" w:hAnsi="宋体" w:cs="宋体" w:eastAsia="宋体" w:hint="default"/>
          <w:sz w:val="18"/>
          <w:szCs w:val="18"/>
        </w:rPr>
        <w:t>公司是否需要遵守房地产行业的披露要求 否</w:t>
      </w:r>
    </w:p>
    <w:p>
      <w:pPr>
        <w:spacing w:line="240" w:lineRule="auto" w:before="6"/>
        <w:rPr>
          <w:rFonts w:ascii="宋体" w:hAnsi="宋体" w:cs="宋体" w:eastAsia="宋体" w:hint="default"/>
          <w:sz w:val="20"/>
          <w:szCs w:val="20"/>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4"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453,138,782.91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453,138,782.91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378,331,999.54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378,331,999.54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6,760,529.57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627,502,151.33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2,177,936.96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2,177,936.96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产成品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627,502,151.33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6,760,529.57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463,497,582.67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463,497,582.67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1,531,337.11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1,531,337.11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3,560,384.86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3,560,384.86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1,088,932,800.92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1,088,932,800.92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847,567,904.03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847,567,904.03</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上市公司从事种业、种植业务》的披露要求</w:t>
      </w:r>
    </w:p>
    <w:p>
      <w:pPr>
        <w:spacing w:line="240" w:lineRule="auto" w:before="13"/>
        <w:rPr>
          <w:rFonts w:ascii="宋体" w:hAnsi="宋体" w:cs="宋体" w:eastAsia="宋体" w:hint="default"/>
          <w:sz w:val="25"/>
          <w:szCs w:val="25"/>
        </w:rPr>
      </w:pPr>
    </w:p>
    <w:p>
      <w:pPr>
        <w:pStyle w:val="Heading4"/>
        <w:spacing w:line="240" w:lineRule="auto"/>
        <w:ind w:right="153"/>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3"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50"/>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153"/>
        <w:jc w:val="left"/>
        <w:rPr>
          <w:b w:val="0"/>
          <w:bCs w:val="0"/>
        </w:rPr>
      </w:pPr>
      <w:r>
        <w:rPr>
          <w:rFonts w:ascii="Times New Roman" w:hAnsi="Times New Roman" w:cs="Times New Roman" w:eastAsia="Times New Roman" w:hint="default"/>
        </w:rPr>
        <w:t>11</w:t>
      </w:r>
      <w:r>
        <w:rPr/>
        <w:t>、持有待售的资产</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6"/>
        <w:gridCol w:w="1913"/>
        <w:gridCol w:w="1906"/>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after="0" w:line="240" w:lineRule="auto"/>
        <w:jc w:val="left"/>
        <w:rPr>
          <w:rFonts w:ascii="宋体" w:hAnsi="宋体" w:cs="宋体" w:eastAsia="宋体" w:hint="default"/>
          <w:sz w:val="18"/>
          <w:szCs w:val="18"/>
        </w:rPr>
        <w:sectPr>
          <w:footerReference w:type="default" r:id="rId15"/>
          <w:pgSz w:w="11910" w:h="16840"/>
          <w:pgMar w:footer="980" w:header="745" w:top="1060" w:bottom="1160" w:left="980" w:right="980"/>
          <w:pgNumType w:start="101"/>
        </w:sectPr>
      </w:pPr>
    </w:p>
    <w:p>
      <w:pPr>
        <w:spacing w:line="240" w:lineRule="auto" w:before="9"/>
        <w:rPr>
          <w:rFonts w:ascii="宋体" w:hAnsi="宋体" w:cs="宋体" w:eastAsia="宋体" w:hint="default"/>
          <w:sz w:val="25"/>
          <w:szCs w:val="25"/>
        </w:rPr>
      </w:pPr>
    </w:p>
    <w:p>
      <w:pPr>
        <w:spacing w:before="44"/>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153"/>
        <w:jc w:val="left"/>
        <w:rPr>
          <w:b w:val="0"/>
          <w:bCs w:val="0"/>
        </w:rPr>
      </w:pPr>
      <w:r>
        <w:rPr>
          <w:rFonts w:ascii="Times New Roman" w:hAnsi="Times New Roman" w:cs="Times New Roman" w:eastAsia="Times New Roman" w:hint="default"/>
        </w:rPr>
        <w:t>12</w:t>
      </w:r>
      <w:r>
        <w:rPr/>
        <w:t>、一年内到期的非流动资产</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153"/>
        <w:jc w:val="left"/>
        <w:rPr>
          <w:b w:val="0"/>
          <w:bCs w:val="0"/>
        </w:rPr>
      </w:pPr>
      <w:r>
        <w:rPr>
          <w:rFonts w:ascii="Times New Roman" w:hAnsi="Times New Roman" w:cs="Times New Roman" w:eastAsia="Times New Roman" w:hint="default"/>
        </w:rPr>
        <w:t>13</w:t>
      </w:r>
      <w:r>
        <w:rPr/>
        <w:t>、其他流动资产</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待抵扣增值税额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105,262,301.08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94,416,490.80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1,305,262,301.08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94,416,490.80</w:t>
            </w:r>
          </w:p>
        </w:tc>
      </w:tr>
    </w:tbl>
    <w:p>
      <w:pPr>
        <w:spacing w:line="357" w:lineRule="auto" w:before="49"/>
        <w:ind w:left="152" w:right="354" w:firstLine="0"/>
        <w:jc w:val="left"/>
        <w:rPr>
          <w:rFonts w:ascii="宋体" w:hAnsi="宋体" w:cs="宋体" w:eastAsia="宋体" w:hint="default"/>
          <w:sz w:val="18"/>
          <w:szCs w:val="18"/>
        </w:rPr>
      </w:pPr>
      <w:r>
        <w:rPr>
          <w:rFonts w:ascii="宋体" w:hAnsi="宋体" w:cs="宋体" w:eastAsia="宋体" w:hint="default"/>
          <w:sz w:val="18"/>
          <w:szCs w:val="18"/>
        </w:rPr>
        <w:t>其他说明： 其他流动资产期末数比期初数增加</w:t>
      </w:r>
      <w:r>
        <w:rPr>
          <w:rFonts w:ascii="Times New Roman" w:hAnsi="Times New Roman" w:cs="Times New Roman" w:eastAsia="Times New Roman" w:hint="default"/>
          <w:sz w:val="18"/>
          <w:szCs w:val="18"/>
        </w:rPr>
        <w:t>1,210,845,810.28</w:t>
      </w:r>
      <w:r>
        <w:rPr>
          <w:rFonts w:ascii="宋体" w:hAnsi="宋体" w:cs="宋体" w:eastAsia="宋体" w:hint="default"/>
          <w:sz w:val="18"/>
          <w:szCs w:val="18"/>
        </w:rPr>
        <w:t>元，增加比例为</w:t>
      </w:r>
      <w:r>
        <w:rPr>
          <w:rFonts w:ascii="Times New Roman" w:hAnsi="Times New Roman" w:cs="Times New Roman" w:eastAsia="Times New Roman" w:hint="default"/>
          <w:sz w:val="18"/>
          <w:szCs w:val="18"/>
        </w:rPr>
        <w:t>1,282.45%</w:t>
      </w:r>
      <w:r>
        <w:rPr>
          <w:rFonts w:ascii="宋体" w:hAnsi="宋体" w:cs="宋体" w:eastAsia="宋体" w:hint="default"/>
          <w:sz w:val="18"/>
          <w:szCs w:val="18"/>
        </w:rPr>
        <w:t>，增加原因系本期公司购买理财产品所致。</w:t>
      </w:r>
    </w:p>
    <w:p>
      <w:pPr>
        <w:spacing w:line="240" w:lineRule="auto" w:before="9"/>
        <w:rPr>
          <w:rFonts w:ascii="宋体" w:hAnsi="宋体" w:cs="宋体" w:eastAsia="宋体" w:hint="default"/>
          <w:sz w:val="18"/>
          <w:szCs w:val="18"/>
        </w:rPr>
      </w:pPr>
    </w:p>
    <w:p>
      <w:pPr>
        <w:pStyle w:val="Heading4"/>
        <w:spacing w:line="240" w:lineRule="auto"/>
        <w:ind w:right="153"/>
        <w:jc w:val="left"/>
        <w:rPr>
          <w:b w:val="0"/>
          <w:bCs w:val="0"/>
        </w:rPr>
      </w:pPr>
      <w:r>
        <w:rPr>
          <w:rFonts w:ascii="Times New Roman" w:hAnsi="Times New Roman" w:cs="Times New Roman" w:eastAsia="Times New Roman" w:hint="default"/>
        </w:rPr>
        <w:t>14</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2"/>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1"/>
        <w:gridCol w:w="1195"/>
        <w:gridCol w:w="1198"/>
        <w:gridCol w:w="1196"/>
        <w:gridCol w:w="1248"/>
        <w:gridCol w:w="1369"/>
        <w:gridCol w:w="1366"/>
      </w:tblGrid>
      <w:tr>
        <w:trPr>
          <w:trHeight w:val="207" w:hRule="exact"/>
        </w:trPr>
        <w:tc>
          <w:tcPr>
            <w:tcW w:w="2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2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8"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001"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2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403,194,200.00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403,194,200.00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5,194,200.00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5,194,200.00</w:t>
            </w:r>
          </w:p>
        </w:tc>
      </w:tr>
      <w:tr>
        <w:trPr>
          <w:trHeight w:val="403"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按公允价值计量的</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403,194,200.00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403,194,200.00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5,194,200.00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5,194,200.00</w:t>
            </w:r>
          </w:p>
        </w:tc>
      </w:tr>
      <w:tr>
        <w:trPr>
          <w:trHeight w:val="403"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403,194,200.00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403,194,200.00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5,194,200.00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5,194,200.00</w:t>
            </w: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2"/>
        <w:gridCol w:w="1925"/>
        <w:gridCol w:w="1916"/>
        <w:gridCol w:w="1913"/>
        <w:gridCol w:w="1916"/>
      </w:tblGrid>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4"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3" w:type="dxa"/>
            <w:tcBorders>
              <w:top w:val="single" w:sz="4" w:space="0" w:color="000000"/>
              <w:left w:val="single" w:sz="13" w:space="0" w:color="D2D2D2"/>
              <w:bottom w:val="single" w:sz="4" w:space="0" w:color="000000"/>
              <w:right w:val="single" w:sz="13" w:space="0" w:color="D2D2D2"/>
            </w:tcBorders>
            <w:shd w:val="clear" w:color="auto" w:fill="E0FFFF"/>
          </w:tcPr>
          <w:p>
            <w:pPr/>
          </w:p>
        </w:tc>
        <w:tc>
          <w:tcPr>
            <w:tcW w:w="1916" w:type="dxa"/>
            <w:tcBorders>
              <w:top w:val="single" w:sz="4" w:space="0" w:color="000000"/>
              <w:left w:val="single" w:sz="12" w:space="0" w:color="E0FFFF"/>
              <w:bottom w:val="single" w:sz="4" w:space="0" w:color="000000"/>
              <w:right w:val="single" w:sz="4" w:space="0" w:color="000000"/>
            </w:tcBorders>
            <w:shd w:val="clear" w:color="auto" w:fill="D2D2D2"/>
          </w:tcPr>
          <w:p>
            <w:pPr>
              <w:pStyle w:val="TableParagraph"/>
              <w:spacing w:line="240" w:lineRule="auto" w:before="49"/>
              <w:ind w:left="762"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716"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12" w:right="17"/>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Times New Roman" w:hAnsi="Times New Roman" w:cs="Times New Roman" w:eastAsia="Times New Roman" w:hint="default"/>
                <w:sz w:val="18"/>
                <w:szCs w:val="18"/>
              </w:rPr>
              <w:t>/</w:t>
            </w:r>
            <w:r>
              <w:rPr>
                <w:rFonts w:ascii="宋体" w:hAnsi="宋体" w:cs="宋体" w:eastAsia="宋体" w:hint="default"/>
                <w:sz w:val="18"/>
                <w:szCs w:val="18"/>
              </w:rPr>
              <w:t>债务工 具的摊余成本</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403,194,200.00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56" w:right="0"/>
              <w:jc w:val="left"/>
              <w:rPr>
                <w:rFonts w:ascii="Times New Roman" w:hAnsi="Times New Roman" w:cs="Times New Roman" w:eastAsia="Times New Roman" w:hint="default"/>
                <w:sz w:val="18"/>
                <w:szCs w:val="18"/>
              </w:rPr>
            </w:pPr>
            <w:r>
              <w:rPr>
                <w:rFonts w:ascii="Times New Roman"/>
                <w:sz w:val="18"/>
              </w:rPr>
              <w:t>403,194,200.00</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403,194,200.00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403,194,200.00</w:t>
            </w: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3"/>
        <w:gridCol w:w="869"/>
        <w:gridCol w:w="871"/>
        <w:gridCol w:w="869"/>
        <w:gridCol w:w="871"/>
        <w:gridCol w:w="869"/>
        <w:gridCol w:w="871"/>
        <w:gridCol w:w="869"/>
        <w:gridCol w:w="872"/>
        <w:gridCol w:w="869"/>
        <w:gridCol w:w="871"/>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49" w:right="7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7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vMerge/>
            <w:tcBorders>
              <w:left w:val="single" w:sz="4" w:space="0" w:color="000000"/>
              <w:bottom w:val="single" w:sz="4" w:space="0" w:color="000000"/>
              <w:right w:val="single" w:sz="4" w:space="0" w:color="000000"/>
            </w:tcBorders>
            <w:shd w:val="clear" w:color="auto" w:fill="D2D2D2"/>
          </w:tcPr>
          <w:p>
            <w:pPr/>
          </w:p>
        </w:tc>
        <w:tc>
          <w:tcPr>
            <w:tcW w:w="871"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4"/>
        <w:rPr>
          <w:rFonts w:ascii="宋体" w:hAnsi="宋体" w:cs="宋体" w:eastAsia="宋体" w:hint="default"/>
          <w:sz w:val="19"/>
          <w:szCs w:val="19"/>
        </w:rPr>
      </w:pPr>
    </w:p>
    <w:p>
      <w:pPr>
        <w:pStyle w:val="Heading4"/>
        <w:spacing w:line="240" w:lineRule="auto" w:before="36"/>
        <w:ind w:right="91"/>
        <w:jc w:val="left"/>
        <w:rPr>
          <w:b w:val="0"/>
          <w:bCs w:val="0"/>
        </w:rPr>
      </w:pP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10"/>
        <w:rPr>
          <w:rFonts w:ascii="宋体" w:hAnsi="宋体" w:cs="宋体" w:eastAsia="宋体" w:hint="default"/>
          <w:b/>
          <w:bCs/>
          <w:sz w:val="22"/>
          <w:szCs w:val="22"/>
        </w:rPr>
      </w:pPr>
    </w:p>
    <w:p>
      <w:pPr>
        <w:spacing w:before="44"/>
        <w:ind w:left="0" w:right="19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4"/>
        <w:gridCol w:w="1903"/>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13" w:space="0" w:color="D2D2D2"/>
            </w:tcBorders>
            <w:shd w:val="clear" w:color="auto" w:fill="E0FFFF"/>
          </w:tcPr>
          <w:p>
            <w:pPr/>
          </w:p>
        </w:tc>
        <w:tc>
          <w:tcPr>
            <w:tcW w:w="1903" w:type="dxa"/>
            <w:tcBorders>
              <w:top w:val="single" w:sz="4" w:space="0" w:color="000000"/>
              <w:left w:val="single" w:sz="12" w:space="0" w:color="E0FFFF"/>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pStyle w:val="Heading4"/>
        <w:spacing w:line="240" w:lineRule="auto" w:before="36"/>
        <w:ind w:right="91"/>
        <w:jc w:val="left"/>
        <w:rPr>
          <w:b w:val="0"/>
          <w:bCs w:val="0"/>
        </w:rPr>
      </w:pP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10"/>
        <w:rPr>
          <w:rFonts w:ascii="宋体" w:hAnsi="宋体" w:cs="宋体" w:eastAsia="宋体" w:hint="default"/>
          <w:b/>
          <w:bCs/>
          <w:sz w:val="22"/>
          <w:szCs w:val="22"/>
        </w:rPr>
      </w:pPr>
    </w:p>
    <w:p>
      <w:pPr>
        <w:spacing w:before="44"/>
        <w:ind w:left="0" w:right="19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9" w:right="46" w:hanging="361"/>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8" w:right="46"/>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spacing w:line="360" w:lineRule="auto" w:before="49"/>
        <w:ind w:left="152" w:right="91" w:firstLine="0"/>
        <w:jc w:val="left"/>
        <w:rPr>
          <w:rFonts w:ascii="宋体" w:hAnsi="宋体" w:cs="宋体" w:eastAsia="宋体" w:hint="default"/>
          <w:sz w:val="18"/>
          <w:szCs w:val="18"/>
        </w:rPr>
      </w:pPr>
      <w:r>
        <w:rPr>
          <w:rFonts w:ascii="宋体" w:hAnsi="宋体" w:cs="宋体" w:eastAsia="宋体" w:hint="default"/>
          <w:sz w:val="18"/>
          <w:szCs w:val="18"/>
        </w:rPr>
        <w:t>其他说明 </w:t>
      </w:r>
      <w:r>
        <w:rPr>
          <w:rFonts w:ascii="宋体" w:hAnsi="宋体" w:cs="宋体" w:eastAsia="宋体" w:hint="default"/>
          <w:spacing w:val="-2"/>
          <w:sz w:val="18"/>
          <w:szCs w:val="18"/>
        </w:rPr>
        <w:t>可供出售金融资产期末数比期初数增加</w:t>
      </w:r>
      <w:r>
        <w:rPr>
          <w:rFonts w:ascii="Times New Roman" w:hAnsi="Times New Roman" w:cs="Times New Roman" w:eastAsia="Times New Roman" w:hint="default"/>
          <w:spacing w:val="-2"/>
          <w:sz w:val="18"/>
          <w:szCs w:val="18"/>
        </w:rPr>
        <w:t>398,000,000.00</w:t>
      </w:r>
      <w:r>
        <w:rPr>
          <w:rFonts w:ascii="宋体" w:hAnsi="宋体" w:cs="宋体" w:eastAsia="宋体" w:hint="default"/>
          <w:spacing w:val="-2"/>
          <w:sz w:val="18"/>
          <w:szCs w:val="18"/>
        </w:rPr>
        <w:t>元，增加比例为</w:t>
      </w:r>
      <w:r>
        <w:rPr>
          <w:rFonts w:ascii="Times New Roman" w:hAnsi="Times New Roman" w:cs="Times New Roman" w:eastAsia="Times New Roman" w:hint="default"/>
          <w:spacing w:val="-2"/>
          <w:sz w:val="18"/>
          <w:szCs w:val="18"/>
        </w:rPr>
        <w:t>7,662.39%</w:t>
      </w:r>
      <w:r>
        <w:rPr>
          <w:rFonts w:ascii="宋体" w:hAnsi="宋体" w:cs="宋体" w:eastAsia="宋体" w:hint="default"/>
          <w:spacing w:val="-2"/>
          <w:sz w:val="18"/>
          <w:szCs w:val="18"/>
        </w:rPr>
        <w:t>，增加原因系本期新增苏宁银行投资款所致。</w:t>
      </w:r>
    </w:p>
    <w:p>
      <w:pPr>
        <w:spacing w:line="240" w:lineRule="auto" w:before="7"/>
        <w:rPr>
          <w:rFonts w:ascii="宋体" w:hAnsi="宋体" w:cs="宋体" w:eastAsia="宋体" w:hint="default"/>
          <w:sz w:val="18"/>
          <w:szCs w:val="18"/>
        </w:rPr>
      </w:pPr>
    </w:p>
    <w:p>
      <w:pPr>
        <w:pStyle w:val="Heading4"/>
        <w:spacing w:line="240" w:lineRule="auto"/>
        <w:ind w:right="91"/>
        <w:jc w:val="left"/>
        <w:rPr>
          <w:b w:val="0"/>
          <w:bCs w:val="0"/>
        </w:rPr>
      </w:pPr>
      <w:r>
        <w:rPr>
          <w:rFonts w:ascii="Times New Roman" w:hAnsi="Times New Roman" w:cs="Times New Roman" w:eastAsia="Times New Roman" w:hint="default"/>
        </w:rPr>
        <w:t>15</w:t>
      </w:r>
      <w:r>
        <w:rPr/>
        <w:t>、持有至到期投资</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1"/>
        <w:jc w:val="left"/>
        <w:rPr>
          <w:b w:val="0"/>
          <w:bCs w:val="0"/>
        </w:rPr>
      </w:pPr>
      <w:r>
        <w:rPr/>
        <w:t>（</w:t>
      </w:r>
      <w:r>
        <w:rPr>
          <w:rFonts w:ascii="Times New Roman" w:hAnsi="Times New Roman" w:cs="Times New Roman" w:eastAsia="Times New Roman" w:hint="default"/>
        </w:rPr>
        <w:t>1</w:t>
      </w:r>
      <w:r>
        <w:rPr/>
        <w:t>）持有至到期投资情况</w:t>
      </w:r>
      <w:r>
        <w:rPr>
          <w:b w:val="0"/>
          <w:bCs w:val="0"/>
        </w:rPr>
      </w:r>
    </w:p>
    <w:p>
      <w:pPr>
        <w:spacing w:line="240" w:lineRule="auto" w:before="4"/>
        <w:rPr>
          <w:rFonts w:ascii="宋体" w:hAnsi="宋体" w:cs="宋体" w:eastAsia="宋体" w:hint="default"/>
          <w:b/>
          <w:bCs/>
          <w:sz w:val="26"/>
          <w:szCs w:val="26"/>
        </w:rPr>
      </w:pPr>
    </w:p>
    <w:p>
      <w:pPr>
        <w:spacing w:before="0"/>
        <w:ind w:left="0" w:right="19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4"/>
        <w:rPr>
          <w:rFonts w:ascii="宋体" w:hAnsi="宋体" w:cs="宋体" w:eastAsia="宋体" w:hint="default"/>
          <w:sz w:val="19"/>
          <w:szCs w:val="19"/>
        </w:rPr>
      </w:pPr>
    </w:p>
    <w:p>
      <w:pPr>
        <w:pStyle w:val="Heading4"/>
        <w:spacing w:line="240" w:lineRule="auto" w:before="36"/>
        <w:ind w:right="91"/>
        <w:jc w:val="left"/>
        <w:rPr>
          <w:b w:val="0"/>
          <w:bCs w:val="0"/>
        </w:rPr>
      </w:pP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10"/>
        <w:rPr>
          <w:rFonts w:ascii="宋体" w:hAnsi="宋体" w:cs="宋体" w:eastAsia="宋体" w:hint="default"/>
          <w:b/>
          <w:bCs/>
          <w:sz w:val="22"/>
          <w:szCs w:val="22"/>
        </w:rPr>
      </w:pPr>
    </w:p>
    <w:p>
      <w:pPr>
        <w:spacing w:before="44"/>
        <w:ind w:left="0" w:right="19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4"/>
        <w:rPr>
          <w:rFonts w:ascii="宋体" w:hAnsi="宋体" w:cs="宋体" w:eastAsia="宋体" w:hint="default"/>
          <w:sz w:val="19"/>
          <w:szCs w:val="19"/>
        </w:rPr>
      </w:pPr>
    </w:p>
    <w:p>
      <w:pPr>
        <w:pStyle w:val="Heading4"/>
        <w:spacing w:line="240" w:lineRule="auto" w:before="36"/>
        <w:ind w:right="91"/>
        <w:jc w:val="left"/>
        <w:rPr>
          <w:b w:val="0"/>
          <w:bCs w:val="0"/>
        </w:rPr>
      </w:pP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2"/>
        <w:rPr>
          <w:rFonts w:ascii="宋体" w:hAnsi="宋体" w:cs="宋体" w:eastAsia="宋体" w:hint="default"/>
          <w:b/>
          <w:bCs/>
          <w:sz w:val="26"/>
          <w:szCs w:val="26"/>
        </w:rPr>
      </w:pPr>
    </w:p>
    <w:p>
      <w:pPr>
        <w:spacing w:before="0"/>
        <w:ind w:left="152" w:right="91"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91"/>
        <w:jc w:val="left"/>
        <w:rPr>
          <w:b w:val="0"/>
          <w:bCs w:val="0"/>
        </w:rPr>
      </w:pP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1"/>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10"/>
        <w:rPr>
          <w:rFonts w:ascii="宋体" w:hAnsi="宋体" w:cs="宋体" w:eastAsia="宋体" w:hint="default"/>
          <w:b/>
          <w:bCs/>
          <w:sz w:val="22"/>
          <w:szCs w:val="22"/>
        </w:rPr>
      </w:pPr>
    </w:p>
    <w:p>
      <w:pPr>
        <w:spacing w:before="44"/>
        <w:ind w:left="0" w:right="19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03"/>
        <w:gridCol w:w="1166"/>
        <w:gridCol w:w="1167"/>
        <w:gridCol w:w="1166"/>
        <w:gridCol w:w="1169"/>
        <w:gridCol w:w="1166"/>
        <w:gridCol w:w="1167"/>
        <w:gridCol w:w="1164"/>
      </w:tblGrid>
      <w:tr>
        <w:trPr>
          <w:trHeight w:val="401"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3"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4"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940"/>
        </w:sectPr>
      </w:pPr>
    </w:p>
    <w:p>
      <w:pPr>
        <w:spacing w:line="240" w:lineRule="auto" w:before="10"/>
        <w:rPr>
          <w:rFonts w:ascii="宋体" w:hAnsi="宋体" w:cs="宋体" w:eastAsia="宋体" w:hint="default"/>
          <w:sz w:val="24"/>
          <w:szCs w:val="24"/>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2"/>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153"/>
        <w:jc w:val="left"/>
        <w:rPr>
          <w:b w:val="0"/>
          <w:bCs w:val="0"/>
        </w:rPr>
      </w:pPr>
      <w:r>
        <w:rPr>
          <w:rFonts w:ascii="Times New Roman" w:hAnsi="Times New Roman" w:cs="Times New Roman" w:eastAsia="Times New Roman" w:hint="default"/>
        </w:rPr>
        <w:t>17</w:t>
      </w:r>
      <w:r>
        <w:rPr/>
        <w:t>、长期股权投资</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799"/>
        <w:gridCol w:w="797"/>
      </w:tblGrid>
      <w:tr>
        <w:trPr>
          <w:trHeight w:val="403"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01" w:right="32"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153"/>
        <w:jc w:val="left"/>
        <w:rPr>
          <w:b w:val="0"/>
          <w:bCs w:val="0"/>
        </w:rPr>
      </w:pPr>
      <w:r>
        <w:rPr>
          <w:rFonts w:ascii="Times New Roman" w:hAnsi="Times New Roman" w:cs="Times New Roman" w:eastAsia="Times New Roman" w:hint="default"/>
        </w:rPr>
        <w:t>18</w:t>
      </w:r>
      <w:r>
        <w:rPr/>
        <w:t>、投资性房地产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2"/>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153"/>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5"/>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153"/>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spacing w:before="50"/>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153"/>
        <w:jc w:val="left"/>
        <w:rPr>
          <w:b w:val="0"/>
          <w:bCs w:val="0"/>
        </w:rPr>
      </w:pPr>
      <w:r>
        <w:rPr>
          <w:rFonts w:ascii="Times New Roman" w:hAnsi="Times New Roman" w:cs="Times New Roman" w:eastAsia="Times New Roman" w:hint="default"/>
        </w:rPr>
        <w:t>19</w:t>
      </w:r>
      <w:r>
        <w:rPr/>
        <w:t>、固定资产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84"/>
        <w:gridCol w:w="1203"/>
        <w:gridCol w:w="1596"/>
        <w:gridCol w:w="1594"/>
        <w:gridCol w:w="1594"/>
        <w:gridCol w:w="1594"/>
      </w:tblGrid>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房屋建筑物</w:t>
            </w:r>
          </w:p>
        </w:tc>
        <w:tc>
          <w:tcPr>
            <w:tcW w:w="15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594" w:type="dxa"/>
            <w:tcBorders>
              <w:top w:val="single" w:sz="4" w:space="0" w:color="000000"/>
              <w:left w:val="single" w:sz="12" w:space="0" w:color="E0FFFF"/>
              <w:bottom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203"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center"/>
              <w:rPr>
                <w:rFonts w:ascii="Times New Roman" w:hAnsi="Times New Roman" w:cs="Times New Roman" w:eastAsia="Times New Roman" w:hint="default"/>
                <w:sz w:val="18"/>
                <w:szCs w:val="18"/>
              </w:rPr>
            </w:pPr>
            <w:r>
              <w:rPr>
                <w:rFonts w:ascii="Times New Roman"/>
                <w:sz w:val="18"/>
              </w:rPr>
              <w:t>605,786,922.48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2" w:right="0"/>
              <w:jc w:val="left"/>
              <w:rPr>
                <w:rFonts w:ascii="Times New Roman" w:hAnsi="Times New Roman" w:cs="Times New Roman" w:eastAsia="Times New Roman" w:hint="default"/>
                <w:sz w:val="18"/>
                <w:szCs w:val="18"/>
              </w:rPr>
            </w:pPr>
            <w:r>
              <w:rPr>
                <w:rFonts w:ascii="Times New Roman"/>
                <w:sz w:val="18"/>
              </w:rPr>
              <w:t>3,294,157,947.05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7,600,087.28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6,369,932.40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2" w:right="0"/>
              <w:jc w:val="left"/>
              <w:rPr>
                <w:rFonts w:ascii="Times New Roman" w:hAnsi="Times New Roman" w:cs="Times New Roman" w:eastAsia="Times New Roman" w:hint="default"/>
                <w:sz w:val="18"/>
                <w:szCs w:val="18"/>
              </w:rPr>
            </w:pPr>
            <w:r>
              <w:rPr>
                <w:rFonts w:ascii="Times New Roman"/>
                <w:sz w:val="18"/>
              </w:rPr>
              <w:t>3,913,914,889.21</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85"/>
        <w:gridCol w:w="1203"/>
        <w:gridCol w:w="1596"/>
        <w:gridCol w:w="1594"/>
        <w:gridCol w:w="1594"/>
        <w:gridCol w:w="1594"/>
      </w:tblGrid>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1,287,319.59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136,007,097.21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1,862,506.73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1,914,499.49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141,071,423.02</w:t>
            </w:r>
          </w:p>
        </w:tc>
      </w:tr>
      <w:tr>
        <w:trPr>
          <w:trHeight w:val="404"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590,448.86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2,789,435.15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1,862,506.73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1,914,499.49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7,156,890.23</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696,870.73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133,217,662.06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133,914,532.79</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203"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43,963.09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1,131,250.00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178,947.90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1,354,160.99</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203"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607,074,242.07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3,430,121,081.17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8,331,344.01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8,105,483.99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4,053,632,151.24</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203"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118,699,762.63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1,075,619,590.38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6,354,819.28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4,659,243.78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1,205,333,416.07</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28,707,157.95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309,832,493.17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571,004.54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709,147.84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339,819,803.50</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28,707,157.95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309,832,493.17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571,004.54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709,147.84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339,819,803.50</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26,722.88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1,074,687.50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148,503.67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1,249,914.05</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26,722.88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1,074,687.50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148,503.67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1,249,914.05</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147,406,920.58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1,385,425,360.67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5,851,136.32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5,219,887.95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1,543,903,305.52</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203"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3"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03"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03"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03"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203"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03"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203"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459,667,321.49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2,044,695,720.50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2,480,207.69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2,885,596.04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2,509,728,845.72</w:t>
            </w:r>
          </w:p>
        </w:tc>
      </w:tr>
      <w:tr>
        <w:trPr>
          <w:trHeight w:val="404"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487,087,159.85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2,218,538,356.67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1,245,268.00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1,710,688.62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2,708,581,473.14</w:t>
            </w: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50"/>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153"/>
        <w:jc w:val="left"/>
        <w:rPr>
          <w:b w:val="0"/>
          <w:bCs w:val="0"/>
        </w:rPr>
      </w:pPr>
      <w:r>
        <w:rPr>
          <w:rFonts w:ascii="Times New Roman" w:hAnsi="Times New Roman" w:cs="Times New Roman" w:eastAsia="Times New Roman" w:hint="default"/>
        </w:rPr>
        <w:t>20</w:t>
      </w:r>
      <w:r>
        <w:rPr/>
        <w:t>、在建工程</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2"/>
        <w:rPr>
          <w:rFonts w:ascii="宋体" w:hAnsi="宋体" w:cs="宋体" w:eastAsia="宋体"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02"/>
        <w:gridCol w:w="1275"/>
        <w:gridCol w:w="1128"/>
        <w:gridCol w:w="1366"/>
        <w:gridCol w:w="1368"/>
        <w:gridCol w:w="1366"/>
        <w:gridCol w:w="1368"/>
      </w:tblGrid>
      <w:tr>
        <w:trPr>
          <w:trHeight w:val="403" w:hRule="exact"/>
        </w:trPr>
        <w:tc>
          <w:tcPr>
            <w:tcW w:w="17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702" w:type="dxa"/>
            <w:vMerge/>
            <w:tcBorders>
              <w:left w:val="single" w:sz="4" w:space="0" w:color="000000"/>
              <w:bottom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区厂房</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281,764.05</w:t>
            </w:r>
          </w:p>
        </w:tc>
        <w:tc>
          <w:tcPr>
            <w:tcW w:w="112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281,764.05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281,764.05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281,764.05</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职工服务中心</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972,788.12</w:t>
            </w:r>
          </w:p>
        </w:tc>
        <w:tc>
          <w:tcPr>
            <w:tcW w:w="112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972,788.12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381,992.00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381,992.00</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区厂房光学膜二期</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28,706,048.06</w:t>
            </w:r>
          </w:p>
        </w:tc>
        <w:tc>
          <w:tcPr>
            <w:tcW w:w="112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28,706,048.06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14,428,929.75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14,428,929.75</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燃气工程</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327,576.62</w:t>
            </w:r>
          </w:p>
        </w:tc>
        <w:tc>
          <w:tcPr>
            <w:tcW w:w="112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327,576.62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327,576.62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327,576.62</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聚酯薄膜线技术改良</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126,874,522.59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126,874,522.59</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光学膜二期</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436,376,054.75</w:t>
            </w:r>
          </w:p>
        </w:tc>
        <w:tc>
          <w:tcPr>
            <w:tcW w:w="112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436,376,054.75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155,583,295.88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155,583,295.88</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背材二期</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3,641,909.14</w:t>
            </w:r>
          </w:p>
        </w:tc>
        <w:tc>
          <w:tcPr>
            <w:tcW w:w="112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3,641,909.14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3,161,069.16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3,161,069.16</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光学薄膜生产线</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47,138,534.75</w:t>
            </w:r>
          </w:p>
        </w:tc>
        <w:tc>
          <w:tcPr>
            <w:tcW w:w="112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47,138,534.75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42,861,098.15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42,861,098.15</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双星大厦</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391,995,396.40</w:t>
            </w:r>
          </w:p>
        </w:tc>
        <w:tc>
          <w:tcPr>
            <w:tcW w:w="112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391,995,396.40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科为研发楼</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2,005,496.01</w:t>
            </w:r>
          </w:p>
        </w:tc>
        <w:tc>
          <w:tcPr>
            <w:tcW w:w="112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2,005,496.01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911,445,567.90</w:t>
            </w:r>
          </w:p>
        </w:tc>
        <w:tc>
          <w:tcPr>
            <w:tcW w:w="112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911,445,567.90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343,900,248.20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343,900,248.20</w:t>
            </w: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9"/>
          <w:szCs w:val="29"/>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1337"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1"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93"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61"/>
              <w:jc w:val="left"/>
              <w:rPr>
                <w:rFonts w:ascii="宋体" w:hAnsi="宋体" w:cs="宋体" w:eastAsia="宋体" w:hint="default"/>
                <w:sz w:val="18"/>
                <w:szCs w:val="18"/>
              </w:rPr>
            </w:pP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区厂 房</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281,764.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281,764.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职工服 务中心</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381,992.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590,796.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972,788.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7"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156"/>
              <w:jc w:val="both"/>
              <w:rPr>
                <w:rFonts w:ascii="宋体" w:hAnsi="宋体" w:cs="宋体" w:eastAsia="宋体" w:hint="default"/>
                <w:sz w:val="18"/>
                <w:szCs w:val="18"/>
              </w:rPr>
            </w:pP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区厂 房光学 膜二期</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14,428,9</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29.75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14,277,1</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18.31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28,706,0</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48.06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燃气工 程</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327,576.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327,576.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7"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6"/>
              <w:jc w:val="both"/>
              <w:rPr>
                <w:rFonts w:ascii="宋体" w:hAnsi="宋体" w:cs="宋体" w:eastAsia="宋体" w:hint="default"/>
                <w:sz w:val="18"/>
                <w:szCs w:val="18"/>
              </w:rPr>
            </w:pPr>
            <w:r>
              <w:rPr>
                <w:rFonts w:ascii="宋体" w:hAnsi="宋体" w:cs="宋体" w:eastAsia="宋体" w:hint="default"/>
                <w:sz w:val="18"/>
                <w:szCs w:val="18"/>
              </w:rPr>
              <w:t>聚酯薄 膜线技 术改良</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126,874,</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522.59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6,343,13</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9.47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133,217,</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662.06</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光学膜 二期</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155,583,</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295.88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280,792,</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758.87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436,376,</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054.75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6"/>
              <w:jc w:val="left"/>
              <w:rPr>
                <w:rFonts w:ascii="宋体" w:hAnsi="宋体" w:cs="宋体" w:eastAsia="宋体" w:hint="default"/>
                <w:sz w:val="18"/>
                <w:szCs w:val="18"/>
              </w:rPr>
            </w:pPr>
            <w:r>
              <w:rPr>
                <w:rFonts w:ascii="宋体" w:hAnsi="宋体" w:cs="宋体" w:eastAsia="宋体" w:hint="default"/>
                <w:sz w:val="18"/>
                <w:szCs w:val="18"/>
              </w:rPr>
              <w:t>背材二 期</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3,161,06</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9.16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480,839.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3,641,90</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9.14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102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光学薄 膜生产 线</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42,861,0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98.15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4,277,43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6.60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47,138,5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34.75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6"/>
              <w:jc w:val="left"/>
              <w:rPr>
                <w:rFonts w:ascii="宋体" w:hAnsi="宋体" w:cs="宋体" w:eastAsia="宋体" w:hint="default"/>
                <w:sz w:val="18"/>
                <w:szCs w:val="18"/>
              </w:rPr>
            </w:pPr>
            <w:r>
              <w:rPr>
                <w:rFonts w:ascii="宋体" w:hAnsi="宋体" w:cs="宋体" w:eastAsia="宋体" w:hint="default"/>
                <w:sz w:val="18"/>
                <w:szCs w:val="18"/>
              </w:rPr>
              <w:t>双星大 厦</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 w:right="0"/>
              <w:jc w:val="center"/>
              <w:rPr>
                <w:rFonts w:ascii="Times New Roman" w:hAnsi="Times New Roman" w:cs="Times New Roman" w:eastAsia="Times New Roman" w:hint="default"/>
                <w:sz w:val="18"/>
                <w:szCs w:val="18"/>
              </w:rPr>
            </w:pPr>
            <w:r>
              <w:rPr>
                <w:rFonts w:ascii="Times New Roman"/>
                <w:sz w:val="18"/>
              </w:rPr>
              <w:t>391,995,</w:t>
            </w:r>
          </w:p>
          <w:p>
            <w:pPr>
              <w:pStyle w:val="TableParagraph"/>
              <w:spacing w:line="240" w:lineRule="auto" w:before="102"/>
              <w:ind w:left="184" w:right="0"/>
              <w:jc w:val="center"/>
              <w:rPr>
                <w:rFonts w:ascii="Times New Roman" w:hAnsi="Times New Roman" w:cs="Times New Roman" w:eastAsia="Times New Roman" w:hint="default"/>
                <w:sz w:val="18"/>
                <w:szCs w:val="18"/>
              </w:rPr>
            </w:pPr>
            <w:r>
              <w:rPr>
                <w:rFonts w:ascii="Times New Roman"/>
                <w:sz w:val="18"/>
              </w:rPr>
              <w:t>396.40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 w:right="0"/>
              <w:jc w:val="center"/>
              <w:rPr>
                <w:rFonts w:ascii="Times New Roman" w:hAnsi="Times New Roman" w:cs="Times New Roman" w:eastAsia="Times New Roman" w:hint="default"/>
                <w:sz w:val="18"/>
                <w:szCs w:val="18"/>
              </w:rPr>
            </w:pPr>
            <w:r>
              <w:rPr>
                <w:rFonts w:ascii="Times New Roman"/>
                <w:sz w:val="18"/>
              </w:rPr>
              <w:t>391,995,</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396.40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科为研 发楼</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2,702,36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6.74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696,870.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73</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2,005,49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6.01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1" w:right="0"/>
              <w:jc w:val="center"/>
              <w:rPr>
                <w:rFonts w:ascii="Times New Roman" w:hAnsi="Times New Roman" w:cs="Times New Roman" w:eastAsia="Times New Roman" w:hint="default"/>
                <w:sz w:val="18"/>
                <w:szCs w:val="18"/>
              </w:rPr>
            </w:pPr>
            <w:r>
              <w:rPr>
                <w:rFonts w:ascii="Times New Roman"/>
                <w:sz w:val="18"/>
              </w:rPr>
              <w:t>343,900,</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248.20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 w:right="0"/>
              <w:jc w:val="center"/>
              <w:rPr>
                <w:rFonts w:ascii="Times New Roman" w:hAnsi="Times New Roman" w:cs="Times New Roman" w:eastAsia="Times New Roman" w:hint="default"/>
                <w:sz w:val="18"/>
                <w:szCs w:val="18"/>
              </w:rPr>
            </w:pPr>
            <w:r>
              <w:rPr>
                <w:rFonts w:ascii="Times New Roman"/>
                <w:sz w:val="18"/>
              </w:rPr>
              <w:t>701,459,</w:t>
            </w:r>
          </w:p>
          <w:p>
            <w:pPr>
              <w:pStyle w:val="TableParagraph"/>
              <w:spacing w:line="240" w:lineRule="auto" w:before="102"/>
              <w:ind w:left="184" w:right="0"/>
              <w:jc w:val="center"/>
              <w:rPr>
                <w:rFonts w:ascii="Times New Roman" w:hAnsi="Times New Roman" w:cs="Times New Roman" w:eastAsia="Times New Roman" w:hint="default"/>
                <w:sz w:val="18"/>
                <w:szCs w:val="18"/>
              </w:rPr>
            </w:pPr>
            <w:r>
              <w:rPr>
                <w:rFonts w:ascii="Times New Roman"/>
                <w:sz w:val="18"/>
              </w:rPr>
              <w:t>852.49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 w:right="0"/>
              <w:jc w:val="center"/>
              <w:rPr>
                <w:rFonts w:ascii="Times New Roman" w:hAnsi="Times New Roman" w:cs="Times New Roman" w:eastAsia="Times New Roman" w:hint="default"/>
                <w:sz w:val="18"/>
                <w:szCs w:val="18"/>
              </w:rPr>
            </w:pPr>
            <w:r>
              <w:rPr>
                <w:rFonts w:ascii="Times New Roman"/>
                <w:sz w:val="18"/>
              </w:rPr>
              <w:t>133,914,</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532.79</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6" w:right="0"/>
              <w:jc w:val="center"/>
              <w:rPr>
                <w:rFonts w:ascii="Times New Roman" w:hAnsi="Times New Roman" w:cs="Times New Roman" w:eastAsia="Times New Roman" w:hint="default"/>
                <w:sz w:val="18"/>
                <w:szCs w:val="18"/>
              </w:rPr>
            </w:pPr>
            <w:r>
              <w:rPr>
                <w:rFonts w:ascii="Times New Roman"/>
                <w:sz w:val="18"/>
              </w:rPr>
              <w:t>911,445,</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567.90</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300" w:lineRule="auto" w:before="115"/>
        <w:ind w:left="152" w:right="142" w:firstLine="0"/>
        <w:jc w:val="left"/>
        <w:rPr>
          <w:rFonts w:ascii="宋体" w:hAnsi="宋体" w:cs="宋体" w:eastAsia="宋体" w:hint="default"/>
          <w:sz w:val="18"/>
          <w:szCs w:val="18"/>
        </w:rPr>
      </w:pPr>
      <w:r>
        <w:rPr>
          <w:rFonts w:ascii="宋体" w:hAnsi="宋体" w:cs="宋体" w:eastAsia="宋体" w:hint="default"/>
          <w:spacing w:val="-1"/>
          <w:sz w:val="18"/>
          <w:szCs w:val="18"/>
        </w:rPr>
        <w:t>在建工程期末数比期初数增加</w:t>
      </w:r>
      <w:r>
        <w:rPr>
          <w:rFonts w:ascii="Times New Roman" w:hAnsi="Times New Roman" w:cs="Times New Roman" w:eastAsia="Times New Roman" w:hint="default"/>
          <w:spacing w:val="-1"/>
          <w:sz w:val="18"/>
          <w:szCs w:val="18"/>
        </w:rPr>
        <w:t>567,545,319.70</w:t>
      </w:r>
      <w:r>
        <w:rPr>
          <w:rFonts w:ascii="宋体" w:hAnsi="宋体" w:cs="宋体" w:eastAsia="宋体" w:hint="default"/>
          <w:spacing w:val="-1"/>
          <w:sz w:val="18"/>
          <w:szCs w:val="18"/>
        </w:rPr>
        <w:t>元，增加比例为</w:t>
      </w:r>
      <w:r>
        <w:rPr>
          <w:rFonts w:ascii="Times New Roman" w:hAnsi="Times New Roman" w:cs="Times New Roman" w:eastAsia="Times New Roman" w:hint="default"/>
          <w:spacing w:val="-1"/>
          <w:sz w:val="18"/>
          <w:szCs w:val="18"/>
        </w:rPr>
        <w:t>165.03%</w:t>
      </w:r>
      <w:r>
        <w:rPr>
          <w:rFonts w:ascii="宋体" w:hAnsi="宋体" w:cs="宋体" w:eastAsia="宋体" w:hint="default"/>
          <w:spacing w:val="-1"/>
          <w:sz w:val="18"/>
          <w:szCs w:val="18"/>
        </w:rPr>
        <w:t>，增加原因主要系公司正处于二亿平米光学膜项目投资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建设期及新增双星大厦项目所致。</w:t>
      </w:r>
    </w:p>
    <w:p>
      <w:pPr>
        <w:spacing w:after="0" w:line="30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153"/>
        <w:jc w:val="left"/>
        <w:rPr>
          <w:b w:val="0"/>
          <w:bCs w:val="0"/>
        </w:rPr>
      </w:pPr>
      <w:r>
        <w:rPr>
          <w:rFonts w:ascii="Times New Roman" w:hAnsi="Times New Roman" w:cs="Times New Roman" w:eastAsia="Times New Roman" w:hint="default"/>
        </w:rPr>
        <w:t>21</w:t>
      </w:r>
      <w:r>
        <w:rPr/>
        <w:t>、工程物资</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153"/>
        <w:jc w:val="left"/>
        <w:rPr>
          <w:b w:val="0"/>
          <w:bCs w:val="0"/>
        </w:rPr>
      </w:pPr>
      <w:r>
        <w:rPr>
          <w:rFonts w:ascii="Times New Roman" w:hAnsi="Times New Roman" w:cs="Times New Roman" w:eastAsia="Times New Roman" w:hint="default"/>
        </w:rPr>
        <w:t>22</w:t>
      </w:r>
      <w:r>
        <w:rPr/>
        <w:t>、固定资产清理</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1"/>
        <w:ind w:right="153"/>
        <w:jc w:val="left"/>
        <w:rPr>
          <w:b w:val="0"/>
          <w:bCs w:val="0"/>
        </w:rPr>
      </w:pPr>
      <w:r>
        <w:rPr>
          <w:rFonts w:ascii="Times New Roman" w:hAnsi="Times New Roman" w:cs="Times New Roman" w:eastAsia="Times New Roman" w:hint="default"/>
        </w:rPr>
        <w:t>23</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2"/>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153"/>
        <w:jc w:val="left"/>
        <w:rPr>
          <w:b w:val="0"/>
          <w:bCs w:val="0"/>
        </w:rPr>
      </w:pP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4"/>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153"/>
        <w:jc w:val="left"/>
        <w:rPr>
          <w:b w:val="0"/>
          <w:bCs w:val="0"/>
        </w:rPr>
      </w:pPr>
      <w:r>
        <w:rPr>
          <w:rFonts w:ascii="Times New Roman" w:hAnsi="Times New Roman" w:cs="Times New Roman" w:eastAsia="Times New Roman" w:hint="default"/>
        </w:rPr>
        <w:t>24</w:t>
      </w:r>
      <w:r>
        <w:rPr/>
        <w:t>、油气资产</w:t>
      </w:r>
      <w:r>
        <w:rPr>
          <w:b w:val="0"/>
          <w:bCs w:val="0"/>
        </w:rPr>
      </w:r>
    </w:p>
    <w:p>
      <w:pPr>
        <w:spacing w:line="240" w:lineRule="auto" w:before="4"/>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153"/>
        <w:jc w:val="left"/>
        <w:rPr>
          <w:b w:val="0"/>
          <w:bCs w:val="0"/>
        </w:rPr>
      </w:pPr>
      <w:r>
        <w:rPr>
          <w:rFonts w:ascii="Times New Roman" w:hAnsi="Times New Roman" w:cs="Times New Roman" w:eastAsia="Times New Roman" w:hint="default"/>
        </w:rPr>
        <w:t>25</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79"/>
        <w:gridCol w:w="1497"/>
        <w:gridCol w:w="1596"/>
        <w:gridCol w:w="1594"/>
        <w:gridCol w:w="1594"/>
        <w:gridCol w:w="1594"/>
      </w:tblGrid>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8"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4" w:type="dxa"/>
            <w:tcBorders>
              <w:top w:val="single" w:sz="4" w:space="0" w:color="000000"/>
              <w:left w:val="single" w:sz="10" w:space="0" w:color="D2D2D2"/>
              <w:bottom w:val="single" w:sz="4" w:space="0" w:color="000000"/>
              <w:right w:val="single" w:sz="4" w:space="0" w:color="000000"/>
            </w:tcBorders>
            <w:shd w:val="clear" w:color="auto" w:fill="E0FFFF"/>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软件</w:t>
            </w:r>
          </w:p>
        </w:tc>
        <w:tc>
          <w:tcPr>
            <w:tcW w:w="1594" w:type="dxa"/>
            <w:tcBorders>
              <w:top w:val="single" w:sz="4" w:space="0" w:color="000000"/>
              <w:left w:val="single" w:sz="12" w:space="0" w:color="E0FFFF"/>
              <w:bottom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497" w:type="dxa"/>
            <w:tcBorders>
              <w:top w:val="single" w:sz="4" w:space="0" w:color="000000"/>
              <w:left w:val="single" w:sz="12"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343" w:right="0"/>
              <w:jc w:val="left"/>
              <w:rPr>
                <w:rFonts w:ascii="Times New Roman" w:hAnsi="Times New Roman" w:cs="Times New Roman" w:eastAsia="Times New Roman" w:hint="default"/>
                <w:sz w:val="18"/>
                <w:szCs w:val="18"/>
              </w:rPr>
            </w:pPr>
            <w:r>
              <w:rPr>
                <w:rFonts w:ascii="Times New Roman"/>
                <w:sz w:val="18"/>
              </w:rPr>
              <w:t>111,856,999.42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8,000,000.00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1" w:right="0"/>
              <w:jc w:val="left"/>
              <w:rPr>
                <w:rFonts w:ascii="Times New Roman" w:hAnsi="Times New Roman" w:cs="Times New Roman" w:eastAsia="Times New Roman" w:hint="default"/>
                <w:sz w:val="18"/>
                <w:szCs w:val="18"/>
              </w:rPr>
            </w:pPr>
            <w:r>
              <w:rPr>
                <w:rFonts w:ascii="Times New Roman"/>
                <w:sz w:val="18"/>
              </w:rPr>
              <w:t>187,876.15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120,044,875.57</w:t>
            </w: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8"/>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97" w:type="dxa"/>
            <w:tcBorders>
              <w:top w:val="single" w:sz="4" w:space="0" w:color="000000"/>
              <w:left w:val="single" w:sz="12"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497" w:type="dxa"/>
            <w:tcBorders>
              <w:top w:val="single" w:sz="4" w:space="0" w:color="000000"/>
              <w:left w:val="single" w:sz="12"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）内部研发</w:t>
            </w:r>
          </w:p>
        </w:tc>
        <w:tc>
          <w:tcPr>
            <w:tcW w:w="1497" w:type="dxa"/>
            <w:tcBorders>
              <w:top w:val="single" w:sz="4" w:space="0" w:color="000000"/>
              <w:left w:val="single" w:sz="12"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8"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）企业合并</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497" w:type="dxa"/>
            <w:tcBorders>
              <w:top w:val="single" w:sz="4" w:space="0" w:color="000000"/>
              <w:left w:val="single" w:sz="12"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497"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97"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702"/>
        <w:gridCol w:w="1486"/>
        <w:gridCol w:w="1596"/>
        <w:gridCol w:w="1594"/>
        <w:gridCol w:w="1594"/>
        <w:gridCol w:w="1594"/>
      </w:tblGrid>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70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111,856,999.42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187,876.15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120,044,875.57</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14,323,938.11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7,154,166.66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23,298.97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21,501,403.74</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9"/>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2,268,965.49</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18,646.35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2,287,611.84</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2,268,965.49</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18,646.35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2,287,611.84</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9"/>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16,592,903.60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7,154,166.66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41,945.32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23,789,015.58</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845,833.34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845,833.34</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9"/>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9"/>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70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845,833.34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845,833.34</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9"/>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95,264,095.82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145,930.83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95,410,026.65</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9"/>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97,533,061.31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164,577.18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97,697,638.49</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p>
    <w:p>
      <w:pPr>
        <w:spacing w:line="240" w:lineRule="auto" w:before="0"/>
        <w:rPr>
          <w:rFonts w:ascii="宋体" w:hAnsi="宋体" w:cs="宋体" w:eastAsia="宋体" w:hint="default"/>
          <w:sz w:val="18"/>
          <w:szCs w:val="18"/>
        </w:rPr>
      </w:pPr>
    </w:p>
    <w:p>
      <w:pPr>
        <w:pStyle w:val="Heading4"/>
        <w:spacing w:line="240" w:lineRule="auto" w:before="118"/>
        <w:ind w:right="153"/>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153"/>
        <w:jc w:val="left"/>
        <w:rPr>
          <w:b w:val="0"/>
          <w:bCs w:val="0"/>
        </w:rPr>
      </w:pPr>
      <w:r>
        <w:rPr>
          <w:rFonts w:ascii="Times New Roman" w:hAnsi="Times New Roman" w:cs="Times New Roman" w:eastAsia="Times New Roman" w:hint="default"/>
        </w:rPr>
        <w:t>26</w:t>
      </w:r>
      <w:r>
        <w:rPr/>
        <w:t>、开发支出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3191"/>
        <w:gridCol w:w="3189"/>
        <w:gridCol w:w="1062"/>
      </w:tblGrid>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6"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spacing w:before="44"/>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153"/>
        <w:jc w:val="left"/>
        <w:rPr>
          <w:b w:val="0"/>
          <w:bCs w:val="0"/>
        </w:rPr>
      </w:pPr>
      <w:r>
        <w:rPr>
          <w:rFonts w:ascii="Times New Roman" w:hAnsi="Times New Roman" w:cs="Times New Roman" w:eastAsia="Times New Roman" w:hint="default"/>
        </w:rPr>
        <w:t>27</w:t>
      </w:r>
      <w:r>
        <w:rPr/>
        <w:t>、商誉</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60"/>
        <w:gridCol w:w="1174"/>
        <w:gridCol w:w="1368"/>
        <w:gridCol w:w="1366"/>
        <w:gridCol w:w="1368"/>
        <w:gridCol w:w="1369"/>
        <w:gridCol w:w="1366"/>
      </w:tblGrid>
      <w:tr>
        <w:trPr>
          <w:trHeight w:val="71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6" w:right="53" w:hanging="92"/>
              <w:jc w:val="left"/>
              <w:rPr>
                <w:rFonts w:ascii="宋体" w:hAnsi="宋体" w:cs="宋体" w:eastAsia="宋体" w:hint="default"/>
                <w:sz w:val="18"/>
                <w:szCs w:val="18"/>
              </w:rPr>
            </w:pPr>
            <w:r>
              <w:rPr>
                <w:rFonts w:ascii="宋体" w:hAnsi="宋体" w:cs="宋体" w:eastAsia="宋体" w:hint="default"/>
                <w:sz w:val="18"/>
                <w:szCs w:val="18"/>
              </w:rPr>
              <w:t>被投资单位名称或 形成商誉的事项</w:t>
            </w:r>
          </w:p>
        </w:tc>
        <w:tc>
          <w:tcPr>
            <w:tcW w:w="1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江西科为薄膜新型 材料有限公司</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center"/>
              <w:rPr>
                <w:rFonts w:ascii="Times New Roman" w:hAnsi="Times New Roman" w:cs="Times New Roman" w:eastAsia="Times New Roman" w:hint="default"/>
                <w:sz w:val="18"/>
                <w:szCs w:val="18"/>
              </w:rPr>
            </w:pPr>
            <w:r>
              <w:rPr>
                <w:rFonts w:ascii="Times New Roman"/>
                <w:sz w:val="18"/>
              </w:rPr>
              <w:t>84,899,044.39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84,899,044.39</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center"/>
              <w:rPr>
                <w:rFonts w:ascii="Times New Roman" w:hAnsi="Times New Roman" w:cs="Times New Roman" w:eastAsia="Times New Roman" w:hint="default"/>
                <w:sz w:val="18"/>
                <w:szCs w:val="18"/>
              </w:rPr>
            </w:pPr>
            <w:r>
              <w:rPr>
                <w:rFonts w:ascii="Times New Roman"/>
                <w:sz w:val="18"/>
              </w:rPr>
              <w:t>84,899,044.39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84,899,044.39</w:t>
            </w: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60"/>
        <w:gridCol w:w="1174"/>
        <w:gridCol w:w="1368"/>
        <w:gridCol w:w="1366"/>
        <w:gridCol w:w="1368"/>
        <w:gridCol w:w="1369"/>
        <w:gridCol w:w="1366"/>
      </w:tblGrid>
      <w:tr>
        <w:trPr>
          <w:trHeight w:val="71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46" w:right="53" w:hanging="92"/>
              <w:jc w:val="left"/>
              <w:rPr>
                <w:rFonts w:ascii="宋体" w:hAnsi="宋体" w:cs="宋体" w:eastAsia="宋体" w:hint="default"/>
                <w:sz w:val="18"/>
                <w:szCs w:val="18"/>
              </w:rPr>
            </w:pPr>
            <w:r>
              <w:rPr>
                <w:rFonts w:ascii="宋体" w:hAnsi="宋体" w:cs="宋体" w:eastAsia="宋体" w:hint="default"/>
                <w:sz w:val="18"/>
                <w:szCs w:val="18"/>
              </w:rPr>
              <w:t>被投资单位名称或 形成商誉的事项</w:t>
            </w:r>
          </w:p>
        </w:tc>
        <w:tc>
          <w:tcPr>
            <w:tcW w:w="1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江西科为薄膜新型 材料有限公司</w:t>
            </w:r>
          </w:p>
        </w:tc>
        <w:tc>
          <w:tcPr>
            <w:tcW w:w="117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64,899,044.39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64,899,044.39</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7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64,899,044.39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64,899,044.39</w:t>
            </w:r>
          </w:p>
        </w:tc>
      </w:tr>
    </w:tbl>
    <w:p>
      <w:pPr>
        <w:spacing w:before="49"/>
        <w:ind w:left="152" w:right="0" w:firstLine="0"/>
        <w:jc w:val="both"/>
        <w:rPr>
          <w:rFonts w:ascii="宋体" w:hAnsi="宋体" w:cs="宋体" w:eastAsia="宋体" w:hint="default"/>
          <w:sz w:val="18"/>
          <w:szCs w:val="18"/>
        </w:rPr>
      </w:pPr>
      <w:r>
        <w:rPr>
          <w:rFonts w:ascii="宋体" w:hAnsi="宋体" w:cs="宋体" w:eastAsia="宋体" w:hint="default"/>
          <w:sz w:val="18"/>
          <w:szCs w:val="18"/>
        </w:rPr>
        <w:t>说明商誉减值测试过程、参数及商誉减值损失的确认方法：</w:t>
      </w:r>
    </w:p>
    <w:p>
      <w:pPr>
        <w:spacing w:line="300" w:lineRule="auto" w:before="117"/>
        <w:ind w:left="152" w:right="150" w:firstLine="0"/>
        <w:jc w:val="both"/>
        <w:rPr>
          <w:rFonts w:ascii="宋体" w:hAnsi="宋体" w:cs="宋体" w:eastAsia="宋体" w:hint="default"/>
          <w:sz w:val="18"/>
          <w:szCs w:val="18"/>
        </w:rPr>
      </w:pPr>
      <w:r>
        <w:rPr>
          <w:rFonts w:ascii="宋体" w:hAnsi="宋体" w:cs="宋体" w:eastAsia="宋体" w:hint="default"/>
          <w:spacing w:val="-3"/>
          <w:sz w:val="18"/>
          <w:szCs w:val="18"/>
        </w:rPr>
        <w:t>江西科为股东全部权益的账面价值为</w:t>
      </w:r>
      <w:r>
        <w:rPr>
          <w:rFonts w:ascii="Times New Roman" w:hAnsi="Times New Roman" w:cs="Times New Roman" w:eastAsia="Times New Roman" w:hint="default"/>
          <w:spacing w:val="-3"/>
          <w:sz w:val="18"/>
          <w:szCs w:val="18"/>
        </w:rPr>
        <w:t>1.22</w:t>
      </w:r>
      <w:r>
        <w:rPr>
          <w:rFonts w:ascii="宋体" w:hAnsi="宋体" w:cs="宋体" w:eastAsia="宋体" w:hint="default"/>
          <w:spacing w:val="-3"/>
          <w:sz w:val="18"/>
          <w:szCs w:val="18"/>
        </w:rPr>
        <w:t>亿元，公允价值为</w:t>
      </w:r>
      <w:r>
        <w:rPr>
          <w:rFonts w:ascii="Times New Roman" w:hAnsi="Times New Roman" w:cs="Times New Roman" w:eastAsia="Times New Roman" w:hint="default"/>
          <w:spacing w:val="-3"/>
          <w:sz w:val="18"/>
          <w:szCs w:val="18"/>
        </w:rPr>
        <w:t>1.4</w:t>
      </w:r>
      <w:r>
        <w:rPr>
          <w:rFonts w:ascii="宋体" w:hAnsi="宋体" w:cs="宋体" w:eastAsia="宋体" w:hint="default"/>
          <w:spacing w:val="-3"/>
          <w:sz w:val="18"/>
          <w:szCs w:val="18"/>
        </w:rPr>
        <w:t>亿元，未来现金流量的价值为</w:t>
      </w:r>
      <w:r>
        <w:rPr>
          <w:rFonts w:ascii="Times New Roman" w:hAnsi="Times New Roman" w:cs="Times New Roman" w:eastAsia="Times New Roman" w:hint="default"/>
          <w:spacing w:val="-3"/>
          <w:sz w:val="18"/>
          <w:szCs w:val="18"/>
        </w:rPr>
        <w:t>1.4</w:t>
      </w:r>
      <w:r>
        <w:rPr>
          <w:rFonts w:ascii="宋体" w:hAnsi="宋体" w:cs="宋体" w:eastAsia="宋体" w:hint="default"/>
          <w:spacing w:val="-3"/>
          <w:sz w:val="18"/>
          <w:szCs w:val="18"/>
        </w:rPr>
        <w:t>亿元，低于江西科为截至</w:t>
      </w:r>
      <w:r>
        <w:rPr>
          <w:rFonts w:ascii="Times New Roman" w:hAnsi="Times New Roman" w:cs="Times New Roman" w:eastAsia="Times New Roman" w:hint="default"/>
          <w:spacing w:val="-3"/>
          <w:sz w:val="18"/>
          <w:szCs w:val="18"/>
        </w:rPr>
        <w:t>2017</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pacing w:val="9"/>
          <w:sz w:val="18"/>
          <w:szCs w:val="18"/>
        </w:rPr>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日累计投资成本</w:t>
      </w:r>
      <w:r>
        <w:rPr>
          <w:rFonts w:ascii="Times New Roman" w:hAnsi="Times New Roman" w:cs="Times New Roman" w:eastAsia="Times New Roman" w:hint="default"/>
          <w:spacing w:val="-1"/>
          <w:sz w:val="18"/>
          <w:szCs w:val="18"/>
        </w:rPr>
        <w:t>0.65</w:t>
      </w:r>
      <w:r>
        <w:rPr>
          <w:rFonts w:ascii="宋体" w:hAnsi="宋体" w:cs="宋体" w:eastAsia="宋体" w:hint="default"/>
          <w:spacing w:val="-1"/>
          <w:sz w:val="18"/>
          <w:szCs w:val="18"/>
        </w:rPr>
        <w:t>亿元，并据此计提商誉减值准备。公司聘请专业评估机构开元资产评估有限公司对江西科为截</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至</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日的股东全部权益的资产组组合可收回价值进行评估，采用收益法的评估结果为</w:t>
      </w:r>
      <w:r>
        <w:rPr>
          <w:rFonts w:ascii="Times New Roman" w:hAnsi="Times New Roman" w:cs="Times New Roman" w:eastAsia="Times New Roman" w:hint="default"/>
          <w:sz w:val="18"/>
          <w:szCs w:val="18"/>
        </w:rPr>
        <w:t>1.4</w:t>
      </w:r>
      <w:r>
        <w:rPr>
          <w:rFonts w:ascii="宋体" w:hAnsi="宋体" w:cs="宋体" w:eastAsia="宋体" w:hint="default"/>
          <w:sz w:val="18"/>
          <w:szCs w:val="18"/>
        </w:rPr>
        <w:t>亿元，评估报告文号为 开元评报字</w:t>
      </w:r>
      <w:r>
        <w:rPr>
          <w:rFonts w:ascii="Times New Roman" w:hAnsi="Times New Roman" w:cs="Times New Roman" w:eastAsia="Times New Roman" w:hint="default"/>
          <w:sz w:val="18"/>
          <w:szCs w:val="18"/>
        </w:rPr>
        <w:t>[2018]186</w:t>
      </w:r>
      <w:r>
        <w:rPr>
          <w:rFonts w:ascii="宋体" w:hAnsi="宋体" w:cs="宋体" w:eastAsia="宋体" w:hint="default"/>
          <w:sz w:val="18"/>
          <w:szCs w:val="18"/>
        </w:rPr>
        <w:t>号。</w:t>
      </w:r>
    </w:p>
    <w:p>
      <w:pPr>
        <w:spacing w:line="360" w:lineRule="auto" w:before="51"/>
        <w:ind w:left="152" w:right="1524" w:firstLine="0"/>
        <w:jc w:val="left"/>
        <w:rPr>
          <w:rFonts w:ascii="宋体" w:hAnsi="宋体" w:cs="宋体" w:eastAsia="宋体" w:hint="default"/>
          <w:sz w:val="18"/>
          <w:szCs w:val="18"/>
        </w:rPr>
      </w:pPr>
      <w:r>
        <w:rPr>
          <w:rFonts w:ascii="宋体" w:hAnsi="宋体" w:cs="宋体" w:eastAsia="宋体" w:hint="default"/>
          <w:sz w:val="18"/>
          <w:szCs w:val="18"/>
        </w:rPr>
        <w:t>其他说明 商誉期末数比期初数减少</w:t>
      </w:r>
      <w:r>
        <w:rPr>
          <w:rFonts w:ascii="Times New Roman" w:hAnsi="Times New Roman" w:cs="Times New Roman" w:eastAsia="Times New Roman" w:hint="default"/>
          <w:sz w:val="18"/>
          <w:szCs w:val="18"/>
        </w:rPr>
        <w:t>64,899,044.39</w:t>
      </w:r>
      <w:r>
        <w:rPr>
          <w:rFonts w:ascii="宋体" w:hAnsi="宋体" w:cs="宋体" w:eastAsia="宋体" w:hint="default"/>
          <w:sz w:val="18"/>
          <w:szCs w:val="18"/>
        </w:rPr>
        <w:t>元，减少比例为</w:t>
      </w:r>
      <w:r>
        <w:rPr>
          <w:rFonts w:ascii="Times New Roman" w:hAnsi="Times New Roman" w:cs="Times New Roman" w:eastAsia="Times New Roman" w:hint="default"/>
          <w:sz w:val="18"/>
          <w:szCs w:val="18"/>
        </w:rPr>
        <w:t>76.44%</w:t>
      </w:r>
      <w:r>
        <w:rPr>
          <w:rFonts w:ascii="宋体" w:hAnsi="宋体" w:cs="宋体" w:eastAsia="宋体" w:hint="default"/>
          <w:sz w:val="18"/>
          <w:szCs w:val="18"/>
        </w:rPr>
        <w:t>，减少原因系本期计提商誉减值准备所致。</w:t>
      </w:r>
    </w:p>
    <w:p>
      <w:pPr>
        <w:spacing w:line="240" w:lineRule="auto" w:before="7"/>
        <w:rPr>
          <w:rFonts w:ascii="宋体" w:hAnsi="宋体" w:cs="宋体" w:eastAsia="宋体" w:hint="default"/>
          <w:sz w:val="18"/>
          <w:szCs w:val="18"/>
        </w:rPr>
      </w:pPr>
    </w:p>
    <w:p>
      <w:pPr>
        <w:pStyle w:val="Heading4"/>
        <w:spacing w:line="240" w:lineRule="auto"/>
        <w:ind w:right="0"/>
        <w:jc w:val="both"/>
        <w:rPr>
          <w:b w:val="0"/>
          <w:bCs w:val="0"/>
        </w:rPr>
      </w:pPr>
      <w:r>
        <w:rPr>
          <w:rFonts w:ascii="Times New Roman" w:hAnsi="Times New Roman" w:cs="Times New Roman" w:eastAsia="Times New Roman" w:hint="default"/>
        </w:rPr>
        <w:t>28</w:t>
      </w:r>
      <w:r>
        <w:rPr/>
        <w:t>、长期待摊费用</w:t>
      </w:r>
      <w:r>
        <w:rPr>
          <w:b w:val="0"/>
          <w:bCs w:val="0"/>
        </w:rPr>
      </w:r>
    </w:p>
    <w:p>
      <w:pPr>
        <w:spacing w:line="240" w:lineRule="auto" w:before="2"/>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聚合年度维保</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1,065,564.36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752,535.85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313,028.51</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办公家具</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1,206,804.56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651,676.72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1,175,127.84</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2,272,368.92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1,404,212.57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1,488,156.35</w:t>
            </w:r>
          </w:p>
        </w:tc>
      </w:tr>
    </w:tbl>
    <w:p>
      <w:pPr>
        <w:spacing w:line="360" w:lineRule="auto" w:before="49"/>
        <w:ind w:left="152" w:right="1719" w:firstLine="0"/>
        <w:jc w:val="left"/>
        <w:rPr>
          <w:rFonts w:ascii="宋体" w:hAnsi="宋体" w:cs="宋体" w:eastAsia="宋体" w:hint="default"/>
          <w:sz w:val="18"/>
          <w:szCs w:val="18"/>
        </w:rPr>
      </w:pPr>
      <w:r>
        <w:rPr>
          <w:rFonts w:ascii="宋体" w:hAnsi="宋体" w:cs="宋体" w:eastAsia="宋体" w:hint="default"/>
          <w:sz w:val="18"/>
          <w:szCs w:val="18"/>
        </w:rPr>
        <w:t>其他说明 长期待摊费用期末数较期初数减少</w:t>
      </w:r>
      <w:r>
        <w:rPr>
          <w:rFonts w:ascii="Times New Roman" w:hAnsi="Times New Roman" w:cs="Times New Roman" w:eastAsia="Times New Roman" w:hint="default"/>
          <w:sz w:val="18"/>
          <w:szCs w:val="18"/>
        </w:rPr>
        <w:t>784,212.57</w:t>
      </w:r>
      <w:r>
        <w:rPr>
          <w:rFonts w:ascii="宋体" w:hAnsi="宋体" w:cs="宋体" w:eastAsia="宋体" w:hint="default"/>
          <w:sz w:val="18"/>
          <w:szCs w:val="18"/>
        </w:rPr>
        <w:t>元，减少比例为</w:t>
      </w:r>
      <w:r>
        <w:rPr>
          <w:rFonts w:ascii="Times New Roman" w:hAnsi="Times New Roman" w:cs="Times New Roman" w:eastAsia="Times New Roman" w:hint="default"/>
          <w:sz w:val="18"/>
          <w:szCs w:val="18"/>
        </w:rPr>
        <w:t>34.51</w:t>
      </w:r>
      <w:r>
        <w:rPr>
          <w:rFonts w:ascii="宋体" w:hAnsi="宋体" w:cs="宋体" w:eastAsia="宋体" w:hint="default"/>
          <w:sz w:val="18"/>
          <w:szCs w:val="18"/>
        </w:rPr>
        <w:t>，减少原因系本期摊销了费用所致。</w:t>
      </w:r>
    </w:p>
    <w:p>
      <w:pPr>
        <w:spacing w:after="0" w:line="360" w:lineRule="auto"/>
        <w:jc w:val="left"/>
        <w:rPr>
          <w:rFonts w:ascii="宋体" w:hAnsi="宋体" w:cs="宋体" w:eastAsia="宋体" w:hint="default"/>
          <w:sz w:val="18"/>
          <w:szCs w:val="18"/>
        </w:rPr>
        <w:sectPr>
          <w:footerReference w:type="default" r:id="rId16"/>
          <w:pgSz w:w="11910" w:h="16840"/>
          <w:pgMar w:footer="980" w:header="745" w:top="1060" w:bottom="1160" w:left="980" w:right="980"/>
          <w:pgNumType w:start="110"/>
        </w:sectPr>
      </w:pPr>
    </w:p>
    <w:p>
      <w:pPr>
        <w:spacing w:line="240" w:lineRule="auto" w:before="10"/>
        <w:rPr>
          <w:rFonts w:ascii="宋体" w:hAnsi="宋体" w:cs="宋体" w:eastAsia="宋体" w:hint="default"/>
          <w:sz w:val="24"/>
          <w:szCs w:val="24"/>
        </w:rPr>
      </w:pPr>
    </w:p>
    <w:p>
      <w:pPr>
        <w:pStyle w:val="Heading4"/>
        <w:spacing w:line="240" w:lineRule="auto" w:before="36"/>
        <w:ind w:right="153"/>
        <w:jc w:val="left"/>
        <w:rPr>
          <w:b w:val="0"/>
          <w:bCs w:val="0"/>
        </w:rPr>
      </w:pP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59,657,826.87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8,948,674.03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40,609,841.61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6,091,476.24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3,873,160.00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580,974.00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3,873,160.00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580,974.00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63,530,986.87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9,529,648.03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44,483,001.61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6,672,450.24</w:t>
            </w: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04"/>
      </w:tblGrid>
      <w:tr>
        <w:trPr>
          <w:trHeight w:val="401"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13"/>
        <w:gridCol w:w="1905"/>
        <w:gridCol w:w="1914"/>
        <w:gridCol w:w="1914"/>
        <w:gridCol w:w="1903"/>
      </w:tblGrid>
      <w:tr>
        <w:trPr>
          <w:trHeight w:val="161"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00" w:right="52"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0"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49"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0" w:right="3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3"/>
              <w:jc w:val="center"/>
              <w:rPr>
                <w:rFonts w:ascii="宋体" w:hAnsi="宋体" w:cs="宋体" w:eastAsia="宋体" w:hint="default"/>
                <w:sz w:val="18"/>
                <w:szCs w:val="18"/>
              </w:rPr>
            </w:pPr>
            <w:r>
              <w:rPr>
                <w:rFonts w:ascii="宋体" w:hAnsi="宋体" w:cs="宋体" w:eastAsia="宋体" w:hint="default"/>
                <w:sz w:val="18"/>
                <w:szCs w:val="18"/>
              </w:rPr>
              <w:t>项目</w:t>
            </w:r>
          </w:p>
        </w:tc>
        <w:tc>
          <w:tcPr>
            <w:tcW w:w="190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03" w:type="dxa"/>
            <w:vMerge/>
            <w:tcBorders>
              <w:left w:val="single" w:sz="4" w:space="0" w:color="000000"/>
              <w:right w:val="single" w:sz="4" w:space="0" w:color="000000"/>
            </w:tcBorders>
            <w:shd w:val="clear" w:color="auto" w:fill="D2D2D2"/>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5"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4" w:right="0"/>
              <w:jc w:val="left"/>
              <w:rPr>
                <w:rFonts w:ascii="Times New Roman" w:hAnsi="Times New Roman" w:cs="Times New Roman" w:eastAsia="Times New Roman" w:hint="default"/>
                <w:sz w:val="18"/>
                <w:szCs w:val="18"/>
              </w:rPr>
            </w:pPr>
            <w:r>
              <w:rPr>
                <w:rFonts w:ascii="Times New Roman"/>
                <w:sz w:val="18"/>
              </w:rPr>
              <w:t>9,529,648.03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5" w:right="0"/>
              <w:jc w:val="left"/>
              <w:rPr>
                <w:rFonts w:ascii="Times New Roman" w:hAnsi="Times New Roman" w:cs="Times New Roman" w:eastAsia="Times New Roman" w:hint="default"/>
                <w:sz w:val="18"/>
                <w:szCs w:val="18"/>
              </w:rPr>
            </w:pPr>
            <w:r>
              <w:rPr>
                <w:rFonts w:ascii="Times New Roman"/>
                <w:sz w:val="18"/>
              </w:rPr>
              <w:t>6,672,450.24</w:t>
            </w: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7"/>
        <w:gridCol w:w="2392"/>
        <w:gridCol w:w="2381"/>
      </w:tblGrid>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300" w:lineRule="auto" w:before="115"/>
        <w:ind w:left="152" w:right="174" w:firstLine="0"/>
        <w:jc w:val="left"/>
        <w:rPr>
          <w:rFonts w:ascii="宋体" w:hAnsi="宋体" w:cs="宋体" w:eastAsia="宋体" w:hint="default"/>
          <w:sz w:val="18"/>
          <w:szCs w:val="18"/>
        </w:rPr>
      </w:pPr>
      <w:r>
        <w:rPr>
          <w:rFonts w:ascii="宋体" w:hAnsi="宋体" w:cs="宋体" w:eastAsia="宋体" w:hint="default"/>
          <w:sz w:val="18"/>
          <w:szCs w:val="18"/>
        </w:rPr>
        <w:t>递延所得税资产期末数比期初数增加</w:t>
      </w:r>
      <w:r>
        <w:rPr>
          <w:rFonts w:ascii="Times New Roman" w:hAnsi="Times New Roman" w:cs="Times New Roman" w:eastAsia="Times New Roman" w:hint="default"/>
          <w:sz w:val="18"/>
          <w:szCs w:val="18"/>
        </w:rPr>
        <w:t>2,857,197.79</w:t>
      </w:r>
      <w:r>
        <w:rPr>
          <w:rFonts w:ascii="宋体" w:hAnsi="宋体" w:cs="宋体" w:eastAsia="宋体" w:hint="default"/>
          <w:sz w:val="18"/>
          <w:szCs w:val="18"/>
        </w:rPr>
        <w:t>元，增加比例为</w:t>
      </w:r>
      <w:r>
        <w:rPr>
          <w:rFonts w:ascii="Times New Roman" w:hAnsi="Times New Roman" w:cs="Times New Roman" w:eastAsia="Times New Roman" w:hint="default"/>
          <w:sz w:val="18"/>
          <w:szCs w:val="18"/>
        </w:rPr>
        <w:t>42.82%</w:t>
      </w:r>
      <w:r>
        <w:rPr>
          <w:rFonts w:ascii="宋体" w:hAnsi="宋体" w:cs="宋体" w:eastAsia="宋体" w:hint="default"/>
          <w:sz w:val="18"/>
          <w:szCs w:val="18"/>
        </w:rPr>
        <w:t>，增加原因系本期增加资产减值准备而相应增加的 可抵扣暂时性差异所致。</w:t>
      </w:r>
    </w:p>
    <w:p>
      <w:pPr>
        <w:spacing w:before="72"/>
        <w:ind w:left="152" w:right="153" w:firstLine="0"/>
        <w:jc w:val="left"/>
        <w:rPr>
          <w:rFonts w:ascii="宋体" w:hAnsi="宋体" w:cs="宋体" w:eastAsia="宋体" w:hint="default"/>
          <w:sz w:val="18"/>
          <w:szCs w:val="18"/>
        </w:rPr>
      </w:pPr>
      <w:r>
        <w:rPr>
          <w:rFonts w:ascii="宋体" w:hAnsi="宋体" w:cs="宋体" w:eastAsia="宋体" w:hint="default"/>
          <w:sz w:val="18"/>
          <w:szCs w:val="18"/>
        </w:rPr>
        <w:t>无形资产减值准备</w:t>
      </w:r>
      <w:r>
        <w:rPr>
          <w:rFonts w:ascii="Times New Roman" w:hAnsi="Times New Roman" w:cs="Times New Roman" w:eastAsia="Times New Roman" w:hint="default"/>
          <w:sz w:val="18"/>
          <w:szCs w:val="18"/>
        </w:rPr>
        <w:t>84.50</w:t>
      </w:r>
      <w:r>
        <w:rPr>
          <w:rFonts w:ascii="宋体" w:hAnsi="宋体" w:cs="宋体" w:eastAsia="宋体" w:hint="default"/>
          <w:sz w:val="18"/>
          <w:szCs w:val="18"/>
        </w:rPr>
        <w:t>万元和商誉减值准备</w:t>
      </w:r>
      <w:r>
        <w:rPr>
          <w:rFonts w:ascii="Times New Roman" w:hAnsi="Times New Roman" w:cs="Times New Roman" w:eastAsia="Times New Roman" w:hint="default"/>
          <w:sz w:val="18"/>
          <w:szCs w:val="18"/>
        </w:rPr>
        <w:t>64,899,044.39</w:t>
      </w:r>
      <w:r>
        <w:rPr>
          <w:rFonts w:ascii="宋体" w:hAnsi="宋体" w:cs="宋体" w:eastAsia="宋体" w:hint="default"/>
          <w:sz w:val="18"/>
          <w:szCs w:val="18"/>
        </w:rPr>
        <w:t>元可抵扣暂时性差异未确认递延所得税资产。</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153"/>
        <w:jc w:val="left"/>
        <w:rPr>
          <w:b w:val="0"/>
          <w:bCs w:val="0"/>
        </w:rPr>
      </w:pPr>
      <w:r>
        <w:rPr>
          <w:rFonts w:ascii="Times New Roman" w:hAnsi="Times New Roman" w:cs="Times New Roman" w:eastAsia="Times New Roman" w:hint="default"/>
        </w:rPr>
        <w:t>30</w:t>
      </w:r>
      <w:r>
        <w:rPr/>
        <w:t>、其他非流动资产</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预付设备工程款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33,319,047.60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21,767,456.02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预付土地款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33,815,038.70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33,803,038.70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67,134,086.30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55,570,494.72</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153"/>
        <w:jc w:val="left"/>
        <w:rPr>
          <w:b w:val="0"/>
          <w:bCs w:val="0"/>
        </w:rPr>
      </w:pPr>
      <w:r>
        <w:rPr>
          <w:rFonts w:ascii="Times New Roman" w:hAnsi="Times New Roman" w:cs="Times New Roman" w:eastAsia="Times New Roman" w:hint="default"/>
        </w:rPr>
        <w:t>31</w:t>
      </w:r>
      <w:r>
        <w:rPr/>
        <w:t>、短期借款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0"/>
        <w:rPr>
          <w:rFonts w:ascii="宋体" w:hAnsi="宋体" w:cs="宋体" w:eastAsia="宋体" w:hint="default"/>
          <w:sz w:val="18"/>
          <w:szCs w:val="18"/>
        </w:rPr>
      </w:pPr>
    </w:p>
    <w:p>
      <w:pPr>
        <w:pStyle w:val="Heading4"/>
        <w:spacing w:line="240" w:lineRule="auto" w:before="120"/>
        <w:ind w:right="153"/>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2"/>
        <w:rPr>
          <w:rFonts w:ascii="宋体" w:hAnsi="宋体" w:cs="宋体" w:eastAsia="宋体" w:hint="default"/>
          <w:b/>
          <w:bCs/>
          <w:sz w:val="22"/>
          <w:szCs w:val="22"/>
        </w:rPr>
      </w:pPr>
    </w:p>
    <w:p>
      <w:pPr>
        <w:spacing w:before="44"/>
        <w:ind w:left="152" w:right="153" w:firstLine="0"/>
        <w:jc w:val="left"/>
        <w:rPr>
          <w:rFonts w:ascii="宋体" w:hAnsi="宋体" w:cs="宋体" w:eastAsia="宋体" w:hint="default"/>
          <w:sz w:val="18"/>
          <w:szCs w:val="18"/>
        </w:rPr>
      </w:pPr>
      <w:r>
        <w:rPr>
          <w:rFonts w:ascii="宋体" w:hAnsi="宋体" w:cs="宋体" w:eastAsia="宋体" w:hint="default"/>
          <w:sz w:val="18"/>
          <w:szCs w:val="18"/>
        </w:rPr>
        <w:t>本期末已逾期未偿还的短期借款总额为元，其中重要的已逾期未偿还的短期借款情况如下：</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spacing w:before="50"/>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153"/>
        <w:jc w:val="left"/>
        <w:rPr>
          <w:b w:val="0"/>
          <w:bCs w:val="0"/>
        </w:rPr>
      </w:pP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153"/>
        <w:jc w:val="left"/>
        <w:rPr>
          <w:b w:val="0"/>
          <w:bCs w:val="0"/>
        </w:rPr>
      </w:pPr>
      <w:r>
        <w:rPr>
          <w:rFonts w:ascii="Times New Roman" w:hAnsi="Times New Roman" w:cs="Times New Roman" w:eastAsia="Times New Roman" w:hint="default"/>
        </w:rPr>
        <w:t>33</w:t>
      </w:r>
      <w:r>
        <w:rPr/>
        <w:t>、衍生金融负债</w:t>
      </w:r>
      <w:r>
        <w:rPr>
          <w:b w:val="0"/>
          <w:bCs w:val="0"/>
        </w:rPr>
      </w:r>
    </w:p>
    <w:p>
      <w:pPr>
        <w:spacing w:line="240" w:lineRule="auto" w:before="2"/>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153"/>
        <w:jc w:val="left"/>
        <w:rPr>
          <w:b w:val="0"/>
          <w:bCs w:val="0"/>
        </w:rPr>
      </w:pPr>
      <w:r>
        <w:rPr>
          <w:rFonts w:ascii="Times New Roman" w:hAnsi="Times New Roman" w:cs="Times New Roman" w:eastAsia="Times New Roman" w:hint="default"/>
        </w:rPr>
        <w:t>34</w:t>
      </w:r>
      <w:r>
        <w:rPr/>
        <w:t>、应付票据</w:t>
      </w:r>
      <w:r>
        <w:rPr>
          <w:b w:val="0"/>
          <w:bCs w:val="0"/>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422,264,680.00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317,768,632.00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422,264,680.00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317,768,632.00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spacing w:before="44"/>
        <w:ind w:left="152" w:right="153"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本期末已到期未支付的应付票据总额为元。</w:t>
      </w:r>
    </w:p>
    <w:p>
      <w:pPr>
        <w:spacing w:line="240" w:lineRule="auto" w:before="0"/>
        <w:rPr>
          <w:rFonts w:ascii="宋体" w:hAnsi="宋体" w:cs="宋体" w:eastAsia="宋体" w:hint="default"/>
          <w:sz w:val="18"/>
          <w:szCs w:val="18"/>
        </w:rPr>
      </w:pPr>
    </w:p>
    <w:p>
      <w:pPr>
        <w:pStyle w:val="Heading4"/>
        <w:spacing w:line="240" w:lineRule="auto" w:before="120"/>
        <w:ind w:right="153"/>
        <w:jc w:val="left"/>
        <w:rPr>
          <w:b w:val="0"/>
          <w:bCs w:val="0"/>
        </w:rPr>
      </w:pPr>
      <w:r>
        <w:rPr>
          <w:rFonts w:ascii="Times New Roman" w:hAnsi="Times New Roman" w:cs="Times New Roman" w:eastAsia="Times New Roman" w:hint="default"/>
        </w:rPr>
        <w:t>35</w:t>
      </w:r>
      <w:r>
        <w:rPr/>
        <w:t>、应付账款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76,161,249.57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55,888,221.08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6,217,584.10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14,754,163.17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2,294,660.69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135,058.01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558,965.89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428,371.88</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85,232,460.25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71,205,814.14</w:t>
            </w: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153"/>
        <w:jc w:val="left"/>
        <w:rPr>
          <w:b w:val="0"/>
          <w:bCs w:val="0"/>
        </w:rPr>
      </w:pPr>
      <w:r>
        <w:rPr>
          <w:rFonts w:ascii="Times New Roman" w:hAnsi="Times New Roman" w:cs="Times New Roman" w:eastAsia="Times New Roman" w:hint="default"/>
        </w:rPr>
        <w:t>36</w:t>
      </w:r>
      <w:r>
        <w:rPr/>
        <w:t>、预收款项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20,587,509.90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16,867,104.72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4,999,645.13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1,891,051.89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1,322,980.98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348,848.10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1,058,212.31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753,629.82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27,968,348.32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19,860,634.53</w:t>
            </w: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11"/>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4778"/>
        <w:gridCol w:w="4791"/>
      </w:tblGrid>
      <w:tr>
        <w:trPr>
          <w:trHeight w:val="334" w:hRule="exact"/>
        </w:trPr>
        <w:tc>
          <w:tcPr>
            <w:tcW w:w="4778" w:type="dxa"/>
            <w:tcBorders>
              <w:top w:val="single" w:sz="6" w:space="0" w:color="000000"/>
              <w:left w:val="nil" w:sz="6" w:space="0" w:color="auto"/>
              <w:bottom w:val="single" w:sz="4" w:space="0" w:color="000000"/>
              <w:right w:val="nil" w:sz="6" w:space="0" w:color="auto"/>
            </w:tcBorders>
          </w:tcPr>
          <w:p>
            <w:pPr/>
          </w:p>
        </w:tc>
        <w:tc>
          <w:tcPr>
            <w:tcW w:w="4791" w:type="dxa"/>
            <w:tcBorders>
              <w:top w:val="single" w:sz="6" w:space="0" w:color="000000"/>
              <w:left w:val="nil" w:sz="6" w:space="0" w:color="auto"/>
              <w:bottom w:val="single" w:sz="4" w:space="0" w:color="000000"/>
              <w:right w:val="nil" w:sz="6" w:space="0" w:color="auto"/>
            </w:tcBorders>
          </w:tcPr>
          <w:p>
            <w:pPr/>
          </w:p>
        </w:tc>
      </w:tr>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50"/>
        <w:ind w:left="112" w:right="13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300" w:lineRule="auto" w:before="115"/>
        <w:ind w:left="112" w:right="134" w:firstLine="0"/>
        <w:jc w:val="left"/>
        <w:rPr>
          <w:rFonts w:ascii="宋体" w:hAnsi="宋体" w:cs="宋体" w:eastAsia="宋体" w:hint="default"/>
          <w:sz w:val="18"/>
          <w:szCs w:val="18"/>
        </w:rPr>
      </w:pPr>
      <w:r>
        <w:rPr>
          <w:rFonts w:ascii="宋体" w:hAnsi="宋体" w:cs="宋体" w:eastAsia="宋体" w:hint="default"/>
          <w:sz w:val="18"/>
          <w:szCs w:val="18"/>
        </w:rPr>
        <w:t>预收款项期末数比期初数增加</w:t>
      </w:r>
      <w:r>
        <w:rPr>
          <w:rFonts w:ascii="Times New Roman" w:hAnsi="Times New Roman" w:cs="Times New Roman" w:eastAsia="Times New Roman" w:hint="default"/>
          <w:sz w:val="18"/>
          <w:szCs w:val="18"/>
        </w:rPr>
        <w:t>8,107,713.79</w:t>
      </w:r>
      <w:r>
        <w:rPr>
          <w:rFonts w:ascii="宋体" w:hAnsi="宋体" w:cs="宋体" w:eastAsia="宋体" w:hint="default"/>
          <w:sz w:val="18"/>
          <w:szCs w:val="18"/>
        </w:rPr>
        <w:t>元，增加比例为</w:t>
      </w:r>
      <w:r>
        <w:rPr>
          <w:rFonts w:ascii="Times New Roman" w:hAnsi="Times New Roman" w:cs="Times New Roman" w:eastAsia="Times New Roman" w:hint="default"/>
          <w:sz w:val="18"/>
          <w:szCs w:val="18"/>
        </w:rPr>
        <w:t>40.82%</w:t>
      </w:r>
      <w:r>
        <w:rPr>
          <w:rFonts w:ascii="宋体" w:hAnsi="宋体" w:cs="宋体" w:eastAsia="宋体" w:hint="default"/>
          <w:sz w:val="18"/>
          <w:szCs w:val="18"/>
        </w:rPr>
        <w:t>，增加原因系本期公司预先收取货款结算比例较上年同期 大幅增加所致。</w:t>
      </w:r>
    </w:p>
    <w:p>
      <w:pPr>
        <w:spacing w:line="240" w:lineRule="auto" w:before="10"/>
        <w:rPr>
          <w:rFonts w:ascii="宋体" w:hAnsi="宋体" w:cs="宋体" w:eastAsia="宋体" w:hint="default"/>
          <w:sz w:val="23"/>
          <w:szCs w:val="23"/>
        </w:rPr>
      </w:pPr>
    </w:p>
    <w:p>
      <w:pPr>
        <w:pStyle w:val="Heading4"/>
        <w:spacing w:line="240" w:lineRule="auto"/>
        <w:ind w:left="112" w:right="134"/>
        <w:jc w:val="left"/>
        <w:rPr>
          <w:b w:val="0"/>
          <w:bCs w:val="0"/>
        </w:rPr>
      </w:pPr>
      <w:r>
        <w:rPr>
          <w:rFonts w:ascii="Times New Roman" w:hAnsi="Times New Roman" w:cs="Times New Roman" w:eastAsia="Times New Roman" w:hint="default"/>
        </w:rPr>
        <w:t>37</w:t>
      </w:r>
      <w:r>
        <w:rPr/>
        <w:t>、应付职工薪酬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2" w:right="134"/>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2"/>
        <w:rPr>
          <w:rFonts w:ascii="宋体" w:hAnsi="宋体" w:cs="宋体" w:eastAsia="宋体" w:hint="default"/>
          <w:b/>
          <w:bCs/>
          <w:sz w:val="26"/>
          <w:szCs w:val="26"/>
        </w:rPr>
      </w:pPr>
    </w:p>
    <w:p>
      <w:pPr>
        <w:spacing w:before="0"/>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15,267,990.52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85,467,813.82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87,858,166.48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12,877,637.86</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1,696,966.04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4,023,288.28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5,720,254.32</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16,964,956.56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89,491,102.10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93,578,420.80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12,877,637.86</w:t>
            </w:r>
          </w:p>
        </w:tc>
      </w:tr>
    </w:tbl>
    <w:p>
      <w:pPr>
        <w:spacing w:line="240" w:lineRule="auto" w:before="3"/>
        <w:rPr>
          <w:rFonts w:ascii="宋体" w:hAnsi="宋体" w:cs="宋体" w:eastAsia="宋体" w:hint="default"/>
          <w:sz w:val="19"/>
          <w:szCs w:val="19"/>
        </w:rPr>
      </w:pPr>
    </w:p>
    <w:p>
      <w:pPr>
        <w:pStyle w:val="Heading4"/>
        <w:spacing w:line="240" w:lineRule="auto" w:before="36"/>
        <w:ind w:left="112" w:right="134"/>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0"/>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1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14,000,651.89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78,136,213.57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79,501,976.30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12,634,889.16</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4,411,654.92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4,230,801.20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180,853.72</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971,140.20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1,598,299.57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2,665,863.36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-96,423.59</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912,531.29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1,225,382.03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2,137,913.32</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25,034.57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259,544.98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284,579.55</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33,574.34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113,372.56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243,370.49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-96,423.59</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296,198.43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931,770.00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1,069,649.86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158,318.57</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389,875.76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389,875.76</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15,267,990.52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85,467,813.82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87,858,166.48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12,877,637.86</w:t>
            </w:r>
          </w:p>
        </w:tc>
      </w:tr>
    </w:tbl>
    <w:p>
      <w:pPr>
        <w:spacing w:line="240" w:lineRule="auto" w:before="3"/>
        <w:rPr>
          <w:rFonts w:ascii="宋体" w:hAnsi="宋体" w:cs="宋体" w:eastAsia="宋体" w:hint="default"/>
          <w:sz w:val="19"/>
          <w:szCs w:val="19"/>
        </w:rPr>
      </w:pPr>
    </w:p>
    <w:p>
      <w:pPr>
        <w:pStyle w:val="Heading4"/>
        <w:spacing w:line="240" w:lineRule="auto" w:before="36"/>
        <w:ind w:left="112" w:right="134"/>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3"/>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1,541,319.25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4,042,662.88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5,583,982.13</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155,646.79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-19,374.60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136,272.19</w:t>
            </w: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1020" w:right="10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1915"/>
        <w:gridCol w:w="1916"/>
        <w:gridCol w:w="1916"/>
        <w:gridCol w:w="1913"/>
        <w:gridCol w:w="1916"/>
      </w:tblGrid>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8" w:right="0"/>
              <w:jc w:val="left"/>
              <w:rPr>
                <w:rFonts w:ascii="Times New Roman" w:hAnsi="Times New Roman" w:cs="Times New Roman" w:eastAsia="Times New Roman" w:hint="default"/>
                <w:sz w:val="18"/>
                <w:szCs w:val="18"/>
              </w:rPr>
            </w:pPr>
            <w:r>
              <w:rPr>
                <w:rFonts w:ascii="Times New Roman"/>
                <w:sz w:val="18"/>
              </w:rPr>
              <w:t>1,696,966.04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4,023,288.28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5,720,254.32</w:t>
            </w: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153"/>
        <w:jc w:val="left"/>
        <w:rPr>
          <w:b w:val="0"/>
          <w:bCs w:val="0"/>
        </w:rPr>
      </w:pPr>
      <w:r>
        <w:rPr>
          <w:rFonts w:ascii="Times New Roman" w:hAnsi="Times New Roman" w:cs="Times New Roman" w:eastAsia="Times New Roman" w:hint="default"/>
        </w:rPr>
        <w:t>38</w:t>
      </w:r>
      <w:r>
        <w:rPr/>
        <w:t>、应交税费</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69,986.51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7,161,248.14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1,198,764.49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183,496.82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77,651.63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899,814.73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633,410.65</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1,356,434.75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1,207,393.19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328,931.51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328,931.51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-31,935.88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62,978.00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9,897,990.07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3,579,115.98</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6"/>
        <w:ind w:right="153"/>
        <w:jc w:val="left"/>
      </w:pPr>
      <w:r>
        <w:rPr>
          <w:spacing w:val="-2"/>
        </w:rPr>
        <w:t>应交税费期末数比期初数增加</w:t>
      </w:r>
      <w:r>
        <w:rPr>
          <w:rFonts w:ascii="Times New Roman" w:hAnsi="Times New Roman" w:cs="Times New Roman" w:eastAsia="Times New Roman" w:hint="default"/>
          <w:spacing w:val="-2"/>
        </w:rPr>
        <w:t>6,318,874.09</w:t>
      </w:r>
      <w:r>
        <w:rPr>
          <w:spacing w:val="-2"/>
        </w:rPr>
        <w:t>元，增加比例为</w:t>
      </w:r>
      <w:r>
        <w:rPr>
          <w:rFonts w:ascii="Times New Roman" w:hAnsi="Times New Roman" w:cs="Times New Roman" w:eastAsia="Times New Roman" w:hint="default"/>
          <w:spacing w:val="-2"/>
        </w:rPr>
        <w:t>176.55%</w:t>
      </w:r>
      <w:r>
        <w:rPr>
          <w:spacing w:val="-2"/>
        </w:rPr>
        <w:t>，增加原因系期末未缴企业所得税大幅</w:t>
      </w:r>
      <w:r>
        <w:rPr>
          <w:spacing w:val="-3"/>
        </w:rPr>
        <w:t> </w:t>
      </w:r>
      <w:r>
        <w:rPr>
          <w:spacing w:val="-3"/>
        </w:rPr>
      </w:r>
      <w:r>
        <w:rPr/>
        <w:t>增加所致。</w:t>
      </w:r>
    </w:p>
    <w:p>
      <w:pPr>
        <w:spacing w:line="240" w:lineRule="auto" w:before="8"/>
        <w:rPr>
          <w:rFonts w:ascii="宋体" w:hAnsi="宋体" w:cs="宋体" w:eastAsia="宋体" w:hint="default"/>
          <w:sz w:val="24"/>
          <w:szCs w:val="24"/>
        </w:rPr>
      </w:pPr>
    </w:p>
    <w:p>
      <w:pPr>
        <w:pStyle w:val="Heading4"/>
        <w:spacing w:line="240" w:lineRule="auto"/>
        <w:ind w:right="153"/>
        <w:jc w:val="left"/>
        <w:rPr>
          <w:b w:val="0"/>
          <w:bCs w:val="0"/>
        </w:rPr>
      </w:pPr>
      <w:r>
        <w:rPr>
          <w:rFonts w:ascii="Times New Roman" w:hAnsi="Times New Roman" w:cs="Times New Roman" w:eastAsia="Times New Roman" w:hint="default"/>
        </w:rPr>
        <w:t>39</w:t>
      </w:r>
      <w:r>
        <w:rPr/>
        <w:t>、应付利息</w:t>
      </w:r>
      <w:r>
        <w:rPr>
          <w:b w:val="0"/>
          <w:bCs w:val="0"/>
        </w:rPr>
      </w:r>
    </w:p>
    <w:p>
      <w:pPr>
        <w:spacing w:line="240" w:lineRule="auto" w:before="2"/>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企业债券利息</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5,737,205.53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5,737,205.48</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5,737,205.53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5,737,205.48</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153"/>
        <w:jc w:val="left"/>
        <w:rPr>
          <w:b w:val="0"/>
          <w:bCs w:val="0"/>
        </w:rPr>
      </w:pPr>
      <w:r>
        <w:rPr>
          <w:rFonts w:ascii="Times New Roman" w:hAnsi="Times New Roman" w:cs="Times New Roman" w:eastAsia="Times New Roman" w:hint="default"/>
        </w:rPr>
        <w:t>40</w:t>
      </w:r>
      <w:r>
        <w:rPr/>
        <w:t>、应付股利</w:t>
      </w:r>
      <w:r>
        <w:rPr>
          <w:b w:val="0"/>
          <w:bCs w:val="0"/>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0"/>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其他说明，包括重要的超过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年未支付的应付股利，应披露未支付原因：</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153"/>
        <w:jc w:val="left"/>
        <w:rPr>
          <w:b w:val="0"/>
          <w:bCs w:val="0"/>
        </w:rPr>
      </w:pPr>
      <w:r>
        <w:rPr>
          <w:rFonts w:ascii="Times New Roman" w:hAnsi="Times New Roman" w:cs="Times New Roman" w:eastAsia="Times New Roman" w:hint="default"/>
        </w:rPr>
        <w:t>41</w:t>
      </w:r>
      <w:r>
        <w:rPr/>
        <w:t>、其他应付款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工程设备款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290,238,719.25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103,749,615.01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2,410,083.38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112,349.15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费用及其他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3,800,684.27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4,153,680.20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296,449,486.90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108,015,644.36</w:t>
            </w: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供应商一</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22,387,266.87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供应商二</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11,517,038.40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供应商三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6,061,756.80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供应商四</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4,908,200.00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供应商五</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4,797,350.00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49,671,612.07</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7"/>
        <w:ind w:right="153"/>
        <w:jc w:val="left"/>
      </w:pPr>
      <w:r>
        <w:rPr>
          <w:spacing w:val="-2"/>
        </w:rPr>
        <w:t>其他应付款期末数比期初数增加</w:t>
      </w:r>
      <w:r>
        <w:rPr>
          <w:rFonts w:ascii="Times New Roman" w:hAnsi="Times New Roman" w:cs="Times New Roman" w:eastAsia="Times New Roman" w:hint="default"/>
          <w:spacing w:val="-2"/>
        </w:rPr>
        <w:t>188,433,842.54</w:t>
      </w:r>
      <w:r>
        <w:rPr>
          <w:spacing w:val="-2"/>
        </w:rPr>
        <w:t>元，增加比例为</w:t>
      </w:r>
      <w:r>
        <w:rPr>
          <w:rFonts w:ascii="Times New Roman" w:hAnsi="Times New Roman" w:cs="Times New Roman" w:eastAsia="Times New Roman" w:hint="default"/>
          <w:spacing w:val="-2"/>
        </w:rPr>
        <w:t>174.45%</w:t>
      </w:r>
      <w:r>
        <w:rPr>
          <w:spacing w:val="-2"/>
        </w:rPr>
        <w:t>，增加原因主要系期末购买宿迁市</w:t>
      </w:r>
      <w:r>
        <w:rPr/>
        <w:t> </w:t>
      </w:r>
      <w:r>
        <w:rPr/>
        <w:t>彩缘置业有限公司的双星大厦</w:t>
      </w:r>
      <w:r>
        <w:rPr>
          <w:rFonts w:ascii="Times New Roman" w:hAnsi="Times New Roman" w:cs="Times New Roman" w:eastAsia="Times New Roman" w:hint="default"/>
        </w:rPr>
        <w:t>1.86</w:t>
      </w:r>
      <w:r>
        <w:rPr/>
        <w:t>亿应付款项所致。</w:t>
      </w:r>
    </w:p>
    <w:p>
      <w:pPr>
        <w:spacing w:line="240" w:lineRule="auto" w:before="4"/>
        <w:rPr>
          <w:rFonts w:ascii="宋体" w:hAnsi="宋体" w:cs="宋体" w:eastAsia="宋体" w:hint="default"/>
          <w:sz w:val="23"/>
          <w:szCs w:val="23"/>
        </w:rPr>
      </w:pPr>
    </w:p>
    <w:p>
      <w:pPr>
        <w:pStyle w:val="Heading4"/>
        <w:spacing w:line="240" w:lineRule="auto"/>
        <w:ind w:right="153"/>
        <w:jc w:val="left"/>
        <w:rPr>
          <w:b w:val="0"/>
          <w:bCs w:val="0"/>
        </w:rPr>
      </w:pPr>
      <w:r>
        <w:rPr>
          <w:rFonts w:ascii="Times New Roman" w:hAnsi="Times New Roman" w:cs="Times New Roman" w:eastAsia="Times New Roman" w:hint="default"/>
        </w:rPr>
        <w:t>42</w:t>
      </w:r>
      <w:r>
        <w:rPr/>
        <w:t>、持有待售的负债</w:t>
      </w:r>
      <w:r>
        <w:rPr>
          <w:b w:val="0"/>
          <w:bCs w:val="0"/>
        </w:rPr>
      </w:r>
    </w:p>
    <w:p>
      <w:pPr>
        <w:spacing w:line="240" w:lineRule="auto" w:before="2"/>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153"/>
        <w:jc w:val="left"/>
        <w:rPr>
          <w:b w:val="0"/>
          <w:bCs w:val="0"/>
        </w:rPr>
      </w:pPr>
      <w:r>
        <w:rPr>
          <w:rFonts w:ascii="Times New Roman" w:hAnsi="Times New Roman" w:cs="Times New Roman" w:eastAsia="Times New Roman" w:hint="default"/>
        </w:rPr>
        <w:t>43</w:t>
      </w:r>
      <w:r>
        <w:rPr/>
        <w:t>、一年内到期的非流动负债</w:t>
      </w:r>
      <w:r>
        <w:rPr>
          <w:b w:val="0"/>
          <w:bCs w:val="0"/>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153"/>
        <w:jc w:val="left"/>
        <w:rPr>
          <w:b w:val="0"/>
          <w:bCs w:val="0"/>
        </w:rPr>
      </w:pPr>
      <w:r>
        <w:rPr>
          <w:rFonts w:ascii="Times New Roman" w:hAnsi="Times New Roman" w:cs="Times New Roman" w:eastAsia="Times New Roman" w:hint="default"/>
        </w:rPr>
        <w:t>44</w:t>
      </w:r>
      <w:r>
        <w:rPr/>
        <w:t>、其他流动负债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0"/>
        <w:ind w:left="152" w:right="153" w:firstLine="0"/>
        <w:jc w:val="left"/>
        <w:rPr>
          <w:rFonts w:ascii="宋体" w:hAnsi="宋体" w:cs="宋体" w:eastAsia="宋体" w:hint="default"/>
          <w:sz w:val="18"/>
          <w:szCs w:val="18"/>
        </w:rPr>
      </w:pPr>
      <w:r>
        <w:rPr>
          <w:rFonts w:ascii="宋体" w:hAnsi="宋体" w:cs="宋体" w:eastAsia="宋体" w:hint="default"/>
          <w:sz w:val="18"/>
          <w:szCs w:val="18"/>
        </w:rPr>
        <w:t>短期应付债券的增减变动：</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9"/>
        <w:gridCol w:w="797"/>
        <w:gridCol w:w="799"/>
        <w:gridCol w:w="797"/>
        <w:gridCol w:w="800"/>
        <w:gridCol w:w="798"/>
        <w:gridCol w:w="798"/>
        <w:gridCol w:w="799"/>
        <w:gridCol w:w="798"/>
        <w:gridCol w:w="797"/>
      </w:tblGrid>
      <w:tr>
        <w:trPr>
          <w:trHeight w:val="713"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4" w:right="32"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03" w:right="35"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153"/>
        <w:jc w:val="left"/>
        <w:rPr>
          <w:b w:val="0"/>
          <w:bCs w:val="0"/>
        </w:rPr>
      </w:pPr>
      <w:r>
        <w:rPr>
          <w:rFonts w:ascii="Times New Roman" w:hAnsi="Times New Roman" w:cs="Times New Roman" w:eastAsia="Times New Roman" w:hint="default"/>
        </w:rPr>
        <w:t>45</w:t>
      </w:r>
      <w:r>
        <w:rPr/>
        <w:t>、长期借款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360" w:lineRule="auto" w:before="49"/>
        <w:ind w:left="152" w:right="7614" w:firstLine="0"/>
        <w:jc w:val="left"/>
        <w:rPr>
          <w:rFonts w:ascii="宋体" w:hAnsi="宋体" w:cs="宋体" w:eastAsia="宋体" w:hint="default"/>
          <w:sz w:val="18"/>
          <w:szCs w:val="18"/>
        </w:rPr>
      </w:pPr>
      <w:r>
        <w:rPr>
          <w:rFonts w:ascii="宋体" w:hAnsi="宋体" w:cs="宋体" w:eastAsia="宋体" w:hint="default"/>
          <w:sz w:val="18"/>
          <w:szCs w:val="18"/>
        </w:rPr>
        <w:t>长期借款分类的说明： 其他说明，包括利率区间：</w:t>
      </w:r>
    </w:p>
    <w:p>
      <w:pPr>
        <w:spacing w:line="240" w:lineRule="auto" w:before="2"/>
        <w:rPr>
          <w:rFonts w:ascii="宋体" w:hAnsi="宋体" w:cs="宋体" w:eastAsia="宋体" w:hint="default"/>
          <w:sz w:val="20"/>
          <w:szCs w:val="20"/>
        </w:rPr>
      </w:pPr>
    </w:p>
    <w:p>
      <w:pPr>
        <w:pStyle w:val="Heading4"/>
        <w:spacing w:line="240" w:lineRule="auto"/>
        <w:ind w:right="153"/>
        <w:jc w:val="left"/>
        <w:rPr>
          <w:b w:val="0"/>
          <w:bCs w:val="0"/>
        </w:rPr>
      </w:pPr>
      <w:r>
        <w:rPr>
          <w:rFonts w:ascii="Times New Roman" w:hAnsi="Times New Roman" w:cs="Times New Roman" w:eastAsia="Times New Roman" w:hint="default"/>
        </w:rPr>
        <w:t>46</w:t>
      </w:r>
      <w:r>
        <w:rPr/>
        <w:t>、应付债券</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）应付债券</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800,000,000.00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利息调整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-2,319,152.35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-2,913,000.78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797,680,847.65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797,086,999.22</w:t>
            </w: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24"/>
          <w:szCs w:val="24"/>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980"/>
        </w:sectPr>
      </w:pPr>
    </w:p>
    <w:p>
      <w:pPr>
        <w:spacing w:line="360" w:lineRule="auto"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653" w:space="4176"/>
            <w:col w:w="112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066"/>
        <w:gridCol w:w="1064"/>
        <w:gridCol w:w="1063"/>
        <w:gridCol w:w="1064"/>
        <w:gridCol w:w="1063"/>
        <w:gridCol w:w="1061"/>
        <w:gridCol w:w="1064"/>
        <w:gridCol w:w="1061"/>
      </w:tblGrid>
      <w:tr>
        <w:trPr>
          <w:trHeight w:val="403"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67"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1"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其他金融工具划分为金融负债的依据说明</w:t>
      </w:r>
    </w:p>
    <w:p>
      <w:pPr>
        <w:spacing w:after="0"/>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9"/>
        <w:rPr>
          <w:rFonts w:ascii="宋体" w:hAnsi="宋体" w:cs="宋体" w:eastAsia="宋体" w:hint="default"/>
          <w:sz w:val="25"/>
          <w:szCs w:val="25"/>
        </w:rPr>
      </w:pPr>
    </w:p>
    <w:p>
      <w:pPr>
        <w:spacing w:before="44"/>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153"/>
        <w:jc w:val="left"/>
        <w:rPr>
          <w:b w:val="0"/>
          <w:bCs w:val="0"/>
        </w:rPr>
      </w:pPr>
      <w:r>
        <w:rPr>
          <w:rFonts w:ascii="Times New Roman" w:hAnsi="Times New Roman" w:cs="Times New Roman" w:eastAsia="Times New Roman" w:hint="default"/>
        </w:rPr>
        <w:t>47</w:t>
      </w:r>
      <w:r>
        <w:rPr/>
        <w:t>、长期应付款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153"/>
        <w:jc w:val="left"/>
        <w:rPr>
          <w:b w:val="0"/>
          <w:bCs w:val="0"/>
        </w:rPr>
      </w:pPr>
      <w:r>
        <w:rPr>
          <w:rFonts w:ascii="Times New Roman" w:hAnsi="Times New Roman" w:cs="Times New Roman" w:eastAsia="Times New Roman" w:hint="default"/>
        </w:rPr>
        <w:t>48</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）长期应付职工薪酬表</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12"/>
        <w:rPr>
          <w:rFonts w:ascii="宋体" w:hAnsi="宋体" w:cs="宋体" w:eastAsia="宋体" w:hint="default"/>
          <w:b/>
          <w:bCs/>
          <w:sz w:val="22"/>
          <w:szCs w:val="22"/>
        </w:rPr>
      </w:pPr>
    </w:p>
    <w:p>
      <w:pPr>
        <w:spacing w:before="44"/>
        <w:ind w:left="152" w:right="153" w:firstLine="0"/>
        <w:jc w:val="left"/>
        <w:rPr>
          <w:rFonts w:ascii="宋体" w:hAnsi="宋体" w:cs="宋体" w:eastAsia="宋体" w:hint="default"/>
          <w:sz w:val="18"/>
          <w:szCs w:val="18"/>
        </w:rPr>
      </w:pPr>
      <w:r>
        <w:rPr>
          <w:rFonts w:ascii="宋体" w:hAnsi="宋体" w:cs="宋体" w:eastAsia="宋体" w:hint="default"/>
          <w:sz w:val="18"/>
          <w:szCs w:val="18"/>
        </w:rPr>
        <w:t>设定受益计划义务现值：</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计划资产：</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设定受益计划净负债（净资产）</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360" w:lineRule="auto" w:before="49"/>
        <w:ind w:left="152" w:right="2574" w:firstLine="0"/>
        <w:jc w:val="left"/>
        <w:rPr>
          <w:rFonts w:ascii="宋体" w:hAnsi="宋体" w:cs="宋体" w:eastAsia="宋体" w:hint="default"/>
          <w:sz w:val="18"/>
          <w:szCs w:val="18"/>
        </w:rPr>
      </w:pPr>
      <w:r>
        <w:rPr>
          <w:rFonts w:ascii="宋体" w:hAnsi="宋体" w:cs="宋体" w:eastAsia="宋体" w:hint="default"/>
          <w:sz w:val="18"/>
          <w:szCs w:val="18"/>
        </w:rPr>
        <w:t>设定受益计划的内容及与之相关风险、对公司未来现金流量、时间和不确定性的影响说明： 设定受益计划重大精算假设及敏感性分析结果说明：</w:t>
      </w:r>
    </w:p>
    <w:p>
      <w:pPr>
        <w:spacing w:before="25"/>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153"/>
        <w:jc w:val="left"/>
        <w:rPr>
          <w:b w:val="0"/>
          <w:bCs w:val="0"/>
        </w:rPr>
      </w:pPr>
      <w:r>
        <w:rPr>
          <w:rFonts w:ascii="Times New Roman" w:hAnsi="Times New Roman" w:cs="Times New Roman" w:eastAsia="Times New Roman" w:hint="default"/>
        </w:rPr>
        <w:t>49</w:t>
      </w:r>
      <w:r>
        <w:rPr/>
        <w:t>、专项应付款</w:t>
      </w:r>
      <w:r>
        <w:rPr>
          <w:b w:val="0"/>
          <w:bCs w:val="0"/>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153"/>
        <w:jc w:val="left"/>
        <w:rPr>
          <w:b w:val="0"/>
          <w:bCs w:val="0"/>
        </w:rPr>
      </w:pPr>
      <w:r>
        <w:rPr>
          <w:rFonts w:ascii="Times New Roman" w:hAnsi="Times New Roman" w:cs="Times New Roman" w:eastAsia="Times New Roman" w:hint="default"/>
        </w:rPr>
        <w:t>50</w:t>
      </w:r>
      <w:r>
        <w:rPr/>
        <w:t>、预计负债</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87"/>
        <w:gridCol w:w="2397"/>
        <w:gridCol w:w="2392"/>
        <w:gridCol w:w="2381"/>
      </w:tblGrid>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其他说明，包括重要预计负债的相关重要假设、估计说明：</w:t>
      </w:r>
    </w:p>
    <w:p>
      <w:pPr>
        <w:spacing w:line="240" w:lineRule="auto" w:before="0"/>
        <w:rPr>
          <w:rFonts w:ascii="宋体" w:hAnsi="宋体" w:cs="宋体" w:eastAsia="宋体" w:hint="default"/>
          <w:sz w:val="18"/>
          <w:szCs w:val="18"/>
        </w:rPr>
      </w:pPr>
    </w:p>
    <w:p>
      <w:pPr>
        <w:pStyle w:val="Heading4"/>
        <w:spacing w:line="240" w:lineRule="auto" w:before="118"/>
        <w:ind w:right="153"/>
        <w:jc w:val="left"/>
        <w:rPr>
          <w:b w:val="0"/>
          <w:bCs w:val="0"/>
        </w:rPr>
      </w:pPr>
      <w:r>
        <w:rPr>
          <w:rFonts w:ascii="Times New Roman" w:hAnsi="Times New Roman" w:cs="Times New Roman" w:eastAsia="Times New Roman" w:hint="default"/>
        </w:rPr>
        <w:t>51</w:t>
      </w:r>
      <w:r>
        <w:rPr/>
        <w:t>、递延收益</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6"/>
        <w:gridCol w:w="1064"/>
        <w:gridCol w:w="1063"/>
        <w:gridCol w:w="1061"/>
        <w:gridCol w:w="1063"/>
        <w:gridCol w:w="1063"/>
        <w:gridCol w:w="1064"/>
        <w:gridCol w:w="1063"/>
      </w:tblGrid>
      <w:tr>
        <w:trPr>
          <w:trHeight w:val="1028"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6" w:right="75"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2"/>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2"/>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153"/>
        <w:jc w:val="left"/>
        <w:rPr>
          <w:b w:val="0"/>
          <w:bCs w:val="0"/>
        </w:rPr>
      </w:pPr>
      <w:r>
        <w:rPr>
          <w:rFonts w:ascii="Times New Roman" w:hAnsi="Times New Roman" w:cs="Times New Roman" w:eastAsia="Times New Roman" w:hint="default"/>
        </w:rPr>
        <w:t>52</w:t>
      </w:r>
      <w:r>
        <w:rPr/>
        <w:t>、其他非流动负债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704,583.33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799,583.33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704,583.33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799,583.33</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153"/>
        <w:jc w:val="left"/>
        <w:rPr>
          <w:b w:val="0"/>
          <w:bCs w:val="0"/>
        </w:rPr>
      </w:pPr>
      <w:r>
        <w:rPr>
          <w:rFonts w:ascii="Times New Roman" w:hAnsi="Times New Roman" w:cs="Times New Roman" w:eastAsia="Times New Roman" w:hint="default"/>
        </w:rPr>
        <w:t>53</w:t>
      </w:r>
      <w:r>
        <w:rPr/>
        <w:t>、股本</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8"/>
        <w:gridCol w:w="1196"/>
        <w:gridCol w:w="1195"/>
        <w:gridCol w:w="1198"/>
        <w:gridCol w:w="1195"/>
        <w:gridCol w:w="1196"/>
        <w:gridCol w:w="1198"/>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80"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0" w:type="dxa"/>
            <w:gridSpan w:val="5"/>
            <w:vMerge/>
            <w:tcBorders>
              <w:left w:val="single" w:sz="4" w:space="0" w:color="000000"/>
              <w:bottom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8"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717,327,642.00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172,117,039.00</w:t>
            </w:r>
          </w:p>
        </w:tc>
        <w:tc>
          <w:tcPr>
            <w:tcW w:w="1195" w:type="dxa"/>
            <w:vMerge w:val="restart"/>
            <w:tcBorders>
              <w:top w:val="single" w:sz="4" w:space="0" w:color="000000"/>
              <w:left w:val="single" w:sz="4" w:space="0" w:color="000000"/>
              <w:right w:val="single" w:sz="4" w:space="0" w:color="000000"/>
            </w:tcBorders>
          </w:tcPr>
          <w:p>
            <w:pP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266,833,404.00</w:t>
            </w:r>
          </w:p>
        </w:tc>
        <w:tc>
          <w:tcPr>
            <w:tcW w:w="1195"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438,950,443.00</w:t>
            </w: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1,156,278,085.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r>
      <w:tr>
        <w:trPr>
          <w:trHeight w:val="394" w:hRule="exact"/>
        </w:trPr>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vMerge/>
            <w:tcBorders>
              <w:left w:val="single" w:sz="9"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r>
      <w:tr>
        <w:trPr>
          <w:trHeight w:val="161"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vMerge/>
            <w:tcBorders>
              <w:left w:val="single" w:sz="9"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4"/>
        <w:ind w:right="153"/>
        <w:jc w:val="left"/>
      </w:pPr>
      <w:r>
        <w:rPr/>
        <w:t>根据</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10</w:t>
      </w:r>
      <w:r>
        <w:rPr/>
        <w:t>日公司收到中国证券监督管理委员会出具的《关于核准江苏双星彩塑新材料股份有限公</w:t>
      </w:r>
      <w:r>
        <w:rPr>
          <w:w w:val="100"/>
        </w:rPr>
        <w:t> </w:t>
      </w:r>
      <w:r>
        <w:rPr>
          <w:spacing w:val="-2"/>
        </w:rPr>
        <w:t>司非公开发行股票的批复》（证监许可〔</w:t>
      </w:r>
      <w:r>
        <w:rPr>
          <w:rFonts w:ascii="Times New Roman" w:hAnsi="Times New Roman" w:cs="Times New Roman" w:eastAsia="Times New Roman" w:hint="default"/>
          <w:spacing w:val="-2"/>
        </w:rPr>
        <w:t>2017</w:t>
      </w:r>
      <w:r>
        <w:rPr>
          <w:spacing w:val="-2"/>
        </w:rPr>
        <w:t>〕</w:t>
      </w:r>
      <w:r>
        <w:rPr>
          <w:rFonts w:ascii="Times New Roman" w:hAnsi="Times New Roman" w:cs="Times New Roman" w:eastAsia="Times New Roman" w:hint="default"/>
          <w:spacing w:val="-2"/>
        </w:rPr>
        <w:t>55</w:t>
      </w:r>
      <w:r>
        <w:rPr>
          <w:spacing w:val="-2"/>
        </w:rPr>
        <w:t>号，核准公司非公开发行不超过</w:t>
      </w:r>
      <w:r>
        <w:rPr>
          <w:rFonts w:ascii="Times New Roman" w:hAnsi="Times New Roman" w:cs="Times New Roman" w:eastAsia="Times New Roman" w:hint="default"/>
          <w:spacing w:val="-2"/>
        </w:rPr>
        <w:t>180,000,000</w:t>
      </w:r>
      <w:r>
        <w:rPr>
          <w:spacing w:val="-2"/>
        </w:rPr>
        <w:t>股新股。公</w:t>
      </w:r>
      <w:r>
        <w:rPr>
          <w:spacing w:val="-28"/>
        </w:rPr>
        <w:t> </w:t>
      </w:r>
      <w:r>
        <w:rPr>
          <w:spacing w:val="-28"/>
        </w:rPr>
      </w:r>
      <w:r>
        <w:rPr>
          <w:spacing w:val="-2"/>
        </w:rPr>
        <w:t>司本次非公开发行新增股份</w:t>
      </w:r>
      <w:r>
        <w:rPr>
          <w:rFonts w:ascii="Times New Roman" w:hAnsi="Times New Roman" w:cs="Times New Roman" w:eastAsia="Times New Roman" w:hint="default"/>
          <w:spacing w:val="-2"/>
        </w:rPr>
        <w:t>172,117,039</w:t>
      </w:r>
      <w:r>
        <w:rPr>
          <w:spacing w:val="-2"/>
        </w:rPr>
        <w:t>股，本次非公开发行新增股份后公司总股本为</w:t>
      </w:r>
      <w:r>
        <w:rPr>
          <w:rFonts w:ascii="Times New Roman" w:hAnsi="Times New Roman" w:cs="Times New Roman" w:eastAsia="Times New Roman" w:hint="default"/>
          <w:spacing w:val="-2"/>
        </w:rPr>
        <w:t>889,444,681</w:t>
      </w:r>
      <w:r>
        <w:rPr>
          <w:spacing w:val="-2"/>
        </w:rPr>
        <w:t>股。此次</w:t>
      </w:r>
      <w:r>
        <w:rPr>
          <w:spacing w:val="-20"/>
        </w:rPr>
        <w:t> </w:t>
      </w:r>
      <w:r>
        <w:rPr>
          <w:spacing w:val="-20"/>
        </w:rPr>
      </w:r>
      <w:r>
        <w:rPr/>
        <w:t>发行新股业经众华会计师事务所（特殊普通合伙）出具的众会字（</w:t>
      </w:r>
      <w:r>
        <w:rPr>
          <w:rFonts w:ascii="Times New Roman" w:hAnsi="Times New Roman" w:cs="Times New Roman" w:eastAsia="Times New Roman" w:hint="default"/>
        </w:rPr>
        <w:t>2017</w:t>
      </w:r>
      <w:r>
        <w:rPr/>
        <w:t>）第</w:t>
      </w:r>
      <w:r>
        <w:rPr>
          <w:rFonts w:ascii="Times New Roman" w:hAnsi="Times New Roman" w:cs="Times New Roman" w:eastAsia="Times New Roman" w:hint="default"/>
        </w:rPr>
        <w:t>2243</w:t>
      </w:r>
      <w:r>
        <w:rPr/>
        <w:t>号《验资报告》验证。</w:t>
      </w:r>
    </w:p>
    <w:p>
      <w:pPr>
        <w:pStyle w:val="BodyText"/>
        <w:spacing w:line="256" w:lineRule="auto" w:before="46"/>
        <w:ind w:right="148"/>
        <w:jc w:val="both"/>
      </w:pPr>
      <w:r>
        <w:rPr/>
        <w:t>根据</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日的</w:t>
      </w:r>
      <w:r>
        <w:rPr>
          <w:rFonts w:ascii="Times New Roman" w:hAnsi="Times New Roman" w:cs="Times New Roman" w:eastAsia="Times New Roman" w:hint="default"/>
        </w:rPr>
        <w:t>2016</w:t>
      </w:r>
      <w:r>
        <w:rPr/>
        <w:t>年年度股东大会决议和修改后章程的规定，贵公司申请新增的注册资本为人民</w:t>
      </w:r>
      <w:r>
        <w:rPr>
          <w:spacing w:val="-33"/>
        </w:rPr>
        <w:t> </w:t>
      </w:r>
      <w:r>
        <w:rPr>
          <w:spacing w:val="-33"/>
        </w:rPr>
      </w:r>
      <w:r>
        <w:rPr/>
        <w:t>币</w:t>
      </w:r>
      <w:r>
        <w:rPr>
          <w:rFonts w:ascii="Times New Roman" w:hAnsi="Times New Roman" w:cs="Times New Roman" w:eastAsia="Times New Roman" w:hint="default"/>
        </w:rPr>
        <w:t>266,833,404</w:t>
      </w:r>
      <w:r>
        <w:rPr/>
        <w:t>元，公司以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日的总股本</w:t>
      </w:r>
      <w:r>
        <w:rPr>
          <w:rFonts w:ascii="Times New Roman" w:hAnsi="Times New Roman" w:cs="Times New Roman" w:eastAsia="Times New Roman" w:hint="default"/>
        </w:rPr>
        <w:t>889,444,681</w:t>
      </w:r>
      <w:r>
        <w:rPr/>
        <w:t>股为基数，以资本公积向全体股东每</w:t>
      </w:r>
      <w:r>
        <w:rPr>
          <w:rFonts w:ascii="Times New Roman" w:hAnsi="Times New Roman" w:cs="Times New Roman" w:eastAsia="Times New Roman" w:hint="default"/>
        </w:rPr>
        <w:t>10</w:t>
      </w:r>
      <w:r>
        <w:rPr/>
        <w:t>股转</w:t>
      </w:r>
      <w:r>
        <w:rPr>
          <w:spacing w:val="-30"/>
        </w:rPr>
        <w:t> </w:t>
      </w:r>
      <w:r>
        <w:rPr>
          <w:spacing w:val="-3"/>
        </w:rPr>
        <w:t>增</w:t>
      </w:r>
      <w:r>
        <w:rPr>
          <w:rFonts w:ascii="Times New Roman" w:hAnsi="Times New Roman" w:cs="Times New Roman" w:eastAsia="Times New Roman" w:hint="default"/>
          <w:spacing w:val="-3"/>
        </w:rPr>
        <w:t>3</w:t>
      </w:r>
      <w:r>
        <w:rPr>
          <w:spacing w:val="-3"/>
        </w:rPr>
        <w:t>股，共计转增</w:t>
      </w:r>
      <w:r>
        <w:rPr>
          <w:rFonts w:ascii="Times New Roman" w:hAnsi="Times New Roman" w:cs="Times New Roman" w:eastAsia="Times New Roman" w:hint="default"/>
          <w:spacing w:val="-3"/>
        </w:rPr>
        <w:t>266,833,404</w:t>
      </w:r>
      <w:r>
        <w:rPr>
          <w:spacing w:val="-3"/>
        </w:rPr>
        <w:t>股。资本公积金转增股本实施后，公司股本总数为</w:t>
      </w:r>
      <w:r>
        <w:rPr>
          <w:rFonts w:ascii="Times New Roman" w:hAnsi="Times New Roman" w:cs="Times New Roman" w:eastAsia="Times New Roman" w:hint="default"/>
          <w:spacing w:val="-3"/>
        </w:rPr>
        <w:t>1,156,278,085</w:t>
      </w:r>
      <w:r>
        <w:rPr>
          <w:spacing w:val="-3"/>
        </w:rPr>
        <w:t>股，每股面值</w:t>
      </w:r>
      <w:r>
        <w:rPr>
          <w:spacing w:val="-9"/>
        </w:rPr>
        <w:t> </w:t>
      </w:r>
      <w:r>
        <w:rPr>
          <w:spacing w:val="-9"/>
        </w:rPr>
      </w:r>
      <w:r>
        <w:rPr>
          <w:rFonts w:ascii="Times New Roman" w:hAnsi="Times New Roman" w:cs="Times New Roman" w:eastAsia="Times New Roman" w:hint="default"/>
        </w:rPr>
        <w:t>1</w:t>
      </w:r>
      <w:r>
        <w:rPr>
          <w:rFonts w:ascii="Times New Roman" w:hAnsi="Times New Roman" w:cs="Times New Roman" w:eastAsia="Times New Roman" w:hint="default"/>
          <w:spacing w:val="-18"/>
        </w:rPr>
        <w:t> </w:t>
      </w:r>
      <w:r>
        <w:rPr/>
        <w:t>元</w:t>
      </w:r>
      <w:r>
        <w:rPr>
          <w:spacing w:val="-71"/>
        </w:rPr>
        <w:t> </w:t>
      </w:r>
      <w:r>
        <w:rPr/>
        <w:t>，</w:t>
      </w:r>
      <w:r>
        <w:rPr>
          <w:spacing w:val="-71"/>
        </w:rPr>
        <w:t> </w:t>
      </w:r>
      <w:r>
        <w:rPr/>
        <w:t>共</w:t>
      </w:r>
      <w:r>
        <w:rPr>
          <w:spacing w:val="-73"/>
        </w:rPr>
        <w:t> </w:t>
      </w:r>
      <w:r>
        <w:rPr/>
        <w:t>计</w:t>
      </w:r>
      <w:r>
        <w:rPr>
          <w:spacing w:val="-70"/>
        </w:rPr>
        <w:t> </w:t>
      </w:r>
      <w:r>
        <w:rPr>
          <w:rFonts w:ascii="Times New Roman" w:hAnsi="Times New Roman" w:cs="Times New Roman" w:eastAsia="Times New Roman" w:hint="default"/>
        </w:rPr>
        <w:t>1,156,278,085</w:t>
      </w:r>
      <w:r>
        <w:rPr>
          <w:rFonts w:ascii="Times New Roman" w:hAnsi="Times New Roman" w:cs="Times New Roman" w:eastAsia="Times New Roman" w:hint="default"/>
          <w:spacing w:val="-21"/>
        </w:rPr>
        <w:t> </w:t>
      </w:r>
      <w:r>
        <w:rPr/>
        <w:t>元</w:t>
      </w:r>
      <w:r>
        <w:rPr>
          <w:spacing w:val="-71"/>
        </w:rPr>
        <w:t> </w:t>
      </w:r>
      <w:r>
        <w:rPr/>
        <w:t>。</w:t>
      </w:r>
      <w:r>
        <w:rPr>
          <w:spacing w:val="-71"/>
        </w:rPr>
        <w:t> </w:t>
      </w:r>
      <w:r>
        <w:rPr/>
        <w:t>双</w:t>
      </w:r>
      <w:r>
        <w:rPr>
          <w:spacing w:val="-73"/>
        </w:rPr>
        <w:t> </w:t>
      </w:r>
      <w:r>
        <w:rPr/>
        <w:t>星</w:t>
      </w:r>
      <w:r>
        <w:rPr>
          <w:spacing w:val="-71"/>
        </w:rPr>
        <w:t> </w:t>
      </w:r>
      <w:r>
        <w:rPr/>
        <w:t>新</w:t>
      </w:r>
      <w:r>
        <w:rPr>
          <w:spacing w:val="-71"/>
        </w:rPr>
        <w:t> </w:t>
      </w:r>
      <w:r>
        <w:rPr/>
        <w:t>材</w:t>
      </w:r>
      <w:r>
        <w:rPr>
          <w:spacing w:val="-73"/>
        </w:rPr>
        <w:t> </w:t>
      </w:r>
      <w:r>
        <w:rPr/>
        <w:t>于</w:t>
      </w:r>
      <w:r>
        <w:rPr>
          <w:spacing w:val="-6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8"/>
        </w:rPr>
        <w:t> </w:t>
      </w:r>
      <w:r>
        <w:rPr/>
        <w:t>年</w:t>
      </w:r>
      <w:r>
        <w:rPr>
          <w:spacing w:val="-73"/>
        </w:rPr>
        <w:t> </w:t>
      </w:r>
      <w:r>
        <w:rPr>
          <w:rFonts w:ascii="Times New Roman" w:hAnsi="Times New Roman" w:cs="Times New Roman" w:eastAsia="Times New Roman" w:hint="default"/>
        </w:rPr>
        <w:t>8</w:t>
      </w:r>
      <w:r>
        <w:rPr>
          <w:rFonts w:ascii="Times New Roman" w:hAnsi="Times New Roman" w:cs="Times New Roman" w:eastAsia="Times New Roman" w:hint="default"/>
          <w:spacing w:val="-18"/>
        </w:rPr>
        <w:t> </w:t>
      </w:r>
      <w:r>
        <w:rPr/>
        <w:t>月</w:t>
      </w:r>
      <w:r>
        <w:rPr>
          <w:spacing w:val="-71"/>
        </w:rPr>
        <w:t> </w:t>
      </w:r>
      <w:r>
        <w:rPr>
          <w:rFonts w:ascii="Times New Roman" w:hAnsi="Times New Roman" w:cs="Times New Roman" w:eastAsia="Times New Roman" w:hint="default"/>
        </w:rPr>
        <w:t>8</w:t>
      </w:r>
      <w:r>
        <w:rPr>
          <w:rFonts w:ascii="Times New Roman" w:hAnsi="Times New Roman" w:cs="Times New Roman" w:eastAsia="Times New Roman" w:hint="default"/>
          <w:spacing w:val="-18"/>
        </w:rPr>
        <w:t> </w:t>
      </w:r>
      <w:r>
        <w:rPr/>
        <w:t>日</w:t>
      </w:r>
      <w:r>
        <w:rPr>
          <w:spacing w:val="-71"/>
        </w:rPr>
        <w:t> </w:t>
      </w:r>
      <w:r>
        <w:rPr/>
        <w:t>取</w:t>
      </w:r>
      <w:r>
        <w:rPr>
          <w:spacing w:val="-73"/>
        </w:rPr>
        <w:t> </w:t>
      </w:r>
      <w:r>
        <w:rPr/>
        <w:t>得</w:t>
      </w:r>
      <w:r>
        <w:rPr>
          <w:spacing w:val="-71"/>
        </w:rPr>
        <w:t> </w:t>
      </w:r>
      <w:r>
        <w:rPr/>
        <w:t>江</w:t>
      </w:r>
      <w:r>
        <w:rPr>
          <w:spacing w:val="-73"/>
        </w:rPr>
        <w:t> </w:t>
      </w:r>
      <w:r>
        <w:rPr/>
        <w:t>苏</w:t>
      </w:r>
      <w:r>
        <w:rPr>
          <w:spacing w:val="-71"/>
        </w:rPr>
        <w:t> </w:t>
      </w:r>
      <w:r>
        <w:rPr/>
        <w:t>省</w:t>
      </w:r>
      <w:r>
        <w:rPr>
          <w:spacing w:val="-71"/>
        </w:rPr>
        <w:t> </w:t>
      </w:r>
      <w:r>
        <w:rPr/>
        <w:t>宿</w:t>
      </w:r>
      <w:r>
        <w:rPr>
          <w:spacing w:val="-73"/>
        </w:rPr>
        <w:t> </w:t>
      </w:r>
      <w:r>
        <w:rPr/>
        <w:t>迁</w:t>
      </w:r>
      <w:r>
        <w:rPr>
          <w:spacing w:val="-71"/>
        </w:rPr>
        <w:t> </w:t>
      </w:r>
      <w:r>
        <w:rPr/>
        <w:t>工</w:t>
      </w:r>
      <w:r>
        <w:rPr>
          <w:spacing w:val="-71"/>
        </w:rPr>
        <w:t> </w:t>
      </w:r>
      <w:r>
        <w:rPr/>
        <w:t>商</w:t>
      </w:r>
      <w:r>
        <w:rPr>
          <w:spacing w:val="-73"/>
        </w:rPr>
        <w:t> </w:t>
      </w:r>
      <w:r>
        <w:rPr/>
        <w:t>行</w:t>
      </w:r>
      <w:r>
        <w:rPr>
          <w:spacing w:val="-71"/>
        </w:rPr>
        <w:t> </w:t>
      </w:r>
      <w:r>
        <w:rPr/>
        <w:t>政</w:t>
      </w:r>
      <w:r>
        <w:rPr>
          <w:spacing w:val="-71"/>
        </w:rPr>
        <w:t> </w:t>
      </w:r>
      <w:r>
        <w:rPr/>
        <w:t>管</w:t>
      </w:r>
      <w:r>
        <w:rPr>
          <w:spacing w:val="-73"/>
        </w:rPr>
        <w:t> </w:t>
      </w:r>
      <w:r>
        <w:rPr/>
        <w:t>理</w:t>
      </w:r>
      <w:r>
        <w:rPr>
          <w:spacing w:val="-71"/>
        </w:rPr>
        <w:t> </w:t>
      </w:r>
      <w:r>
        <w:rPr/>
        <w:t>局</w:t>
      </w:r>
      <w:r>
        <w:rPr>
          <w:spacing w:val="-71"/>
        </w:rPr>
        <w:t> </w:t>
      </w:r>
      <w:r>
        <w:rPr/>
        <w:t>核</w:t>
      </w:r>
      <w:r>
        <w:rPr>
          <w:spacing w:val="-73"/>
        </w:rPr>
        <w:t> </w:t>
      </w:r>
      <w:r>
        <w:rPr/>
        <w:t>发</w:t>
      </w:r>
      <w:r>
        <w:rPr>
          <w:spacing w:val="-73"/>
        </w:rPr>
        <w:t> </w:t>
      </w:r>
      <w:r>
        <w:rPr/>
        <w:t>的</w:t>
      </w:r>
    </w:p>
    <w:p>
      <w:pPr>
        <w:pStyle w:val="BodyText"/>
        <w:spacing w:line="240" w:lineRule="auto" w:before="5"/>
        <w:ind w:right="153"/>
        <w:jc w:val="left"/>
      </w:pPr>
      <w:r>
        <w:rPr>
          <w:rFonts w:ascii="Times New Roman" w:hAnsi="Times New Roman" w:cs="Times New Roman" w:eastAsia="Times New Roman" w:hint="default"/>
        </w:rPr>
        <w:t>913213001423289417</w:t>
      </w:r>
      <w:r>
        <w:rPr/>
        <w:t>号《营业执照》。</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153"/>
        <w:jc w:val="left"/>
        <w:rPr>
          <w:b w:val="0"/>
          <w:bCs w:val="0"/>
        </w:rPr>
      </w:pPr>
      <w:r>
        <w:rPr>
          <w:rFonts w:ascii="Times New Roman" w:hAnsi="Times New Roman" w:cs="Times New Roman" w:eastAsia="Times New Roman" w:hint="default"/>
        </w:rPr>
        <w:t>54</w:t>
      </w:r>
      <w:r>
        <w:rPr/>
        <w:t>、其他权益工具</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066"/>
        <w:gridCol w:w="1064"/>
        <w:gridCol w:w="1063"/>
        <w:gridCol w:w="1064"/>
        <w:gridCol w:w="1063"/>
        <w:gridCol w:w="1061"/>
        <w:gridCol w:w="1064"/>
        <w:gridCol w:w="1061"/>
      </w:tblGrid>
      <w:tr>
        <w:trPr>
          <w:trHeight w:val="403"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67"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1"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60" w:lineRule="auto" w:before="49"/>
        <w:ind w:left="152" w:right="3654" w:firstLine="0"/>
        <w:jc w:val="left"/>
        <w:rPr>
          <w:rFonts w:ascii="宋体" w:hAnsi="宋体" w:cs="宋体" w:eastAsia="宋体" w:hint="default"/>
          <w:sz w:val="18"/>
          <w:szCs w:val="18"/>
        </w:rPr>
      </w:pPr>
      <w:r>
        <w:rPr>
          <w:rFonts w:ascii="宋体" w:hAnsi="宋体" w:cs="宋体" w:eastAsia="宋体" w:hint="default"/>
          <w:sz w:val="18"/>
          <w:szCs w:val="18"/>
        </w:rPr>
        <w:t>其他权益工具本期增减变动情况、变动原因说明，以及相关会计处理的依据： 其他说明：</w:t>
      </w:r>
    </w:p>
    <w:p>
      <w:pPr>
        <w:spacing w:line="240" w:lineRule="auto" w:before="2"/>
        <w:rPr>
          <w:rFonts w:ascii="宋体" w:hAnsi="宋体" w:cs="宋体" w:eastAsia="宋体" w:hint="default"/>
          <w:sz w:val="20"/>
          <w:szCs w:val="20"/>
        </w:rPr>
      </w:pPr>
    </w:p>
    <w:p>
      <w:pPr>
        <w:pStyle w:val="Heading4"/>
        <w:spacing w:line="240" w:lineRule="auto"/>
        <w:ind w:right="153"/>
        <w:jc w:val="left"/>
        <w:rPr>
          <w:b w:val="0"/>
          <w:bCs w:val="0"/>
        </w:rPr>
      </w:pPr>
      <w:r>
        <w:rPr>
          <w:rFonts w:ascii="Times New Roman" w:hAnsi="Times New Roman" w:cs="Times New Roman" w:eastAsia="Times New Roman" w:hint="default"/>
        </w:rPr>
        <w:t>55</w:t>
      </w:r>
      <w:r>
        <w:rPr/>
        <w:t>、资本公积</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left="623" w:right="0"/>
              <w:jc w:val="left"/>
              <w:rPr>
                <w:rFonts w:ascii="Times New Roman" w:hAnsi="Times New Roman" w:cs="Times New Roman" w:eastAsia="Times New Roman" w:hint="default"/>
                <w:sz w:val="18"/>
                <w:szCs w:val="18"/>
              </w:rPr>
            </w:pPr>
            <w:r>
              <w:rPr>
                <w:rFonts w:ascii="Times New Roman"/>
                <w:sz w:val="18"/>
              </w:rPr>
              <w:t>3,636,738,551.32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1,797,189,610.81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266,833,404.00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5,167,094,758.13</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18,450,677.58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18,450,677.58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left="623" w:right="0"/>
              <w:jc w:val="left"/>
              <w:rPr>
                <w:rFonts w:ascii="Times New Roman" w:hAnsi="Times New Roman" w:cs="Times New Roman" w:eastAsia="Times New Roman" w:hint="default"/>
                <w:sz w:val="18"/>
                <w:szCs w:val="18"/>
              </w:rPr>
            </w:pPr>
            <w:r>
              <w:rPr>
                <w:rFonts w:ascii="Times New Roman"/>
                <w:sz w:val="18"/>
              </w:rPr>
              <w:t>3,636,738,551.32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1,815,640,288.39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266,833,404.00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5,185,545,435.71</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pStyle w:val="BodyText"/>
        <w:spacing w:line="256" w:lineRule="auto" w:before="94"/>
        <w:ind w:right="153"/>
        <w:jc w:val="left"/>
      </w:pPr>
      <w:r>
        <w:rPr/>
        <w:t>根据双星新材</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18</w:t>
      </w:r>
      <w:r>
        <w:rPr/>
        <w:t>日公司第二届董事会第二十次会议、于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8</w:t>
      </w:r>
      <w:r>
        <w:rPr/>
        <w:t>日</w:t>
      </w:r>
      <w:r>
        <w:rPr>
          <w:rFonts w:ascii="Times New Roman" w:hAnsi="Times New Roman" w:cs="Times New Roman" w:eastAsia="Times New Roman" w:hint="default"/>
        </w:rPr>
        <w:t>2015</w:t>
      </w:r>
      <w:r>
        <w:rPr/>
        <w:t>年第二次临时股东</w:t>
      </w:r>
      <w:r>
        <w:rPr>
          <w:w w:val="100"/>
        </w:rPr>
        <w:t> </w:t>
      </w:r>
      <w:r>
        <w:rPr/>
        <w:t>大会、于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18</w:t>
      </w:r>
      <w:r>
        <w:rPr/>
        <w:t>日公司第三届董事会第二次会议、于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w:t>
      </w:r>
      <w:r>
        <w:rPr/>
        <w:t>日</w:t>
      </w:r>
      <w:r>
        <w:rPr>
          <w:rFonts w:ascii="Times New Roman" w:hAnsi="Times New Roman" w:cs="Times New Roman" w:eastAsia="Times New Roman" w:hint="default"/>
        </w:rPr>
        <w:t>2016</w:t>
      </w:r>
      <w:r>
        <w:rPr/>
        <w:t>年第二次临时股东大会审议</w:t>
      </w:r>
      <w:r>
        <w:rPr>
          <w:w w:val="100"/>
        </w:rPr>
        <w:t> </w:t>
      </w:r>
      <w:r>
        <w:rPr>
          <w:spacing w:val="-4"/>
        </w:rPr>
        <w:t>通过，并经中国证券监督管理委员会</w:t>
      </w:r>
      <w:r>
        <w:rPr>
          <w:rFonts w:ascii="Times New Roman" w:hAnsi="Times New Roman" w:cs="Times New Roman" w:eastAsia="Times New Roman" w:hint="default"/>
          <w:spacing w:val="-4"/>
        </w:rPr>
        <w:t>“</w:t>
      </w:r>
      <w:r>
        <w:rPr>
          <w:spacing w:val="-4"/>
        </w:rPr>
        <w:t>证监许可【</w:t>
      </w:r>
      <w:r>
        <w:rPr>
          <w:rFonts w:ascii="Times New Roman" w:hAnsi="Times New Roman" w:cs="Times New Roman" w:eastAsia="Times New Roman" w:hint="default"/>
          <w:spacing w:val="-4"/>
        </w:rPr>
        <w:t>2017</w:t>
      </w:r>
      <w:r>
        <w:rPr>
          <w:spacing w:val="-4"/>
        </w:rPr>
        <w:t>】</w:t>
      </w:r>
      <w:r>
        <w:rPr>
          <w:rFonts w:ascii="Times New Roman" w:hAnsi="Times New Roman" w:cs="Times New Roman" w:eastAsia="Times New Roman" w:hint="default"/>
          <w:spacing w:val="-4"/>
        </w:rPr>
        <w:t>55</w:t>
      </w:r>
      <w:r>
        <w:rPr>
          <w:spacing w:val="-4"/>
        </w:rPr>
        <w:t>号</w:t>
      </w:r>
      <w:r>
        <w:rPr>
          <w:rFonts w:ascii="Times New Roman" w:hAnsi="Times New Roman" w:cs="Times New Roman" w:eastAsia="Times New Roman" w:hint="default"/>
          <w:spacing w:val="-4"/>
        </w:rPr>
        <w:t>” </w:t>
      </w:r>
      <w:r>
        <w:rPr/>
        <w:t>《关于核准江苏双星彩塑新材料股份有限公</w:t>
      </w:r>
      <w:r>
        <w:rPr>
          <w:spacing w:val="-89"/>
        </w:rPr>
        <w:t> </w:t>
      </w:r>
      <w:r>
        <w:rPr>
          <w:spacing w:val="-89"/>
        </w:rPr>
      </w:r>
      <w:r>
        <w:rPr>
          <w:spacing w:val="-3"/>
        </w:rPr>
        <w:t>司非公开发行股票的批复》核准，双星新材拟非公开发行不超过</w:t>
      </w:r>
      <w:r>
        <w:rPr>
          <w:rFonts w:ascii="Times New Roman" w:hAnsi="Times New Roman" w:cs="Times New Roman" w:eastAsia="Times New Roman" w:hint="default"/>
          <w:spacing w:val="-3"/>
        </w:rPr>
        <w:t>18,000</w:t>
      </w:r>
      <w:r>
        <w:rPr>
          <w:spacing w:val="-3"/>
        </w:rPr>
        <w:t>万股的人民币普通股</w:t>
      </w:r>
      <w:r>
        <w:rPr>
          <w:rFonts w:ascii="Times New Roman" w:hAnsi="Times New Roman" w:cs="Times New Roman" w:eastAsia="Times New Roman" w:hint="default"/>
          <w:spacing w:val="-3"/>
        </w:rPr>
        <w:t>(A</w:t>
      </w:r>
      <w:r>
        <w:rPr>
          <w:spacing w:val="-3"/>
        </w:rPr>
        <w:t>股</w:t>
      </w:r>
      <w:r>
        <w:rPr>
          <w:rFonts w:ascii="Times New Roman" w:hAnsi="Times New Roman" w:cs="Times New Roman" w:eastAsia="Times New Roman" w:hint="default"/>
          <w:spacing w:val="-3"/>
        </w:rPr>
        <w:t>)</w:t>
      </w:r>
      <w:r>
        <w:rPr>
          <w:spacing w:val="-3"/>
        </w:rPr>
        <w:t>。公司本</w:t>
      </w:r>
      <w:r>
        <w:rPr>
          <w:spacing w:val="-15"/>
        </w:rPr>
        <w:t> </w:t>
      </w:r>
      <w:r>
        <w:rPr>
          <w:spacing w:val="-15"/>
        </w:rPr>
      </w:r>
      <w:r>
        <w:rPr>
          <w:spacing w:val="-2"/>
        </w:rPr>
        <w:t>次非公开发行新增股份</w:t>
      </w:r>
      <w:r>
        <w:rPr>
          <w:rFonts w:ascii="Times New Roman" w:hAnsi="Times New Roman" w:cs="Times New Roman" w:eastAsia="Times New Roman" w:hint="default"/>
          <w:spacing w:val="-2"/>
        </w:rPr>
        <w:t>172,117,039</w:t>
      </w:r>
      <w:r>
        <w:rPr>
          <w:spacing w:val="-2"/>
        </w:rPr>
        <w:t>股，发行新增股份后公司总股本为</w:t>
      </w:r>
      <w:r>
        <w:rPr>
          <w:rFonts w:ascii="Times New Roman" w:hAnsi="Times New Roman" w:cs="Times New Roman" w:eastAsia="Times New Roman" w:hint="default"/>
          <w:spacing w:val="-2"/>
        </w:rPr>
        <w:t>889,444,681</w:t>
      </w:r>
      <w:r>
        <w:rPr>
          <w:spacing w:val="-2"/>
        </w:rPr>
        <w:t>股。此次非公开发行股票</w:t>
      </w:r>
      <w:r>
        <w:rPr>
          <w:spacing w:val="-23"/>
        </w:rPr>
        <w:t> </w:t>
      </w:r>
      <w:r>
        <w:rPr>
          <w:spacing w:val="-23"/>
        </w:rPr>
      </w:r>
      <w:r>
        <w:rPr>
          <w:spacing w:val="-3"/>
        </w:rPr>
        <w:t>募集资金净额为人民币</w:t>
      </w:r>
      <w:r>
        <w:rPr>
          <w:rFonts w:ascii="Times New Roman" w:hAnsi="Times New Roman" w:cs="Times New Roman" w:eastAsia="Times New Roman" w:hint="default"/>
          <w:spacing w:val="-3"/>
        </w:rPr>
        <w:t>1,967,572,876.23</w:t>
      </w:r>
      <w:r>
        <w:rPr>
          <w:spacing w:val="-3"/>
        </w:rPr>
        <w:t>元，其中：新增注册资本人民币</w:t>
      </w:r>
      <w:r>
        <w:rPr>
          <w:rFonts w:ascii="Times New Roman" w:hAnsi="Times New Roman" w:cs="Times New Roman" w:eastAsia="Times New Roman" w:hint="default"/>
          <w:spacing w:val="-3"/>
        </w:rPr>
        <w:t>172,117,039.00</w:t>
      </w:r>
      <w:r>
        <w:rPr>
          <w:spacing w:val="-3"/>
        </w:rPr>
        <w:t>元，增加其他流动资</w:t>
      </w:r>
      <w:r>
        <w:rPr>
          <w:spacing w:val="-4"/>
        </w:rPr>
        <w:t> </w:t>
      </w:r>
      <w:r>
        <w:rPr>
          <w:spacing w:val="-4"/>
        </w:rPr>
      </w:r>
      <w:r>
        <w:rPr>
          <w:spacing w:val="-3"/>
        </w:rPr>
        <w:t>产（待抵扣进项税）人民币</w:t>
      </w:r>
      <w:r>
        <w:rPr>
          <w:rFonts w:ascii="Times New Roman" w:hAnsi="Times New Roman" w:cs="Times New Roman" w:eastAsia="Times New Roman" w:hint="default"/>
          <w:spacing w:val="-3"/>
        </w:rPr>
        <w:t>1,733,773.58</w:t>
      </w:r>
      <w:r>
        <w:rPr>
          <w:spacing w:val="-3"/>
        </w:rPr>
        <w:t>元，增加资本公积人民币</w:t>
      </w:r>
      <w:r>
        <w:rPr>
          <w:rFonts w:ascii="Times New Roman" w:hAnsi="Times New Roman" w:cs="Times New Roman" w:eastAsia="Times New Roman" w:hint="default"/>
          <w:spacing w:val="-3"/>
        </w:rPr>
        <w:t>1,797,189,610.81</w:t>
      </w:r>
      <w:r>
        <w:rPr>
          <w:spacing w:val="-3"/>
        </w:rPr>
        <w:t>元。此次发行新股业经众</w:t>
      </w:r>
      <w:r>
        <w:rPr>
          <w:spacing w:val="-10"/>
        </w:rPr>
        <w:t> </w:t>
      </w:r>
      <w:r>
        <w:rPr>
          <w:spacing w:val="-10"/>
        </w:rPr>
      </w:r>
      <w:r>
        <w:rPr/>
        <w:t>华会计师事务所（特殊普通合伙）出具的众会字</w:t>
      </w:r>
      <w:r>
        <w:rPr>
          <w:rFonts w:ascii="Times New Roman" w:hAnsi="Times New Roman" w:cs="Times New Roman" w:eastAsia="Times New Roman" w:hint="default"/>
        </w:rPr>
        <w:t>(2017)</w:t>
      </w:r>
      <w:r>
        <w:rPr/>
        <w:t>第</w:t>
      </w:r>
      <w:r>
        <w:rPr>
          <w:rFonts w:ascii="Times New Roman" w:hAnsi="Times New Roman" w:cs="Times New Roman" w:eastAsia="Times New Roman" w:hint="default"/>
        </w:rPr>
        <w:t>2244</w:t>
      </w:r>
      <w:r>
        <w:rPr/>
        <w:t>号《验资报告》验证。</w:t>
      </w:r>
    </w:p>
    <w:p>
      <w:pPr>
        <w:pStyle w:val="BodyText"/>
        <w:spacing w:line="256" w:lineRule="auto" w:before="46"/>
        <w:ind w:right="146"/>
        <w:jc w:val="left"/>
      </w:pPr>
      <w:r>
        <w:rPr/>
        <w:t>根据</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w:t>
      </w:r>
      <w:r>
        <w:rPr>
          <w:spacing w:val="-32"/>
        </w:rPr>
        <w:t> </w:t>
      </w:r>
      <w:r>
        <w:rPr/>
        <w:t>的</w:t>
      </w:r>
      <w:r>
        <w:rPr>
          <w:rFonts w:ascii="Times New Roman" w:hAnsi="Times New Roman" w:cs="Times New Roman" w:eastAsia="Times New Roman" w:hint="default"/>
        </w:rPr>
        <w:t>2016</w:t>
      </w:r>
      <w:r>
        <w:rPr/>
        <w:t>年年度股东大会决议和修改后章程的规定，贵公司申请新增的注册资本为人民</w:t>
      </w:r>
      <w:r>
        <w:rPr>
          <w:w w:val="100"/>
        </w:rPr>
        <w:t> </w:t>
      </w:r>
      <w:r>
        <w:rPr/>
        <w:t>币</w:t>
      </w:r>
      <w:r>
        <w:rPr>
          <w:rFonts w:ascii="Times New Roman" w:hAnsi="Times New Roman" w:cs="Times New Roman" w:eastAsia="Times New Roman" w:hint="default"/>
        </w:rPr>
        <w:t>266,833,404</w:t>
      </w:r>
      <w:r>
        <w:rPr/>
        <w:t>元，公司以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日的总股本</w:t>
      </w:r>
      <w:r>
        <w:rPr>
          <w:rFonts w:ascii="Times New Roman" w:hAnsi="Times New Roman" w:cs="Times New Roman" w:eastAsia="Times New Roman" w:hint="default"/>
        </w:rPr>
        <w:t>889,444,681</w:t>
      </w:r>
      <w:r>
        <w:rPr/>
        <w:t>股为基数，以资本公积向全体股东每</w:t>
      </w:r>
      <w:r>
        <w:rPr>
          <w:rFonts w:ascii="Times New Roman" w:hAnsi="Times New Roman" w:cs="Times New Roman" w:eastAsia="Times New Roman" w:hint="default"/>
        </w:rPr>
        <w:t>10</w:t>
      </w:r>
      <w:r>
        <w:rPr/>
        <w:t>股转</w:t>
      </w:r>
      <w:r>
        <w:rPr>
          <w:w w:val="100"/>
        </w:rPr>
        <w:t> </w:t>
      </w:r>
      <w:r>
        <w:rPr>
          <w:spacing w:val="-3"/>
        </w:rPr>
        <w:t>增</w:t>
      </w:r>
      <w:r>
        <w:rPr>
          <w:rFonts w:ascii="Times New Roman" w:hAnsi="Times New Roman" w:cs="Times New Roman" w:eastAsia="Times New Roman" w:hint="default"/>
          <w:spacing w:val="-3"/>
        </w:rPr>
        <w:t>3</w:t>
      </w:r>
      <w:r>
        <w:rPr>
          <w:spacing w:val="-3"/>
        </w:rPr>
        <w:t>股，共计转增</w:t>
      </w:r>
      <w:r>
        <w:rPr>
          <w:rFonts w:ascii="Times New Roman" w:hAnsi="Times New Roman" w:cs="Times New Roman" w:eastAsia="Times New Roman" w:hint="default"/>
          <w:spacing w:val="-3"/>
        </w:rPr>
        <w:t>266,833,404</w:t>
      </w:r>
      <w:r>
        <w:rPr>
          <w:spacing w:val="-3"/>
        </w:rPr>
        <w:t>股。资本公积金转增股本实施后，公司股本总数为</w:t>
      </w:r>
      <w:r>
        <w:rPr>
          <w:rFonts w:ascii="Times New Roman" w:hAnsi="Times New Roman" w:cs="Times New Roman" w:eastAsia="Times New Roman" w:hint="default"/>
          <w:spacing w:val="-3"/>
        </w:rPr>
        <w:t>1,156,278,085</w:t>
      </w:r>
      <w:r>
        <w:rPr>
          <w:spacing w:val="-3"/>
        </w:rPr>
        <w:t>股，每股面值</w:t>
      </w:r>
      <w:r>
        <w:rPr>
          <w:spacing w:val="-9"/>
        </w:rPr>
        <w:t> </w:t>
      </w:r>
      <w:r>
        <w:rPr>
          <w:spacing w:val="-9"/>
        </w:rPr>
      </w:r>
      <w:r>
        <w:rPr>
          <w:rFonts w:ascii="Times New Roman" w:hAnsi="Times New Roman" w:cs="Times New Roman" w:eastAsia="Times New Roman" w:hint="default"/>
        </w:rPr>
        <w:t>1</w:t>
      </w:r>
      <w:r>
        <w:rPr/>
        <w:t>元，共计</w:t>
      </w:r>
      <w:r>
        <w:rPr>
          <w:rFonts w:ascii="Times New Roman" w:hAnsi="Times New Roman" w:cs="Times New Roman" w:eastAsia="Times New Roman" w:hint="default"/>
        </w:rPr>
        <w:t>1,156,278,085</w:t>
      </w:r>
      <w:r>
        <w:rPr/>
        <w:t>元。双星新材于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8</w:t>
      </w:r>
      <w:r>
        <w:rPr/>
        <w:t>日取得江苏省宿迁工商行政管理局核发的</w:t>
      </w:r>
    </w:p>
    <w:p>
      <w:pPr>
        <w:pStyle w:val="BodyText"/>
        <w:spacing w:line="240" w:lineRule="auto" w:before="5"/>
        <w:ind w:right="153"/>
        <w:jc w:val="left"/>
      </w:pPr>
      <w:r>
        <w:rPr>
          <w:rFonts w:ascii="Times New Roman" w:hAnsi="Times New Roman" w:cs="Times New Roman" w:eastAsia="Times New Roman" w:hint="default"/>
        </w:rPr>
        <w:t>913213001423289417</w:t>
      </w:r>
      <w:r>
        <w:rPr/>
        <w:t>号《营业执照》。</w:t>
      </w:r>
    </w:p>
    <w:p>
      <w:pPr>
        <w:spacing w:line="240" w:lineRule="auto" w:before="7"/>
        <w:rPr>
          <w:rFonts w:ascii="宋体" w:hAnsi="宋体" w:cs="宋体" w:eastAsia="宋体" w:hint="default"/>
          <w:sz w:val="24"/>
          <w:szCs w:val="24"/>
        </w:rPr>
      </w:pPr>
    </w:p>
    <w:p>
      <w:pPr>
        <w:pStyle w:val="Heading4"/>
        <w:spacing w:line="240" w:lineRule="auto"/>
        <w:ind w:right="153"/>
        <w:jc w:val="left"/>
        <w:rPr>
          <w:b w:val="0"/>
          <w:bCs w:val="0"/>
        </w:rPr>
      </w:pPr>
      <w:r>
        <w:rPr>
          <w:rFonts w:ascii="Times New Roman" w:hAnsi="Times New Roman" w:cs="Times New Roman" w:eastAsia="Times New Roman" w:hint="default"/>
        </w:rPr>
        <w:t>56</w:t>
      </w:r>
      <w:r>
        <w:rPr/>
        <w:t>、库存股</w:t>
      </w:r>
      <w:r>
        <w:rPr>
          <w:b w:val="0"/>
          <w:bCs w:val="0"/>
        </w:rPr>
      </w:r>
    </w:p>
    <w:p>
      <w:pPr>
        <w:spacing w:line="240" w:lineRule="auto" w:before="5"/>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after="0"/>
        <w:jc w:val="left"/>
        <w:rPr>
          <w:rFonts w:ascii="宋体" w:hAnsi="宋体" w:cs="宋体" w:eastAsia="宋体" w:hint="default"/>
          <w:sz w:val="18"/>
          <w:szCs w:val="18"/>
        </w:rPr>
        <w:sectPr>
          <w:footerReference w:type="default" r:id="rId17"/>
          <w:pgSz w:w="11910" w:h="16840"/>
          <w:pgMar w:footer="980" w:header="745" w:top="1060" w:bottom="1160" w:left="980" w:right="980"/>
          <w:pgNumType w:start="120"/>
        </w:sectPr>
      </w:pPr>
    </w:p>
    <w:p>
      <w:pPr>
        <w:spacing w:line="240" w:lineRule="auto" w:before="10"/>
        <w:rPr>
          <w:rFonts w:ascii="宋体" w:hAnsi="宋体" w:cs="宋体" w:eastAsia="宋体" w:hint="default"/>
          <w:sz w:val="24"/>
          <w:szCs w:val="24"/>
        </w:rPr>
      </w:pPr>
    </w:p>
    <w:p>
      <w:pPr>
        <w:pStyle w:val="Heading4"/>
        <w:spacing w:line="240" w:lineRule="auto" w:before="36"/>
        <w:ind w:right="153"/>
        <w:jc w:val="left"/>
        <w:rPr>
          <w:b w:val="0"/>
          <w:bCs w:val="0"/>
        </w:rPr>
      </w:pPr>
      <w:r>
        <w:rPr>
          <w:rFonts w:ascii="Times New Roman" w:hAnsi="Times New Roman" w:cs="Times New Roman" w:eastAsia="Times New Roman" w:hint="default"/>
        </w:rPr>
        <w:t>57</w:t>
      </w:r>
      <w:r>
        <w:rPr/>
        <w:t>、其他综合收益</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10"/>
        <w:gridCol w:w="1068"/>
        <w:gridCol w:w="936"/>
        <w:gridCol w:w="1152"/>
        <w:gridCol w:w="934"/>
        <w:gridCol w:w="937"/>
        <w:gridCol w:w="936"/>
        <w:gridCol w:w="799"/>
      </w:tblGrid>
      <w:tr>
        <w:trPr>
          <w:trHeight w:val="403" w:hRule="exact"/>
        </w:trPr>
        <w:tc>
          <w:tcPr>
            <w:tcW w:w="28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5" w:hRule="exact"/>
        </w:trPr>
        <w:tc>
          <w:tcPr>
            <w:tcW w:w="2810" w:type="dxa"/>
            <w:vMerge/>
            <w:tcBorders>
              <w:left w:val="single" w:sz="4" w:space="0" w:color="000000"/>
              <w:bottom w:val="single" w:sz="4" w:space="0" w:color="000000"/>
              <w:right w:val="single" w:sz="4" w:space="0" w:color="000000"/>
            </w:tcBorders>
            <w:shd w:val="clear" w:color="auto" w:fill="D2D2D2"/>
          </w:tcPr>
          <w:p>
            <w:pPr/>
          </w:p>
        </w:tc>
        <w:tc>
          <w:tcPr>
            <w:tcW w:w="1068" w:type="dxa"/>
            <w:vMerge/>
            <w:tcBorders>
              <w:left w:val="single" w:sz="4" w:space="0" w:color="000000"/>
              <w:bottom w:val="single" w:sz="4" w:space="0" w:color="000000"/>
              <w:right w:val="single" w:sz="4" w:space="0" w:color="000000"/>
            </w:tcBorders>
            <w:shd w:val="clear" w:color="auto" w:fill="D2D2D2"/>
          </w:tcPr>
          <w:p>
            <w:pP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83" w:right="19"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5" w:right="99"/>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5" w:right="98"/>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9" w:type="dxa"/>
            <w:vMerge/>
            <w:tcBorders>
              <w:left w:val="single" w:sz="4" w:space="0" w:color="000000"/>
              <w:bottom w:val="single" w:sz="4" w:space="0" w:color="000000"/>
              <w:right w:val="single" w:sz="4" w:space="0" w:color="000000"/>
            </w:tcBorders>
            <w:shd w:val="clear" w:color="auto" w:fill="D2D2D2"/>
          </w:tcPr>
          <w:p>
            <w:pP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其他说明，包括对现金流量套期损益的有效部分转为被套期项目初始确认金额调整：</w:t>
      </w:r>
    </w:p>
    <w:p>
      <w:pPr>
        <w:spacing w:line="240" w:lineRule="auto" w:before="0"/>
        <w:rPr>
          <w:rFonts w:ascii="宋体" w:hAnsi="宋体" w:cs="宋体" w:eastAsia="宋体" w:hint="default"/>
          <w:sz w:val="18"/>
          <w:szCs w:val="18"/>
        </w:rPr>
      </w:pPr>
    </w:p>
    <w:p>
      <w:pPr>
        <w:pStyle w:val="Heading4"/>
        <w:spacing w:line="240" w:lineRule="auto" w:before="120"/>
        <w:ind w:right="153"/>
        <w:jc w:val="left"/>
        <w:rPr>
          <w:b w:val="0"/>
          <w:bCs w:val="0"/>
        </w:rPr>
      </w:pPr>
      <w:r>
        <w:rPr>
          <w:rFonts w:ascii="Times New Roman" w:hAnsi="Times New Roman" w:cs="Times New Roman" w:eastAsia="Times New Roman" w:hint="default"/>
        </w:rPr>
        <w:t>58</w:t>
      </w:r>
      <w:r>
        <w:rPr/>
        <w:t>、专项储备</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0"/>
        <w:rPr>
          <w:rFonts w:ascii="宋体" w:hAnsi="宋体" w:cs="宋体" w:eastAsia="宋体" w:hint="default"/>
          <w:sz w:val="18"/>
          <w:szCs w:val="18"/>
        </w:rPr>
      </w:pPr>
    </w:p>
    <w:p>
      <w:pPr>
        <w:pStyle w:val="Heading4"/>
        <w:spacing w:line="240" w:lineRule="auto" w:before="118"/>
        <w:ind w:right="153"/>
        <w:jc w:val="left"/>
        <w:rPr>
          <w:b w:val="0"/>
          <w:bCs w:val="0"/>
        </w:rPr>
      </w:pPr>
      <w:r>
        <w:rPr>
          <w:rFonts w:ascii="Times New Roman" w:hAnsi="Times New Roman" w:cs="Times New Roman" w:eastAsia="Times New Roman" w:hint="default"/>
        </w:rPr>
        <w:t>59</w:t>
      </w:r>
      <w:r>
        <w:rPr/>
        <w:t>、盈余公积</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120,475,502.18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7,219,433.80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127,694,935.98</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7,715,823.92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7,715,823.92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128,191,326.10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7,219,433.80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135,410,759.90</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spacing w:line="240" w:lineRule="auto" w:before="0"/>
        <w:rPr>
          <w:rFonts w:ascii="宋体" w:hAnsi="宋体" w:cs="宋体" w:eastAsia="宋体" w:hint="default"/>
          <w:sz w:val="18"/>
          <w:szCs w:val="18"/>
        </w:rPr>
      </w:pPr>
    </w:p>
    <w:p>
      <w:pPr>
        <w:pStyle w:val="Heading4"/>
        <w:spacing w:line="240" w:lineRule="auto" w:before="118"/>
        <w:ind w:right="153"/>
        <w:jc w:val="left"/>
        <w:rPr>
          <w:b w:val="0"/>
          <w:bCs w:val="0"/>
        </w:rPr>
      </w:pPr>
      <w:r>
        <w:rPr>
          <w:rFonts w:ascii="Times New Roman" w:hAnsi="Times New Roman" w:cs="Times New Roman" w:eastAsia="Times New Roman" w:hint="default"/>
        </w:rPr>
        <w:t>60</w:t>
      </w:r>
      <w:r>
        <w:rPr/>
        <w:t>、未分配利润</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864,549,732.84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758,889,888.99</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864,549,732.84</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74,651,154.25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133,022,735.34</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7,219,433.80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13,016,338.66</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对所有者的分配</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17,788,893.62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14,346,552.83</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914,192,559.67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864,549,732.84</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7"/>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、由于《企业会计准则》及其相关新规定进行追溯调整，影响期初未分配利润元。</w:t>
      </w:r>
    </w:p>
    <w:p>
      <w:pPr>
        <w:spacing w:before="101"/>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、由于会计政策变更，影响期初未分配利润元。</w:t>
      </w:r>
    </w:p>
    <w:p>
      <w:pPr>
        <w:spacing w:before="103"/>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、由于重大会计差错更正，影响期初未分配利润元。</w:t>
      </w:r>
    </w:p>
    <w:p>
      <w:pPr>
        <w:spacing w:before="103"/>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、由于同一控制导致的合并范围变更，影响期初未分配利润元。</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spacing w:before="44"/>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、其他调整合计影响期初未分配利润元。</w:t>
      </w:r>
    </w:p>
    <w:p>
      <w:pPr>
        <w:spacing w:line="240" w:lineRule="auto" w:before="2"/>
        <w:rPr>
          <w:rFonts w:ascii="宋体" w:hAnsi="宋体" w:cs="宋体" w:eastAsia="宋体" w:hint="default"/>
          <w:sz w:val="26"/>
          <w:szCs w:val="26"/>
        </w:rPr>
      </w:pPr>
    </w:p>
    <w:p>
      <w:pPr>
        <w:pStyle w:val="Heading4"/>
        <w:spacing w:line="240" w:lineRule="auto"/>
        <w:ind w:right="153"/>
        <w:jc w:val="left"/>
        <w:rPr>
          <w:b w:val="0"/>
          <w:bCs w:val="0"/>
        </w:rPr>
      </w:pPr>
      <w:r>
        <w:rPr>
          <w:rFonts w:ascii="Times New Roman" w:hAnsi="Times New Roman" w:cs="Times New Roman" w:eastAsia="Times New Roman" w:hint="default"/>
        </w:rPr>
        <w:t>61</w:t>
      </w:r>
      <w:r>
        <w:rPr/>
        <w:t>、营业收入和营业成本</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2,998,499,647.75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2,659,409,214.28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2,527,855,822.02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2,225,084,411.16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24,455,529.35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711,807.51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24,884,064.64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2,269,074.30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3,022,955,177.10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2,660,121,021.79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2,552,739,886.66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2,227,353,485.46</w:t>
            </w: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rFonts w:ascii="Times New Roman" w:hAnsi="Times New Roman" w:cs="Times New Roman" w:eastAsia="Times New Roman" w:hint="default"/>
        </w:rPr>
        <w:t>62</w:t>
      </w:r>
      <w:r>
        <w:rPr/>
        <w:t>、税金及附加</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122,838.71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331,675.04</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102,544.35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331,675.03</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5,423,888.97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4,356,098.23</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3,643,709.80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2,508,243.60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883,990.00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708,175.43</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残疾人保障金</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330,680.95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10,507,652.78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8,235,867.33</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153"/>
        <w:jc w:val="left"/>
        <w:rPr>
          <w:b w:val="0"/>
          <w:bCs w:val="0"/>
        </w:rPr>
      </w:pPr>
      <w:r>
        <w:rPr>
          <w:rFonts w:ascii="Times New Roman" w:hAnsi="Times New Roman" w:cs="Times New Roman" w:eastAsia="Times New Roman" w:hint="default"/>
        </w:rPr>
        <w:t>63</w:t>
      </w:r>
      <w:r>
        <w:rPr/>
        <w:t>、销售费用</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73,723,278.33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48,183,461.53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5,079,547.68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5,240,825.86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4,438,110.66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4,625,361.31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宣传展销费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1,981,447.51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4,525,256.72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1,012,867.61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1,357,187.41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3,588,508.30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1,268,834.61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747,959.28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625,907.02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324,768.61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440,297.66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其他销售费用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475,238.53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276,236.04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126,126.32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191,642.85</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邮电通讯费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179,658.84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150,476.44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91,677,511.67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66,885,487.45</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4"/>
        <w:ind w:right="153"/>
        <w:jc w:val="left"/>
      </w:pPr>
      <w:r>
        <w:rPr/>
        <w:t>销售费用本期数比上期数增加</w:t>
      </w:r>
      <w:r>
        <w:rPr>
          <w:rFonts w:ascii="Times New Roman" w:hAnsi="Times New Roman" w:cs="Times New Roman" w:eastAsia="Times New Roman" w:hint="default"/>
        </w:rPr>
        <w:t>24,792,024.22</w:t>
      </w:r>
      <w:r>
        <w:rPr/>
        <w:t>元，增加比例为</w:t>
      </w:r>
      <w:r>
        <w:rPr>
          <w:rFonts w:ascii="Times New Roman" w:hAnsi="Times New Roman" w:cs="Times New Roman" w:eastAsia="Times New Roman" w:hint="default"/>
        </w:rPr>
        <w:t>37.07%</w:t>
      </w:r>
      <w:r>
        <w:rPr/>
        <w:t>，增加原因主要系运费增长所致。</w:t>
      </w:r>
    </w:p>
    <w:p>
      <w:pPr>
        <w:spacing w:line="240" w:lineRule="auto" w:before="7"/>
        <w:rPr>
          <w:rFonts w:ascii="宋体" w:hAnsi="宋体" w:cs="宋体" w:eastAsia="宋体" w:hint="default"/>
          <w:sz w:val="24"/>
          <w:szCs w:val="24"/>
        </w:rPr>
      </w:pPr>
    </w:p>
    <w:p>
      <w:pPr>
        <w:pStyle w:val="Heading4"/>
        <w:spacing w:line="240" w:lineRule="auto"/>
        <w:ind w:right="153"/>
        <w:jc w:val="left"/>
        <w:rPr>
          <w:b w:val="0"/>
          <w:bCs w:val="0"/>
        </w:rPr>
      </w:pPr>
      <w:r>
        <w:rPr>
          <w:rFonts w:ascii="Times New Roman" w:hAnsi="Times New Roman" w:cs="Times New Roman" w:eastAsia="Times New Roman" w:hint="default"/>
        </w:rPr>
        <w:t>64</w:t>
      </w:r>
      <w:r>
        <w:rPr/>
        <w:t>、管理费用</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研究开发费用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96,604,139.55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80,133,544.05</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8,828,542.81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9,102,332.10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4,988,945.98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6,208,183.21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8,077,946.43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7,071,542.25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4,107,308.85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2,534,277.94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绿化环保费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605,143.11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2,322,269.36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2,287,611.84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2,288,619.51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1,872,710.08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1,725,469.15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中介及服务费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5,037,194.27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1,311,488.00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零星修理费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2,219,628.46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1,161,568.41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1,010,960.82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992,061.57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704,589.50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959,980.17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738,828.94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958,473.01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公积金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931,770.00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884,430.00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职工教育经费等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389,875.76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490,657.58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555,902.57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487,674.88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邮电通讯费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156,744.57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221,060.02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426,753.12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139,544,596.66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118,853,631.21</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1"/>
        <w:ind w:right="153"/>
        <w:jc w:val="left"/>
        <w:rPr>
          <w:b w:val="0"/>
          <w:bCs w:val="0"/>
        </w:rPr>
      </w:pPr>
      <w:r>
        <w:rPr>
          <w:rFonts w:ascii="Times New Roman" w:hAnsi="Times New Roman" w:cs="Times New Roman" w:eastAsia="Times New Roman" w:hint="default"/>
        </w:rPr>
        <w:t>65</w:t>
      </w:r>
      <w:r>
        <w:rPr/>
        <w:t>、财务费用</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33,318,274.82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5,848,962.63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21,373,150.66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3,043,133.21</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利息净支出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11,945,124.16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2,805,829.42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加：汇兑净损失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14,385,398.52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-3,043,152.17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1,148,457.75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476,152.55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27,478,980.43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238,829.80</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4"/>
        <w:ind w:right="153"/>
        <w:jc w:val="left"/>
      </w:pPr>
      <w:r>
        <w:rPr>
          <w:spacing w:val="-2"/>
        </w:rPr>
        <w:t>财务费用本期数比上期数增加</w:t>
      </w:r>
      <w:r>
        <w:rPr>
          <w:rFonts w:ascii="Times New Roman" w:hAnsi="Times New Roman" w:cs="Times New Roman" w:eastAsia="Times New Roman" w:hint="default"/>
          <w:spacing w:val="-2"/>
        </w:rPr>
        <w:t>27,240,150.63</w:t>
      </w:r>
      <w:r>
        <w:rPr>
          <w:spacing w:val="-2"/>
        </w:rPr>
        <w:t>元，增加比例为</w:t>
      </w:r>
      <w:r>
        <w:rPr>
          <w:rFonts w:ascii="Times New Roman" w:hAnsi="Times New Roman" w:cs="Times New Roman" w:eastAsia="Times New Roman" w:hint="default"/>
          <w:spacing w:val="-2"/>
        </w:rPr>
        <w:t>11,405.67%</w:t>
      </w:r>
      <w:r>
        <w:rPr>
          <w:spacing w:val="-2"/>
        </w:rPr>
        <w:t>，增加原因主要系本期公司债券利</w:t>
      </w:r>
      <w:r>
        <w:rPr>
          <w:spacing w:val="3"/>
        </w:rPr>
        <w:t> </w:t>
      </w:r>
      <w:r>
        <w:rPr>
          <w:spacing w:val="3"/>
        </w:rPr>
      </w:r>
      <w:r>
        <w:rPr/>
        <w:t>息支出所致。</w:t>
      </w:r>
    </w:p>
    <w:p>
      <w:pPr>
        <w:spacing w:line="240" w:lineRule="auto" w:before="8"/>
        <w:rPr>
          <w:rFonts w:ascii="宋体" w:hAnsi="宋体" w:cs="宋体" w:eastAsia="宋体" w:hint="default"/>
          <w:sz w:val="24"/>
          <w:szCs w:val="24"/>
        </w:rPr>
      </w:pPr>
    </w:p>
    <w:p>
      <w:pPr>
        <w:pStyle w:val="Heading4"/>
        <w:spacing w:line="240" w:lineRule="auto"/>
        <w:ind w:right="153"/>
        <w:jc w:val="left"/>
        <w:rPr>
          <w:b w:val="0"/>
          <w:bCs w:val="0"/>
        </w:rPr>
      </w:pPr>
      <w:r>
        <w:rPr>
          <w:rFonts w:ascii="Times New Roman" w:hAnsi="Times New Roman" w:cs="Times New Roman" w:eastAsia="Times New Roman" w:hint="default"/>
        </w:rPr>
        <w:t>66</w:t>
      </w:r>
      <w:r>
        <w:rPr/>
        <w:t>、资产减值损失</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19,047,985.29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7,365,152.94</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64,899,044.39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83,947,029.68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7,365,152.94</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6"/>
        <w:ind w:right="153"/>
        <w:jc w:val="left"/>
      </w:pPr>
      <w:r>
        <w:rPr>
          <w:spacing w:val="-2"/>
        </w:rPr>
        <w:t>资产减值损失本期数比上期数增加</w:t>
      </w:r>
      <w:r>
        <w:rPr>
          <w:rFonts w:ascii="Times New Roman" w:hAnsi="Times New Roman" w:cs="Times New Roman" w:eastAsia="Times New Roman" w:hint="default"/>
          <w:spacing w:val="-2"/>
        </w:rPr>
        <w:t>76,581,876.74</w:t>
      </w:r>
      <w:r>
        <w:rPr>
          <w:spacing w:val="-2"/>
        </w:rPr>
        <w:t>元，增加比例为</w:t>
      </w:r>
      <w:r>
        <w:rPr>
          <w:rFonts w:ascii="Times New Roman" w:hAnsi="Times New Roman" w:cs="Times New Roman" w:eastAsia="Times New Roman" w:hint="default"/>
          <w:spacing w:val="-2"/>
        </w:rPr>
        <w:t>1,039.79%</w:t>
      </w:r>
      <w:r>
        <w:rPr>
          <w:spacing w:val="-2"/>
        </w:rPr>
        <w:t>，增加原因主要系计提商誉减值</w:t>
      </w:r>
      <w:r>
        <w:rPr>
          <w:spacing w:val="-40"/>
        </w:rPr>
        <w:t> </w:t>
      </w:r>
      <w:r>
        <w:rPr>
          <w:spacing w:val="-40"/>
        </w:rPr>
      </w:r>
      <w:r>
        <w:rPr/>
        <w:t>准备所致。</w:t>
      </w:r>
    </w:p>
    <w:p>
      <w:pPr>
        <w:spacing w:line="240" w:lineRule="auto" w:before="8"/>
        <w:rPr>
          <w:rFonts w:ascii="宋体" w:hAnsi="宋体" w:cs="宋体" w:eastAsia="宋体" w:hint="default"/>
          <w:sz w:val="24"/>
          <w:szCs w:val="24"/>
        </w:rPr>
      </w:pPr>
    </w:p>
    <w:p>
      <w:pPr>
        <w:pStyle w:val="Heading4"/>
        <w:spacing w:line="240" w:lineRule="auto"/>
        <w:ind w:right="153"/>
        <w:jc w:val="left"/>
        <w:rPr>
          <w:b w:val="0"/>
          <w:bCs w:val="0"/>
        </w:rPr>
      </w:pPr>
      <w:r>
        <w:rPr>
          <w:rFonts w:ascii="Times New Roman" w:hAnsi="Times New Roman" w:cs="Times New Roman" w:eastAsia="Times New Roman" w:hint="default"/>
        </w:rPr>
        <w:t>67</w:t>
      </w:r>
      <w:r>
        <w:rPr/>
        <w:t>、公允价值变动收益</w:t>
      </w:r>
      <w:r>
        <w:rPr>
          <w:b w:val="0"/>
          <w:bCs w:val="0"/>
        </w:rPr>
      </w:r>
    </w:p>
    <w:p>
      <w:pPr>
        <w:spacing w:line="240" w:lineRule="auto" w:before="2"/>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9"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0"/>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153"/>
        <w:jc w:val="left"/>
        <w:rPr>
          <w:b w:val="0"/>
          <w:bCs w:val="0"/>
        </w:rPr>
      </w:pPr>
      <w:r>
        <w:rPr>
          <w:rFonts w:ascii="Times New Roman" w:hAnsi="Times New Roman" w:cs="Times New Roman" w:eastAsia="Times New Roman" w:hint="default"/>
        </w:rPr>
        <w:t>68</w:t>
      </w:r>
      <w:r>
        <w:rPr/>
        <w:t>、投资收益</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62"/>
        <w:gridCol w:w="3190"/>
        <w:gridCol w:w="2919"/>
      </w:tblGrid>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665,398.80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813,265.20</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29,333,698.63</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29,999,097.43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813,265.20</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4"/>
        <w:ind w:right="153"/>
        <w:jc w:val="left"/>
      </w:pPr>
      <w:r>
        <w:rPr>
          <w:spacing w:val="-2"/>
        </w:rPr>
        <w:t>投资收益本期数比上期数增加</w:t>
      </w:r>
      <w:r>
        <w:rPr>
          <w:rFonts w:ascii="Times New Roman" w:hAnsi="Times New Roman" w:cs="Times New Roman" w:eastAsia="Times New Roman" w:hint="default"/>
          <w:spacing w:val="-2"/>
        </w:rPr>
        <w:t>29,185,832.23</w:t>
      </w:r>
      <w:r>
        <w:rPr>
          <w:spacing w:val="-2"/>
        </w:rPr>
        <w:t>元，增加比例为</w:t>
      </w:r>
      <w:r>
        <w:rPr>
          <w:rFonts w:ascii="Times New Roman" w:hAnsi="Times New Roman" w:cs="Times New Roman" w:eastAsia="Times New Roman" w:hint="default"/>
          <w:spacing w:val="-2"/>
        </w:rPr>
        <w:t>3,588.72%</w:t>
      </w:r>
      <w:r>
        <w:rPr>
          <w:spacing w:val="-2"/>
        </w:rPr>
        <w:t>，增加原因主要系理财产品收益增加</w:t>
      </w:r>
      <w:r>
        <w:rPr>
          <w:spacing w:val="-40"/>
        </w:rPr>
        <w:t> </w:t>
      </w:r>
      <w:r>
        <w:rPr>
          <w:spacing w:val="-40"/>
        </w:rPr>
      </w:r>
      <w:r>
        <w:rPr/>
        <w:t>所致。</w:t>
      </w:r>
    </w:p>
    <w:p>
      <w:pPr>
        <w:spacing w:after="0" w:line="256"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r>
        <w:rPr/>
        <w:pict>
          <v:group style="position:absolute;margin-left:217.610001pt;margin-top:316.249969pt;width:156.75pt;height:19.7pt;mso-position-horizontal-relative:page;mso-position-vertical-relative:page;z-index:-757672" coordorigin="4352,6325" coordsize="3135,394">
            <v:shape style="position:absolute;left:4352;top:6325;width:3135;height:394" coordorigin="4352,6325" coordsize="3135,394" path="m4352,6719l7487,6719,7487,6325,4352,6325,4352,6719xe" filled="true" fillcolor="#ffffff" stroked="false">
              <v:path arrowok="t"/>
              <v:fill type="solid"/>
            </v:shape>
            <w10:wrap type="none"/>
          </v:group>
        </w:pict>
      </w:r>
    </w:p>
    <w:p>
      <w:pPr>
        <w:pStyle w:val="Heading4"/>
        <w:spacing w:line="240" w:lineRule="auto" w:before="36"/>
        <w:ind w:right="153"/>
        <w:jc w:val="left"/>
        <w:rPr>
          <w:b w:val="0"/>
          <w:bCs w:val="0"/>
        </w:rPr>
      </w:pPr>
      <w:r>
        <w:rPr>
          <w:rFonts w:ascii="Times New Roman" w:hAnsi="Times New Roman" w:cs="Times New Roman" w:eastAsia="Times New Roman" w:hint="default"/>
        </w:rPr>
        <w:t>69</w:t>
      </w:r>
      <w:r>
        <w:rPr/>
        <w:t>、资产处置收益</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rFonts w:ascii="Times New Roman" w:hAnsi="Times New Roman" w:cs="Times New Roman" w:eastAsia="Times New Roman" w:hint="default"/>
        </w:rPr>
        <w:t>70</w:t>
      </w:r>
      <w:r>
        <w:rPr/>
        <w:t>、其他收益</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1140"/>
        <w:gridCol w:w="205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年度市级产业发展引导资金和实施 外向带动战略相关奖励资金</w:t>
            </w:r>
          </w:p>
        </w:tc>
        <w:tc>
          <w:tcPr>
            <w:tcW w:w="31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39,300.00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年度市级产业发展引导资金（工业 发展）第二批项目</w:t>
            </w:r>
          </w:p>
        </w:tc>
        <w:tc>
          <w:tcPr>
            <w:tcW w:w="31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2,311,800.00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年度省级商务发展专项切块资金</w:t>
            </w:r>
          </w:p>
        </w:tc>
        <w:tc>
          <w:tcPr>
            <w:tcW w:w="31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63,800.00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pacing w:val="-5"/>
                <w:sz w:val="18"/>
                <w:szCs w:val="18"/>
              </w:rPr>
              <w:t>年商务发展专项资金（第二批项目</w:t>
            </w:r>
          </w:p>
        </w:tc>
        <w:tc>
          <w:tcPr>
            <w:tcW w:w="1140" w:type="dxa"/>
            <w:tcBorders>
              <w:top w:val="single" w:sz="4" w:space="0" w:color="000000"/>
              <w:left w:val="single" w:sz="10" w:space="0" w:color="FFFFFF"/>
              <w:bottom w:val="single" w:sz="4" w:space="0" w:color="000000"/>
              <w:right w:val="nil" w:sz="6" w:space="0" w:color="auto"/>
            </w:tcBorders>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w:t>
            </w:r>
          </w:p>
        </w:tc>
        <w:tc>
          <w:tcPr>
            <w:tcW w:w="20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78" w:right="0"/>
              <w:jc w:val="left"/>
              <w:rPr>
                <w:rFonts w:ascii="Times New Roman" w:hAnsi="Times New Roman" w:cs="Times New Roman" w:eastAsia="Times New Roman" w:hint="default"/>
                <w:sz w:val="18"/>
                <w:szCs w:val="18"/>
              </w:rPr>
            </w:pPr>
            <w:r>
              <w:rPr>
                <w:rFonts w:ascii="Times New Roman"/>
                <w:sz w:val="18"/>
              </w:rPr>
              <w:t>1,278,000.00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年度全市开放型经济扶持资金</w:t>
            </w:r>
          </w:p>
        </w:tc>
        <w:tc>
          <w:tcPr>
            <w:tcW w:w="31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年省级工业和信息产业转型升级专 项（工业企业技术改造综合奖补）</w:t>
            </w:r>
          </w:p>
        </w:tc>
        <w:tc>
          <w:tcPr>
            <w:tcW w:w="31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年度市级产业发展引导资金（科技 创新资金）项目</w:t>
            </w:r>
          </w:p>
        </w:tc>
        <w:tc>
          <w:tcPr>
            <w:tcW w:w="31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关于下达</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年度市级专利资助经费的 通知</w:t>
            </w:r>
          </w:p>
        </w:tc>
        <w:tc>
          <w:tcPr>
            <w:tcW w:w="31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24,800.00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关于兑换</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年度市级科技创新券的通 知</w:t>
            </w:r>
          </w:p>
        </w:tc>
        <w:tc>
          <w:tcPr>
            <w:tcW w:w="31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年税收扶持奖励</w:t>
            </w:r>
          </w:p>
        </w:tc>
        <w:tc>
          <w:tcPr>
            <w:tcW w:w="31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289,433.52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年税收扶持奖励</w:t>
            </w:r>
          </w:p>
        </w:tc>
        <w:tc>
          <w:tcPr>
            <w:tcW w:w="31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1,650,566.48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年工业园区就业培训吸纳就业困难 人员社会保险补贴</w:t>
            </w:r>
          </w:p>
        </w:tc>
        <w:tc>
          <w:tcPr>
            <w:tcW w:w="31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167,700.00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人才政府补贴款</w:t>
            </w:r>
          </w:p>
        </w:tc>
        <w:tc>
          <w:tcPr>
            <w:tcW w:w="31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江西省财政厅关于下达</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年度工业中 小企业技术改造项目中央基建投资预算 拨款的通知</w:t>
            </w:r>
          </w:p>
        </w:tc>
        <w:tc>
          <w:tcPr>
            <w:tcW w:w="31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8,018,400.00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rFonts w:ascii="Times New Roman" w:hAnsi="Times New Roman" w:cs="Times New Roman" w:eastAsia="Times New Roman" w:hint="default"/>
        </w:rPr>
        <w:t>71</w:t>
      </w:r>
      <w:r>
        <w:rPr/>
        <w:t>、营业外收入</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6"/>
        <w:gridCol w:w="2393"/>
        <w:gridCol w:w="2381"/>
      </w:tblGrid>
      <w:tr>
        <w:trPr>
          <w:trHeight w:val="714"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102" w:right="99"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bl>
    <w:p>
      <w:pPr>
        <w:spacing w:after="0" w:line="314"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20,150,000.00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27,001,458.00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20,150,000.00</w:t>
            </w: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28,246,222.67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1,337,784.85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28,246,222.67</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非流动资产处置利得</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6,600.00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48,396,222.67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28,345,842.85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48,396,222.67</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715"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9" w:right="72"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both"/>
              <w:rPr>
                <w:rFonts w:ascii="宋体" w:hAnsi="宋体" w:cs="宋体" w:eastAsia="宋体" w:hint="default"/>
                <w:sz w:val="18"/>
                <w:szCs w:val="18"/>
              </w:rPr>
            </w:pPr>
            <w:r>
              <w:rPr>
                <w:rFonts w:ascii="宋体" w:hAnsi="宋体" w:cs="宋体" w:eastAsia="宋体" w:hint="default"/>
                <w:sz w:val="18"/>
                <w:szCs w:val="18"/>
              </w:rPr>
              <w:t>宿迁市高性 能复合材料 产业集聚区 管理委员会 的奖励资金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17,479,758.0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市科技局科 技人才与成 果处发布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年度宿 迁市科学技 术奖拟授奖 项目一等奖</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年新工 业发展目标 考核奖励资 金的通知</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年市级 产业发展引 导资金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30"/>
              <w:jc w:val="left"/>
              <w:rPr>
                <w:rFonts w:ascii="宋体" w:hAnsi="宋体" w:cs="宋体" w:eastAsia="宋体" w:hint="default"/>
                <w:sz w:val="18"/>
                <w:szCs w:val="18"/>
              </w:rPr>
            </w:pPr>
            <w:r>
              <w:rPr>
                <w:rFonts w:ascii="宋体" w:hAnsi="宋体" w:cs="宋体" w:eastAsia="宋体" w:hint="default"/>
                <w:sz w:val="18"/>
                <w:szCs w:val="18"/>
              </w:rPr>
              <w:t>市区专利资 助奖励</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10,500.00</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both"/>
              <w:rPr>
                <w:rFonts w:ascii="宋体" w:hAnsi="宋体" w:cs="宋体" w:eastAsia="宋体" w:hint="default"/>
                <w:sz w:val="18"/>
                <w:szCs w:val="18"/>
              </w:rPr>
            </w:pPr>
            <w:r>
              <w:rPr>
                <w:rFonts w:ascii="宋体" w:hAnsi="宋体" w:cs="宋体" w:eastAsia="宋体" w:hint="default"/>
                <w:sz w:val="18"/>
                <w:szCs w:val="18"/>
              </w:rPr>
              <w:t>重点产业振 兴和技术改 造资金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年市级 产业发展引 导资金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年市双 创人才奖金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90,000.00</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外经外贸发 展专项引导 资金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462,500.00</w:t>
            </w: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133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年省级 商务发展专 </w:t>
            </w:r>
            <w:r>
              <w:rPr>
                <w:rFonts w:ascii="宋体" w:hAnsi="宋体" w:cs="宋体" w:eastAsia="宋体" w:hint="default"/>
                <w:spacing w:val="-12"/>
                <w:sz w:val="18"/>
                <w:szCs w:val="18"/>
              </w:rPr>
              <w:t>项资金（第二</w:t>
            </w:r>
            <w:r>
              <w:rPr>
                <w:rFonts w:ascii="宋体" w:hAnsi="宋体" w:cs="宋体" w:eastAsia="宋体" w:hint="default"/>
                <w:sz w:val="18"/>
                <w:szCs w:val="18"/>
              </w:rPr>
              <w:t> 批项目）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76,500.00</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年度税 收扶持奖励</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363,500.00</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both"/>
              <w:rPr>
                <w:rFonts w:ascii="宋体" w:hAnsi="宋体" w:cs="宋体" w:eastAsia="宋体" w:hint="default"/>
                <w:sz w:val="18"/>
                <w:szCs w:val="18"/>
              </w:rPr>
            </w:pPr>
            <w:r>
              <w:rPr>
                <w:rFonts w:ascii="宋体" w:hAnsi="宋体" w:cs="宋体" w:eastAsia="宋体" w:hint="default"/>
                <w:sz w:val="18"/>
                <w:szCs w:val="18"/>
              </w:rPr>
              <w:t>科技型中小 企业技术创 新基金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0"/>
              <w:jc w:val="left"/>
              <w:rPr>
                <w:rFonts w:ascii="宋体" w:hAnsi="宋体" w:cs="宋体" w:eastAsia="宋体" w:hint="default"/>
                <w:sz w:val="18"/>
                <w:szCs w:val="18"/>
              </w:rPr>
            </w:pPr>
            <w:r>
              <w:rPr>
                <w:rFonts w:ascii="宋体" w:hAnsi="宋体" w:cs="宋体" w:eastAsia="宋体" w:hint="default"/>
                <w:sz w:val="18"/>
                <w:szCs w:val="18"/>
              </w:rPr>
              <w:t>工信委付科 为２０１５</w:t>
            </w:r>
          </w:p>
          <w:p>
            <w:pPr>
              <w:pStyle w:val="TableParagraph"/>
              <w:spacing w:line="319" w:lineRule="auto" w:before="20"/>
              <w:ind w:left="24" w:right="130"/>
              <w:jc w:val="left"/>
              <w:rPr>
                <w:rFonts w:ascii="宋体" w:hAnsi="宋体" w:cs="宋体" w:eastAsia="宋体" w:hint="default"/>
                <w:sz w:val="18"/>
                <w:szCs w:val="18"/>
              </w:rPr>
            </w:pPr>
            <w:r>
              <w:rPr>
                <w:rFonts w:ascii="宋体" w:hAnsi="宋体" w:cs="宋体" w:eastAsia="宋体" w:hint="default"/>
                <w:sz w:val="18"/>
                <w:szCs w:val="18"/>
              </w:rPr>
              <w:t>年工业发展 奖励金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both"/>
              <w:rPr>
                <w:rFonts w:ascii="宋体" w:hAnsi="宋体" w:cs="宋体" w:eastAsia="宋体" w:hint="default"/>
                <w:sz w:val="18"/>
                <w:szCs w:val="18"/>
              </w:rPr>
            </w:pPr>
            <w:r>
              <w:rPr>
                <w:rFonts w:ascii="宋体" w:hAnsi="宋体" w:cs="宋体" w:eastAsia="宋体" w:hint="default"/>
                <w:sz w:val="18"/>
                <w:szCs w:val="18"/>
              </w:rPr>
              <w:t>省经贸扶持 外贸出口发 展资金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167,600.00</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年下半 年增产增效 奖励</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38,600.00</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both"/>
              <w:rPr>
                <w:rFonts w:ascii="宋体" w:hAnsi="宋体" w:cs="宋体" w:eastAsia="宋体" w:hint="default"/>
                <w:sz w:val="18"/>
                <w:szCs w:val="18"/>
              </w:rPr>
            </w:pPr>
            <w:r>
              <w:rPr>
                <w:rFonts w:ascii="宋体" w:hAnsi="宋体" w:cs="宋体" w:eastAsia="宋体" w:hint="default"/>
                <w:sz w:val="18"/>
                <w:szCs w:val="18"/>
              </w:rPr>
              <w:t>彭泽县再就 业办公室培 训补贴</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27,500.00</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96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年度工 业中小企业 技术改造项 目中央基建 投资预算拨 款</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95,000.00</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27,001,458.0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50"/>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4"/>
        <w:ind w:right="153"/>
        <w:jc w:val="left"/>
      </w:pPr>
      <w:r>
        <w:rPr>
          <w:spacing w:val="-2"/>
        </w:rPr>
        <w:t>营业外收入本期数比上期数增加</w:t>
      </w:r>
      <w:r>
        <w:rPr>
          <w:rFonts w:ascii="Times New Roman" w:hAnsi="Times New Roman" w:cs="Times New Roman" w:eastAsia="Times New Roman" w:hint="default"/>
          <w:spacing w:val="-2"/>
        </w:rPr>
        <w:t>20,050,379.82</w:t>
      </w:r>
      <w:r>
        <w:rPr>
          <w:spacing w:val="-2"/>
        </w:rPr>
        <w:t>元，增加比例为</w:t>
      </w:r>
      <w:r>
        <w:rPr>
          <w:rFonts w:ascii="Times New Roman" w:hAnsi="Times New Roman" w:cs="Times New Roman" w:eastAsia="Times New Roman" w:hint="default"/>
          <w:spacing w:val="-2"/>
        </w:rPr>
        <w:t>70.73%</w:t>
      </w:r>
      <w:r>
        <w:rPr>
          <w:spacing w:val="-2"/>
        </w:rPr>
        <w:t>，增加原因主要系收到</w:t>
      </w:r>
      <w:r>
        <w:rPr>
          <w:rFonts w:ascii="Times New Roman" w:hAnsi="Times New Roman" w:cs="Times New Roman" w:eastAsia="Times New Roman" w:hint="default"/>
          <w:spacing w:val="-2"/>
        </w:rPr>
        <w:t>2016</w:t>
      </w:r>
      <w:r>
        <w:rPr>
          <w:spacing w:val="-2"/>
        </w:rPr>
        <w:t>年度江西</w:t>
      </w:r>
      <w:r>
        <w:rPr>
          <w:spacing w:val="6"/>
        </w:rPr>
        <w:t> </w:t>
      </w:r>
      <w:r>
        <w:rPr>
          <w:spacing w:val="6"/>
        </w:rPr>
      </w:r>
      <w:r>
        <w:rPr/>
        <w:t>科为业绩补偿款</w:t>
      </w:r>
      <w:r>
        <w:rPr>
          <w:rFonts w:ascii="Times New Roman" w:hAnsi="Times New Roman" w:cs="Times New Roman" w:eastAsia="Times New Roman" w:hint="default"/>
        </w:rPr>
        <w:t>2,800</w:t>
      </w:r>
      <w:r>
        <w:rPr/>
        <w:t>万所致。</w:t>
      </w:r>
    </w:p>
    <w:p>
      <w:pPr>
        <w:spacing w:line="240" w:lineRule="auto" w:before="4"/>
        <w:rPr>
          <w:rFonts w:ascii="宋体" w:hAnsi="宋体" w:cs="宋体" w:eastAsia="宋体" w:hint="default"/>
          <w:sz w:val="23"/>
          <w:szCs w:val="23"/>
        </w:rPr>
      </w:pPr>
    </w:p>
    <w:p>
      <w:pPr>
        <w:pStyle w:val="Heading4"/>
        <w:spacing w:line="240" w:lineRule="auto"/>
        <w:ind w:right="153"/>
        <w:jc w:val="left"/>
        <w:rPr>
          <w:b w:val="0"/>
          <w:bCs w:val="0"/>
        </w:rPr>
      </w:pPr>
      <w:r>
        <w:rPr>
          <w:rFonts w:ascii="Times New Roman" w:hAnsi="Times New Roman" w:cs="Times New Roman" w:eastAsia="Times New Roman" w:hint="default"/>
        </w:rPr>
        <w:t>72</w:t>
      </w:r>
      <w:r>
        <w:rPr/>
        <w:t>、营业外支出</w:t>
      </w:r>
      <w:r>
        <w:rPr>
          <w:b w:val="0"/>
          <w:bCs w:val="0"/>
        </w:rPr>
      </w:r>
    </w:p>
    <w:p>
      <w:pPr>
        <w:spacing w:line="240" w:lineRule="auto" w:before="2"/>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405"/>
        <w:gridCol w:w="2369"/>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405" w:type="dxa"/>
            <w:tcBorders>
              <w:top w:val="single" w:sz="4" w:space="0" w:color="000000"/>
              <w:left w:val="single" w:sz="4" w:space="0" w:color="000000"/>
              <w:bottom w:val="nil" w:sz="6" w:space="0" w:color="auto"/>
              <w:right w:val="single" w:sz="4" w:space="0" w:color="000000"/>
            </w:tcBorders>
            <w:shd w:val="clear" w:color="auto" w:fill="D2D2D2"/>
          </w:tcPr>
          <w:p>
            <w:pPr/>
          </w:p>
        </w:tc>
        <w:tc>
          <w:tcPr>
            <w:tcW w:w="23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090" w:right="99"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4"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4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69"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6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50,000.00</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pacing w:val="-1"/>
                <w:sz w:val="18"/>
              </w:rPr>
              <w:t>33,728.00</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50,000.00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526,386.18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120,142.38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526,386.18</w:t>
            </w: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pacing w:val="-1"/>
                <w:sz w:val="18"/>
              </w:rPr>
              <w:t>56,562.50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81,634.30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56,562.50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632,948.68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235,504.68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632,948.68</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153"/>
        <w:jc w:val="left"/>
        <w:rPr>
          <w:b w:val="0"/>
          <w:bCs w:val="0"/>
        </w:rPr>
      </w:pPr>
      <w:r>
        <w:rPr>
          <w:rFonts w:ascii="Times New Roman" w:hAnsi="Times New Roman" w:cs="Times New Roman" w:eastAsia="Times New Roman" w:hint="default"/>
        </w:rPr>
        <w:t>73</w:t>
      </w:r>
      <w:r>
        <w:rPr/>
        <w:t>、所得税费用</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23,617,514.61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21,034,553.52</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-2,857,197.79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-1,380,497.32</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20,760,316.82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19,654,056.20</w:t>
            </w: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95,411,471.07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14,311,720.66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-35,734.44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165,584.14</w:t>
            </w:r>
          </w:p>
        </w:tc>
      </w:tr>
      <w:tr>
        <w:trPr>
          <w:trHeight w:val="71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9,734,856.66</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-3,416,110.20</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20,760,316.82</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153"/>
        <w:jc w:val="left"/>
        <w:rPr>
          <w:b w:val="0"/>
          <w:bCs w:val="0"/>
        </w:rPr>
      </w:pPr>
      <w:r>
        <w:rPr>
          <w:rFonts w:ascii="Times New Roman" w:hAnsi="Times New Roman" w:cs="Times New Roman" w:eastAsia="Times New Roman" w:hint="default"/>
        </w:rPr>
        <w:t>74</w:t>
      </w:r>
      <w:r>
        <w:rPr/>
        <w:t>、其他综合收益</w:t>
      </w:r>
      <w:r>
        <w:rPr>
          <w:b w:val="0"/>
          <w:bCs w:val="0"/>
        </w:rPr>
      </w:r>
    </w:p>
    <w:p>
      <w:pPr>
        <w:spacing w:line="240" w:lineRule="auto" w:before="4"/>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宋体" w:hAnsi="宋体" w:cs="宋体" w:eastAsia="宋体" w:hint="default"/>
          <w:sz w:val="18"/>
          <w:szCs w:val="18"/>
        </w:rPr>
        <w:t>详见附注。</w:t>
      </w:r>
    </w:p>
    <w:p>
      <w:pPr>
        <w:spacing w:line="240" w:lineRule="auto" w:before="0"/>
        <w:rPr>
          <w:rFonts w:ascii="宋体" w:hAnsi="宋体" w:cs="宋体" w:eastAsia="宋体" w:hint="default"/>
          <w:sz w:val="18"/>
          <w:szCs w:val="18"/>
        </w:rPr>
      </w:pPr>
    </w:p>
    <w:p>
      <w:pPr>
        <w:pStyle w:val="Heading4"/>
        <w:spacing w:line="240" w:lineRule="auto" w:before="118"/>
        <w:ind w:right="153"/>
        <w:jc w:val="left"/>
        <w:rPr>
          <w:b w:val="0"/>
          <w:bCs w:val="0"/>
        </w:rPr>
      </w:pPr>
      <w:r>
        <w:rPr>
          <w:rFonts w:ascii="Times New Roman" w:hAnsi="Times New Roman" w:cs="Times New Roman" w:eastAsia="Times New Roman" w:hint="default"/>
        </w:rPr>
        <w:t>75</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21,841,104.90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2,824,442.28</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20,396,222.67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28,244,242.85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7,923,400.00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其他款项往来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5,505,336.03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59,586,914.78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55,666,063.60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90,655,599.91</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153"/>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支付的各项费用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148,000,120.44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115,241,742.91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其他款项往来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3,007,377.81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44,161,619.03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576,386.18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289,748.98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151,583,884.43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159,693,110.92</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0"/>
        <w:rPr>
          <w:rFonts w:ascii="宋体" w:hAnsi="宋体" w:cs="宋体" w:eastAsia="宋体" w:hint="default"/>
          <w:sz w:val="18"/>
          <w:szCs w:val="18"/>
        </w:rPr>
      </w:pPr>
    </w:p>
    <w:p>
      <w:pPr>
        <w:pStyle w:val="Heading4"/>
        <w:spacing w:line="240" w:lineRule="auto" w:before="120"/>
        <w:ind w:right="153"/>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募集资金定期存款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2,152,150.00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募集资金利息净收入</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218,690.93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业绩补偿款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46,450,677.58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2,076,450,677.58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2,370,840.93</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line="240" w:lineRule="auto" w:before="0"/>
        <w:rPr>
          <w:rFonts w:ascii="宋体" w:hAnsi="宋体" w:cs="宋体" w:eastAsia="宋体" w:hint="default"/>
          <w:sz w:val="18"/>
          <w:szCs w:val="18"/>
        </w:rPr>
      </w:pPr>
    </w:p>
    <w:p>
      <w:pPr>
        <w:pStyle w:val="Heading4"/>
        <w:spacing w:line="240" w:lineRule="auto" w:before="120"/>
        <w:ind w:right="153"/>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340,007,809.50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3,570,007,809.50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r>
        <w:rPr/>
        <w:pict>
          <v:group style="position:absolute;margin-left:223.369995pt;margin-top:606.130005pt;width:151.25pt;height:20.8pt;mso-position-horizontal-relative:page;mso-position-vertical-relative:page;z-index:-757648" coordorigin="4467,12123" coordsize="3025,416">
            <v:group style="position:absolute;left:4478;top:12133;width:2;height:394" coordorigin="4478,12133" coordsize="2,394">
              <v:shape style="position:absolute;left:4478;top:12133;width:2;height:394" coordorigin="4478,12133" coordsize="0,394" path="m4478,12133l4478,12527e" filled="false" stroked="true" strokeweight="1.08pt" strokecolor="#ffffff">
                <v:path arrowok="t"/>
              </v:shape>
            </v:group>
            <v:group style="position:absolute;left:4489;top:12133;width:3003;height:394" coordorigin="4489,12133" coordsize="3003,394">
              <v:shape style="position:absolute;left:4489;top:12133;width:3003;height:394" coordorigin="4489,12133" coordsize="3003,394" path="m4489,12527l7492,12527,7492,12133,4489,12133,4489,12527xe" filled="true" fillcolor="#ffffff" stroked="false">
                <v:path arrowok="t"/>
                <v:fill type="solid"/>
              </v:shape>
            </v:group>
            <w10:wrap type="none"/>
          </v:group>
        </w:pict>
      </w:r>
    </w:p>
    <w:p>
      <w:pPr>
        <w:pStyle w:val="Heading4"/>
        <w:spacing w:line="240" w:lineRule="auto" w:before="36"/>
        <w:ind w:right="153"/>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153"/>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line="240" w:lineRule="auto" w:before="0"/>
        <w:rPr>
          <w:rFonts w:ascii="宋体" w:hAnsi="宋体" w:cs="宋体" w:eastAsia="宋体" w:hint="default"/>
          <w:sz w:val="18"/>
          <w:szCs w:val="18"/>
        </w:rPr>
      </w:pPr>
    </w:p>
    <w:p>
      <w:pPr>
        <w:pStyle w:val="Heading4"/>
        <w:spacing w:line="240" w:lineRule="auto" w:before="121"/>
        <w:ind w:right="153"/>
        <w:jc w:val="left"/>
        <w:rPr>
          <w:b w:val="0"/>
          <w:bCs w:val="0"/>
        </w:rPr>
      </w:pPr>
      <w:r>
        <w:rPr>
          <w:rFonts w:ascii="Times New Roman" w:hAnsi="Times New Roman" w:cs="Times New Roman" w:eastAsia="Times New Roman" w:hint="default"/>
        </w:rPr>
        <w:t>76</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1054"/>
        <w:gridCol w:w="2015"/>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74,651,154.25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133,022,735.34</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83,947,029.68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7,365,152.94</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02" w:right="0"/>
              <w:jc w:val="left"/>
              <w:rPr>
                <w:rFonts w:ascii="Times New Roman" w:hAnsi="Times New Roman" w:cs="Times New Roman" w:eastAsia="Times New Roman" w:hint="default"/>
                <w:sz w:val="18"/>
                <w:szCs w:val="18"/>
              </w:rPr>
            </w:pPr>
            <w:r>
              <w:rPr>
                <w:rFonts w:ascii="Times New Roman"/>
                <w:sz w:val="18"/>
              </w:rPr>
              <w:t>339,819,803.50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249,461,112.01</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2,287,611.84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2,288,619.74</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1,404,212.57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1,056,502.64</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47,684.44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75,034.30</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56,562.50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47,703,673.34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1,962,108.57</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33" w:right="0"/>
              <w:jc w:val="left"/>
              <w:rPr>
                <w:rFonts w:ascii="Times New Roman" w:hAnsi="Times New Roman" w:cs="Times New Roman" w:eastAsia="Times New Roman" w:hint="default"/>
                <w:sz w:val="18"/>
                <w:szCs w:val="18"/>
              </w:rPr>
            </w:pPr>
            <w:r>
              <w:rPr>
                <w:rFonts w:ascii="Times New Roman"/>
                <w:sz w:val="18"/>
              </w:rPr>
              <w:t>-29,999,097.43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-813,265.20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4"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2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80" w:right="0"/>
              <w:jc w:val="left"/>
              <w:rPr>
                <w:rFonts w:ascii="Times New Roman" w:hAnsi="Times New Roman" w:cs="Times New Roman" w:eastAsia="Times New Roman" w:hint="default"/>
                <w:sz w:val="18"/>
                <w:szCs w:val="18"/>
              </w:rPr>
            </w:pPr>
            <w:r>
              <w:rPr>
                <w:rFonts w:ascii="Times New Roman"/>
                <w:sz w:val="18"/>
              </w:rPr>
              <w:t>-2,857,197.79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-1,380,497.32</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842" w:right="0"/>
              <w:jc w:val="left"/>
              <w:rPr>
                <w:rFonts w:ascii="Times New Roman" w:hAnsi="Times New Roman" w:cs="Times New Roman" w:eastAsia="Times New Roman" w:hint="default"/>
                <w:sz w:val="18"/>
                <w:szCs w:val="18"/>
              </w:rPr>
            </w:pPr>
            <w:r>
              <w:rPr>
                <w:rFonts w:ascii="Times New Roman"/>
                <w:sz w:val="18"/>
              </w:rPr>
              <w:t>-241,364,896.89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17,120,623.51</w:t>
            </w:r>
          </w:p>
        </w:tc>
      </w:tr>
      <w:tr>
        <w:trPr>
          <w:trHeight w:val="716"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42" w:right="0"/>
              <w:jc w:val="left"/>
              <w:rPr>
                <w:rFonts w:ascii="Times New Roman" w:hAnsi="Times New Roman" w:cs="Times New Roman" w:eastAsia="Times New Roman" w:hint="default"/>
                <w:sz w:val="18"/>
                <w:szCs w:val="18"/>
              </w:rPr>
            </w:pPr>
            <w:r>
              <w:rPr>
                <w:rFonts w:ascii="Times New Roman"/>
                <w:sz w:val="18"/>
              </w:rPr>
              <w:t>-447,775,326.97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-249,695,493.19</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02" w:right="0"/>
              <w:jc w:val="left"/>
              <w:rPr>
                <w:rFonts w:ascii="Times New Roman" w:hAnsi="Times New Roman" w:cs="Times New Roman" w:eastAsia="Times New Roman" w:hint="default"/>
                <w:sz w:val="18"/>
                <w:szCs w:val="18"/>
              </w:rPr>
            </w:pPr>
            <w:r>
              <w:rPr>
                <w:rFonts w:ascii="Times New Roman"/>
                <w:sz w:val="18"/>
              </w:rPr>
              <w:t>213,096,199.31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-36,201,818.58</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33" w:right="0"/>
              <w:jc w:val="left"/>
              <w:rPr>
                <w:rFonts w:ascii="Times New Roman" w:hAnsi="Times New Roman" w:cs="Times New Roman" w:eastAsia="Times New Roman" w:hint="default"/>
                <w:sz w:val="18"/>
                <w:szCs w:val="18"/>
              </w:rPr>
            </w:pPr>
            <w:r>
              <w:rPr>
                <w:rFonts w:ascii="Times New Roman"/>
                <w:sz w:val="18"/>
              </w:rPr>
              <w:t>-28,000,000.00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13,017,412.35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124,260,814.76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74" w:right="0"/>
              <w:jc w:val="left"/>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2"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474" w:right="0"/>
              <w:jc w:val="left"/>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385,383,615.90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1,133,611,239.39</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1,133,611,239.39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485,967,896.69</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-748,227,623.49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647,643,342.70</w:t>
            </w: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7"/>
        <w:gridCol w:w="4583"/>
      </w:tblGrid>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153"/>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7"/>
        <w:gridCol w:w="4583"/>
      </w:tblGrid>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153"/>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385,383,615.90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1,133,611,239.39</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87,662.66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200.84</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725,303,762.74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1,060,456,500.03</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100,232,319.82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73,154,538.52</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减：受到限制的募集资金定期存款</w:t>
            </w:r>
          </w:p>
        </w:tc>
        <w:tc>
          <w:tcPr>
            <w:tcW w:w="3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340,007,809.50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受到限制的其他货币资金</w:t>
            </w:r>
          </w:p>
        </w:tc>
        <w:tc>
          <w:tcPr>
            <w:tcW w:w="3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100,232,319.82</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385,383,615.90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1,133,611,239.39</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spacing w:line="544" w:lineRule="auto" w:before="36"/>
        <w:ind w:left="152" w:right="43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77</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r>
        <w:rPr>
          <w:rFonts w:ascii="Times New Roman" w:hAnsi="Times New Roman" w:cs="Times New Roman" w:eastAsia="Times New Roman" w:hint="default"/>
          <w:b/>
          <w:bCs/>
          <w:sz w:val="21"/>
          <w:szCs w:val="21"/>
        </w:rPr>
        <w:t>78</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spacing w:before="49"/>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9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440,240,129.32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保证金、定期存款</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440,240,129.32</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1"/>
        <w:ind w:right="153"/>
        <w:jc w:val="left"/>
        <w:rPr>
          <w:b w:val="0"/>
          <w:bCs w:val="0"/>
        </w:rPr>
      </w:pPr>
      <w:r>
        <w:rPr>
          <w:rFonts w:ascii="Times New Roman" w:hAnsi="Times New Roman" w:cs="Times New Roman" w:eastAsia="Times New Roman" w:hint="default"/>
        </w:rPr>
        <w:t>79</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3"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42,593,704.15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278,313,188.10</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864,690.92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6,746,577.98</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4,777,180.93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31,217,476.72</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695,057.75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5,423,049.08</w:t>
            </w:r>
          </w:p>
        </w:tc>
      </w:tr>
      <w:tr>
        <w:trPr>
          <w:trHeight w:val="40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1,322,033.61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8,638,432.01</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1,355,248.16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8,855,462.53</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1,868,800.00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12,211,112.96</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2,900.00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22,626.67</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509,370.40</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256,621.64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1,677,744.86</w:t>
            </w:r>
          </w:p>
        </w:tc>
      </w:tr>
      <w:tr>
        <w:trPr>
          <w:trHeight w:val="40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5,671,884.00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328,305.66</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59" w:lineRule="auto" w:before="118"/>
        <w:ind w:right="153"/>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3"/>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153"/>
        <w:jc w:val="left"/>
        <w:rPr>
          <w:b w:val="0"/>
          <w:bCs w:val="0"/>
        </w:rPr>
      </w:pPr>
      <w:r>
        <w:rPr>
          <w:rFonts w:ascii="Times New Roman" w:hAnsi="Times New Roman" w:cs="Times New Roman" w:eastAsia="Times New Roman" w:hint="default"/>
        </w:rPr>
        <w:t>80</w:t>
      </w:r>
      <w:r>
        <w:rPr/>
        <w:t>、套期</w:t>
      </w:r>
      <w:r>
        <w:rPr>
          <w:b w:val="0"/>
          <w:bCs w:val="0"/>
        </w:rPr>
      </w:r>
    </w:p>
    <w:p>
      <w:pPr>
        <w:spacing w:line="240" w:lineRule="auto" w:before="5"/>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宋体" w:hAnsi="宋体" w:cs="宋体" w:eastAsia="宋体" w:hint="default"/>
          <w:sz w:val="18"/>
          <w:szCs w:val="18"/>
        </w:rPr>
        <w:t>按照套期类别披露套期项目及相关套期工具、被套期风险的定性和定量信息：</w:t>
      </w:r>
    </w:p>
    <w:p>
      <w:pPr>
        <w:spacing w:line="240" w:lineRule="auto" w:before="0"/>
        <w:rPr>
          <w:rFonts w:ascii="宋体" w:hAnsi="宋体" w:cs="宋体" w:eastAsia="宋体" w:hint="default"/>
          <w:sz w:val="18"/>
          <w:szCs w:val="18"/>
        </w:rPr>
      </w:pPr>
    </w:p>
    <w:p>
      <w:pPr>
        <w:spacing w:line="487" w:lineRule="auto" w:before="118"/>
        <w:ind w:left="152" w:right="735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81</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4"/>
        <w:spacing w:line="240" w:lineRule="auto" w:before="81"/>
        <w:ind w:right="153"/>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6"/>
        <w:gridCol w:w="1063"/>
        <w:gridCol w:w="1064"/>
        <w:gridCol w:w="1066"/>
        <w:gridCol w:w="1061"/>
        <w:gridCol w:w="1064"/>
        <w:gridCol w:w="1061"/>
      </w:tblGrid>
      <w:tr>
        <w:trPr>
          <w:trHeight w:val="1027"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36" w:right="75" w:hanging="361"/>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36" w:right="75"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56" w:right="72"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6" w:right="75"/>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153"/>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4775;top:14;width:2;height:392" coordorigin="4775,14" coordsize="2,392">
              <v:shape style="position:absolute;left:4775;top:14;width:2;height:392" coordorigin="4775,14" coordsize="0,392" path="m4775,14l4775,406e" filled="false" stroked="true" strokeweight="1.2pt" strokecolor="#d2d2d2">
                <v:path arrowok="t"/>
              </v:shape>
            </v:group>
            <v:group style="position:absolute;left:34;top:14;width:4729;height:392" coordorigin="34,14" coordsize="4729,392">
              <v:shape style="position:absolute;left:34;top:14;width:4729;height:392" coordorigin="34,14" coordsize="4729,392" path="m34,406l4763,406,4763,14,34,14,34,406xe" filled="true" fillcolor="#d2d2d2" stroked="false">
                <v:path arrowok="t"/>
                <v:fill type="solid"/>
              </v:shape>
            </v:group>
            <v:group style="position:absolute;left:4807;top:14;width:2;height:392" coordorigin="4807,14" coordsize="2,392">
              <v:shape style="position:absolute;left:4807;top:14;width:2;height:392" coordorigin="4807,14" coordsize="0,392" path="m4807,14l4807,406e" filled="false" stroked="true" strokeweight="1.08pt" strokecolor="#e0ffff">
                <v:path arrowok="t"/>
              </v:shape>
            </v:group>
            <v:group style="position:absolute;left:9559;top:14;width:2;height:392" coordorigin="9559,14" coordsize="2,392">
              <v:shape style="position:absolute;left:9559;top:14;width:2;height:392" coordorigin="9559,14" coordsize="0,392" path="m9559,14l9559,406e" filled="false" stroked="true" strokeweight="1.2pt" strokecolor="#e0ffff">
                <v:path arrowok="t"/>
              </v:shape>
            </v:group>
            <v:group style="position:absolute;left:4818;top:14;width:4729;height:392" coordorigin="4818,14" coordsize="4729,392">
              <v:shape style="position:absolute;left:4818;top:14;width:4729;height:392" coordorigin="4818,14" coordsize="4729,392" path="m4818,406l9547,406,9547,14,4818,14,4818,406xe" filled="true" fillcolor="#e0ffff"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799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799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8001pt" strokecolor="#000000">
                <v:path arrowok="t"/>
              </v:shape>
            </v:group>
            <v:group style="position:absolute;left:4789;top:5;width:2;height:413" coordorigin="4789,5" coordsize="2,413">
              <v:shape style="position:absolute;left:4789;top:5;width:2;height:413" coordorigin="4789,5" coordsize="0,413"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8001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7998pt" strokecolor="#000000">
                <v:path arrowok="t"/>
              </v:shape>
              <v:shape style="position:absolute;left:6;top:10;width:4795;height:404" type="#_x0000_t202" filled="false" stroked="false">
                <v:textbox inset="0,0,0,0">
                  <w:txbxContent>
                    <w:p>
                      <w:pPr>
                        <w:spacing w:before="53"/>
                        <w:ind w:left="0" w:right="1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357" w:lineRule="auto" w:before="44"/>
        <w:ind w:left="152" w:right="5094" w:firstLine="0"/>
        <w:jc w:val="left"/>
        <w:rPr>
          <w:rFonts w:ascii="宋体" w:hAnsi="宋体" w:cs="宋体" w:eastAsia="宋体" w:hint="default"/>
          <w:sz w:val="18"/>
          <w:szCs w:val="18"/>
        </w:rPr>
      </w:pPr>
      <w:r>
        <w:rPr>
          <w:rFonts w:ascii="宋体" w:hAnsi="宋体" w:cs="宋体" w:eastAsia="宋体" w:hint="default"/>
          <w:sz w:val="18"/>
          <w:szCs w:val="18"/>
        </w:rPr>
        <w:t>合并成本公允价值的确定方法、或有对价及其变动的说明： 大额商誉形成的主要原因：</w:t>
      </w:r>
    </w:p>
    <w:p>
      <w:pPr>
        <w:spacing w:before="2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153"/>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2"/>
        <w:gridCol w:w="3179"/>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1" w:type="dxa"/>
            <w:gridSpan w:val="2"/>
            <w:tcBorders>
              <w:top w:val="single" w:sz="4" w:space="0" w:color="000000"/>
              <w:left w:val="single" w:sz="10" w:space="0" w:color="D2D2D2"/>
              <w:bottom w:val="single" w:sz="4" w:space="0" w:color="000000"/>
              <w:right w:val="single" w:sz="4" w:space="0" w:color="000000"/>
            </w:tcBorders>
            <w:shd w:val="clear" w:color="auto" w:fill="E0FFFF"/>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7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8"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spacing w:line="357" w:lineRule="auto" w:before="49"/>
        <w:ind w:left="152" w:right="6551" w:firstLine="0"/>
        <w:jc w:val="both"/>
        <w:rPr>
          <w:rFonts w:ascii="宋体" w:hAnsi="宋体" w:cs="宋体" w:eastAsia="宋体" w:hint="default"/>
          <w:sz w:val="18"/>
          <w:szCs w:val="18"/>
        </w:rPr>
      </w:pPr>
      <w:r>
        <w:rPr>
          <w:rFonts w:ascii="宋体" w:hAnsi="宋体" w:cs="宋体" w:eastAsia="宋体" w:hint="default"/>
          <w:sz w:val="18"/>
          <w:szCs w:val="18"/>
        </w:rPr>
        <w:t>可辨认资产、负债公允价值的确定方法： 企业合并中承担的被购买方的或有负债： 其他说明：</w:t>
      </w:r>
    </w:p>
    <w:p>
      <w:pPr>
        <w:spacing w:line="240" w:lineRule="auto" w:before="6"/>
        <w:rPr>
          <w:rFonts w:ascii="宋体" w:hAnsi="宋体" w:cs="宋体" w:eastAsia="宋体" w:hint="default"/>
          <w:sz w:val="20"/>
          <w:szCs w:val="20"/>
        </w:rPr>
      </w:pPr>
    </w:p>
    <w:p>
      <w:pPr>
        <w:pStyle w:val="Heading4"/>
        <w:spacing w:line="240" w:lineRule="auto"/>
        <w:ind w:right="0"/>
        <w:jc w:val="both"/>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before="117"/>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both"/>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53"/>
        <w:jc w:val="left"/>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2"/>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4"/>
        <w:gridCol w:w="1063"/>
        <w:gridCol w:w="1066"/>
        <w:gridCol w:w="1063"/>
        <w:gridCol w:w="1063"/>
        <w:gridCol w:w="1066"/>
        <w:gridCol w:w="1063"/>
      </w:tblGrid>
      <w:tr>
        <w:trPr>
          <w:trHeight w:val="1337" w:hRule="exact"/>
        </w:trPr>
        <w:tc>
          <w:tcPr>
            <w:tcW w:w="1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36" w:right="72" w:hanging="361"/>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2"/>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5"/>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59" w:right="75"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5"/>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153"/>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23;top:17;width:2;height:392" coordorigin="23,17" coordsize="2,392">
              <v:shape style="position:absolute;left:23;top:17;width:2;height:392" coordorigin="23,17" coordsize="0,392" path="m23,17l23,408e" filled="false" stroked="true" strokeweight="1.08pt" strokecolor="#d2d2d2">
                <v:path arrowok="t"/>
              </v:shape>
            </v:group>
            <v:group style="position:absolute;left:4775;top:17;width:2;height:392" coordorigin="4775,17" coordsize="2,392">
              <v:shape style="position:absolute;left:4775;top:17;width:2;height:392" coordorigin="4775,17" coordsize="0,392" path="m4775,17l4775,408e" filled="false" stroked="true" strokeweight="1.2pt" strokecolor="#d2d2d2">
                <v:path arrowok="t"/>
              </v:shape>
            </v:group>
            <v:group style="position:absolute;left:34;top:17;width:4729;height:392" coordorigin="34,17" coordsize="4729,392">
              <v:shape style="position:absolute;left:34;top:17;width:4729;height:392" coordorigin="34,17" coordsize="4729,392" path="m34,408l4763,408,4763,17,34,17,34,408xe" filled="true" fillcolor="#d2d2d2" stroked="false">
                <v:path arrowok="t"/>
                <v:fill type="solid"/>
              </v:shape>
            </v:group>
            <v:group style="position:absolute;left:4807;top:17;width:2;height:392" coordorigin="4807,17" coordsize="2,392">
              <v:shape style="position:absolute;left:4807;top:17;width:2;height:392" coordorigin="4807,17" coordsize="0,392" path="m4807,17l4807,408e" filled="false" stroked="true" strokeweight="1.08pt" strokecolor="#e0ffff">
                <v:path arrowok="t"/>
              </v:shape>
            </v:group>
            <v:group style="position:absolute;left:9559;top:17;width:2;height:392" coordorigin="9559,17" coordsize="2,392">
              <v:shape style="position:absolute;left:9559;top:17;width:2;height:392" coordorigin="9559,17" coordsize="0,392" path="m9559,17l9559,408e" filled="false" stroked="true" strokeweight="1.2pt" strokecolor="#e0ffff">
                <v:path arrowok="t"/>
              </v:shape>
            </v:group>
            <v:group style="position:absolute;left:4818;top:17;width:4729;height:392" coordorigin="4818,17" coordsize="4729,392">
              <v:shape style="position:absolute;left:4818;top:17;width:4729;height:392" coordorigin="4818,17" coordsize="4729,392" path="m4818,408l9547,408,9547,17,4818,17,4818,408xe" filled="true" fillcolor="#e0ffff"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799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799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8001pt" strokecolor="#000000">
                <v:path arrowok="t"/>
              </v:shape>
            </v:group>
            <v:group style="position:absolute;left:4789;top:5;width:2;height:413" coordorigin="4789,5" coordsize="2,413">
              <v:shape style="position:absolute;left:4789;top:5;width:2;height:413" coordorigin="4789,5" coordsize="0,413"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8001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7998pt" strokecolor="#000000">
                <v:path arrowok="t"/>
              </v:shape>
              <v:shape style="position:absolute;left:6;top:10;width:4795;height:404" type="#_x0000_t202" filled="false" stroked="false">
                <v:textbox inset="0,0,0,0">
                  <w:txbxContent>
                    <w:p>
                      <w:pPr>
                        <w:spacing w:before="56"/>
                        <w:ind w:left="0" w:right="1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357" w:lineRule="auto" w:before="44"/>
        <w:ind w:left="152" w:right="7614" w:firstLine="0"/>
        <w:jc w:val="left"/>
        <w:rPr>
          <w:rFonts w:ascii="宋体" w:hAnsi="宋体" w:cs="宋体" w:eastAsia="宋体" w:hint="default"/>
          <w:sz w:val="18"/>
          <w:szCs w:val="18"/>
        </w:rPr>
      </w:pPr>
      <w:r>
        <w:rPr>
          <w:rFonts w:ascii="宋体" w:hAnsi="宋体" w:cs="宋体" w:eastAsia="宋体" w:hint="default"/>
          <w:sz w:val="18"/>
          <w:szCs w:val="18"/>
        </w:rPr>
        <w:t>或有对价及其变动的说明： 其他说明：</w:t>
      </w:r>
    </w:p>
    <w:p>
      <w:pPr>
        <w:spacing w:line="240" w:lineRule="auto" w:before="6"/>
        <w:rPr>
          <w:rFonts w:ascii="宋体" w:hAnsi="宋体" w:cs="宋体" w:eastAsia="宋体" w:hint="default"/>
          <w:sz w:val="20"/>
          <w:szCs w:val="20"/>
        </w:rPr>
      </w:pPr>
    </w:p>
    <w:p>
      <w:pPr>
        <w:pStyle w:val="Heading4"/>
        <w:spacing w:line="240" w:lineRule="auto"/>
        <w:ind w:right="153"/>
        <w:jc w:val="left"/>
        <w:rPr>
          <w:b w:val="0"/>
          <w:bCs w:val="0"/>
        </w:rPr>
      </w:pP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p>
      <w:pPr>
        <w:spacing w:line="823" w:lineRule="exact"/>
        <w:ind w:left="148"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15pt;height:41.2pt;mso-position-horizontal-relative:char;mso-position-vertical-relative:line" coordorigin="0,0" coordsize="9583,824">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3181;top:14;width:2;height:392" coordorigin="3181,14" coordsize="2,392">
              <v:shape style="position:absolute;left:3181;top:14;width:2;height:392" coordorigin="3181,14" coordsize="0,392" path="m3181,14l3181,406e" filled="false" stroked="true" strokeweight="1.2pt" strokecolor="#d2d2d2">
                <v:path arrowok="t"/>
              </v:shape>
            </v:group>
            <v:group style="position:absolute;left:34;top:14;width:3136;height:392" coordorigin="34,14" coordsize="3136,392">
              <v:shape style="position:absolute;left:34;top:14;width:3136;height:392" coordorigin="34,14" coordsize="3136,392" path="m34,406l3169,406,3169,14,34,14,34,406xe" filled="true" fillcolor="#d2d2d2" stroked="false">
                <v:path arrowok="t"/>
                <v:fill type="solid"/>
              </v:shape>
            </v:group>
            <v:group style="position:absolute;left:3213;top:14;width:2;height:392" coordorigin="3213,14" coordsize="2,392">
              <v:shape style="position:absolute;left:3213;top:14;width:2;height:392" coordorigin="3213,14" coordsize="0,392" path="m3213,14l3213,406e" filled="false" stroked="true" strokeweight="1.08pt" strokecolor="#e0ffff">
                <v:path arrowok="t"/>
              </v:shape>
            </v:group>
            <v:group style="position:absolute;left:9561;top:14;width:2;height:392" coordorigin="9561,14" coordsize="2,392">
              <v:shape style="position:absolute;left:9561;top:14;width:2;height:392" coordorigin="9561,14" coordsize="0,392" path="m9561,14l9561,406e" filled="false" stroked="true" strokeweight="1.2pt" strokecolor="#e0ffff">
                <v:path arrowok="t"/>
              </v:shape>
            </v:group>
            <v:group style="position:absolute;left:3224;top:14;width:6325;height:392" coordorigin="3224,14" coordsize="6325,392">
              <v:shape style="position:absolute;left:3224;top:14;width:6325;height:392" coordorigin="3224,14" coordsize="6325,392" path="m3224,406l9549,406,9549,14,3224,14,3224,406xe" filled="true" fillcolor="#e0ffff" stroked="false">
                <v:path arrowok="t"/>
                <v:fill type="solid"/>
              </v:shape>
            </v:group>
            <v:group style="position:absolute;left:10;top:10;width:3181;height:2" coordorigin="10,10" coordsize="3181,2">
              <v:shape style="position:absolute;left:10;top:10;width:3181;height:2" coordorigin="10,10" coordsize="3181,0" path="m10,10l3191,10e" filled="false" stroked="true" strokeweight=".48001pt" strokecolor="#000000">
                <v:path arrowok="t"/>
              </v:shape>
            </v:group>
            <v:group style="position:absolute;left:3200;top:10;width:6373;height:2" coordorigin="3200,10" coordsize="6373,2">
              <v:shape style="position:absolute;left:3200;top:10;width:6373;height:2" coordorigin="3200,10" coordsize="6373,0" path="m3200,10l9573,10e" filled="false" stroked="true" strokeweight=".48001pt" strokecolor="#000000">
                <v:path arrowok="t"/>
              </v:shape>
            </v:group>
            <v:group style="position:absolute;left:23;top:415;width:2;height:394" coordorigin="23,415" coordsize="2,394">
              <v:shape style="position:absolute;left:23;top:415;width:2;height:394" coordorigin="23,415" coordsize="0,394" path="m23,415l23,809e" filled="false" stroked="true" strokeweight="1.08pt" strokecolor="#d2d2d2">
                <v:path arrowok="t"/>
              </v:shape>
            </v:group>
            <v:group style="position:absolute;left:3181;top:415;width:2;height:394" coordorigin="3181,415" coordsize="2,394">
              <v:shape style="position:absolute;left:3181;top:415;width:2;height:394" coordorigin="3181,415" coordsize="0,394" path="m3181,415l3181,809e" filled="false" stroked="true" strokeweight="1.2pt" strokecolor="#d2d2d2">
                <v:path arrowok="t"/>
              </v:shape>
            </v:group>
            <v:group style="position:absolute;left:34;top:415;width:3136;height:394" coordorigin="34,415" coordsize="3136,394">
              <v:shape style="position:absolute;left:34;top:415;width:3136;height:394" coordorigin="34,415" coordsize="3136,394" path="m34,809l3169,809,3169,415,34,415,34,809xe" filled="true" fillcolor="#d2d2d2" stroked="false">
                <v:path arrowok="t"/>
                <v:fill type="solid"/>
              </v:shape>
            </v:group>
            <v:group style="position:absolute;left:3213;top:415;width:2;height:394" coordorigin="3213,415" coordsize="2,394">
              <v:shape style="position:absolute;left:3213;top:415;width:2;height:394" coordorigin="3213,415" coordsize="0,394" path="m3213,415l3213,809e" filled="false" stroked="true" strokeweight="1.08pt" strokecolor="#d2d2d2">
                <v:path arrowok="t"/>
              </v:shape>
            </v:group>
            <v:group style="position:absolute;left:6371;top:415;width:2;height:394" coordorigin="6371,415" coordsize="2,394">
              <v:shape style="position:absolute;left:6371;top:415;width:2;height:394" coordorigin="6371,415" coordsize="0,394" path="m6371,415l6371,809e" filled="false" stroked="true" strokeweight="1.2pt" strokecolor="#d2d2d2">
                <v:path arrowok="t"/>
              </v:shape>
            </v:group>
            <v:group style="position:absolute;left:3224;top:415;width:3135;height:394" coordorigin="3224,415" coordsize="3135,394">
              <v:shape style="position:absolute;left:3224;top:415;width:3135;height:394" coordorigin="3224,415" coordsize="3135,394" path="m3224,809l6359,809,6359,415,3224,415,3224,809xe" filled="true" fillcolor="#d2d2d2" stroked="false">
                <v:path arrowok="t"/>
                <v:fill type="solid"/>
              </v:shape>
            </v:group>
            <v:group style="position:absolute;left:6403;top:415;width:2;height:394" coordorigin="6403,415" coordsize="2,394">
              <v:shape style="position:absolute;left:6403;top:415;width:2;height:394" coordorigin="6403,415" coordsize="0,394" path="m6403,415l6403,809e" filled="false" stroked="true" strokeweight="1.08pt" strokecolor="#d2d2d2">
                <v:path arrowok="t"/>
              </v:shape>
            </v:group>
            <v:group style="position:absolute;left:9561;top:415;width:2;height:394" coordorigin="9561,415" coordsize="2,394">
              <v:shape style="position:absolute;left:9561;top:415;width:2;height:394" coordorigin="9561,415" coordsize="0,394" path="m9561,415l9561,809e" filled="false" stroked="true" strokeweight="1.2pt" strokecolor="#d2d2d2">
                <v:path arrowok="t"/>
              </v:shape>
            </v:group>
            <v:group style="position:absolute;left:6414;top:415;width:3135;height:394" coordorigin="6414,415" coordsize="3135,394">
              <v:shape style="position:absolute;left:6414;top:415;width:3135;height:394" coordorigin="6414,415" coordsize="3135,394" path="m6414,809l9549,809,9549,415,6414,415,6414,809xe" filled="true" fillcolor="#d2d2d2" stroked="false">
                <v:path arrowok="t"/>
                <v:fill type="solid"/>
              </v:shape>
            </v:group>
            <v:group style="position:absolute;left:10;top:410;width:3181;height:2" coordorigin="10,410" coordsize="3181,2">
              <v:shape style="position:absolute;left:10;top:410;width:3181;height:2" coordorigin="10,410" coordsize="3181,0" path="m10,410l3191,410e" filled="false" stroked="true" strokeweight=".47998pt" strokecolor="#000000">
                <v:path arrowok="t"/>
              </v:shape>
            </v:group>
            <v:group style="position:absolute;left:3200;top:410;width:3181;height:2" coordorigin="3200,410" coordsize="3181,2">
              <v:shape style="position:absolute;left:3200;top:410;width:3181;height:2" coordorigin="3200,410" coordsize="3181,0" path="m3200,410l6381,410e" filled="false" stroked="true" strokeweight=".47998pt" strokecolor="#000000">
                <v:path arrowok="t"/>
              </v:shape>
            </v:group>
            <v:group style="position:absolute;left:6390;top:410;width:3183;height:2" coordorigin="6390,410" coordsize="3183,2">
              <v:shape style="position:absolute;left:6390;top:410;width:3183;height:2" coordorigin="6390,410" coordsize="3183,0" path="m6390,410l9573,410e" filled="false" stroked="true" strokeweight=".47998pt" strokecolor="#000000">
                <v:path arrowok="t"/>
              </v:shape>
            </v:group>
            <v:group style="position:absolute;left:5;top:5;width:2;height:814" coordorigin="5,5" coordsize="2,814">
              <v:shape style="position:absolute;left:5;top:5;width:2;height:814" coordorigin="5,5" coordsize="0,814" path="m5,5l5,818e" filled="false" stroked="true" strokeweight=".48pt" strokecolor="#000000">
                <v:path arrowok="t"/>
              </v:shape>
            </v:group>
            <v:group style="position:absolute;left:10;top:814;width:3181;height:2" coordorigin="10,814" coordsize="3181,2">
              <v:shape style="position:absolute;left:10;top:814;width:3181;height:2" coordorigin="10,814" coordsize="3181,0" path="m10,814l3191,814e" filled="false" stroked="true" strokeweight=".48004pt" strokecolor="#000000">
                <v:path arrowok="t"/>
              </v:shape>
            </v:group>
            <v:group style="position:absolute;left:3195;top:5;width:2;height:814" coordorigin="3195,5" coordsize="2,814">
              <v:shape style="position:absolute;left:3195;top:5;width:2;height:814" coordorigin="3195,5" coordsize="0,814" path="m3195,5l3195,818e" filled="false" stroked="true" strokeweight=".48pt" strokecolor="#000000">
                <v:path arrowok="t"/>
              </v:shape>
            </v:group>
            <v:group style="position:absolute;left:3200;top:814;width:3181;height:2" coordorigin="3200,814" coordsize="3181,2">
              <v:shape style="position:absolute;left:3200;top:814;width:3181;height:2" coordorigin="3200,814" coordsize="3181,0" path="m3200,814l6381,814e" filled="false" stroked="true" strokeweight=".48004pt" strokecolor="#000000">
                <v:path arrowok="t"/>
              </v:shape>
            </v:group>
            <v:group style="position:absolute;left:6385;top:406;width:2;height:413" coordorigin="6385,406" coordsize="2,413">
              <v:shape style="position:absolute;left:6385;top:406;width:2;height:413" coordorigin="6385,406" coordsize="0,413" path="m6385,406l6385,818e" filled="false" stroked="true" strokeweight=".48001pt" strokecolor="#000000">
                <v:path arrowok="t"/>
              </v:shape>
            </v:group>
            <v:group style="position:absolute;left:6390;top:814;width:3183;height:2" coordorigin="6390,814" coordsize="3183,2">
              <v:shape style="position:absolute;left:6390;top:814;width:3183;height:2" coordorigin="6390,814" coordsize="3183,0" path="m6390,814l9573,814e" filled="false" stroked="true" strokeweight=".48004pt" strokecolor="#000000">
                <v:path arrowok="t"/>
              </v:shape>
            </v:group>
            <v:group style="position:absolute;left:9578;top:5;width:2;height:814" coordorigin="9578,5" coordsize="2,814">
              <v:shape style="position:absolute;left:9578;top:5;width:2;height:814" coordorigin="9578,5" coordsize="0,814" path="m9578,5l9578,818e" filled="false" stroked="true" strokeweight=".47998pt" strokecolor="#000000">
                <v:path arrowok="t"/>
              </v:shape>
              <v:shape style="position:absolute;left:3185;top:410;width:3202;height:404" type="#_x0000_t202" filled="false" stroked="false">
                <v:textbox inset="0,0,0,0">
                  <w:txbxContent>
                    <w:p>
                      <w:pPr>
                        <w:spacing w:before="53"/>
                        <w:ind w:left="9"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7;top:410;width:3180;height:404" type="#_x0000_t202" filled="false" stroked="false">
                <v:textbox inset="0,0,0,0">
                  <w:txbxContent>
                    <w:p>
                      <w:pPr>
                        <w:spacing w:before="53"/>
                        <w:ind w:left="10"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spacing w:line="357" w:lineRule="auto" w:before="44"/>
        <w:ind w:left="152" w:right="6534" w:firstLine="0"/>
        <w:jc w:val="left"/>
        <w:rPr>
          <w:rFonts w:ascii="宋体" w:hAnsi="宋体" w:cs="宋体" w:eastAsia="宋体" w:hint="default"/>
          <w:sz w:val="18"/>
          <w:szCs w:val="18"/>
        </w:rPr>
      </w:pPr>
      <w:r>
        <w:rPr>
          <w:rFonts w:ascii="宋体" w:hAnsi="宋体" w:cs="宋体" w:eastAsia="宋体" w:hint="default"/>
          <w:sz w:val="18"/>
          <w:szCs w:val="18"/>
        </w:rPr>
        <w:t>企业合并中承担的被合并方的或有负债： 其他说明：</w:t>
      </w:r>
    </w:p>
    <w:p>
      <w:pPr>
        <w:spacing w:line="240" w:lineRule="auto" w:before="6"/>
        <w:rPr>
          <w:rFonts w:ascii="宋体" w:hAnsi="宋体" w:cs="宋体" w:eastAsia="宋体" w:hint="default"/>
          <w:sz w:val="20"/>
          <w:szCs w:val="20"/>
        </w:rPr>
      </w:pPr>
    </w:p>
    <w:p>
      <w:pPr>
        <w:pStyle w:val="Heading4"/>
        <w:spacing w:line="240" w:lineRule="auto"/>
        <w:ind w:right="153"/>
        <w:jc w:val="left"/>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4"/>
        <w:rPr>
          <w:rFonts w:ascii="宋体" w:hAnsi="宋体" w:cs="宋体" w:eastAsia="宋体" w:hint="default"/>
          <w:b/>
          <w:bCs/>
          <w:sz w:val="26"/>
          <w:szCs w:val="26"/>
        </w:rPr>
      </w:pPr>
    </w:p>
    <w:p>
      <w:pPr>
        <w:spacing w:line="316" w:lineRule="auto" w:before="0"/>
        <w:ind w:left="152" w:right="153" w:firstLine="0"/>
        <w:jc w:val="left"/>
        <w:rPr>
          <w:rFonts w:ascii="宋体" w:hAnsi="宋体" w:cs="宋体" w:eastAsia="宋体" w:hint="default"/>
          <w:sz w:val="18"/>
          <w:szCs w:val="18"/>
        </w:rPr>
      </w:pPr>
      <w:r>
        <w:rPr>
          <w:rFonts w:ascii="宋体" w:hAnsi="宋体" w:cs="宋体" w:eastAsia="宋体" w:hint="default"/>
          <w:spacing w:val="-2"/>
          <w:sz w:val="18"/>
          <w:szCs w:val="18"/>
        </w:rPr>
        <w:t>交易基本信息、交易构成反向购买的依据、上市公司保留的资产、负债是否构成业务及其依据、合并成本的确定、按照权益</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性交易处理时调整权益的金额及其计算：</w:t>
      </w:r>
    </w:p>
    <w:p>
      <w:pPr>
        <w:spacing w:line="240" w:lineRule="auto" w:before="8"/>
        <w:rPr>
          <w:rFonts w:ascii="宋体" w:hAnsi="宋体" w:cs="宋体" w:eastAsia="宋体" w:hint="default"/>
          <w:sz w:val="22"/>
          <w:szCs w:val="22"/>
        </w:rPr>
      </w:pPr>
    </w:p>
    <w:p>
      <w:pPr>
        <w:pStyle w:val="Heading4"/>
        <w:spacing w:line="240" w:lineRule="auto"/>
        <w:ind w:right="153"/>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5"/>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line="338" w:lineRule="auto" w:before="117"/>
        <w:ind w:left="152" w:right="40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是否存在通过多次交易分步处置对子公司投资且在本期丧失控制权的情形</w:t>
      </w:r>
    </w:p>
    <w:p>
      <w:pPr>
        <w:spacing w:before="43"/>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153"/>
        <w:jc w:val="left"/>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5"/>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spacing w:line="240" w:lineRule="auto" w:before="0"/>
        <w:rPr>
          <w:rFonts w:ascii="宋体" w:hAnsi="宋体" w:cs="宋体" w:eastAsia="宋体" w:hint="default"/>
          <w:sz w:val="18"/>
          <w:szCs w:val="18"/>
        </w:rPr>
      </w:pPr>
    </w:p>
    <w:p>
      <w:pPr>
        <w:spacing w:line="487" w:lineRule="auto" w:before="118"/>
        <w:ind w:left="152" w:right="71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4"/>
        <w:spacing w:line="240" w:lineRule="auto" w:before="81"/>
        <w:ind w:right="153"/>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1"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4"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江西科为薄膜新 型材料有限公司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江西</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太阳膜生产销售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企业合并</w:t>
            </w:r>
          </w:p>
        </w:tc>
      </w:tr>
    </w:tbl>
    <w:p>
      <w:pPr>
        <w:spacing w:line="357" w:lineRule="auto" w:before="49"/>
        <w:ind w:left="152" w:right="1854"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spacing w:line="360" w:lineRule="auto" w:before="29"/>
        <w:ind w:left="152" w:right="6714"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 其他说明：</w:t>
      </w:r>
    </w:p>
    <w:p>
      <w:pPr>
        <w:spacing w:line="240" w:lineRule="auto" w:before="2"/>
        <w:rPr>
          <w:rFonts w:ascii="宋体" w:hAnsi="宋体" w:cs="宋体" w:eastAsia="宋体" w:hint="default"/>
          <w:sz w:val="20"/>
          <w:szCs w:val="20"/>
        </w:rPr>
      </w:pPr>
    </w:p>
    <w:p>
      <w:pPr>
        <w:pStyle w:val="Heading4"/>
        <w:spacing w:line="240" w:lineRule="auto"/>
        <w:ind w:right="153"/>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6"/>
        <w:gridCol w:w="1913"/>
        <w:gridCol w:w="1913"/>
        <w:gridCol w:w="1916"/>
      </w:tblGrid>
      <w:tr>
        <w:trPr>
          <w:trHeight w:val="76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bl>
    <w:p>
      <w:pPr>
        <w:spacing w:line="360" w:lineRule="auto" w:before="49"/>
        <w:ind w:left="152" w:right="5454"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其他说明：</w:t>
      </w:r>
    </w:p>
    <w:p>
      <w:pPr>
        <w:spacing w:line="240" w:lineRule="auto" w:before="2"/>
        <w:rPr>
          <w:rFonts w:ascii="宋体" w:hAnsi="宋体" w:cs="宋体" w:eastAsia="宋体" w:hint="default"/>
          <w:sz w:val="20"/>
          <w:szCs w:val="20"/>
        </w:rPr>
      </w:pPr>
    </w:p>
    <w:p>
      <w:pPr>
        <w:pStyle w:val="Heading4"/>
        <w:spacing w:line="240" w:lineRule="auto"/>
        <w:ind w:right="153"/>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7"/>
        <w:gridCol w:w="737"/>
        <w:gridCol w:w="734"/>
        <w:gridCol w:w="737"/>
        <w:gridCol w:w="734"/>
        <w:gridCol w:w="735"/>
        <w:gridCol w:w="734"/>
        <w:gridCol w:w="737"/>
        <w:gridCol w:w="737"/>
        <w:gridCol w:w="734"/>
        <w:gridCol w:w="726"/>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81" w:right="92"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0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6"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4"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80"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bl>
    <w:p>
      <w:pPr>
        <w:spacing w:before="49"/>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4"/>
        <w:gridCol w:w="1063"/>
        <w:gridCol w:w="1066"/>
        <w:gridCol w:w="1063"/>
        <w:gridCol w:w="1063"/>
        <w:gridCol w:w="1064"/>
        <w:gridCol w:w="1055"/>
      </w:tblGrid>
      <w:tr>
        <w:trPr>
          <w:trHeight w:val="402" w:hRule="exact"/>
        </w:trPr>
        <w:tc>
          <w:tcPr>
            <w:tcW w:w="10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4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0"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6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bl>
    <w:p>
      <w:pPr>
        <w:spacing w:before="50"/>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2"/>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153"/>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p>
      <w:pPr>
        <w:spacing w:line="423"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23;top:17;width:2;height:392" coordorigin="23,17" coordsize="2,392">
              <v:shape style="position:absolute;left:23;top:17;width:2;height:392" coordorigin="23,17" coordsize="0,392" path="m23,17l23,409e" filled="false" stroked="true" strokeweight="1.08pt" strokecolor="#d2d2d2">
                <v:path arrowok="t"/>
              </v:shape>
            </v:group>
            <v:group style="position:absolute;left:4775;top:17;width:2;height:392" coordorigin="4775,17" coordsize="2,392">
              <v:shape style="position:absolute;left:4775;top:17;width:2;height:392" coordorigin="4775,17" coordsize="0,392" path="m4775,17l4775,409e" filled="false" stroked="true" strokeweight="1.2pt" strokecolor="#d2d2d2">
                <v:path arrowok="t"/>
              </v:shape>
            </v:group>
            <v:group style="position:absolute;left:34;top:17;width:4729;height:392" coordorigin="34,17" coordsize="4729,392">
              <v:shape style="position:absolute;left:34;top:17;width:4729;height:392" coordorigin="34,17" coordsize="4729,392" path="m34,409l4763,409,4763,17,34,17,34,409xe" filled="true" fillcolor="#d2d2d2" stroked="false">
                <v:path arrowok="t"/>
                <v:fill type="solid"/>
              </v:shape>
            </v:group>
            <v:group style="position:absolute;left:4807;top:17;width:2;height:392" coordorigin="4807,17" coordsize="2,392">
              <v:shape style="position:absolute;left:4807;top:17;width:2;height:392" coordorigin="4807,17" coordsize="0,392" path="m4807,17l4807,409e" filled="false" stroked="true" strokeweight="1.08pt" strokecolor="#e0ffff">
                <v:path arrowok="t"/>
              </v:shape>
            </v:group>
            <v:group style="position:absolute;left:9559;top:17;width:2;height:392" coordorigin="9559,17" coordsize="2,392">
              <v:shape style="position:absolute;left:9559;top:17;width:2;height:392" coordorigin="9559,17" coordsize="0,392" path="m9559,17l9559,409e" filled="false" stroked="true" strokeweight="1.2pt" strokecolor="#e0ffff">
                <v:path arrowok="t"/>
              </v:shape>
            </v:group>
            <v:group style="position:absolute;left:4818;top:17;width:4729;height:392" coordorigin="4818,17" coordsize="4729,392">
              <v:shape style="position:absolute;left:4818;top:17;width:4729;height:392" coordorigin="4818,17" coordsize="4729,392" path="m4818,409l9547,409,9547,17,4818,17,4818,409xe" filled="true" fillcolor="#e0ffff"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8001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8001pt" strokecolor="#000000">
                <v:path arrowok="t"/>
              </v:shape>
            </v:group>
            <v:group style="position:absolute;left:5;top:5;width:2;height:414" coordorigin="5,5" coordsize="2,414">
              <v:shape style="position:absolute;left:5;top:5;width:2;height:414" coordorigin="5,5" coordsize="0,414"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8001pt" strokecolor="#000000">
                <v:path arrowok="t"/>
              </v:shape>
            </v:group>
            <v:group style="position:absolute;left:4789;top:5;width:2;height:414" coordorigin="4789,5" coordsize="2,414">
              <v:shape style="position:absolute;left:4789;top:5;width:2;height:414" coordorigin="4789,5" coordsize="0,414"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8001pt" strokecolor="#000000">
                <v:path arrowok="t"/>
              </v:shape>
            </v:group>
            <v:group style="position:absolute;left:9576;top:5;width:2;height:414" coordorigin="9576,5" coordsize="2,414">
              <v:shape style="position:absolute;left:9576;top:5;width:2;height:414" coordorigin="9576,5" coordsize="0,414" path="m9576,5l9576,418e" filled="false" stroked="true" strokeweight=".47998pt" strokecolor="#000000">
                <v:path arrowok="t"/>
              </v:shape>
            </v:group>
          </v:group>
        </w:pict>
      </w:r>
      <w:r>
        <w:rPr>
          <w:rFonts w:ascii="宋体" w:hAnsi="宋体" w:cs="宋体" w:eastAsia="宋体" w:hint="default"/>
          <w:position w:val="-7"/>
          <w:sz w:val="20"/>
          <w:szCs w:val="20"/>
        </w:rPr>
      </w:r>
    </w:p>
    <w:p>
      <w:pPr>
        <w:spacing w:before="44"/>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153"/>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0"/>
        <w:gridCol w:w="1369"/>
        <w:gridCol w:w="1366"/>
        <w:gridCol w:w="1368"/>
        <w:gridCol w:w="1368"/>
        <w:gridCol w:w="1366"/>
        <w:gridCol w:w="1366"/>
      </w:tblGrid>
      <w:tr>
        <w:trPr>
          <w:trHeight w:val="401"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20"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在合营企业或联营企业的持股比例不同于表决权比例的说明：</w:t>
      </w:r>
    </w:p>
    <w:p>
      <w:pPr>
        <w:spacing w:before="117"/>
        <w:ind w:left="152" w:right="153" w:firstLine="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以下表决权但具有重大影响，或者持有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或以上表决权但不具有重大影响的依据：</w:t>
      </w:r>
    </w:p>
    <w:p>
      <w:pPr>
        <w:spacing w:line="240" w:lineRule="auto" w:before="13"/>
        <w:rPr>
          <w:rFonts w:ascii="宋体" w:hAnsi="宋体" w:cs="宋体" w:eastAsia="宋体" w:hint="default"/>
          <w:sz w:val="25"/>
          <w:szCs w:val="25"/>
        </w:rPr>
      </w:pPr>
    </w:p>
    <w:p>
      <w:pPr>
        <w:pStyle w:val="Heading4"/>
        <w:spacing w:line="240" w:lineRule="auto"/>
        <w:ind w:right="153"/>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80"/>
        <w:gridCol w:w="3189"/>
        <w:gridCol w:w="3180"/>
      </w:tblGrid>
      <w:tr>
        <w:trPr>
          <w:trHeight w:val="402" w:hRule="exact"/>
        </w:trPr>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9" w:type="dxa"/>
            <w:tcBorders>
              <w:top w:val="single" w:sz="4" w:space="0" w:color="000000"/>
              <w:left w:val="single" w:sz="10" w:space="0" w:color="D2D2D2"/>
              <w:bottom w:val="single" w:sz="4" w:space="0" w:color="000000"/>
              <w:right w:val="single" w:sz="4" w:space="0" w:color="000000"/>
            </w:tcBorders>
            <w:shd w:val="clear" w:color="auto" w:fill="E0FFFF"/>
          </w:tcPr>
          <w:p>
            <w:pPr/>
          </w:p>
        </w:tc>
        <w:tc>
          <w:tcPr>
            <w:tcW w:w="3180"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153"/>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8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6"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10" w:space="0" w:color="D2D2D2"/>
              <w:bottom w:val="single" w:sz="4" w:space="0" w:color="000000"/>
              <w:right w:val="single" w:sz="4" w:space="0" w:color="000000"/>
            </w:tcBorders>
            <w:shd w:val="clear" w:color="auto" w:fill="E0FFFF"/>
          </w:tcPr>
          <w:p>
            <w:pPr/>
          </w:p>
        </w:tc>
        <w:tc>
          <w:tcPr>
            <w:tcW w:w="3180"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74"/>
      </w:tblGrid>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153"/>
        <w:jc w:val="left"/>
        <w:rPr>
          <w:b w:val="0"/>
          <w:bCs w:val="0"/>
        </w:rPr>
      </w:pP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1"/>
        <w:gridCol w:w="2396"/>
      </w:tblGrid>
      <w:tr>
        <w:trPr>
          <w:trHeight w:val="715"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8"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0" w:hanging="992"/>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50" w:right="20" w:hanging="627"/>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153"/>
        <w:jc w:val="left"/>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53"/>
        <w:jc w:val="left"/>
        <w:rPr>
          <w:b w:val="0"/>
          <w:bCs w:val="0"/>
        </w:rPr>
      </w:pPr>
      <w:r>
        <w:rPr>
          <w:rFonts w:ascii="Times New Roman" w:hAnsi="Times New Roman" w:cs="Times New Roman" w:eastAsia="Times New Roman" w:hint="default"/>
        </w:rPr>
        <w:t>4</w:t>
      </w:r>
      <w:r>
        <w:rPr/>
        <w:t>、重要的共同经营</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4"/>
        <w:gridCol w:w="1594"/>
        <w:gridCol w:w="1594"/>
        <w:gridCol w:w="1594"/>
      </w:tblGrid>
      <w:tr>
        <w:trPr>
          <w:trHeight w:val="403"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1"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spacing w:line="360" w:lineRule="auto" w:before="49"/>
        <w:ind w:left="152" w:right="4554" w:firstLine="0"/>
        <w:jc w:val="left"/>
        <w:rPr>
          <w:rFonts w:ascii="宋体" w:hAnsi="宋体" w:cs="宋体" w:eastAsia="宋体" w:hint="default"/>
          <w:sz w:val="18"/>
          <w:szCs w:val="18"/>
        </w:rPr>
      </w:pPr>
      <w:r>
        <w:rPr>
          <w:rFonts w:ascii="宋体" w:hAnsi="宋体" w:cs="宋体" w:eastAsia="宋体" w:hint="default"/>
          <w:sz w:val="18"/>
          <w:szCs w:val="18"/>
        </w:rPr>
        <w:t>在共同经营中的持股比例或享有的份额不同于表决权比例的说明： 共同经营为单独主体的，分类为共同经营的依据：</w:t>
      </w:r>
    </w:p>
    <w:p>
      <w:pPr>
        <w:spacing w:before="25"/>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153"/>
        <w:jc w:val="left"/>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4"/>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宋体" w:hAnsi="宋体" w:cs="宋体" w:eastAsia="宋体" w:hint="default"/>
          <w:sz w:val="18"/>
          <w:szCs w:val="18"/>
        </w:rPr>
        <w:t>未纳入合并财务报表范围的结构化主体的相关说明：</w:t>
      </w:r>
    </w:p>
    <w:p>
      <w:pPr>
        <w:spacing w:line="240" w:lineRule="auto" w:before="0"/>
        <w:rPr>
          <w:rFonts w:ascii="宋体" w:hAnsi="宋体" w:cs="宋体" w:eastAsia="宋体" w:hint="default"/>
          <w:sz w:val="18"/>
          <w:szCs w:val="18"/>
        </w:rPr>
      </w:pPr>
    </w:p>
    <w:p>
      <w:pPr>
        <w:pStyle w:val="Heading4"/>
        <w:spacing w:line="240" w:lineRule="auto" w:before="121"/>
        <w:ind w:right="153"/>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8"/>
        <w:rPr>
          <w:rFonts w:ascii="宋体" w:hAnsi="宋体" w:cs="宋体" w:eastAsia="宋体" w:hint="default"/>
          <w:b/>
          <w:bCs/>
          <w:sz w:val="22"/>
          <w:szCs w:val="22"/>
        </w:rPr>
      </w:pPr>
    </w:p>
    <w:p>
      <w:pPr>
        <w:pStyle w:val="Heading2"/>
        <w:spacing w:line="240" w:lineRule="auto"/>
        <w:ind w:right="153"/>
        <w:jc w:val="left"/>
        <w:rPr>
          <w:b w:val="0"/>
          <w:bCs w:val="0"/>
        </w:rPr>
      </w:pPr>
      <w:r>
        <w:rPr/>
        <w:t>十、与金融工具相关的风险</w:t>
      </w:r>
      <w:r>
        <w:rPr>
          <w:b w:val="0"/>
          <w:bCs w:val="0"/>
        </w:rPr>
      </w:r>
    </w:p>
    <w:p>
      <w:pPr>
        <w:spacing w:line="240" w:lineRule="auto" w:before="12"/>
        <w:rPr>
          <w:rFonts w:ascii="宋体" w:hAnsi="宋体" w:cs="宋体" w:eastAsia="宋体" w:hint="default"/>
          <w:b/>
          <w:bCs/>
          <w:sz w:val="24"/>
          <w:szCs w:val="24"/>
        </w:rPr>
      </w:pPr>
    </w:p>
    <w:p>
      <w:pPr>
        <w:pStyle w:val="BodyText"/>
        <w:spacing w:line="273" w:lineRule="auto"/>
        <w:ind w:right="153"/>
        <w:jc w:val="left"/>
      </w:pPr>
      <w:r>
        <w:rPr>
          <w:spacing w:val="-2"/>
        </w:rPr>
        <w:t>本公司的金融资产包括应收票据、应收账款、可供出售金融资产和其他应收款，本公司的金融负债包括短</w:t>
      </w:r>
      <w:r>
        <w:rPr>
          <w:spacing w:val="-43"/>
        </w:rPr>
        <w:t> </w:t>
      </w:r>
      <w:r>
        <w:rPr>
          <w:spacing w:val="-43"/>
        </w:rPr>
      </w:r>
      <w:r>
        <w:rPr/>
        <w:t>期借款、应付票据、应付账款和其他应付款，各项金融工具的详细情况说明见本附注</w:t>
      </w:r>
      <w:r>
        <w:rPr>
          <w:rFonts w:ascii="Times New Roman" w:hAnsi="Times New Roman" w:cs="Times New Roman" w:eastAsia="Times New Roman" w:hint="default"/>
        </w:rPr>
        <w:t>6</w:t>
      </w:r>
      <w:r>
        <w:rPr/>
        <w:t>相关项目。本公司</w:t>
      </w:r>
    </w:p>
    <w:p>
      <w:pPr>
        <w:spacing w:after="0" w:line="273"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BodyText"/>
        <w:spacing w:line="273" w:lineRule="auto" w:before="36"/>
        <w:ind w:right="153"/>
        <w:jc w:val="left"/>
      </w:pPr>
      <w:r>
        <w:rPr>
          <w:spacing w:val="-2"/>
        </w:rPr>
        <w:t>在日常活动中面临各种金融工具的风险，主要包括信用风险、流动性风险、市场风险，董事会全权负责建</w:t>
      </w:r>
      <w:r>
        <w:rPr>
          <w:spacing w:val="-47"/>
        </w:rPr>
        <w:t> </w:t>
      </w:r>
      <w:r>
        <w:rPr>
          <w:spacing w:val="-47"/>
        </w:rPr>
      </w:r>
      <w:r>
        <w:rPr/>
        <w:t>立并监督本公司的风险管理架构，以及制定和监察本公司的风险管理政策。</w:t>
      </w:r>
    </w:p>
    <w:p>
      <w:pPr>
        <w:pStyle w:val="BodyText"/>
        <w:spacing w:line="278" w:lineRule="auto" w:before="48"/>
        <w:ind w:right="153"/>
        <w:jc w:val="left"/>
      </w:pPr>
      <w:r>
        <w:rPr>
          <w:rFonts w:ascii="Times New Roman" w:hAnsi="Times New Roman" w:cs="Times New Roman" w:eastAsia="Times New Roman" w:hint="default"/>
        </w:rPr>
        <w:t>1</w:t>
      </w:r>
      <w:r>
        <w:rPr/>
        <w:t>、信用风险</w:t>
      </w:r>
      <w:r>
        <w:rPr>
          <w:w w:val="100"/>
        </w:rPr>
        <w:t> </w:t>
      </w:r>
      <w:r>
        <w:rPr>
          <w:spacing w:val="-2"/>
        </w:rPr>
        <w:t>信用风险，是指金融工具的一方不履行义务，造成另一方发生财务损失的风险。如果金融工具涉及的顾客</w:t>
      </w:r>
      <w:r>
        <w:rPr>
          <w:spacing w:val="-43"/>
        </w:rPr>
        <w:t> </w:t>
      </w:r>
      <w:r>
        <w:rPr>
          <w:spacing w:val="-43"/>
        </w:rPr>
      </w:r>
      <w:r>
        <w:rPr>
          <w:spacing w:val="-2"/>
        </w:rPr>
        <w:t>或对方无法履行合同项下的义务对本公司造成的财务损失，即为信用风险。信用风险主要来自应收客户款</w:t>
      </w:r>
      <w:r>
        <w:rPr>
          <w:spacing w:val="-42"/>
        </w:rPr>
        <w:t> </w:t>
      </w:r>
      <w:r>
        <w:rPr>
          <w:spacing w:val="-42"/>
        </w:rPr>
      </w:r>
      <w:r>
        <w:rPr/>
        <w:t>项。应收账款和应收票据及其他应收款的账面值为本公司对于金融资产的最大信用风险。</w:t>
      </w:r>
    </w:p>
    <w:p>
      <w:pPr>
        <w:pStyle w:val="BodyText"/>
        <w:spacing w:line="280" w:lineRule="auto" w:before="44"/>
        <w:ind w:right="153"/>
        <w:jc w:val="left"/>
      </w:pPr>
      <w:r>
        <w:rPr>
          <w:rFonts w:ascii="Times New Roman" w:hAnsi="Times New Roman" w:cs="Times New Roman" w:eastAsia="Times New Roman" w:hint="default"/>
          <w:sz w:val="18"/>
          <w:szCs w:val="18"/>
        </w:rPr>
        <w:t>2</w:t>
      </w:r>
      <w:r>
        <w:rPr>
          <w:sz w:val="18"/>
          <w:szCs w:val="18"/>
        </w:rPr>
        <w:t>、</w:t>
      </w:r>
      <w:r>
        <w:rPr/>
        <w:t>流动性风险</w:t>
      </w:r>
      <w:r>
        <w:rPr>
          <w:w w:val="100"/>
        </w:rPr>
        <w:t> </w:t>
      </w:r>
      <w:r>
        <w:rPr>
          <w:spacing w:val="-2"/>
        </w:rPr>
        <w:t>流动性风险为本公司在履行与金融负债有关的义务时遇到资金短缺的风险。本公司在资金正常和紧张的情</w:t>
      </w:r>
      <w:r>
        <w:rPr>
          <w:spacing w:val="-43"/>
        </w:rPr>
        <w:t> </w:t>
      </w:r>
      <w:r>
        <w:rPr>
          <w:spacing w:val="-43"/>
        </w:rPr>
      </w:r>
      <w:r>
        <w:rPr>
          <w:spacing w:val="-2"/>
        </w:rPr>
        <w:t>况下，确保有足够的流动性来履行到期债务，且与金融机构进行融资磋商，保持一定水平的备用授信额度</w:t>
      </w:r>
      <w:r>
        <w:rPr>
          <w:spacing w:val="-43"/>
        </w:rPr>
        <w:t> </w:t>
      </w:r>
      <w:r>
        <w:rPr>
          <w:spacing w:val="-43"/>
        </w:rPr>
      </w:r>
      <w:r>
        <w:rPr/>
        <w:t>以降低流动性风险。</w:t>
      </w:r>
    </w:p>
    <w:p>
      <w:pPr>
        <w:pStyle w:val="BodyText"/>
        <w:spacing w:line="280" w:lineRule="auto" w:before="40"/>
        <w:ind w:right="153"/>
        <w:jc w:val="left"/>
      </w:pPr>
      <w:r>
        <w:rPr>
          <w:rFonts w:ascii="Times New Roman" w:hAnsi="Times New Roman" w:cs="Times New Roman" w:eastAsia="Times New Roman" w:hint="default"/>
        </w:rPr>
        <w:t>3</w:t>
      </w:r>
      <w:r>
        <w:rPr/>
        <w:t>、市场风险</w:t>
      </w:r>
      <w:r>
        <w:rPr>
          <w:w w:val="100"/>
        </w:rPr>
        <w:t> </w:t>
      </w:r>
      <w:r>
        <w:rPr>
          <w:spacing w:val="-2"/>
        </w:rPr>
        <w:t>金融工具的市场风险，是指金融工具的公允价值或未来现金流量因市场价格变动而发生波动的风险，包括</w:t>
      </w:r>
      <w:r>
        <w:rPr>
          <w:spacing w:val="-43"/>
        </w:rPr>
        <w:t> </w:t>
      </w:r>
      <w:r>
        <w:rPr>
          <w:spacing w:val="-43"/>
        </w:rPr>
      </w:r>
      <w:r>
        <w:rPr/>
        <w:t>汇率风险、利率风险。</w:t>
      </w:r>
    </w:p>
    <w:p>
      <w:pPr>
        <w:pStyle w:val="BodyText"/>
        <w:spacing w:line="256" w:lineRule="auto" w:before="43"/>
        <w:ind w:right="153" w:firstLine="420"/>
        <w:jc w:val="left"/>
      </w:pPr>
      <w:r>
        <w:rPr>
          <w:rFonts w:ascii="Times New Roman" w:hAnsi="Times New Roman" w:cs="Times New Roman" w:eastAsia="Times New Roman" w:hint="default"/>
          <w:spacing w:val="-3"/>
        </w:rPr>
        <w:t>3.1</w:t>
      </w:r>
      <w:r>
        <w:rPr>
          <w:spacing w:val="-3"/>
        </w:rPr>
        <w:t>汇率风险，是指金融工具的公允价值或未来现金流量因外汇汇率变动而发生波动的风险。汇率风险</w:t>
      </w:r>
      <w:r>
        <w:rPr>
          <w:w w:val="100"/>
        </w:rPr>
        <w:t> </w:t>
      </w:r>
      <w:r>
        <w:rPr/>
        <w:t>可源于以记账本位币之外的外币进行计价的金融工具。</w:t>
      </w:r>
    </w:p>
    <w:p>
      <w:pPr>
        <w:pStyle w:val="BodyText"/>
        <w:spacing w:line="273" w:lineRule="auto" w:before="61"/>
        <w:ind w:right="153" w:firstLine="420"/>
        <w:jc w:val="left"/>
      </w:pPr>
      <w:r>
        <w:rPr>
          <w:spacing w:val="-2"/>
        </w:rPr>
        <w:t>公司外币以欧元、美元和日元为主，公司目前主要是通过合理安排结购汇周期、出口收汇直接支付购</w:t>
      </w:r>
      <w:r>
        <w:rPr>
          <w:w w:val="100"/>
        </w:rPr>
        <w:t> </w:t>
      </w:r>
      <w:r>
        <w:rPr/>
        <w:t>买原料、进口设备部分采用人民币结算以及远期锁汇来避免汇率变动所产生的风险。</w:t>
      </w:r>
    </w:p>
    <w:p>
      <w:pPr>
        <w:pStyle w:val="BodyText"/>
        <w:spacing w:line="290" w:lineRule="auto" w:before="48"/>
        <w:ind w:left="573" w:right="153"/>
        <w:jc w:val="left"/>
      </w:pPr>
      <w:r>
        <w:rPr>
          <w:rFonts w:ascii="Times New Roman" w:hAnsi="Times New Roman" w:cs="Times New Roman" w:eastAsia="Times New Roman" w:hint="default"/>
        </w:rPr>
        <w:t>3.2</w:t>
      </w:r>
      <w:r>
        <w:rPr/>
        <w:t>利率风险</w:t>
      </w:r>
      <w:r>
        <w:rPr>
          <w:w w:val="100"/>
        </w:rPr>
        <w:t> </w:t>
      </w:r>
      <w:r>
        <w:rPr>
          <w:spacing w:val="-2"/>
        </w:rPr>
        <w:t>利率风险，是指金融工具的公允价值或未来现金流量因市场利率变动而发生波动的风险。利率风险可</w:t>
      </w:r>
    </w:p>
    <w:p>
      <w:pPr>
        <w:pStyle w:val="BodyText"/>
        <w:spacing w:line="256" w:lineRule="auto"/>
        <w:ind w:right="153"/>
        <w:jc w:val="left"/>
      </w:pPr>
      <w:r>
        <w:rPr>
          <w:spacing w:val="-1"/>
        </w:rPr>
        <w:t>源于已确认的计息金融工具和未确认的金融工具</w:t>
      </w:r>
      <w:r>
        <w:rPr>
          <w:rFonts w:ascii="Times New Roman" w:hAnsi="Times New Roman" w:cs="Times New Roman" w:eastAsia="Times New Roman" w:hint="default"/>
          <w:spacing w:val="-1"/>
        </w:rPr>
        <w:t>(</w:t>
      </w:r>
      <w:r>
        <w:rPr>
          <w:spacing w:val="-1"/>
        </w:rPr>
        <w:t>如某些贷款承诺</w:t>
      </w:r>
      <w:r>
        <w:rPr>
          <w:rFonts w:ascii="Times New Roman" w:hAnsi="Times New Roman" w:cs="Times New Roman" w:eastAsia="Times New Roman" w:hint="default"/>
          <w:spacing w:val="-1"/>
        </w:rPr>
        <w:t>)</w:t>
      </w:r>
      <w:r>
        <w:rPr>
          <w:spacing w:val="-1"/>
        </w:rPr>
        <w:t>。本公司对利率波动敏感性不强，不存</w:t>
      </w:r>
      <w:r>
        <w:rPr>
          <w:spacing w:val="-12"/>
        </w:rPr>
        <w:t> </w:t>
      </w:r>
      <w:r>
        <w:rPr>
          <w:spacing w:val="-12"/>
        </w:rPr>
      </w:r>
      <w:r>
        <w:rPr/>
        <w:t>在重大利率风险。</w:t>
      </w:r>
    </w:p>
    <w:p>
      <w:pPr>
        <w:spacing w:line="240" w:lineRule="auto" w:before="7"/>
        <w:rPr>
          <w:rFonts w:ascii="宋体" w:hAnsi="宋体" w:cs="宋体" w:eastAsia="宋体" w:hint="default"/>
          <w:sz w:val="22"/>
          <w:szCs w:val="22"/>
        </w:rPr>
      </w:pPr>
    </w:p>
    <w:p>
      <w:pPr>
        <w:pStyle w:val="Heading2"/>
        <w:spacing w:line="240" w:lineRule="auto"/>
        <w:ind w:right="153"/>
        <w:jc w:val="left"/>
        <w:rPr>
          <w:b w:val="0"/>
          <w:bCs w:val="0"/>
        </w:rPr>
      </w:pPr>
      <w:r>
        <w:rPr/>
        <w:t>十一、公允价值的披露</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53"/>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4"/>
        <w:gridCol w:w="1835"/>
        <w:gridCol w:w="1913"/>
        <w:gridCol w:w="1913"/>
        <w:gridCol w:w="1916"/>
      </w:tblGrid>
      <w:tr>
        <w:trPr>
          <w:trHeight w:val="402" w:hRule="exact"/>
        </w:trPr>
        <w:tc>
          <w:tcPr>
            <w:tcW w:w="1984" w:type="dxa"/>
            <w:tcBorders>
              <w:top w:val="single" w:sz="4" w:space="0" w:color="000000"/>
              <w:left w:val="single" w:sz="4" w:space="0" w:color="000000"/>
              <w:bottom w:val="nil" w:sz="6" w:space="0" w:color="auto"/>
              <w:right w:val="single" w:sz="4" w:space="0" w:color="000000"/>
            </w:tcBorders>
            <w:shd w:val="clear" w:color="auto" w:fill="D2D2D2"/>
          </w:tcPr>
          <w:p>
            <w:pPr/>
          </w:p>
        </w:tc>
        <w:tc>
          <w:tcPr>
            <w:tcW w:w="757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61" w:hRule="exact"/>
        </w:trPr>
        <w:tc>
          <w:tcPr>
            <w:tcW w:w="19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22" w:right="101" w:hanging="721"/>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984" w:type="dxa"/>
            <w:vMerge/>
            <w:tcBorders>
              <w:left w:val="single" w:sz="4" w:space="0" w:color="000000"/>
              <w:bottom w:val="nil" w:sz="6" w:space="0" w:color="auto"/>
              <w:right w:val="single" w:sz="4" w:space="0" w:color="000000"/>
            </w:tcBorders>
            <w:shd w:val="clear" w:color="auto" w:fill="D2D2D2"/>
          </w:tcPr>
          <w:p>
            <w:pPr/>
          </w:p>
        </w:tc>
        <w:tc>
          <w:tcPr>
            <w:tcW w:w="1835" w:type="dxa"/>
            <w:vMerge/>
            <w:tcBorders>
              <w:left w:val="single" w:sz="4" w:space="0" w:color="000000"/>
              <w:right w:val="single" w:sz="4" w:space="0" w:color="000000"/>
            </w:tcBorders>
            <w:shd w:val="clear" w:color="auto" w:fill="D2D2D2"/>
          </w:tcPr>
          <w:p>
            <w:pP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199" w:hRule="exact"/>
        </w:trPr>
        <w:tc>
          <w:tcPr>
            <w:tcW w:w="1984" w:type="dxa"/>
            <w:vMerge w:val="restart"/>
            <w:tcBorders>
              <w:top w:val="nil" w:sz="6" w:space="0" w:color="auto"/>
              <w:left w:val="single" w:sz="4" w:space="0" w:color="000000"/>
              <w:right w:val="single" w:sz="4" w:space="0" w:color="000000"/>
            </w:tcBorders>
            <w:shd w:val="clear" w:color="auto" w:fill="D2D2D2"/>
          </w:tcPr>
          <w:p>
            <w:pPr/>
          </w:p>
        </w:tc>
        <w:tc>
          <w:tcPr>
            <w:tcW w:w="1835"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tcBorders>
              <w:left w:val="single" w:sz="4" w:space="0" w:color="000000"/>
              <w:bottom w:val="nil" w:sz="6" w:space="0" w:color="auto"/>
              <w:right w:val="single" w:sz="4" w:space="0" w:color="000000"/>
            </w:tcBorders>
            <w:shd w:val="clear" w:color="auto" w:fill="D2D2D2"/>
          </w:tcPr>
          <w:p>
            <w:pPr/>
          </w:p>
        </w:tc>
      </w:tr>
      <w:tr>
        <w:trPr>
          <w:trHeight w:val="162" w:hRule="exact"/>
        </w:trPr>
        <w:tc>
          <w:tcPr>
            <w:tcW w:w="1984" w:type="dxa"/>
            <w:vMerge/>
            <w:tcBorders>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5"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835"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403,194,200.00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8" w:right="0"/>
              <w:jc w:val="left"/>
              <w:rPr>
                <w:rFonts w:ascii="Times New Roman" w:hAnsi="Times New Roman" w:cs="Times New Roman" w:eastAsia="Times New Roman" w:hint="default"/>
                <w:sz w:val="18"/>
                <w:szCs w:val="18"/>
              </w:rPr>
            </w:pPr>
            <w:r>
              <w:rPr>
                <w:rFonts w:ascii="Times New Roman"/>
                <w:sz w:val="18"/>
              </w:rPr>
              <w:t>403,194,200.00</w:t>
            </w:r>
          </w:p>
        </w:tc>
      </w:tr>
      <w:tr>
        <w:trPr>
          <w:trHeight w:val="162" w:hRule="exact"/>
        </w:trPr>
        <w:tc>
          <w:tcPr>
            <w:tcW w:w="198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12" w:right="23"/>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z w:val="18"/>
                <w:szCs w:val="18"/>
              </w:rPr>
              <w:t> 量</w:t>
            </w:r>
          </w:p>
        </w:tc>
        <w:tc>
          <w:tcPr>
            <w:tcW w:w="183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984" w:type="dxa"/>
            <w:vMerge/>
            <w:tcBorders>
              <w:left w:val="single" w:sz="4" w:space="0" w:color="000000"/>
              <w:right w:val="single" w:sz="4" w:space="0" w:color="000000"/>
            </w:tcBorders>
            <w:shd w:val="clear" w:color="auto" w:fill="D2D2D2"/>
          </w:tcPr>
          <w:p>
            <w:pPr/>
          </w:p>
        </w:tc>
        <w:tc>
          <w:tcPr>
            <w:tcW w:w="18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984" w:type="dxa"/>
            <w:vMerge/>
            <w:tcBorders>
              <w:left w:val="single" w:sz="4" w:space="0" w:color="000000"/>
              <w:bottom w:val="single" w:sz="4" w:space="0" w:color="000000"/>
              <w:right w:val="single" w:sz="4" w:space="0" w:color="000000"/>
            </w:tcBorders>
            <w:shd w:val="clear" w:color="auto" w:fill="D2D2D2"/>
          </w:tcPr>
          <w:p>
            <w:pPr/>
          </w:p>
        </w:tc>
        <w:tc>
          <w:tcPr>
            <w:tcW w:w="183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74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4"/>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42"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w:t>
      </w:r>
    </w:p>
    <w:p>
      <w:pPr>
        <w:spacing w:line="240" w:lineRule="auto" w:before="2"/>
        <w:rPr>
          <w:rFonts w:ascii="宋体" w:hAnsi="宋体" w:cs="宋体" w:eastAsia="宋体" w:hint="default"/>
          <w:sz w:val="8"/>
          <w:szCs w:val="8"/>
        </w:rPr>
      </w:pPr>
    </w:p>
    <w:tbl>
      <w:tblPr>
        <w:tblW w:w="0" w:type="auto"/>
        <w:jc w:val="left"/>
        <w:tblInd w:w="152" w:type="dxa"/>
        <w:tblLayout w:type="fixed"/>
        <w:tblCellMar>
          <w:top w:w="0" w:type="dxa"/>
          <w:left w:w="0" w:type="dxa"/>
          <w:bottom w:w="0" w:type="dxa"/>
          <w:right w:w="0" w:type="dxa"/>
        </w:tblCellMar>
        <w:tblLook w:val="01E0"/>
      </w:tblPr>
      <w:tblGrid>
        <w:gridCol w:w="4871"/>
        <w:gridCol w:w="5087"/>
      </w:tblGrid>
      <w:tr>
        <w:trPr>
          <w:trHeight w:val="427" w:hRule="exact"/>
        </w:trPr>
        <w:tc>
          <w:tcPr>
            <w:tcW w:w="4871" w:type="dxa"/>
            <w:tcBorders>
              <w:top w:val="single" w:sz="6" w:space="0" w:color="000000"/>
              <w:left w:val="nil" w:sz="6" w:space="0" w:color="auto"/>
              <w:bottom w:val="single" w:sz="6" w:space="0" w:color="000000"/>
              <w:right w:val="nil" w:sz="6" w:space="0" w:color="auto"/>
            </w:tcBorders>
          </w:tcPr>
          <w:p>
            <w:pPr>
              <w:pStyle w:val="TableParagraph"/>
              <w:spacing w:line="240" w:lineRule="auto" w:before="40"/>
              <w:ind w:right="103"/>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5087" w:type="dxa"/>
            <w:tcBorders>
              <w:top w:val="single" w:sz="6" w:space="0" w:color="000000"/>
              <w:left w:val="nil" w:sz="6" w:space="0" w:color="auto"/>
              <w:bottom w:val="single" w:sz="6" w:space="0" w:color="000000"/>
              <w:right w:val="nil" w:sz="6" w:space="0" w:color="auto"/>
            </w:tcBorders>
          </w:tcPr>
          <w:p>
            <w:pPr>
              <w:pStyle w:val="TableParagraph"/>
              <w:spacing w:line="240" w:lineRule="auto" w:before="40"/>
              <w:ind w:left="309" w:right="0"/>
              <w:jc w:val="center"/>
              <w:rPr>
                <w:rFonts w:ascii="宋体" w:hAnsi="宋体" w:cs="宋体" w:eastAsia="宋体" w:hint="default"/>
                <w:sz w:val="21"/>
                <w:szCs w:val="21"/>
              </w:rPr>
            </w:pPr>
            <w:r>
              <w:rPr>
                <w:rFonts w:ascii="宋体" w:hAnsi="宋体" w:cs="宋体" w:eastAsia="宋体" w:hint="default"/>
                <w:sz w:val="21"/>
                <w:szCs w:val="21"/>
              </w:rPr>
              <w:t>与本企业关系</w:t>
            </w:r>
          </w:p>
        </w:tc>
      </w:tr>
      <w:tr>
        <w:trPr>
          <w:trHeight w:val="323" w:hRule="exact"/>
        </w:trPr>
        <w:tc>
          <w:tcPr>
            <w:tcW w:w="4871" w:type="dxa"/>
            <w:tcBorders>
              <w:top w:val="single" w:sz="6" w:space="0" w:color="000000"/>
              <w:left w:val="nil" w:sz="6" w:space="0" w:color="auto"/>
              <w:bottom w:val="nil" w:sz="6" w:space="0" w:color="auto"/>
              <w:right w:val="nil" w:sz="6" w:space="0" w:color="auto"/>
            </w:tcBorders>
          </w:tcPr>
          <w:p>
            <w:pPr>
              <w:pStyle w:val="TableParagraph"/>
              <w:spacing w:line="240" w:lineRule="auto" w:before="40"/>
              <w:ind w:right="101"/>
              <w:jc w:val="center"/>
              <w:rPr>
                <w:rFonts w:ascii="宋体" w:hAnsi="宋体" w:cs="宋体" w:eastAsia="宋体" w:hint="default"/>
                <w:sz w:val="21"/>
                <w:szCs w:val="21"/>
              </w:rPr>
            </w:pPr>
            <w:r>
              <w:rPr>
                <w:rFonts w:ascii="宋体" w:hAnsi="宋体" w:cs="宋体" w:eastAsia="宋体" w:hint="default"/>
                <w:sz w:val="21"/>
                <w:szCs w:val="21"/>
              </w:rPr>
              <w:t>吴培服</w:t>
            </w:r>
          </w:p>
        </w:tc>
        <w:tc>
          <w:tcPr>
            <w:tcW w:w="5087" w:type="dxa"/>
            <w:tcBorders>
              <w:top w:val="single" w:sz="6" w:space="0" w:color="000000"/>
              <w:left w:val="nil" w:sz="6" w:space="0" w:color="auto"/>
              <w:bottom w:val="nil" w:sz="6" w:space="0" w:color="auto"/>
              <w:right w:val="nil" w:sz="6" w:space="0" w:color="auto"/>
            </w:tcBorders>
          </w:tcPr>
          <w:p>
            <w:pPr>
              <w:pStyle w:val="TableParagraph"/>
              <w:spacing w:line="240" w:lineRule="auto" w:before="40"/>
              <w:ind w:left="311" w:right="0"/>
              <w:jc w:val="center"/>
              <w:rPr>
                <w:rFonts w:ascii="宋体" w:hAnsi="宋体" w:cs="宋体" w:eastAsia="宋体" w:hint="default"/>
                <w:sz w:val="21"/>
                <w:szCs w:val="21"/>
              </w:rPr>
            </w:pPr>
            <w:r>
              <w:rPr>
                <w:rFonts w:ascii="宋体" w:hAnsi="宋体" w:cs="宋体" w:eastAsia="宋体" w:hint="default"/>
                <w:sz w:val="21"/>
                <w:szCs w:val="21"/>
              </w:rPr>
              <w:t>控股股东</w:t>
            </w:r>
          </w:p>
        </w:tc>
      </w:tr>
    </w:tbl>
    <w:p>
      <w:pPr>
        <w:spacing w:line="240" w:lineRule="auto" w:before="11"/>
        <w:rPr>
          <w:rFonts w:ascii="宋体" w:hAnsi="宋体" w:cs="宋体" w:eastAsia="宋体" w:hint="default"/>
          <w:sz w:val="6"/>
          <w:szCs w:val="6"/>
        </w:rPr>
      </w:pPr>
    </w:p>
    <w:p>
      <w:pPr>
        <w:pStyle w:val="BodyText"/>
        <w:spacing w:line="256" w:lineRule="auto" w:before="36"/>
        <w:ind w:right="0"/>
        <w:jc w:val="left"/>
      </w:pPr>
      <w:r>
        <w:rPr>
          <w:spacing w:val="-2"/>
        </w:rPr>
        <w:t>截止于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日，本公司总股本为</w:t>
      </w:r>
      <w:r>
        <w:rPr>
          <w:rFonts w:ascii="Times New Roman" w:hAnsi="Times New Roman" w:cs="Times New Roman" w:eastAsia="Times New Roman" w:hint="default"/>
          <w:spacing w:val="-2"/>
        </w:rPr>
        <w:t>1,156,278,085</w:t>
      </w:r>
      <w:r>
        <w:rPr>
          <w:spacing w:val="-2"/>
        </w:rPr>
        <w:t>股，实际控制人吴培服直接持有本公司</w:t>
      </w:r>
      <w:r>
        <w:rPr>
          <w:rFonts w:ascii="Times New Roman" w:hAnsi="Times New Roman" w:cs="Times New Roman" w:eastAsia="Times New Roman" w:hint="default"/>
          <w:spacing w:val="-2"/>
        </w:rPr>
        <w:t>315,946,969</w:t>
      </w:r>
      <w:r>
        <w:rPr>
          <w:rFonts w:ascii="Times New Roman" w:hAnsi="Times New Roman" w:cs="Times New Roman" w:eastAsia="Times New Roman" w:hint="default"/>
          <w:spacing w:val="8"/>
        </w:rPr>
        <w:t> </w:t>
      </w:r>
      <w:r>
        <w:rPr>
          <w:rFonts w:ascii="Times New Roman" w:hAnsi="Times New Roman" w:cs="Times New Roman" w:eastAsia="Times New Roman" w:hint="default"/>
          <w:spacing w:val="8"/>
        </w:rPr>
      </w:r>
      <w:r>
        <w:rPr>
          <w:spacing w:val="-2"/>
        </w:rPr>
        <w:t>股，其中有限售条件的股份</w:t>
      </w:r>
      <w:r>
        <w:rPr>
          <w:rFonts w:ascii="Times New Roman" w:hAnsi="Times New Roman" w:cs="Times New Roman" w:eastAsia="Times New Roman" w:hint="default"/>
          <w:spacing w:val="-2"/>
        </w:rPr>
        <w:t>236,960,226</w:t>
      </w:r>
      <w:r>
        <w:rPr>
          <w:spacing w:val="-2"/>
        </w:rPr>
        <w:t>股，无限售条件的股份</w:t>
      </w:r>
      <w:r>
        <w:rPr>
          <w:rFonts w:ascii="Times New Roman" w:hAnsi="Times New Roman" w:cs="Times New Roman" w:eastAsia="Times New Roman" w:hint="default"/>
          <w:spacing w:val="-2"/>
        </w:rPr>
        <w:t>78,986,743</w:t>
      </w:r>
      <w:r>
        <w:rPr>
          <w:spacing w:val="-2"/>
        </w:rPr>
        <w:t>股。另外，实际控制人吴培服通</w:t>
      </w:r>
      <w:r>
        <w:rPr>
          <w:spacing w:val="-1"/>
        </w:rPr>
        <w:t> </w:t>
      </w:r>
      <w:r>
        <w:rPr>
          <w:spacing w:val="-1"/>
        </w:rPr>
      </w:r>
      <w:r>
        <w:rPr>
          <w:spacing w:val="-2"/>
        </w:rPr>
        <w:t>过宿迁市迪智成投资咨询有限公司间接持有本公司</w:t>
      </w:r>
      <w:r>
        <w:rPr>
          <w:rFonts w:ascii="Times New Roman" w:hAnsi="Times New Roman" w:cs="Times New Roman" w:eastAsia="Times New Roman" w:hint="default"/>
          <w:spacing w:val="-2"/>
        </w:rPr>
        <w:t>37,264,500</w:t>
      </w:r>
      <w:r>
        <w:rPr>
          <w:spacing w:val="-2"/>
        </w:rPr>
        <w:t>股，通过宿迁市启恒投资有限公司间接持有</w:t>
      </w:r>
      <w:r>
        <w:rPr>
          <w:spacing w:val="-12"/>
        </w:rPr>
        <w:t> </w:t>
      </w:r>
      <w:r>
        <w:rPr>
          <w:spacing w:val="-12"/>
        </w:rPr>
      </w:r>
      <w:r>
        <w:rPr/>
        <w:t>本公司</w:t>
      </w:r>
      <w:r>
        <w:rPr>
          <w:rFonts w:ascii="Times New Roman" w:hAnsi="Times New Roman" w:cs="Times New Roman" w:eastAsia="Times New Roman" w:hint="default"/>
        </w:rPr>
        <w:t>39,013,650</w:t>
      </w:r>
      <w:r>
        <w:rPr/>
        <w:t>股，通过平安大华基金－平安银行－平安大华沃盈</w:t>
      </w:r>
      <w:r>
        <w:rPr>
          <w:rFonts w:ascii="Times New Roman" w:hAnsi="Times New Roman" w:cs="Times New Roman" w:eastAsia="Times New Roman" w:hint="default"/>
        </w:rPr>
        <w:t>1</w:t>
      </w:r>
      <w:r>
        <w:rPr/>
        <w:t>号资产管理计划间接持有本公司</w:t>
      </w:r>
      <w:r>
        <w:rPr>
          <w:w w:val="100"/>
        </w:rPr>
        <w:t> </w:t>
      </w:r>
      <w:r>
        <w:rPr>
          <w:rFonts w:ascii="Times New Roman" w:hAnsi="Times New Roman" w:cs="Times New Roman" w:eastAsia="Times New Roman" w:hint="default"/>
        </w:rPr>
        <w:t>11,274,458</w:t>
      </w:r>
      <w:r>
        <w:rPr/>
        <w:t>股，直接和间接合计持有本公司</w:t>
      </w:r>
      <w:r>
        <w:rPr>
          <w:rFonts w:ascii="Times New Roman" w:hAnsi="Times New Roman" w:cs="Times New Roman" w:eastAsia="Times New Roman" w:hint="default"/>
        </w:rPr>
        <w:t>403,499,577</w:t>
      </w:r>
      <w:r>
        <w:rPr/>
        <w:t>股，占总股本的</w:t>
      </w:r>
      <w:r>
        <w:rPr>
          <w:rFonts w:ascii="Times New Roman" w:hAnsi="Times New Roman" w:cs="Times New Roman" w:eastAsia="Times New Roman" w:hint="default"/>
        </w:rPr>
        <w:t>34.90%</w:t>
      </w:r>
      <w:r>
        <w:rPr/>
        <w:t>。</w:t>
      </w:r>
    </w:p>
    <w:p>
      <w:pPr>
        <w:spacing w:before="46"/>
        <w:ind w:left="152" w:right="0" w:firstLine="0"/>
        <w:jc w:val="left"/>
        <w:rPr>
          <w:rFonts w:ascii="宋体" w:hAnsi="宋体" w:cs="宋体" w:eastAsia="宋体" w:hint="default"/>
          <w:sz w:val="21"/>
          <w:szCs w:val="21"/>
        </w:rPr>
      </w:pPr>
      <w:r>
        <w:rPr>
          <w:rFonts w:ascii="宋体" w:hAnsi="宋体" w:cs="宋体" w:eastAsia="宋体" w:hint="default"/>
          <w:sz w:val="18"/>
          <w:szCs w:val="18"/>
        </w:rPr>
        <w:t>本企业最终控制方是</w:t>
      </w:r>
      <w:r>
        <w:rPr>
          <w:rFonts w:ascii="宋体" w:hAnsi="宋体" w:cs="宋体" w:eastAsia="宋体" w:hint="default"/>
          <w:sz w:val="21"/>
          <w:szCs w:val="21"/>
        </w:rPr>
        <w:t>吴培服先生。</w:t>
      </w:r>
    </w:p>
    <w:p>
      <w:pPr>
        <w:pStyle w:val="BodyText"/>
        <w:spacing w:line="273" w:lineRule="auto" w:before="75"/>
        <w:ind w:right="0"/>
        <w:jc w:val="left"/>
        <w:rPr>
          <w:rFonts w:ascii="Times New Roman" w:hAnsi="Times New Roman" w:cs="Times New Roman" w:eastAsia="Times New Roman" w:hint="default"/>
        </w:rPr>
      </w:pPr>
      <w:r>
        <w:rPr>
          <w:spacing w:val="-2"/>
        </w:rPr>
        <w:t>截止于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日，吴培服先生直接持有公司股票数量为</w:t>
      </w:r>
      <w:r>
        <w:rPr>
          <w:rFonts w:ascii="Times New Roman" w:hAnsi="Times New Roman" w:cs="Times New Roman" w:eastAsia="Times New Roman" w:hint="default"/>
          <w:spacing w:val="-2"/>
        </w:rPr>
        <w:t>315,946,969</w:t>
      </w:r>
      <w:r>
        <w:rPr>
          <w:spacing w:val="-2"/>
        </w:rPr>
        <w:t>股，占公司股份总数的</w:t>
      </w:r>
      <w:r>
        <w:rPr>
          <w:rFonts w:ascii="Times New Roman" w:hAnsi="Times New Roman" w:cs="Times New Roman" w:eastAsia="Times New Roman" w:hint="default"/>
          <w:spacing w:val="-2"/>
        </w:rPr>
        <w:t>27.32%</w:t>
      </w:r>
      <w:r>
        <w:rPr>
          <w:spacing w:val="-2"/>
        </w:rPr>
        <w:t>，</w:t>
      </w:r>
      <w:r>
        <w:rPr>
          <w:spacing w:val="5"/>
        </w:rPr>
        <w:t> </w:t>
      </w:r>
      <w:r>
        <w:rPr/>
        <w:t>累计质押本公司股票</w:t>
      </w:r>
      <w:r>
        <w:rPr>
          <w:rFonts w:ascii="Times New Roman" w:hAnsi="Times New Roman" w:cs="Times New Roman" w:eastAsia="Times New Roman" w:hint="default"/>
        </w:rPr>
        <w:t>18,200</w:t>
      </w:r>
      <w:r>
        <w:rPr/>
        <w:t>万股，占公司股份总数的</w:t>
      </w:r>
      <w:r>
        <w:rPr>
          <w:rFonts w:ascii="Times New Roman" w:hAnsi="Times New Roman" w:cs="Times New Roman" w:eastAsia="Times New Roman" w:hint="default"/>
        </w:rPr>
        <w:t>15.74%</w:t>
      </w:r>
      <w:r>
        <w:rPr/>
        <w:t>。</w:t>
      </w:r>
      <w:r>
        <w:rPr>
          <w:w w:val="100"/>
        </w:rPr>
        <w:t> </w:t>
      </w:r>
      <w:r>
        <w:rPr/>
        <w:t>存在控制关系的关联方所持股份及其变化</w:t>
      </w:r>
      <w:r>
        <w:rPr>
          <w:rFonts w:ascii="Times New Roman" w:hAnsi="Times New Roman" w:cs="Times New Roman" w:eastAsia="Times New Roman" w:hint="default"/>
        </w:rPr>
        <w:t>(</w:t>
      </w:r>
      <w:r>
        <w:rPr/>
        <w:t>金额单位：万元</w:t>
      </w:r>
      <w:r>
        <w:rPr>
          <w:rFonts w:ascii="Times New Roman" w:hAnsi="Times New Roman" w:cs="Times New Roman" w:eastAsia="Times New Roman" w:hint="default"/>
        </w:rPr>
        <w:t>)</w:t>
      </w:r>
    </w:p>
    <w:p>
      <w:pPr>
        <w:spacing w:line="240" w:lineRule="auto" w:before="7"/>
        <w:rPr>
          <w:rFonts w:ascii="Times New Roman" w:hAnsi="Times New Roman" w:cs="Times New Roman" w:eastAsia="Times New Roman" w:hint="default"/>
          <w:sz w:val="13"/>
          <w:szCs w:val="13"/>
        </w:rPr>
      </w:pPr>
    </w:p>
    <w:tbl>
      <w:tblPr>
        <w:tblW w:w="0" w:type="auto"/>
        <w:jc w:val="left"/>
        <w:tblInd w:w="152" w:type="dxa"/>
        <w:tblLayout w:type="fixed"/>
        <w:tblCellMar>
          <w:top w:w="0" w:type="dxa"/>
          <w:left w:w="0" w:type="dxa"/>
          <w:bottom w:w="0" w:type="dxa"/>
          <w:right w:w="0" w:type="dxa"/>
        </w:tblCellMar>
        <w:tblLook w:val="01E0"/>
      </w:tblPr>
      <w:tblGrid>
        <w:gridCol w:w="1301"/>
        <w:gridCol w:w="2248"/>
        <w:gridCol w:w="1080"/>
        <w:gridCol w:w="1399"/>
        <w:gridCol w:w="1445"/>
        <w:gridCol w:w="1529"/>
        <w:gridCol w:w="954"/>
      </w:tblGrid>
      <w:tr>
        <w:trPr>
          <w:trHeight w:val="303" w:hRule="exact"/>
        </w:trPr>
        <w:tc>
          <w:tcPr>
            <w:tcW w:w="1301" w:type="dxa"/>
            <w:tcBorders>
              <w:top w:val="nil" w:sz="6" w:space="0" w:color="auto"/>
              <w:left w:val="nil" w:sz="6" w:space="0" w:color="auto"/>
              <w:bottom w:val="nil" w:sz="6" w:space="0" w:color="auto"/>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248" w:type="dxa"/>
            <w:tcBorders>
              <w:top w:val="nil" w:sz="6" w:space="0" w:color="auto"/>
              <w:left w:val="nil" w:sz="6" w:space="0" w:color="auto"/>
              <w:bottom w:val="single" w:sz="6" w:space="0" w:color="000000"/>
              <w:right w:val="nil" w:sz="6" w:space="0" w:color="auto"/>
            </w:tcBorders>
          </w:tcPr>
          <w:p>
            <w:pPr>
              <w:pStyle w:val="TableParagraph"/>
              <w:spacing w:line="194" w:lineRule="exact"/>
              <w:ind w:left="993" w:right="-9"/>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080" w:type="dxa"/>
            <w:tcBorders>
              <w:top w:val="nil" w:sz="6" w:space="0" w:color="auto"/>
              <w:left w:val="nil" w:sz="6" w:space="0" w:color="auto"/>
              <w:bottom w:val="single" w:sz="6" w:space="0" w:color="000000"/>
              <w:right w:val="nil" w:sz="6" w:space="0" w:color="auto"/>
            </w:tcBorders>
          </w:tcPr>
          <w:p>
            <w:pPr/>
          </w:p>
        </w:tc>
        <w:tc>
          <w:tcPr>
            <w:tcW w:w="1399" w:type="dxa"/>
            <w:tcBorders>
              <w:top w:val="nil" w:sz="6" w:space="0" w:color="auto"/>
              <w:left w:val="nil" w:sz="6" w:space="0" w:color="auto"/>
              <w:bottom w:val="single" w:sz="6" w:space="0" w:color="000000"/>
              <w:right w:val="nil" w:sz="6" w:space="0" w:color="auto"/>
            </w:tcBorders>
          </w:tcPr>
          <w:p>
            <w:pPr>
              <w:pStyle w:val="TableParagraph"/>
              <w:spacing w:line="180" w:lineRule="exact"/>
              <w:ind w:left="17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45" w:type="dxa"/>
            <w:tcBorders>
              <w:top w:val="nil" w:sz="6" w:space="0" w:color="auto"/>
              <w:left w:val="nil" w:sz="6" w:space="0" w:color="auto"/>
              <w:bottom w:val="single" w:sz="6" w:space="0" w:color="000000"/>
              <w:right w:val="nil" w:sz="6" w:space="0" w:color="auto"/>
            </w:tcBorders>
          </w:tcPr>
          <w:p>
            <w:pPr>
              <w:pStyle w:val="TableParagraph"/>
              <w:spacing w:line="180" w:lineRule="exact"/>
              <w:ind w:right="226"/>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2483" w:type="dxa"/>
            <w:gridSpan w:val="2"/>
            <w:tcBorders>
              <w:top w:val="nil" w:sz="6" w:space="0" w:color="auto"/>
              <w:left w:val="nil" w:sz="6" w:space="0" w:color="auto"/>
              <w:bottom w:val="single" w:sz="6" w:space="0" w:color="000000"/>
              <w:right w:val="nil" w:sz="6" w:space="0" w:color="auto"/>
            </w:tcBorders>
          </w:tcPr>
          <w:p>
            <w:pPr>
              <w:pStyle w:val="TableParagraph"/>
              <w:spacing w:line="194" w:lineRule="exact"/>
              <w:ind w:left="6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418" w:hRule="exact"/>
        </w:trPr>
        <w:tc>
          <w:tcPr>
            <w:tcW w:w="1301" w:type="dxa"/>
            <w:tcBorders>
              <w:top w:val="nil" w:sz="6" w:space="0" w:color="auto"/>
              <w:left w:val="nil" w:sz="6" w:space="0" w:color="auto"/>
              <w:bottom w:val="single" w:sz="6" w:space="0" w:color="000000"/>
              <w:right w:val="nil" w:sz="6" w:space="0" w:color="auto"/>
            </w:tcBorders>
          </w:tcPr>
          <w:p>
            <w:pPr/>
          </w:p>
        </w:tc>
        <w:tc>
          <w:tcPr>
            <w:tcW w:w="2248" w:type="dxa"/>
            <w:tcBorders>
              <w:top w:val="single" w:sz="6" w:space="0" w:color="000000"/>
              <w:left w:val="nil" w:sz="6" w:space="0" w:color="auto"/>
              <w:bottom w:val="single" w:sz="6" w:space="0" w:color="000000"/>
              <w:right w:val="nil" w:sz="6" w:space="0" w:color="auto"/>
            </w:tcBorders>
          </w:tcPr>
          <w:p>
            <w:pPr>
              <w:pStyle w:val="TableParagraph"/>
              <w:spacing w:line="240" w:lineRule="auto" w:before="49"/>
              <w:ind w:right="230"/>
              <w:jc w:val="center"/>
              <w:rPr>
                <w:rFonts w:ascii="宋体" w:hAnsi="宋体" w:cs="宋体" w:eastAsia="宋体" w:hint="default"/>
                <w:sz w:val="18"/>
                <w:szCs w:val="18"/>
              </w:rPr>
            </w:pPr>
            <w:r>
              <w:rPr>
                <w:rFonts w:ascii="宋体" w:hAnsi="宋体" w:cs="宋体" w:eastAsia="宋体" w:hint="default"/>
                <w:sz w:val="18"/>
                <w:szCs w:val="18"/>
              </w:rPr>
              <w:t>金额</w:t>
            </w:r>
          </w:p>
        </w:tc>
        <w:tc>
          <w:tcPr>
            <w:tcW w:w="1080" w:type="dxa"/>
            <w:tcBorders>
              <w:top w:val="single" w:sz="6" w:space="0" w:color="000000"/>
              <w:left w:val="nil" w:sz="6" w:space="0" w:color="auto"/>
              <w:bottom w:val="single" w:sz="6" w:space="0" w:color="000000"/>
              <w:right w:val="nil" w:sz="6" w:space="0" w:color="auto"/>
            </w:tcBorders>
          </w:tcPr>
          <w:p>
            <w:pPr>
              <w:pStyle w:val="TableParagraph"/>
              <w:spacing w:line="240" w:lineRule="auto" w:before="49"/>
              <w:ind w:left="-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399" w:type="dxa"/>
            <w:tcBorders>
              <w:top w:val="single" w:sz="6" w:space="0" w:color="000000"/>
              <w:left w:val="nil" w:sz="6" w:space="0" w:color="auto"/>
              <w:bottom w:val="single" w:sz="6" w:space="0" w:color="000000"/>
              <w:right w:val="nil" w:sz="6" w:space="0" w:color="auto"/>
            </w:tcBorders>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445" w:type="dxa"/>
            <w:tcBorders>
              <w:top w:val="single" w:sz="6" w:space="0" w:color="000000"/>
              <w:left w:val="nil" w:sz="6" w:space="0" w:color="auto"/>
              <w:bottom w:val="single" w:sz="6" w:space="0" w:color="000000"/>
              <w:right w:val="nil" w:sz="6" w:space="0" w:color="auto"/>
            </w:tcBorders>
          </w:tcPr>
          <w:p>
            <w:pPr>
              <w:pStyle w:val="TableParagraph"/>
              <w:spacing w:line="240" w:lineRule="auto" w:before="49"/>
              <w:ind w:right="226"/>
              <w:jc w:val="center"/>
              <w:rPr>
                <w:rFonts w:ascii="宋体" w:hAnsi="宋体" w:cs="宋体" w:eastAsia="宋体" w:hint="default"/>
                <w:sz w:val="18"/>
                <w:szCs w:val="18"/>
              </w:rPr>
            </w:pPr>
            <w:r>
              <w:rPr>
                <w:rFonts w:ascii="宋体" w:hAnsi="宋体" w:cs="宋体" w:eastAsia="宋体" w:hint="default"/>
                <w:sz w:val="18"/>
                <w:szCs w:val="18"/>
              </w:rPr>
              <w:t>金额</w:t>
            </w:r>
          </w:p>
        </w:tc>
        <w:tc>
          <w:tcPr>
            <w:tcW w:w="1529" w:type="dxa"/>
            <w:tcBorders>
              <w:top w:val="single" w:sz="6" w:space="0" w:color="000000"/>
              <w:left w:val="nil" w:sz="6" w:space="0" w:color="auto"/>
              <w:bottom w:val="single" w:sz="6" w:space="0" w:color="000000"/>
              <w:right w:val="nil" w:sz="6" w:space="0" w:color="auto"/>
            </w:tcBorders>
          </w:tcPr>
          <w:p>
            <w:pPr>
              <w:pStyle w:val="TableParagraph"/>
              <w:spacing w:line="240" w:lineRule="auto" w:before="49"/>
              <w:ind w:left="47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54" w:type="dxa"/>
            <w:tcBorders>
              <w:top w:val="single" w:sz="6" w:space="0" w:color="000000"/>
              <w:left w:val="nil" w:sz="6" w:space="0" w:color="auto"/>
              <w:bottom w:val="single" w:sz="6" w:space="0" w:color="000000"/>
              <w:right w:val="nil" w:sz="6" w:space="0" w:color="auto"/>
            </w:tcBorders>
          </w:tcPr>
          <w:p>
            <w:pPr>
              <w:pStyle w:val="TableParagraph"/>
              <w:spacing w:line="240" w:lineRule="auto" w:before="49"/>
              <w:ind w:left="23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18" w:hRule="exact"/>
        </w:trPr>
        <w:tc>
          <w:tcPr>
            <w:tcW w:w="1301" w:type="dxa"/>
            <w:tcBorders>
              <w:top w:val="single" w:sz="6" w:space="0" w:color="000000"/>
              <w:left w:val="nil" w:sz="6" w:space="0" w:color="auto"/>
              <w:bottom w:val="single" w:sz="6" w:space="0" w:color="000000"/>
              <w:right w:val="nil" w:sz="6" w:space="0" w:color="auto"/>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吴培服</w:t>
            </w:r>
          </w:p>
        </w:tc>
        <w:tc>
          <w:tcPr>
            <w:tcW w:w="2248" w:type="dxa"/>
            <w:tcBorders>
              <w:top w:val="single" w:sz="6" w:space="0" w:color="000000"/>
              <w:left w:val="nil" w:sz="6" w:space="0" w:color="auto"/>
              <w:bottom w:val="single" w:sz="6" w:space="0" w:color="000000"/>
              <w:right w:val="nil" w:sz="6" w:space="0" w:color="auto"/>
            </w:tcBorders>
          </w:tcPr>
          <w:p>
            <w:pPr>
              <w:pStyle w:val="TableParagraph"/>
              <w:spacing w:line="240" w:lineRule="auto" w:before="91"/>
              <w:ind w:left="928" w:right="0"/>
              <w:jc w:val="left"/>
              <w:rPr>
                <w:rFonts w:ascii="Times New Roman" w:hAnsi="Times New Roman" w:cs="Times New Roman" w:eastAsia="Times New Roman" w:hint="default"/>
                <w:sz w:val="18"/>
                <w:szCs w:val="18"/>
              </w:rPr>
            </w:pPr>
            <w:r>
              <w:rPr>
                <w:rFonts w:ascii="Times New Roman"/>
                <w:sz w:val="18"/>
              </w:rPr>
              <w:t>24,303.613</w:t>
            </w:r>
          </w:p>
        </w:tc>
        <w:tc>
          <w:tcPr>
            <w:tcW w:w="1080" w:type="dxa"/>
            <w:tcBorders>
              <w:top w:val="single" w:sz="6" w:space="0" w:color="000000"/>
              <w:left w:val="nil" w:sz="6" w:space="0" w:color="auto"/>
              <w:bottom w:val="single" w:sz="6" w:space="0" w:color="000000"/>
              <w:right w:val="nil" w:sz="6" w:space="0" w:color="auto"/>
            </w:tcBorders>
          </w:tcPr>
          <w:p>
            <w:pPr>
              <w:pStyle w:val="TableParagraph"/>
              <w:spacing w:line="240" w:lineRule="auto" w:before="91"/>
              <w:ind w:left="317" w:right="0"/>
              <w:jc w:val="left"/>
              <w:rPr>
                <w:rFonts w:ascii="Times New Roman" w:hAnsi="Times New Roman" w:cs="Times New Roman" w:eastAsia="Times New Roman" w:hint="default"/>
                <w:sz w:val="18"/>
                <w:szCs w:val="18"/>
              </w:rPr>
            </w:pPr>
            <w:r>
              <w:rPr>
                <w:rFonts w:ascii="Times New Roman"/>
                <w:sz w:val="18"/>
              </w:rPr>
              <w:t>33.88</w:t>
            </w:r>
          </w:p>
        </w:tc>
        <w:tc>
          <w:tcPr>
            <w:tcW w:w="1399" w:type="dxa"/>
            <w:tcBorders>
              <w:top w:val="single" w:sz="6" w:space="0" w:color="000000"/>
              <w:left w:val="nil" w:sz="6" w:space="0" w:color="auto"/>
              <w:bottom w:val="single" w:sz="6" w:space="0" w:color="000000"/>
              <w:right w:val="nil" w:sz="6" w:space="0" w:color="auto"/>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7,291.087</w:t>
            </w:r>
          </w:p>
        </w:tc>
        <w:tc>
          <w:tcPr>
            <w:tcW w:w="1445" w:type="dxa"/>
            <w:tcBorders>
              <w:top w:val="single" w:sz="6" w:space="0" w:color="000000"/>
              <w:left w:val="nil" w:sz="6" w:space="0" w:color="auto"/>
              <w:bottom w:val="single" w:sz="6" w:space="0" w:color="000000"/>
              <w:right w:val="nil" w:sz="6" w:space="0" w:color="auto"/>
            </w:tcBorders>
          </w:tcPr>
          <w:p>
            <w:pPr/>
          </w:p>
        </w:tc>
        <w:tc>
          <w:tcPr>
            <w:tcW w:w="1529" w:type="dxa"/>
            <w:tcBorders>
              <w:top w:val="single" w:sz="6" w:space="0" w:color="000000"/>
              <w:left w:val="nil" w:sz="6" w:space="0" w:color="auto"/>
              <w:bottom w:val="single" w:sz="6" w:space="0" w:color="000000"/>
              <w:right w:val="nil" w:sz="6" w:space="0" w:color="auto"/>
            </w:tcBorders>
          </w:tcPr>
          <w:p>
            <w:pPr>
              <w:pStyle w:val="TableParagraph"/>
              <w:spacing w:line="240" w:lineRule="auto" w:before="91"/>
              <w:ind w:left="570" w:right="0"/>
              <w:jc w:val="left"/>
              <w:rPr>
                <w:rFonts w:ascii="Times New Roman" w:hAnsi="Times New Roman" w:cs="Times New Roman" w:eastAsia="Times New Roman" w:hint="default"/>
                <w:sz w:val="18"/>
                <w:szCs w:val="18"/>
              </w:rPr>
            </w:pPr>
            <w:r>
              <w:rPr>
                <w:rFonts w:ascii="Times New Roman"/>
                <w:sz w:val="18"/>
              </w:rPr>
              <w:t>31,594.70</w:t>
            </w:r>
          </w:p>
        </w:tc>
        <w:tc>
          <w:tcPr>
            <w:tcW w:w="954" w:type="dxa"/>
            <w:tcBorders>
              <w:top w:val="single" w:sz="6" w:space="0" w:color="000000"/>
              <w:left w:val="nil" w:sz="6" w:space="0" w:color="auto"/>
              <w:bottom w:val="single" w:sz="6" w:space="0" w:color="000000"/>
              <w:right w:val="nil" w:sz="6" w:space="0" w:color="auto"/>
            </w:tcBorders>
          </w:tcPr>
          <w:p>
            <w:pPr>
              <w:pStyle w:val="TableParagraph"/>
              <w:spacing w:line="240" w:lineRule="auto" w:before="75"/>
              <w:ind w:left="471" w:right="0"/>
              <w:jc w:val="left"/>
              <w:rPr>
                <w:rFonts w:ascii="Times New Roman" w:hAnsi="Times New Roman" w:cs="Times New Roman" w:eastAsia="Times New Roman" w:hint="default"/>
                <w:sz w:val="21"/>
                <w:szCs w:val="21"/>
              </w:rPr>
            </w:pPr>
            <w:r>
              <w:rPr>
                <w:rFonts w:ascii="Times New Roman"/>
                <w:sz w:val="21"/>
              </w:rPr>
              <w:t>27.32</w:t>
            </w:r>
          </w:p>
        </w:tc>
      </w:tr>
    </w:tbl>
    <w:p>
      <w:pPr>
        <w:spacing w:line="240" w:lineRule="auto" w:before="6"/>
        <w:rPr>
          <w:rFonts w:ascii="Times New Roman" w:hAnsi="Times New Roman" w:cs="Times New Roman" w:eastAsia="Times New Roman" w:hint="default"/>
          <w:sz w:val="27"/>
          <w:szCs w:val="27"/>
        </w:rPr>
      </w:pPr>
    </w:p>
    <w:p>
      <w:pPr>
        <w:spacing w:line="357" w:lineRule="auto" w:before="44"/>
        <w:ind w:left="152" w:right="8254" w:firstLine="0"/>
        <w:jc w:val="left"/>
        <w:rPr>
          <w:rFonts w:ascii="宋体" w:hAnsi="宋体" w:cs="宋体" w:eastAsia="宋体" w:hint="default"/>
          <w:sz w:val="18"/>
          <w:szCs w:val="18"/>
        </w:rPr>
      </w:pPr>
      <w:r>
        <w:rPr>
          <w:rFonts w:ascii="宋体" w:hAnsi="宋体" w:cs="宋体" w:eastAsia="宋体" w:hint="default"/>
          <w:sz w:val="18"/>
          <w:szCs w:val="18"/>
        </w:rPr>
        <w:t>本企业最终控制方是。 其他说明：</w:t>
      </w:r>
    </w:p>
    <w:p>
      <w:pPr>
        <w:spacing w:after="0" w:line="357" w:lineRule="auto"/>
        <w:jc w:val="left"/>
        <w:rPr>
          <w:rFonts w:ascii="宋体" w:hAnsi="宋体" w:cs="宋体" w:eastAsia="宋体" w:hint="default"/>
          <w:sz w:val="18"/>
          <w:szCs w:val="18"/>
        </w:rPr>
        <w:sectPr>
          <w:pgSz w:w="11910" w:h="16840"/>
          <w:pgMar w:header="745" w:footer="980" w:top="1060" w:bottom="1160" w:left="980" w:right="700"/>
        </w:sectPr>
      </w:pPr>
    </w:p>
    <w:p>
      <w:pPr>
        <w:spacing w:line="240" w:lineRule="auto" w:before="10"/>
        <w:rPr>
          <w:rFonts w:ascii="宋体" w:hAnsi="宋体" w:cs="宋体" w:eastAsia="宋体" w:hint="default"/>
          <w:sz w:val="24"/>
          <w:szCs w:val="24"/>
        </w:rPr>
      </w:pPr>
    </w:p>
    <w:p>
      <w:pPr>
        <w:pStyle w:val="Heading4"/>
        <w:spacing w:line="240" w:lineRule="auto" w:before="36"/>
        <w:ind w:right="153"/>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5"/>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宋体" w:hAnsi="宋体" w:cs="宋体" w:eastAsia="宋体" w:hint="default"/>
          <w:sz w:val="18"/>
          <w:szCs w:val="18"/>
        </w:rPr>
        <w:t>本企业子公司的情况详见附注。</w:t>
      </w:r>
    </w:p>
    <w:p>
      <w:pPr>
        <w:spacing w:line="240" w:lineRule="auto" w:before="0"/>
        <w:rPr>
          <w:rFonts w:ascii="宋体" w:hAnsi="宋体" w:cs="宋体" w:eastAsia="宋体" w:hint="default"/>
          <w:sz w:val="18"/>
          <w:szCs w:val="18"/>
        </w:rPr>
      </w:pPr>
    </w:p>
    <w:p>
      <w:pPr>
        <w:pStyle w:val="Heading4"/>
        <w:spacing w:line="240" w:lineRule="auto" w:before="118"/>
        <w:ind w:right="153"/>
        <w:jc w:val="left"/>
        <w:rPr>
          <w:b w:val="0"/>
          <w:bCs w:val="0"/>
        </w:rPr>
      </w:pPr>
      <w:r>
        <w:rPr>
          <w:rFonts w:ascii="Times New Roman" w:hAnsi="Times New Roman" w:cs="Times New Roman" w:eastAsia="Times New Roman" w:hint="default"/>
        </w:rPr>
        <w:t>3</w:t>
      </w:r>
      <w:r>
        <w:rPr/>
        <w:t>、本企业合营和联营企业情况</w:t>
      </w:r>
      <w:r>
        <w:rPr>
          <w:b w:val="0"/>
          <w:bCs w:val="0"/>
        </w:rPr>
      </w:r>
    </w:p>
    <w:p>
      <w:pPr>
        <w:spacing w:line="240" w:lineRule="auto" w:before="4"/>
        <w:rPr>
          <w:rFonts w:ascii="宋体" w:hAnsi="宋体" w:cs="宋体" w:eastAsia="宋体" w:hint="default"/>
          <w:b/>
          <w:bCs/>
          <w:sz w:val="26"/>
          <w:szCs w:val="26"/>
        </w:rPr>
      </w:pPr>
    </w:p>
    <w:p>
      <w:pPr>
        <w:spacing w:line="360" w:lineRule="auto" w:before="0"/>
        <w:ind w:left="152" w:right="1314"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 本期与本公司发生关联方交易，或前期与本公司发生关联方交易形成余额的其他合营或联营企业情况如下：</w:t>
      </w: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spacing w:before="67"/>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153"/>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宿迁市双星国际酒店有限公司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同受一方控制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宿迁市彩缘置业有限公司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同受一方控制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陆敬权</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公司高管</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邹兆云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公司高管</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李平</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公司高管</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池卫</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公司高管</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153"/>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2"/>
        <w:rPr>
          <w:rFonts w:ascii="宋体" w:hAnsi="宋体" w:cs="宋体" w:eastAsia="宋体" w:hint="default"/>
          <w:b/>
          <w:bCs/>
          <w:sz w:val="22"/>
          <w:szCs w:val="22"/>
        </w:rPr>
      </w:pPr>
    </w:p>
    <w:p>
      <w:pPr>
        <w:spacing w:before="44"/>
        <w:ind w:left="152" w:right="153"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1"/>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2"/>
        <w:gridCol w:w="1709"/>
        <w:gridCol w:w="1707"/>
        <w:gridCol w:w="1706"/>
      </w:tblGrid>
      <w:tr>
        <w:trPr>
          <w:trHeight w:val="403"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82"/>
              <w:jc w:val="righ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宿迁市双星国际酒 店有限公司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59"/>
              <w:jc w:val="right"/>
              <w:rPr>
                <w:rFonts w:ascii="宋体" w:hAnsi="宋体" w:cs="宋体" w:eastAsia="宋体" w:hint="default"/>
                <w:sz w:val="18"/>
                <w:szCs w:val="18"/>
              </w:rPr>
            </w:pPr>
            <w:r>
              <w:rPr>
                <w:rFonts w:ascii="宋体" w:hAnsi="宋体" w:cs="宋体" w:eastAsia="宋体" w:hint="default"/>
                <w:sz w:val="18"/>
                <w:szCs w:val="18"/>
              </w:rPr>
              <w:t>接收智能建筑膜</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51,000.00</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3" w:right="0"/>
              <w:jc w:val="left"/>
              <w:rPr>
                <w:rFonts w:ascii="Times New Roman" w:hAnsi="Times New Roman" w:cs="Times New Roman" w:eastAsia="Times New Roman" w:hint="default"/>
                <w:sz w:val="18"/>
                <w:szCs w:val="18"/>
              </w:rPr>
            </w:pPr>
            <w:r>
              <w:rPr>
                <w:rFonts w:ascii="Times New Roman"/>
                <w:sz w:val="18"/>
              </w:rPr>
              <w:t>207,692.31</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宿迁市彩缘置业有 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9"/>
              <w:jc w:val="left"/>
              <w:rPr>
                <w:rFonts w:ascii="宋体" w:hAnsi="宋体" w:cs="宋体" w:eastAsia="宋体" w:hint="default"/>
                <w:sz w:val="18"/>
                <w:szCs w:val="18"/>
              </w:rPr>
            </w:pPr>
            <w:r>
              <w:rPr>
                <w:rFonts w:ascii="宋体" w:hAnsi="宋体" w:cs="宋体" w:eastAsia="宋体" w:hint="default"/>
                <w:sz w:val="18"/>
                <w:szCs w:val="18"/>
              </w:rPr>
              <w:t>销售办公楼及酒 店式公寓楼</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185,546,000.00</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2"/>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77"/>
        <w:gridCol w:w="2126"/>
        <w:gridCol w:w="2129"/>
        <w:gridCol w:w="2338"/>
      </w:tblGrid>
      <w:tr>
        <w:trPr>
          <w:trHeight w:val="401"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1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江西科为薄膜新型材料有限公司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销售智能建筑膜</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95" w:right="0"/>
              <w:jc w:val="left"/>
              <w:rPr>
                <w:rFonts w:ascii="Times New Roman" w:hAnsi="Times New Roman" w:cs="Times New Roman" w:eastAsia="Times New Roman" w:hint="default"/>
                <w:sz w:val="18"/>
                <w:szCs w:val="18"/>
              </w:rPr>
            </w:pPr>
            <w:r>
              <w:rPr>
                <w:rFonts w:ascii="Times New Roman"/>
                <w:sz w:val="18"/>
              </w:rPr>
              <w:t>207,692.31</w:t>
            </w:r>
          </w:p>
        </w:tc>
      </w:tr>
      <w:tr>
        <w:trPr>
          <w:trHeight w:val="71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江苏双星彩塑新材料股份有限公司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08"/>
              <w:jc w:val="left"/>
              <w:rPr>
                <w:rFonts w:ascii="宋体" w:hAnsi="宋体" w:cs="宋体" w:eastAsia="宋体" w:hint="default"/>
                <w:sz w:val="18"/>
                <w:szCs w:val="18"/>
              </w:rPr>
            </w:pPr>
            <w:r>
              <w:rPr>
                <w:rFonts w:ascii="宋体" w:hAnsi="宋体" w:cs="宋体" w:eastAsia="宋体" w:hint="default"/>
                <w:sz w:val="18"/>
                <w:szCs w:val="18"/>
              </w:rPr>
              <w:t>接收办公楼及酒店式公寓 楼</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185,546,000.00</w:t>
            </w:r>
          </w:p>
        </w:tc>
        <w:tc>
          <w:tcPr>
            <w:tcW w:w="23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spacing w:before="44"/>
        <w:ind w:left="152" w:right="153" w:firstLine="0"/>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w:t>
      </w:r>
    </w:p>
    <w:p>
      <w:pPr>
        <w:pStyle w:val="BodyText"/>
        <w:spacing w:line="261" w:lineRule="auto" w:before="97"/>
        <w:ind w:right="153"/>
        <w:jc w:val="left"/>
      </w:pPr>
      <w:r>
        <w:rPr>
          <w:spacing w:val="-4"/>
        </w:rPr>
        <w:t>双星新材与宿迁市彩缘置业有限公司（以下简称</w:t>
      </w:r>
      <w:r>
        <w:rPr>
          <w:rFonts w:ascii="Times New Roman" w:hAnsi="Times New Roman" w:cs="Times New Roman" w:eastAsia="Times New Roman" w:hint="default"/>
          <w:spacing w:val="-4"/>
        </w:rPr>
        <w:t>“</w:t>
      </w:r>
      <w:r>
        <w:rPr>
          <w:spacing w:val="-4"/>
        </w:rPr>
        <w:t>彩缘置业</w:t>
      </w:r>
      <w:r>
        <w:rPr>
          <w:rFonts w:ascii="Times New Roman" w:hAnsi="Times New Roman" w:cs="Times New Roman" w:eastAsia="Times New Roman" w:hint="default"/>
          <w:spacing w:val="-4"/>
        </w:rPr>
        <w:t>”</w:t>
      </w:r>
      <w:r>
        <w:rPr>
          <w:spacing w:val="-4"/>
        </w:rPr>
        <w:t>）于</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11</w:t>
      </w:r>
      <w:r>
        <w:rPr>
          <w:spacing w:val="-4"/>
        </w:rPr>
        <w:t>月</w:t>
      </w:r>
      <w:r>
        <w:rPr>
          <w:rFonts w:ascii="Times New Roman" w:hAnsi="Times New Roman" w:cs="Times New Roman" w:eastAsia="Times New Roman" w:hint="default"/>
          <w:spacing w:val="-4"/>
        </w:rPr>
        <w:t>8</w:t>
      </w:r>
      <w:r>
        <w:rPr>
          <w:spacing w:val="-4"/>
        </w:rPr>
        <w:t>日签署《关于购买宿迁市彩缘</w:t>
      </w:r>
      <w:r>
        <w:rPr>
          <w:spacing w:val="-16"/>
        </w:rPr>
        <w:t> </w:t>
      </w:r>
      <w:r>
        <w:rPr>
          <w:spacing w:val="-16"/>
        </w:rPr>
      </w:r>
      <w:r>
        <w:rPr>
          <w:spacing w:val="-2"/>
        </w:rPr>
        <w:t>置业有限公司办公楼及酒店式公寓楼协议》。根据该协议，彩缘置业将其持有的双星大厦办公楼及公寓楼</w:t>
      </w:r>
      <w:r>
        <w:rPr>
          <w:spacing w:val="-43"/>
        </w:rPr>
        <w:t> </w:t>
      </w:r>
      <w:r>
        <w:rPr>
          <w:spacing w:val="-43"/>
        </w:rPr>
      </w:r>
      <w:r>
        <w:rPr/>
        <w:t>整体出售给双星新材，交易价格为</w:t>
      </w:r>
      <w:r>
        <w:rPr>
          <w:rFonts w:ascii="Times New Roman" w:hAnsi="Times New Roman" w:cs="Times New Roman" w:eastAsia="Times New Roman" w:hint="default"/>
        </w:rPr>
        <w:t>1.86</w:t>
      </w:r>
      <w:r>
        <w:rPr/>
        <w:t>亿元。双星新材与彩缘置业的转让价款</w:t>
      </w:r>
      <w:r>
        <w:rPr>
          <w:rFonts w:ascii="Times New Roman" w:hAnsi="Times New Roman" w:cs="Times New Roman" w:eastAsia="Times New Roman" w:hint="default"/>
        </w:rPr>
        <w:t>1.86</w:t>
      </w:r>
      <w:r>
        <w:rPr/>
        <w:t>亿已经开元资产评估有</w:t>
      </w:r>
      <w:r>
        <w:rPr>
          <w:w w:val="100"/>
        </w:rPr>
        <w:t> </w:t>
      </w:r>
      <w:r>
        <w:rPr>
          <w:spacing w:val="-2"/>
        </w:rPr>
        <w:t>限公司开元评报字</w:t>
      </w:r>
      <w:r>
        <w:rPr>
          <w:rFonts w:ascii="Times New Roman" w:hAnsi="Times New Roman" w:cs="Times New Roman" w:eastAsia="Times New Roman" w:hint="default"/>
          <w:spacing w:val="-2"/>
        </w:rPr>
        <w:t>[2017]499</w:t>
      </w:r>
      <w:r>
        <w:rPr>
          <w:spacing w:val="-2"/>
        </w:rPr>
        <w:t>号及</w:t>
      </w:r>
      <w:r>
        <w:rPr>
          <w:rFonts w:ascii="Times New Roman" w:hAnsi="Times New Roman" w:cs="Times New Roman" w:eastAsia="Times New Roman" w:hint="default"/>
          <w:spacing w:val="-2"/>
        </w:rPr>
        <w:t>571</w:t>
      </w:r>
      <w:r>
        <w:rPr>
          <w:spacing w:val="-2"/>
        </w:rPr>
        <w:t>号评估报告确认。交易标的为宿迁骆马湖外向型农业示范区金桂路以</w:t>
      </w:r>
      <w:r>
        <w:rPr>
          <w:spacing w:val="-10"/>
        </w:rPr>
        <w:t> </w:t>
      </w:r>
      <w:r>
        <w:rPr>
          <w:spacing w:val="-10"/>
        </w:rPr>
      </w:r>
      <w:r>
        <w:rPr>
          <w:spacing w:val="-2"/>
        </w:rPr>
        <w:t>北的公寓房屋建筑物（土建部分）、人防工程及土地使用权，和办公楼房屋建筑物（土建部分）、人防工</w:t>
      </w:r>
      <w:r>
        <w:rPr>
          <w:spacing w:val="-46"/>
        </w:rPr>
        <w:t> </w:t>
      </w:r>
      <w:r>
        <w:rPr>
          <w:spacing w:val="-46"/>
        </w:rPr>
      </w:r>
      <w:r>
        <w:rPr>
          <w:spacing w:val="-2"/>
        </w:rPr>
        <w:t>程及土地使用权。截止至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日，双星新材尚未支付办公楼和酒店式公寓楼的转让价款，土地证</w:t>
      </w:r>
      <w:r>
        <w:rPr>
          <w:spacing w:val="-39"/>
        </w:rPr>
        <w:t> </w:t>
      </w:r>
      <w:r>
        <w:rPr>
          <w:spacing w:val="-39"/>
        </w:rPr>
      </w:r>
      <w:r>
        <w:rPr/>
        <w:t>和房产证尚未进行变更登记。</w:t>
      </w:r>
    </w:p>
    <w:p>
      <w:pPr>
        <w:spacing w:line="240" w:lineRule="auto" w:before="4"/>
        <w:rPr>
          <w:rFonts w:ascii="宋体" w:hAnsi="宋体" w:cs="宋体" w:eastAsia="宋体" w:hint="default"/>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0"/>
        <w:rPr>
          <w:rFonts w:ascii="宋体" w:hAnsi="宋体" w:cs="宋体" w:eastAsia="宋体" w:hint="default"/>
          <w:b/>
          <w:bCs/>
          <w:sz w:val="22"/>
          <w:szCs w:val="22"/>
        </w:rPr>
      </w:pPr>
    </w:p>
    <w:p>
      <w:pPr>
        <w:spacing w:before="44"/>
        <w:ind w:left="152" w:right="153" w:firstLine="0"/>
        <w:jc w:val="left"/>
        <w:rPr>
          <w:rFonts w:ascii="宋体" w:hAnsi="宋体" w:cs="宋体" w:eastAsia="宋体" w:hint="default"/>
          <w:sz w:val="18"/>
          <w:szCs w:val="18"/>
        </w:rPr>
      </w:pPr>
      <w:r>
        <w:rPr>
          <w:rFonts w:ascii="宋体" w:hAnsi="宋体" w:cs="宋体" w:eastAsia="宋体" w:hint="default"/>
          <w:sz w:val="18"/>
          <w:szCs w:val="18"/>
        </w:rPr>
        <w:t>本公司受托管理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587"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590" w:right="23" w:hanging="567"/>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27" w:right="21" w:hanging="204"/>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1" w:right="48"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4" w:lineRule="auto"/>
        <w:jc w:val="left"/>
        <w:rPr>
          <w:rFonts w:ascii="宋体" w:hAnsi="宋体" w:cs="宋体" w:eastAsia="宋体" w:hint="default"/>
          <w:sz w:val="18"/>
          <w:szCs w:val="18"/>
        </w:rPr>
        <w:sectPr>
          <w:pgSz w:w="11910" w:h="16840"/>
          <w:pgMar w:header="745" w:footer="980" w:top="1060" w:bottom="1160" w:left="980" w:right="980"/>
        </w:sectPr>
      </w:pPr>
    </w:p>
    <w:p>
      <w:pPr>
        <w:spacing w:line="340" w:lineRule="auto" w:before="49"/>
        <w:ind w:left="152" w:right="-19" w:firstLine="0"/>
        <w:jc w:val="left"/>
        <w:rPr>
          <w:rFonts w:ascii="宋体" w:hAnsi="宋体" w:cs="宋体" w:eastAsia="宋体" w:hint="default"/>
          <w:sz w:val="18"/>
          <w:szCs w:val="18"/>
        </w:rPr>
      </w:pPr>
      <w:r>
        <w:rPr>
          <w:rFonts w:ascii="宋体" w:hAnsi="宋体" w:cs="宋体" w:eastAsia="宋体" w:hint="default"/>
          <w:sz w:val="18"/>
          <w:szCs w:val="18"/>
        </w:rPr>
        <w:t>关联托管</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承包情况说明 本公司委托管理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2544" w:space="6285"/>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7"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90" w:right="23" w:hanging="567"/>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407" w:right="21" w:hanging="384"/>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91" w:right="48"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关联管理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出包情况说明</w:t>
      </w:r>
    </w:p>
    <w:p>
      <w:pPr>
        <w:spacing w:line="240" w:lineRule="auto" w:before="13"/>
        <w:rPr>
          <w:rFonts w:ascii="宋体" w:hAnsi="宋体" w:cs="宋体" w:eastAsia="宋体" w:hint="default"/>
          <w:sz w:val="25"/>
          <w:szCs w:val="25"/>
        </w:rPr>
      </w:pPr>
    </w:p>
    <w:p>
      <w:pPr>
        <w:pStyle w:val="Heading4"/>
        <w:spacing w:line="240" w:lineRule="auto"/>
        <w:ind w:right="153"/>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2"/>
        <w:rPr>
          <w:rFonts w:ascii="宋体" w:hAnsi="宋体" w:cs="宋体" w:eastAsia="宋体" w:hint="default"/>
          <w:b/>
          <w:bCs/>
          <w:sz w:val="22"/>
          <w:szCs w:val="22"/>
        </w:rPr>
      </w:pPr>
    </w:p>
    <w:p>
      <w:pPr>
        <w:spacing w:before="44"/>
        <w:ind w:left="152" w:right="153"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6"/>
        <w:gridCol w:w="2393"/>
        <w:gridCol w:w="2381"/>
      </w:tblGrid>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本公司作为承租方：</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5"/>
        <w:gridCol w:w="2392"/>
        <w:gridCol w:w="2381"/>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9"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关联租赁情况说明</w:t>
      </w:r>
    </w:p>
    <w:p>
      <w:pPr>
        <w:spacing w:line="240" w:lineRule="auto" w:before="0"/>
        <w:rPr>
          <w:rFonts w:ascii="宋体" w:hAnsi="宋体" w:cs="宋体" w:eastAsia="宋体" w:hint="default"/>
          <w:sz w:val="18"/>
          <w:szCs w:val="18"/>
        </w:rPr>
      </w:pPr>
    </w:p>
    <w:p>
      <w:pPr>
        <w:pStyle w:val="Heading4"/>
        <w:spacing w:line="240" w:lineRule="auto" w:before="120"/>
        <w:ind w:right="153"/>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2"/>
        <w:rPr>
          <w:rFonts w:ascii="宋体" w:hAnsi="宋体" w:cs="宋体" w:eastAsia="宋体" w:hint="default"/>
          <w:b/>
          <w:bCs/>
          <w:sz w:val="22"/>
          <w:szCs w:val="22"/>
        </w:rPr>
      </w:pPr>
    </w:p>
    <w:p>
      <w:pPr>
        <w:spacing w:before="44"/>
        <w:ind w:left="152" w:right="153"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before="50"/>
        <w:ind w:left="152" w:right="153"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9"/>
        <w:rPr>
          <w:rFonts w:ascii="宋体" w:hAnsi="宋体" w:cs="宋体" w:eastAsia="宋体" w:hint="default"/>
          <w:sz w:val="25"/>
          <w:szCs w:val="25"/>
        </w:rPr>
      </w:pPr>
    </w:p>
    <w:p>
      <w:pPr>
        <w:spacing w:before="44"/>
        <w:ind w:left="152" w:right="153"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line="240" w:lineRule="auto" w:before="0"/>
        <w:rPr>
          <w:rFonts w:ascii="宋体" w:hAnsi="宋体" w:cs="宋体" w:eastAsia="宋体" w:hint="default"/>
          <w:sz w:val="18"/>
          <w:szCs w:val="18"/>
        </w:rPr>
      </w:pPr>
    </w:p>
    <w:p>
      <w:pPr>
        <w:pStyle w:val="Heading4"/>
        <w:spacing w:line="240" w:lineRule="auto" w:before="120"/>
        <w:ind w:right="153"/>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3"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5"/>
        <w:gridCol w:w="2392"/>
        <w:gridCol w:w="2381"/>
      </w:tblGrid>
      <w:tr>
        <w:trPr>
          <w:trHeight w:val="40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4"/>
        <w:rPr>
          <w:rFonts w:ascii="宋体" w:hAnsi="宋体" w:cs="宋体" w:eastAsia="宋体" w:hint="default"/>
          <w:sz w:val="19"/>
          <w:szCs w:val="19"/>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53"/>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宿迁市双星国际酒 店有限公司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2" w:right="0"/>
              <w:jc w:val="left"/>
              <w:rPr>
                <w:rFonts w:ascii="Times New Roman" w:hAnsi="Times New Roman" w:cs="Times New Roman" w:eastAsia="Times New Roman" w:hint="default"/>
                <w:sz w:val="18"/>
                <w:szCs w:val="18"/>
              </w:rPr>
            </w:pPr>
            <w:r>
              <w:rPr>
                <w:rFonts w:ascii="Times New Roman"/>
                <w:sz w:val="18"/>
              </w:rPr>
              <w:t>51,000.00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34"/>
              <w:jc w:val="left"/>
              <w:rPr>
                <w:rFonts w:ascii="宋体" w:hAnsi="宋体" w:cs="宋体" w:eastAsia="宋体" w:hint="default"/>
                <w:sz w:val="18"/>
                <w:szCs w:val="18"/>
              </w:rPr>
            </w:pP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双星大厦资产转 让款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宿迁市彩缘置业有限公司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33" w:right="0"/>
              <w:jc w:val="left"/>
              <w:rPr>
                <w:rFonts w:ascii="Times New Roman" w:hAnsi="Times New Roman" w:cs="Times New Roman" w:eastAsia="Times New Roman" w:hint="default"/>
                <w:sz w:val="18"/>
                <w:szCs w:val="18"/>
              </w:rPr>
            </w:pPr>
            <w:r>
              <w:rPr>
                <w:rFonts w:ascii="Times New Roman"/>
                <w:sz w:val="18"/>
              </w:rPr>
              <w:t>185,546,000.00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101"/>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01"/>
        <w:jc w:val="left"/>
        <w:rPr>
          <w:b w:val="0"/>
          <w:bCs w:val="0"/>
        </w:rPr>
      </w:pPr>
      <w:r>
        <w:rPr>
          <w:rFonts w:ascii="Times New Roman" w:hAnsi="Times New Roman" w:cs="Times New Roman" w:eastAsia="Times New Roman" w:hint="default"/>
        </w:rPr>
        <w:t>8</w:t>
      </w:r>
      <w:r>
        <w:rPr/>
        <w:t>、其他</w:t>
      </w:r>
      <w:r>
        <w:rPr>
          <w:b w:val="0"/>
          <w:bCs w:val="0"/>
        </w:rPr>
      </w:r>
    </w:p>
    <w:p>
      <w:pPr>
        <w:spacing w:line="240" w:lineRule="auto" w:before="10"/>
        <w:rPr>
          <w:rFonts w:ascii="宋体" w:hAnsi="宋体" w:cs="宋体" w:eastAsia="宋体" w:hint="default"/>
          <w:b/>
          <w:bCs/>
          <w:sz w:val="26"/>
          <w:szCs w:val="26"/>
        </w:rPr>
      </w:pPr>
    </w:p>
    <w:tbl>
      <w:tblPr>
        <w:tblW w:w="0" w:type="auto"/>
        <w:jc w:val="left"/>
        <w:tblInd w:w="145" w:type="dxa"/>
        <w:tblLayout w:type="fixed"/>
        <w:tblCellMar>
          <w:top w:w="0" w:type="dxa"/>
          <w:left w:w="0" w:type="dxa"/>
          <w:bottom w:w="0" w:type="dxa"/>
          <w:right w:w="0" w:type="dxa"/>
        </w:tblCellMar>
        <w:tblLook w:val="01E0"/>
      </w:tblPr>
      <w:tblGrid>
        <w:gridCol w:w="2391"/>
        <w:gridCol w:w="2393"/>
        <w:gridCol w:w="2393"/>
        <w:gridCol w:w="2393"/>
      </w:tblGrid>
      <w:tr>
        <w:trPr>
          <w:trHeight w:val="410" w:hRule="exact"/>
        </w:trPr>
        <w:tc>
          <w:tcPr>
            <w:tcW w:w="23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1"/>
              <w:ind w:left="5"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1"/>
              <w:ind w:left="5"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1"/>
              <w:ind w:left="6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27" w:hRule="exact"/>
        </w:trPr>
        <w:tc>
          <w:tcPr>
            <w:tcW w:w="239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3"/>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备用金</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7" w:right="0"/>
              <w:jc w:val="center"/>
              <w:rPr>
                <w:rFonts w:ascii="宋体" w:hAnsi="宋体" w:cs="宋体" w:eastAsia="宋体" w:hint="default"/>
                <w:sz w:val="22"/>
                <w:szCs w:val="22"/>
              </w:rPr>
            </w:pPr>
            <w:r>
              <w:rPr>
                <w:rFonts w:ascii="宋体" w:hAnsi="宋体" w:cs="宋体" w:eastAsia="宋体" w:hint="default"/>
                <w:sz w:val="22"/>
                <w:szCs w:val="22"/>
              </w:rPr>
              <w:t>陆敬权</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1"/>
              <w:jc w:val="right"/>
              <w:rPr>
                <w:rFonts w:ascii="Times New Roman" w:hAnsi="Times New Roman" w:cs="Times New Roman" w:eastAsia="Times New Roman" w:hint="default"/>
                <w:sz w:val="22"/>
                <w:szCs w:val="22"/>
              </w:rPr>
            </w:pPr>
            <w:r>
              <w:rPr>
                <w:rFonts w:ascii="Times New Roman"/>
                <w:sz w:val="22"/>
              </w:rPr>
              <w:t>5,699.50</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1"/>
              <w:jc w:val="right"/>
              <w:rPr>
                <w:rFonts w:ascii="Times New Roman" w:hAnsi="Times New Roman" w:cs="Times New Roman" w:eastAsia="Times New Roman" w:hint="default"/>
                <w:sz w:val="22"/>
                <w:szCs w:val="22"/>
              </w:rPr>
            </w:pPr>
            <w:r>
              <w:rPr>
                <w:rFonts w:ascii="Times New Roman"/>
                <w:sz w:val="22"/>
              </w:rPr>
              <w:t>13,242.50</w:t>
            </w:r>
          </w:p>
        </w:tc>
      </w:tr>
      <w:tr>
        <w:trPr>
          <w:trHeight w:val="427" w:hRule="exact"/>
        </w:trPr>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备用金</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7" w:right="0"/>
              <w:jc w:val="center"/>
              <w:rPr>
                <w:rFonts w:ascii="宋体" w:hAnsi="宋体" w:cs="宋体" w:eastAsia="宋体" w:hint="default"/>
                <w:sz w:val="22"/>
                <w:szCs w:val="22"/>
              </w:rPr>
            </w:pPr>
            <w:r>
              <w:rPr>
                <w:rFonts w:ascii="宋体" w:hAnsi="宋体" w:cs="宋体" w:eastAsia="宋体" w:hint="default"/>
                <w:sz w:val="22"/>
                <w:szCs w:val="22"/>
              </w:rPr>
              <w:t>邹兆云</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1"/>
              <w:jc w:val="right"/>
              <w:rPr>
                <w:rFonts w:ascii="Times New Roman" w:hAnsi="Times New Roman" w:cs="Times New Roman" w:eastAsia="Times New Roman" w:hint="default"/>
                <w:sz w:val="22"/>
                <w:szCs w:val="22"/>
              </w:rPr>
            </w:pPr>
            <w:r>
              <w:rPr>
                <w:rFonts w:ascii="Times New Roman"/>
                <w:sz w:val="22"/>
              </w:rPr>
              <w:t>83,853.48</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1"/>
              <w:jc w:val="right"/>
              <w:rPr>
                <w:rFonts w:ascii="Times New Roman" w:hAnsi="Times New Roman" w:cs="Times New Roman" w:eastAsia="Times New Roman" w:hint="default"/>
                <w:sz w:val="22"/>
                <w:szCs w:val="22"/>
              </w:rPr>
            </w:pPr>
            <w:r>
              <w:rPr>
                <w:rFonts w:ascii="Times New Roman"/>
                <w:sz w:val="22"/>
              </w:rPr>
              <w:t>85,916.17</w:t>
            </w:r>
          </w:p>
        </w:tc>
      </w:tr>
      <w:tr>
        <w:trPr>
          <w:trHeight w:val="427" w:hRule="exact"/>
        </w:trPr>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备用金</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7" w:right="0"/>
              <w:jc w:val="center"/>
              <w:rPr>
                <w:rFonts w:ascii="宋体" w:hAnsi="宋体" w:cs="宋体" w:eastAsia="宋体" w:hint="default"/>
                <w:sz w:val="22"/>
                <w:szCs w:val="22"/>
              </w:rPr>
            </w:pPr>
            <w:r>
              <w:rPr>
                <w:rFonts w:ascii="宋体" w:hAnsi="宋体" w:cs="宋体" w:eastAsia="宋体" w:hint="default"/>
                <w:sz w:val="22"/>
                <w:szCs w:val="22"/>
              </w:rPr>
              <w:t>李平</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1"/>
              <w:jc w:val="right"/>
              <w:rPr>
                <w:rFonts w:ascii="Times New Roman" w:hAnsi="Times New Roman" w:cs="Times New Roman" w:eastAsia="Times New Roman" w:hint="default"/>
                <w:sz w:val="22"/>
                <w:szCs w:val="22"/>
              </w:rPr>
            </w:pPr>
            <w:r>
              <w:rPr>
                <w:rFonts w:ascii="Times New Roman"/>
                <w:sz w:val="22"/>
              </w:rPr>
              <w:t>68,041.60</w:t>
            </w:r>
          </w:p>
        </w:tc>
        <w:tc>
          <w:tcPr>
            <w:tcW w:w="2393"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备用金</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7" w:right="0"/>
              <w:jc w:val="center"/>
              <w:rPr>
                <w:rFonts w:ascii="宋体" w:hAnsi="宋体" w:cs="宋体" w:eastAsia="宋体" w:hint="default"/>
                <w:sz w:val="22"/>
                <w:szCs w:val="22"/>
              </w:rPr>
            </w:pPr>
            <w:r>
              <w:rPr>
                <w:rFonts w:ascii="宋体" w:hAnsi="宋体" w:cs="宋体" w:eastAsia="宋体" w:hint="default"/>
                <w:sz w:val="22"/>
                <w:szCs w:val="22"/>
              </w:rPr>
              <w:t>池卫</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1"/>
              <w:jc w:val="right"/>
              <w:rPr>
                <w:rFonts w:ascii="Times New Roman" w:hAnsi="Times New Roman" w:cs="Times New Roman" w:eastAsia="Times New Roman" w:hint="default"/>
                <w:sz w:val="22"/>
                <w:szCs w:val="22"/>
              </w:rPr>
            </w:pPr>
            <w:r>
              <w:rPr>
                <w:rFonts w:ascii="Times New Roman"/>
                <w:sz w:val="22"/>
              </w:rPr>
              <w:t>23,155.38</w:t>
            </w:r>
          </w:p>
        </w:tc>
        <w:tc>
          <w:tcPr>
            <w:tcW w:w="239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1"/>
          <w:szCs w:val="21"/>
        </w:rPr>
      </w:pPr>
    </w:p>
    <w:p>
      <w:pPr>
        <w:pStyle w:val="Heading2"/>
        <w:spacing w:line="240" w:lineRule="auto" w:before="26"/>
        <w:ind w:right="101"/>
        <w:jc w:val="left"/>
        <w:rPr>
          <w:b w:val="0"/>
          <w:bCs w:val="0"/>
        </w:rPr>
      </w:pPr>
      <w:r>
        <w:rPr/>
        <w:t>十三、股份支付</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01"/>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4"/>
        <w:rPr>
          <w:rFonts w:ascii="宋体" w:hAnsi="宋体" w:cs="宋体" w:eastAsia="宋体" w:hint="default"/>
          <w:b/>
          <w:bCs/>
          <w:sz w:val="26"/>
          <w:szCs w:val="26"/>
        </w:rPr>
      </w:pPr>
    </w:p>
    <w:p>
      <w:pPr>
        <w:spacing w:before="0"/>
        <w:ind w:left="152" w:right="10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101"/>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4"/>
        <w:rPr>
          <w:rFonts w:ascii="宋体" w:hAnsi="宋体" w:cs="宋体" w:eastAsia="宋体" w:hint="default"/>
          <w:b/>
          <w:bCs/>
          <w:sz w:val="26"/>
          <w:szCs w:val="26"/>
        </w:rPr>
      </w:pPr>
    </w:p>
    <w:p>
      <w:pPr>
        <w:spacing w:before="0"/>
        <w:ind w:left="152" w:right="10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101"/>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4"/>
        <w:rPr>
          <w:rFonts w:ascii="宋体" w:hAnsi="宋体" w:cs="宋体" w:eastAsia="宋体" w:hint="default"/>
          <w:b/>
          <w:bCs/>
          <w:sz w:val="26"/>
          <w:szCs w:val="26"/>
        </w:rPr>
      </w:pPr>
    </w:p>
    <w:p>
      <w:pPr>
        <w:spacing w:before="0"/>
        <w:ind w:left="152" w:right="10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101"/>
        <w:jc w:val="left"/>
        <w:rPr>
          <w:b w:val="0"/>
          <w:bCs w:val="0"/>
        </w:rPr>
      </w:pPr>
      <w:r>
        <w:rPr>
          <w:rFonts w:ascii="Times New Roman" w:hAnsi="Times New Roman" w:cs="Times New Roman" w:eastAsia="Times New Roman" w:hint="default"/>
        </w:rPr>
        <w:t>4</w:t>
      </w:r>
      <w:r>
        <w:rPr/>
        <w:t>、股份支付的修改、终止情况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74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spacing w:before="102"/>
        <w:ind w:left="152" w:right="101"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w:t>
      </w:r>
    </w:p>
    <w:p>
      <w:pPr>
        <w:pStyle w:val="BodyText"/>
        <w:spacing w:line="261" w:lineRule="auto" w:before="96"/>
        <w:ind w:right="101"/>
        <w:jc w:val="left"/>
      </w:pPr>
      <w:r>
        <w:rPr>
          <w:rFonts w:ascii="Times New Roman" w:hAnsi="Times New Roman" w:cs="Times New Roman" w:eastAsia="Times New Roman" w:hint="default"/>
        </w:rPr>
        <w:t>(1)</w:t>
      </w:r>
      <w:r>
        <w:rPr/>
        <w:t>双星新材与宿迁市彩缘置业有限公司（以下简称</w:t>
      </w:r>
      <w:r>
        <w:rPr>
          <w:rFonts w:ascii="Times New Roman" w:hAnsi="Times New Roman" w:cs="Times New Roman" w:eastAsia="Times New Roman" w:hint="default"/>
        </w:rPr>
        <w:t>“</w:t>
      </w:r>
      <w:r>
        <w:rPr/>
        <w:t>彩缘置业</w:t>
      </w:r>
      <w:r>
        <w:rPr>
          <w:rFonts w:ascii="Times New Roman" w:hAnsi="Times New Roman" w:cs="Times New Roman" w:eastAsia="Times New Roman" w:hint="default"/>
        </w:rPr>
        <w:t>”</w:t>
      </w:r>
      <w:r>
        <w:rPr/>
        <w:t>）于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8</w:t>
      </w:r>
      <w:r>
        <w:rPr/>
        <w:t>日签署《关于购买宿迁市</w:t>
      </w:r>
      <w:r>
        <w:rPr>
          <w:w w:val="100"/>
        </w:rPr>
        <w:t> </w:t>
      </w:r>
      <w:r>
        <w:rPr>
          <w:spacing w:val="-2"/>
        </w:rPr>
        <w:t>彩缘置业有限公司办公楼及酒店式公寓楼协议》。根据该协议，彩缘置业将其持有的双星大厦办公楼及公</w:t>
      </w:r>
      <w:r>
        <w:rPr>
          <w:spacing w:val="-42"/>
        </w:rPr>
        <w:t> </w:t>
      </w:r>
      <w:r>
        <w:rPr>
          <w:spacing w:val="-42"/>
        </w:rPr>
      </w:r>
      <w:r>
        <w:rPr/>
        <w:t>寓楼整体出售给双星新材，交易价格为</w:t>
      </w:r>
      <w:r>
        <w:rPr>
          <w:rFonts w:ascii="Times New Roman" w:hAnsi="Times New Roman" w:cs="Times New Roman" w:eastAsia="Times New Roman" w:hint="default"/>
        </w:rPr>
        <w:t>1.86</w:t>
      </w:r>
      <w:r>
        <w:rPr/>
        <w:t>亿元。由双星新材向彩缘置业分两次支付，第一部分转让款金</w:t>
      </w:r>
      <w:r>
        <w:rPr>
          <w:w w:val="100"/>
        </w:rPr>
        <w:t> </w:t>
      </w:r>
      <w:r>
        <w:rPr>
          <w:spacing w:val="-7"/>
          <w:w w:val="100"/>
        </w:rPr>
        <w:t>额为人民币</w:t>
      </w:r>
      <w:r>
        <w:rPr>
          <w:rFonts w:ascii="Times New Roman" w:hAnsi="Times New Roman" w:cs="Times New Roman" w:eastAsia="Times New Roman" w:hint="default"/>
          <w:spacing w:val="-7"/>
          <w:w w:val="100"/>
        </w:rPr>
        <w:t>9,000</w:t>
      </w:r>
      <w:r>
        <w:rPr>
          <w:spacing w:val="-7"/>
          <w:w w:val="100"/>
        </w:rPr>
        <w:t>万元，于交割日起</w:t>
      </w:r>
      <w:r>
        <w:rPr>
          <w:rFonts w:ascii="Times New Roman" w:hAnsi="Times New Roman" w:cs="Times New Roman" w:eastAsia="Times New Roman" w:hint="default"/>
          <w:spacing w:val="-7"/>
          <w:w w:val="100"/>
        </w:rPr>
        <w:t>5</w:t>
      </w:r>
      <w:r>
        <w:rPr>
          <w:spacing w:val="-7"/>
          <w:w w:val="100"/>
        </w:rPr>
        <w:t>个工作日内支付，第二部分转让款为人民币</w:t>
      </w:r>
      <w:r>
        <w:rPr>
          <w:rFonts w:ascii="Times New Roman" w:hAnsi="Times New Roman" w:cs="Times New Roman" w:eastAsia="Times New Roman" w:hint="default"/>
          <w:spacing w:val="-7"/>
          <w:w w:val="100"/>
        </w:rPr>
        <w:t>9,554.60</w:t>
      </w:r>
      <w:r>
        <w:rPr>
          <w:spacing w:val="-7"/>
          <w:w w:val="100"/>
        </w:rPr>
        <w:t>万元，由公司于</w:t>
      </w:r>
      <w:r>
        <w:rPr>
          <w:rFonts w:ascii="Times New Roman" w:hAnsi="Times New Roman" w:cs="Times New Roman" w:eastAsia="Times New Roman" w:hint="default"/>
          <w:spacing w:val="-7"/>
          <w:w w:val="100"/>
        </w:rPr>
        <w:t>2018</w:t>
      </w:r>
      <w:r>
        <w:rPr>
          <w:rFonts w:ascii="Times New Roman" w:hAnsi="Times New Roman" w:cs="Times New Roman" w:eastAsia="Times New Roman" w:hint="default"/>
          <w:spacing w:val="-10"/>
          <w:w w:val="100"/>
        </w:rPr>
        <w:t> </w:t>
      </w:r>
      <w:r>
        <w:rPr>
          <w:rFonts w:ascii="Times New Roman" w:hAnsi="Times New Roman" w:cs="Times New Roman" w:eastAsia="Times New Roman" w:hint="default"/>
          <w:spacing w:val="-10"/>
          <w:w w:val="100"/>
        </w:rPr>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31</w:t>
      </w:r>
      <w:r>
        <w:rPr>
          <w:spacing w:val="-2"/>
        </w:rPr>
        <w:t>日前支付。交易标的为宿迁骆马湖外向型农业示范区金桂路以北的公寓房屋建筑物（土建部分）、</w:t>
      </w:r>
      <w:r>
        <w:rPr>
          <w:spacing w:val="-46"/>
        </w:rPr>
        <w:t> </w:t>
      </w:r>
      <w:r>
        <w:rPr>
          <w:spacing w:val="-46"/>
        </w:rPr>
      </w:r>
      <w:r>
        <w:rPr>
          <w:spacing w:val="-2"/>
        </w:rPr>
        <w:t>人防工程及土地使用权，和办公楼房屋建筑物（土建部分）、人防工程及土地使用权。截止至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spacing w:val="-41"/>
        </w:rPr>
        <w:t> </w:t>
      </w:r>
      <w:r>
        <w:rPr>
          <w:rFonts w:ascii="Times New Roman" w:hAnsi="Times New Roman" w:cs="Times New Roman" w:eastAsia="Times New Roman" w:hint="default"/>
          <w:spacing w:val="-2"/>
        </w:rPr>
        <w:t>31</w:t>
      </w:r>
      <w:r>
        <w:rPr>
          <w:spacing w:val="-2"/>
        </w:rPr>
        <w:t>日，双星新材已与彩缘置业办理完成了实物资产的交接手续，但尚未支付办公楼和酒店式公寓楼的转让</w:t>
      </w:r>
      <w:r>
        <w:rPr>
          <w:spacing w:val="-41"/>
        </w:rPr>
        <w:t> </w:t>
      </w:r>
      <w:r>
        <w:rPr>
          <w:spacing w:val="-41"/>
        </w:rPr>
      </w:r>
      <w:r>
        <w:rPr/>
        <w:t>价款，土地证和房产证尚未进行变更登记。</w:t>
      </w:r>
      <w:r>
        <w:rPr>
          <w:w w:val="100"/>
        </w:rPr>
        <w:t> </w:t>
      </w:r>
      <w:r>
        <w:rPr>
          <w:rFonts w:ascii="Times New Roman" w:hAnsi="Times New Roman" w:cs="Times New Roman" w:eastAsia="Times New Roman" w:hint="default"/>
          <w:spacing w:val="-4"/>
        </w:rPr>
        <w:t>(2)</w:t>
      </w:r>
      <w:r>
        <w:rPr>
          <w:spacing w:val="-4"/>
        </w:rPr>
        <w:t>公司</w:t>
      </w:r>
      <w:r>
        <w:rPr>
          <w:rFonts w:ascii="Times New Roman" w:hAnsi="Times New Roman" w:cs="Times New Roman" w:eastAsia="Times New Roman" w:hint="default"/>
          <w:spacing w:val="-4"/>
        </w:rPr>
        <w:t>2015</w:t>
      </w:r>
      <w:r>
        <w:rPr>
          <w:spacing w:val="-4"/>
        </w:rPr>
        <w:t>年收购了江西科为薄膜新型材料有限公司（以下简称</w:t>
      </w:r>
      <w:r>
        <w:rPr>
          <w:rFonts w:ascii="Times New Roman" w:hAnsi="Times New Roman" w:cs="Times New Roman" w:eastAsia="Times New Roman" w:hint="default"/>
          <w:spacing w:val="-4"/>
        </w:rPr>
        <w:t>“</w:t>
      </w:r>
      <w:r>
        <w:rPr>
          <w:spacing w:val="-4"/>
        </w:rPr>
        <w:t>江西科为</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100%</w:t>
      </w:r>
      <w:r>
        <w:rPr>
          <w:spacing w:val="-4"/>
        </w:rPr>
        <w:t>股权，江西科为成为公</w:t>
      </w:r>
    </w:p>
    <w:p>
      <w:pPr>
        <w:spacing w:after="0" w:line="261" w:lineRule="auto"/>
        <w:jc w:val="left"/>
        <w:sectPr>
          <w:pgSz w:w="11910" w:h="16840"/>
          <w:pgMar w:header="745" w:footer="980" w:top="1060" w:bottom="1160" w:left="980" w:right="920"/>
        </w:sectPr>
      </w:pPr>
    </w:p>
    <w:p>
      <w:pPr>
        <w:spacing w:line="240" w:lineRule="auto" w:before="10"/>
        <w:rPr>
          <w:rFonts w:ascii="宋体" w:hAnsi="宋体" w:cs="宋体" w:eastAsia="宋体" w:hint="default"/>
          <w:sz w:val="24"/>
          <w:szCs w:val="24"/>
        </w:rPr>
      </w:pPr>
    </w:p>
    <w:p>
      <w:pPr>
        <w:pStyle w:val="BodyText"/>
        <w:spacing w:line="259" w:lineRule="auto" w:before="36"/>
        <w:ind w:right="153"/>
        <w:jc w:val="left"/>
      </w:pPr>
      <w:r>
        <w:rPr>
          <w:spacing w:val="-3"/>
        </w:rPr>
        <w:t>司全资子公司。根据业绩承诺，</w:t>
      </w:r>
      <w:r>
        <w:rPr>
          <w:rFonts w:ascii="Times New Roman" w:hAnsi="Times New Roman" w:cs="Times New Roman" w:eastAsia="Times New Roman" w:hint="default"/>
          <w:spacing w:val="-3"/>
        </w:rPr>
        <w:t>2016</w:t>
      </w:r>
      <w:r>
        <w:rPr>
          <w:spacing w:val="-3"/>
        </w:rPr>
        <w:t>年江西科为需完成净利润</w:t>
      </w:r>
      <w:r>
        <w:rPr>
          <w:rFonts w:ascii="Times New Roman" w:hAnsi="Times New Roman" w:cs="Times New Roman" w:eastAsia="Times New Roman" w:hint="default"/>
          <w:spacing w:val="-3"/>
        </w:rPr>
        <w:t>5,000</w:t>
      </w:r>
      <w:r>
        <w:rPr>
          <w:spacing w:val="-3"/>
        </w:rPr>
        <w:t>万元，低于利润承诺部分由江西科为原</w:t>
      </w:r>
      <w:r>
        <w:rPr>
          <w:spacing w:val="-41"/>
        </w:rPr>
        <w:t> </w:t>
      </w:r>
      <w:r>
        <w:rPr>
          <w:spacing w:val="-41"/>
        </w:rPr>
      </w:r>
      <w:r>
        <w:rPr>
          <w:spacing w:val="-2"/>
        </w:rPr>
        <w:t>股东柯秋平、时招军（以下简称</w:t>
      </w:r>
      <w:r>
        <w:rPr>
          <w:rFonts w:ascii="Times New Roman" w:hAnsi="Times New Roman" w:cs="Times New Roman" w:eastAsia="Times New Roman" w:hint="default"/>
          <w:spacing w:val="-2"/>
        </w:rPr>
        <w:t>“</w:t>
      </w:r>
      <w:r>
        <w:rPr>
          <w:spacing w:val="-2"/>
        </w:rPr>
        <w:t>原承诺人</w:t>
      </w:r>
      <w:r>
        <w:rPr>
          <w:rFonts w:ascii="Times New Roman" w:hAnsi="Times New Roman" w:cs="Times New Roman" w:eastAsia="Times New Roman" w:hint="default"/>
          <w:spacing w:val="-2"/>
        </w:rPr>
        <w:t>”</w:t>
      </w:r>
      <w:r>
        <w:rPr>
          <w:spacing w:val="-2"/>
        </w:rPr>
        <w:t>）以现金方式补偿给公司。江西科为</w:t>
      </w:r>
      <w:r>
        <w:rPr>
          <w:rFonts w:ascii="Times New Roman" w:hAnsi="Times New Roman" w:cs="Times New Roman" w:eastAsia="Times New Roman" w:hint="default"/>
          <w:spacing w:val="-2"/>
        </w:rPr>
        <w:t>2016</w:t>
      </w:r>
      <w:r>
        <w:rPr>
          <w:spacing w:val="-2"/>
        </w:rPr>
        <w:t>年度扣除非经常性损</w:t>
      </w:r>
      <w:r>
        <w:rPr>
          <w:spacing w:val="-14"/>
        </w:rPr>
        <w:t> </w:t>
      </w:r>
      <w:r>
        <w:rPr>
          <w:spacing w:val="-14"/>
        </w:rPr>
      </w:r>
      <w:r>
        <w:rPr>
          <w:spacing w:val="-2"/>
        </w:rPr>
        <w:t>益后净利润的实现数为</w:t>
      </w:r>
      <w:r>
        <w:rPr>
          <w:rFonts w:ascii="Times New Roman" w:hAnsi="Times New Roman" w:cs="Times New Roman" w:eastAsia="Times New Roman" w:hint="default"/>
          <w:spacing w:val="-2"/>
        </w:rPr>
        <w:t>3,549,322.42</w:t>
      </w:r>
      <w:r>
        <w:rPr>
          <w:spacing w:val="-2"/>
        </w:rPr>
        <w:t>元，因此柯秋平及时招军需以现金方式补偿给公司人民币</w:t>
      </w:r>
      <w:r>
        <w:rPr>
          <w:rFonts w:ascii="Times New Roman" w:hAnsi="Times New Roman" w:cs="Times New Roman" w:eastAsia="Times New Roman" w:hint="default"/>
          <w:spacing w:val="-2"/>
        </w:rPr>
        <w:t>46,450,677.58</w:t>
      </w:r>
      <w:r>
        <w:rPr>
          <w:rFonts w:ascii="Times New Roman" w:hAnsi="Times New Roman" w:cs="Times New Roman" w:eastAsia="Times New Roman" w:hint="default"/>
          <w:spacing w:val="31"/>
        </w:rPr>
        <w:t> </w:t>
      </w:r>
      <w:r>
        <w:rPr>
          <w:rFonts w:ascii="Times New Roman" w:hAnsi="Times New Roman" w:cs="Times New Roman" w:eastAsia="Times New Roman" w:hint="default"/>
          <w:spacing w:val="31"/>
        </w:rPr>
      </w:r>
      <w:r>
        <w:rPr>
          <w:spacing w:val="-2"/>
        </w:rPr>
        <w:t>元。公司于</w:t>
      </w:r>
      <w:r>
        <w:rPr>
          <w:rFonts w:ascii="Times New Roman" w:hAnsi="Times New Roman" w:cs="Times New Roman" w:eastAsia="Times New Roman" w:hint="default"/>
          <w:spacing w:val="-2"/>
        </w:rPr>
        <w:t>2017</w:t>
      </w:r>
      <w:r>
        <w:rPr>
          <w:spacing w:val="-2"/>
        </w:rPr>
        <w:t>年实际收到由柯秋平确认并支付的</w:t>
      </w:r>
      <w:r>
        <w:rPr>
          <w:rFonts w:ascii="Times New Roman" w:hAnsi="Times New Roman" w:cs="Times New Roman" w:eastAsia="Times New Roman" w:hint="default"/>
          <w:spacing w:val="-2"/>
        </w:rPr>
        <w:t>2016</w:t>
      </w:r>
      <w:r>
        <w:rPr>
          <w:spacing w:val="-2"/>
        </w:rPr>
        <w:t>年度业绩补偿款</w:t>
      </w:r>
      <w:r>
        <w:rPr>
          <w:rFonts w:ascii="Times New Roman" w:hAnsi="Times New Roman" w:cs="Times New Roman" w:eastAsia="Times New Roman" w:hint="default"/>
          <w:spacing w:val="-2"/>
        </w:rPr>
        <w:t>2800</w:t>
      </w:r>
      <w:r>
        <w:rPr>
          <w:spacing w:val="-2"/>
        </w:rPr>
        <w:t>万元（已计入营业外收入），</w:t>
      </w:r>
      <w:r>
        <w:rPr>
          <w:spacing w:val="-13"/>
        </w:rPr>
        <w:t> </w:t>
      </w:r>
      <w:r>
        <w:rPr>
          <w:spacing w:val="-13"/>
        </w:rPr>
      </w:r>
      <w:r>
        <w:rPr>
          <w:rFonts w:ascii="Times New Roman" w:hAnsi="Times New Roman" w:cs="Times New Roman" w:eastAsia="Times New Roman" w:hint="default"/>
          <w:spacing w:val="-2"/>
        </w:rPr>
        <w:t>2016</w:t>
      </w:r>
      <w:r>
        <w:rPr>
          <w:spacing w:val="-2"/>
        </w:rPr>
        <w:t>年业绩承诺差额部分</w:t>
      </w:r>
      <w:r>
        <w:rPr>
          <w:rFonts w:ascii="Times New Roman" w:hAnsi="Times New Roman" w:cs="Times New Roman" w:eastAsia="Times New Roman" w:hint="default"/>
          <w:spacing w:val="-2"/>
        </w:rPr>
        <w:t>18,450,677.58</w:t>
      </w:r>
      <w:r>
        <w:rPr>
          <w:spacing w:val="-2"/>
        </w:rPr>
        <w:t>元由公司实际控制人吴培服先生于</w:t>
      </w:r>
      <w:r>
        <w:rPr>
          <w:rFonts w:ascii="Times New Roman" w:hAnsi="Times New Roman" w:cs="Times New Roman" w:eastAsia="Times New Roman" w:hint="default"/>
          <w:spacing w:val="-2"/>
        </w:rPr>
        <w:t>2017</w:t>
      </w:r>
      <w:r>
        <w:rPr>
          <w:spacing w:val="-2"/>
        </w:rPr>
        <w:t>年补偿到位（已计入资本公 </w:t>
      </w:r>
      <w:r>
        <w:rPr/>
        <w:t>积）。</w:t>
      </w:r>
      <w:r>
        <w:rPr>
          <w:spacing w:val="-102"/>
        </w:rPr>
        <w:t> </w:t>
      </w:r>
      <w:r>
        <w:rPr>
          <w:spacing w:val="-2"/>
        </w:rPr>
        <w:t>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日，除上述事项外本公司未发生其他影响本财务报表阅读和理解的其他重大承诺事项。</w:t>
      </w:r>
    </w:p>
    <w:p>
      <w:pPr>
        <w:spacing w:line="240" w:lineRule="auto" w:before="2"/>
        <w:rPr>
          <w:rFonts w:ascii="宋体" w:hAnsi="宋体" w:cs="宋体" w:eastAsia="宋体" w:hint="default"/>
          <w:sz w:val="23"/>
          <w:szCs w:val="23"/>
        </w:rPr>
      </w:pPr>
    </w:p>
    <w:p>
      <w:pPr>
        <w:pStyle w:val="Heading4"/>
        <w:spacing w:line="240" w:lineRule="auto"/>
        <w:ind w:right="153"/>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4"/>
          <w:szCs w:val="24"/>
        </w:rPr>
      </w:pPr>
    </w:p>
    <w:p>
      <w:pPr>
        <w:pStyle w:val="BodyText"/>
        <w:spacing w:line="259" w:lineRule="auto"/>
        <w:ind w:right="153"/>
        <w:jc w:val="left"/>
      </w:pPr>
      <w:r>
        <w:rPr>
          <w:spacing w:val="-3"/>
        </w:rPr>
        <w:t>截止</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日，本公司已开立信用证</w:t>
      </w:r>
      <w:r>
        <w:rPr>
          <w:rFonts w:ascii="Times New Roman" w:hAnsi="Times New Roman" w:cs="Times New Roman" w:eastAsia="Times New Roman" w:hint="default"/>
          <w:spacing w:val="-3"/>
        </w:rPr>
        <w:t>5.36</w:t>
      </w:r>
      <w:r>
        <w:rPr>
          <w:spacing w:val="-3"/>
        </w:rPr>
        <w:t>亿元，已缴存保证金</w:t>
      </w:r>
      <w:r>
        <w:rPr>
          <w:rFonts w:ascii="Times New Roman" w:hAnsi="Times New Roman" w:cs="Times New Roman" w:eastAsia="Times New Roman" w:hint="default"/>
          <w:spacing w:val="-3"/>
        </w:rPr>
        <w:t>5,707.31</w:t>
      </w:r>
      <w:r>
        <w:rPr>
          <w:spacing w:val="-3"/>
        </w:rPr>
        <w:t>万元，剩余部分以银行授信额</w:t>
      </w:r>
      <w:r>
        <w:rPr>
          <w:spacing w:val="-23"/>
        </w:rPr>
        <w:t> </w:t>
      </w:r>
      <w:r>
        <w:rPr>
          <w:spacing w:val="-23"/>
        </w:rPr>
      </w:r>
      <w:r>
        <w:rPr/>
        <w:t>度提供信用担保。</w:t>
      </w:r>
    </w:p>
    <w:p>
      <w:pPr>
        <w:spacing w:line="240" w:lineRule="auto" w:before="6"/>
        <w:rPr>
          <w:rFonts w:ascii="宋体" w:hAnsi="宋体" w:cs="宋体" w:eastAsia="宋体" w:hint="default"/>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624" w:lineRule="exact" w:before="55"/>
        <w:ind w:left="152" w:right="6714" w:firstLine="0"/>
        <w:jc w:val="left"/>
        <w:rPr>
          <w:rFonts w:ascii="宋体" w:hAnsi="宋体" w:cs="宋体" w:eastAsia="宋体" w:hint="default"/>
          <w:sz w:val="24"/>
          <w:szCs w:val="24"/>
        </w:rPr>
      </w:pPr>
      <w:r>
        <w:rPr>
          <w:rFonts w:ascii="宋体" w:hAnsi="宋体" w:cs="宋体" w:eastAsia="宋体" w:hint="default"/>
          <w:sz w:val="18"/>
          <w:szCs w:val="18"/>
        </w:rPr>
        <w:t>公司不存在需要披露的重要或有事项。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十五、资产负债表日后事项</w:t>
      </w:r>
      <w:r>
        <w:rPr>
          <w:rFonts w:ascii="宋体" w:hAnsi="宋体" w:cs="宋体" w:eastAsia="宋体" w:hint="default"/>
          <w:sz w:val="24"/>
          <w:szCs w:val="24"/>
        </w:rPr>
      </w:r>
    </w:p>
    <w:p>
      <w:pPr>
        <w:spacing w:line="240" w:lineRule="auto" w:before="12"/>
        <w:rPr>
          <w:rFonts w:ascii="宋体" w:hAnsi="宋体" w:cs="宋体" w:eastAsia="宋体" w:hint="default"/>
          <w:b/>
          <w:bCs/>
          <w:sz w:val="17"/>
          <w:szCs w:val="17"/>
        </w:rPr>
      </w:pPr>
    </w:p>
    <w:p>
      <w:pPr>
        <w:pStyle w:val="Heading4"/>
        <w:spacing w:line="240" w:lineRule="auto"/>
        <w:ind w:right="153"/>
        <w:jc w:val="left"/>
        <w:rPr>
          <w:b w:val="0"/>
          <w:bCs w:val="0"/>
        </w:rPr>
      </w:pPr>
      <w:r>
        <w:rPr>
          <w:rFonts w:ascii="Times New Roman" w:hAnsi="Times New Roman" w:cs="Times New Roman" w:eastAsia="Times New Roman" w:hint="default"/>
        </w:rPr>
        <w:t>1</w:t>
      </w:r>
      <w:r>
        <w:rPr/>
        <w:t>、重要的非调整事项</w:t>
      </w:r>
      <w:r>
        <w:rPr>
          <w:b w:val="0"/>
          <w:bCs w:val="0"/>
        </w:rPr>
      </w:r>
    </w:p>
    <w:p>
      <w:pPr>
        <w:spacing w:line="240" w:lineRule="auto" w:before="2"/>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71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108" w:hanging="901"/>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4"/>
        <w:rPr>
          <w:rFonts w:ascii="宋体" w:hAnsi="宋体" w:cs="宋体" w:eastAsia="宋体" w:hint="default"/>
          <w:sz w:val="19"/>
          <w:szCs w:val="19"/>
        </w:rPr>
      </w:pPr>
    </w:p>
    <w:p>
      <w:pPr>
        <w:pStyle w:val="Heading4"/>
        <w:spacing w:line="240" w:lineRule="auto" w:before="36"/>
        <w:ind w:right="153"/>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24"/>
          <w:szCs w:val="24"/>
        </w:rPr>
      </w:pPr>
    </w:p>
    <w:p>
      <w:pPr>
        <w:pStyle w:val="Heading4"/>
        <w:spacing w:line="240" w:lineRule="auto" w:before="36"/>
        <w:ind w:right="0"/>
        <w:jc w:val="both"/>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4</w:t>
      </w:r>
      <w:r>
        <w:rPr/>
        <w:t>、其他资产负债表日后事项说明</w:t>
      </w:r>
      <w:r>
        <w:rPr>
          <w:b w:val="0"/>
          <w:bCs w:val="0"/>
        </w:rPr>
      </w:r>
    </w:p>
    <w:p>
      <w:pPr>
        <w:spacing w:line="240" w:lineRule="auto" w:before="7"/>
        <w:rPr>
          <w:rFonts w:ascii="宋体" w:hAnsi="宋体" w:cs="宋体" w:eastAsia="宋体" w:hint="default"/>
          <w:b/>
          <w:bCs/>
          <w:sz w:val="24"/>
          <w:szCs w:val="24"/>
        </w:rPr>
      </w:pPr>
    </w:p>
    <w:p>
      <w:pPr>
        <w:pStyle w:val="BodyText"/>
        <w:spacing w:line="259" w:lineRule="auto"/>
        <w:ind w:right="151"/>
        <w:jc w:val="both"/>
      </w:pPr>
      <w:r>
        <w:rPr>
          <w:rFonts w:ascii="Times New Roman" w:hAnsi="Times New Roman" w:cs="Times New Roman" w:eastAsia="Times New Roman" w:hint="default"/>
          <w:spacing w:val="2"/>
        </w:rPr>
        <w:t>(1)2018</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23</w:t>
      </w:r>
      <w:r>
        <w:rPr>
          <w:spacing w:val="2"/>
        </w:rPr>
        <w:t>日，公司到期收回募集资金理财产品</w:t>
      </w:r>
      <w:r>
        <w:rPr>
          <w:rFonts w:ascii="Times New Roman" w:hAnsi="Times New Roman" w:cs="Times New Roman" w:eastAsia="Times New Roman" w:hint="default"/>
          <w:spacing w:val="2"/>
        </w:rPr>
        <w:t>“</w:t>
      </w:r>
      <w:r>
        <w:rPr>
          <w:spacing w:val="2"/>
        </w:rPr>
        <w:t>中国建设银行江苏省</w:t>
      </w:r>
      <w:r>
        <w:rPr>
          <w:rFonts w:ascii="Times New Roman" w:hAnsi="Times New Roman" w:cs="Times New Roman" w:eastAsia="Times New Roman" w:hint="default"/>
          <w:spacing w:val="2"/>
        </w:rPr>
        <w:t>‘</w:t>
      </w:r>
      <w:r>
        <w:rPr>
          <w:spacing w:val="2"/>
        </w:rPr>
        <w:t>乾元</w:t>
      </w:r>
      <w:r>
        <w:rPr>
          <w:rFonts w:ascii="Times New Roman" w:hAnsi="Times New Roman" w:cs="Times New Roman" w:eastAsia="Times New Roman" w:hint="default"/>
          <w:spacing w:val="2"/>
        </w:rPr>
        <w:t>’</w:t>
      </w:r>
      <w:r>
        <w:rPr>
          <w:spacing w:val="2"/>
        </w:rPr>
        <w:t>保本型人民币理财产品</w:t>
      </w:r>
      <w:r>
        <w:rPr>
          <w:spacing w:val="3"/>
        </w:rPr>
        <w:t> </w:t>
      </w:r>
      <w:r>
        <w:rPr>
          <w:spacing w:val="3"/>
        </w:rPr>
      </w:r>
      <w:r>
        <w:rPr>
          <w:rFonts w:ascii="Times New Roman" w:hAnsi="Times New Roman" w:cs="Times New Roman" w:eastAsia="Times New Roman" w:hint="default"/>
        </w:rPr>
        <w:t>2017</w:t>
      </w:r>
      <w:r>
        <w:rPr/>
        <w:t>年第</w:t>
      </w:r>
      <w:r>
        <w:rPr>
          <w:rFonts w:ascii="Times New Roman" w:hAnsi="Times New Roman" w:cs="Times New Roman" w:eastAsia="Times New Roman" w:hint="default"/>
        </w:rPr>
        <w:t>191</w:t>
      </w:r>
      <w:r>
        <w:rPr/>
        <w:t>期</w:t>
      </w:r>
      <w:r>
        <w:rPr>
          <w:rFonts w:ascii="Times New Roman" w:hAnsi="Times New Roman" w:cs="Times New Roman" w:eastAsia="Times New Roman" w:hint="default"/>
        </w:rPr>
        <w:t>”</w:t>
      </w:r>
      <w:r>
        <w:rPr/>
        <w:t>本金</w:t>
      </w:r>
      <w:r>
        <w:rPr>
          <w:rFonts w:ascii="Times New Roman" w:hAnsi="Times New Roman" w:cs="Times New Roman" w:eastAsia="Times New Roman" w:hint="default"/>
        </w:rPr>
        <w:t>60,000</w:t>
      </w:r>
      <w:r>
        <w:rPr/>
        <w:t>万元及收益</w:t>
      </w:r>
      <w:r>
        <w:rPr>
          <w:rFonts w:ascii="Times New Roman" w:hAnsi="Times New Roman" w:cs="Times New Roman" w:eastAsia="Times New Roman" w:hint="default"/>
        </w:rPr>
        <w:t>12,164,383.56</w:t>
      </w:r>
      <w:r>
        <w:rPr/>
        <w:t>元；于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26</w:t>
      </w:r>
      <w:r>
        <w:rPr/>
        <w:t>日，使用部分暂时闲置募集资金</w:t>
      </w:r>
    </w:p>
    <w:p>
      <w:pPr>
        <w:pStyle w:val="BodyText"/>
        <w:spacing w:line="240" w:lineRule="auto" w:before="2"/>
        <w:ind w:right="0"/>
        <w:jc w:val="both"/>
      </w:pPr>
      <w:r>
        <w:rPr>
          <w:rFonts w:ascii="Times New Roman" w:hAnsi="Times New Roman" w:cs="Times New Roman" w:eastAsia="Times New Roman" w:hint="default"/>
          <w:spacing w:val="2"/>
        </w:rPr>
        <w:t>60,000</w:t>
      </w:r>
      <w:r>
        <w:rPr>
          <w:spacing w:val="2"/>
        </w:rPr>
        <w:t>万元购买办理了</w:t>
      </w:r>
      <w:r>
        <w:rPr>
          <w:rFonts w:ascii="Times New Roman" w:hAnsi="Times New Roman" w:cs="Times New Roman" w:eastAsia="Times New Roman" w:hint="default"/>
          <w:spacing w:val="2"/>
        </w:rPr>
        <w:t>“</w:t>
      </w:r>
      <w:r>
        <w:rPr>
          <w:spacing w:val="2"/>
        </w:rPr>
        <w:t>中国建设银行江苏省</w:t>
      </w:r>
      <w:r>
        <w:rPr>
          <w:rFonts w:ascii="Times New Roman" w:hAnsi="Times New Roman" w:cs="Times New Roman" w:eastAsia="Times New Roman" w:hint="default"/>
          <w:spacing w:val="2"/>
        </w:rPr>
        <w:t>‘</w:t>
      </w:r>
      <w:r>
        <w:rPr>
          <w:spacing w:val="2"/>
        </w:rPr>
        <w:t>乾元</w:t>
      </w:r>
      <w:r>
        <w:rPr>
          <w:rFonts w:ascii="Times New Roman" w:hAnsi="Times New Roman" w:cs="Times New Roman" w:eastAsia="Times New Roman" w:hint="default"/>
          <w:spacing w:val="2"/>
        </w:rPr>
        <w:t>’</w:t>
      </w:r>
      <w:r>
        <w:rPr>
          <w:spacing w:val="2"/>
        </w:rPr>
        <w:t>保本型人民币理财产品</w:t>
      </w:r>
      <w:r>
        <w:rPr>
          <w:rFonts w:ascii="Times New Roman" w:hAnsi="Times New Roman" w:cs="Times New Roman" w:eastAsia="Times New Roman" w:hint="default"/>
          <w:spacing w:val="2"/>
        </w:rPr>
        <w:t>2018</w:t>
      </w:r>
      <w:r>
        <w:rPr>
          <w:spacing w:val="2"/>
        </w:rPr>
        <w:t>年第</w:t>
      </w:r>
      <w:r>
        <w:rPr>
          <w:rFonts w:ascii="Times New Roman" w:hAnsi="Times New Roman" w:cs="Times New Roman" w:eastAsia="Times New Roman" w:hint="default"/>
          <w:spacing w:val="2"/>
        </w:rPr>
        <w:t>040</w:t>
      </w:r>
      <w:r>
        <w:rPr>
          <w:spacing w:val="2"/>
        </w:rPr>
        <w:t>期</w:t>
      </w:r>
      <w:r>
        <w:rPr>
          <w:rFonts w:ascii="Times New Roman" w:hAnsi="Times New Roman" w:cs="Times New Roman" w:eastAsia="Times New Roman" w:hint="default"/>
          <w:spacing w:val="2"/>
        </w:rPr>
        <w:t>”</w:t>
      </w:r>
      <w:r>
        <w:rPr>
          <w:spacing w:val="2"/>
        </w:rPr>
        <w:t>，该产品将于</w:t>
      </w:r>
    </w:p>
    <w:p>
      <w:pPr>
        <w:pStyle w:val="BodyText"/>
        <w:spacing w:line="240" w:lineRule="auto" w:before="21"/>
        <w:ind w:right="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日到期。</w:t>
      </w:r>
    </w:p>
    <w:p>
      <w:pPr>
        <w:pStyle w:val="BodyText"/>
        <w:spacing w:line="264" w:lineRule="auto" w:before="62"/>
        <w:ind w:right="146"/>
        <w:jc w:val="both"/>
      </w:pPr>
      <w:r>
        <w:rPr>
          <w:rFonts w:ascii="Times New Roman" w:hAnsi="Times New Roman" w:cs="Times New Roman" w:eastAsia="Times New Roman" w:hint="default"/>
          <w:spacing w:val="-2"/>
        </w:rPr>
        <w:t>(2)2018</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3</w:t>
      </w:r>
      <w:r>
        <w:rPr>
          <w:spacing w:val="-2"/>
        </w:rPr>
        <w:t>日公司披露了《关于终止</w:t>
      </w:r>
      <w:r>
        <w:rPr>
          <w:rFonts w:ascii="Times New Roman" w:hAnsi="Times New Roman" w:cs="Times New Roman" w:eastAsia="Times New Roman" w:hint="default"/>
          <w:spacing w:val="-2"/>
        </w:rPr>
        <w:t>2017</w:t>
      </w:r>
      <w:r>
        <w:rPr>
          <w:spacing w:val="-2"/>
        </w:rPr>
        <w:t>年限制性股票激励计划的公告》（</w:t>
      </w:r>
      <w:r>
        <w:rPr>
          <w:rFonts w:ascii="Times New Roman" w:hAnsi="Times New Roman" w:cs="Times New Roman" w:eastAsia="Times New Roman" w:hint="default"/>
          <w:spacing w:val="-2"/>
        </w:rPr>
        <w:t>2018-002</w:t>
      </w:r>
      <w:r>
        <w:rPr>
          <w:spacing w:val="-2"/>
        </w:rPr>
        <w:t>）。公司将在董事</w:t>
      </w:r>
      <w:r>
        <w:rPr>
          <w:spacing w:val="-23"/>
        </w:rPr>
        <w:t> </w:t>
      </w:r>
      <w:r>
        <w:rPr>
          <w:spacing w:val="-23"/>
        </w:rPr>
      </w:r>
      <w:r>
        <w:rPr>
          <w:spacing w:val="-2"/>
        </w:rPr>
        <w:t>会及股东大会审议终止股权激励计划后终止实施限制性股票激励计划。根据规定，授予日在股权激励计划</w:t>
      </w:r>
      <w:r>
        <w:rPr>
          <w:spacing w:val="-42"/>
        </w:rPr>
        <w:t> </w:t>
      </w:r>
      <w:r>
        <w:rPr>
          <w:spacing w:val="-42"/>
        </w:rPr>
      </w:r>
      <w:r>
        <w:rPr/>
        <w:t>经公司股东大会审议通过后由公司董事会确定。自公司股东大会审议通过本激励计划之日起 </w:t>
      </w:r>
      <w:r>
        <w:rPr>
          <w:rFonts w:ascii="Times New Roman" w:hAnsi="Times New Roman" w:cs="Times New Roman" w:eastAsia="Times New Roman" w:hint="default"/>
        </w:rPr>
        <w:t>60</w:t>
      </w:r>
      <w:r>
        <w:rPr>
          <w:rFonts w:ascii="Times New Roman" w:hAnsi="Times New Roman" w:cs="Times New Roman" w:eastAsia="Times New Roman" w:hint="default"/>
          <w:spacing w:val="28"/>
        </w:rPr>
        <w:t> </w:t>
      </w:r>
      <w:r>
        <w:rPr/>
        <w:t>日内完成</w:t>
      </w:r>
    </w:p>
    <w:p>
      <w:pPr>
        <w:spacing w:after="0" w:line="264" w:lineRule="auto"/>
        <w:jc w:val="both"/>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BodyText"/>
        <w:spacing w:line="240" w:lineRule="auto" w:before="36"/>
        <w:ind w:right="95"/>
        <w:jc w:val="left"/>
      </w:pPr>
      <w:r>
        <w:rPr/>
        <w:t>授予登记、公告等相关程序。截止</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27</w:t>
      </w:r>
      <w:r>
        <w:rPr/>
        <w:t>日公司未能完成上述工作，由于未在</w:t>
      </w:r>
      <w:r>
        <w:rPr>
          <w:rFonts w:ascii="Times New Roman" w:hAnsi="Times New Roman" w:cs="Times New Roman" w:eastAsia="Times New Roman" w:hint="default"/>
        </w:rPr>
        <w:t>60</w:t>
      </w:r>
      <w:r>
        <w:rPr/>
        <w:t>日内完成授予工作。</w:t>
      </w:r>
    </w:p>
    <w:p>
      <w:pPr>
        <w:pStyle w:val="BodyText"/>
        <w:spacing w:line="266" w:lineRule="auto" w:before="62"/>
        <w:ind w:right="95"/>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1"/>
        </w:rPr>
        <w:t> </w:t>
      </w:r>
      <w:r>
        <w:rPr/>
        <w:t>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月取得的宗地编号为</w:t>
      </w:r>
      <w:r>
        <w:rPr>
          <w:rFonts w:ascii="Times New Roman" w:hAnsi="Times New Roman" w:cs="Times New Roman" w:eastAsia="Times New Roman" w:hint="default"/>
        </w:rPr>
        <w:t>2015</w:t>
      </w:r>
      <w:r>
        <w:rPr/>
        <w:t>（经）</w:t>
      </w:r>
      <w:r>
        <w:rPr>
          <w:rFonts w:ascii="Times New Roman" w:hAnsi="Times New Roman" w:cs="Times New Roman" w:eastAsia="Times New Roman" w:hint="default"/>
        </w:rPr>
        <w:t>B</w:t>
      </w:r>
      <w:r>
        <w:rPr/>
        <w:t>湖滨新区</w:t>
      </w:r>
      <w:r>
        <w:rPr>
          <w:rFonts w:ascii="Times New Roman" w:hAnsi="Times New Roman" w:cs="Times New Roman" w:eastAsia="Times New Roman" w:hint="default"/>
        </w:rPr>
        <w:t>07</w:t>
      </w:r>
      <w:r>
        <w:rPr/>
        <w:t>的土地，已于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23</w:t>
      </w:r>
      <w:r>
        <w:rPr/>
        <w:t>日取得土地证，</w:t>
      </w:r>
      <w:r>
        <w:rPr>
          <w:w w:val="100"/>
        </w:rPr>
        <w:t> </w:t>
      </w:r>
      <w:r>
        <w:rPr/>
        <w:t>权证编号为《苏（</w:t>
      </w:r>
      <w:r>
        <w:rPr>
          <w:rFonts w:ascii="Times New Roman" w:hAnsi="Times New Roman" w:cs="Times New Roman" w:eastAsia="Times New Roman" w:hint="default"/>
        </w:rPr>
        <w:t>2018</w:t>
      </w:r>
      <w:r>
        <w:rPr/>
        <w:t>）宿迁市不动产权第</w:t>
      </w:r>
      <w:r>
        <w:rPr>
          <w:rFonts w:ascii="Times New Roman" w:hAnsi="Times New Roman" w:cs="Times New Roman" w:eastAsia="Times New Roman" w:hint="default"/>
        </w:rPr>
        <w:t>0004852</w:t>
      </w:r>
      <w:r>
        <w:rPr/>
        <w:t>号》。</w:t>
      </w:r>
      <w:r>
        <w:rPr>
          <w:w w:val="100"/>
        </w:rPr>
        <w:t> </w:t>
      </w:r>
      <w:r>
        <w:rPr>
          <w:rFonts w:ascii="Times New Roman" w:hAnsi="Times New Roman" w:cs="Times New Roman" w:eastAsia="Times New Roman" w:hint="default"/>
          <w:spacing w:val="-2"/>
        </w:rPr>
        <w:t>(4)</w:t>
      </w:r>
      <w:r>
        <w:rPr>
          <w:spacing w:val="-2"/>
        </w:rPr>
        <w:t>公司</w:t>
      </w:r>
      <w:r>
        <w:rPr>
          <w:rFonts w:ascii="Times New Roman" w:hAnsi="Times New Roman" w:cs="Times New Roman" w:eastAsia="Times New Roman" w:hint="default"/>
          <w:spacing w:val="-2"/>
        </w:rPr>
        <w:t>2017</w:t>
      </w:r>
      <w:r>
        <w:rPr>
          <w:spacing w:val="-2"/>
        </w:rPr>
        <w:t>年度利润分配预案为：经公司董事会批准，拟以总股本</w:t>
      </w:r>
      <w:r>
        <w:rPr>
          <w:rFonts w:ascii="Times New Roman" w:hAnsi="Times New Roman" w:cs="Times New Roman" w:eastAsia="Times New Roman" w:hint="default"/>
          <w:spacing w:val="-2"/>
        </w:rPr>
        <w:t>1,156,278,085</w:t>
      </w:r>
      <w:r>
        <w:rPr>
          <w:spacing w:val="-2"/>
        </w:rPr>
        <w:t>股为基数，向全体股东每</w:t>
      </w:r>
      <w:r>
        <w:rPr>
          <w:spacing w:val="-9"/>
        </w:rPr>
        <w:t> </w:t>
      </w:r>
      <w:r>
        <w:rPr>
          <w:spacing w:val="-9"/>
        </w:rPr>
      </w:r>
      <w:r>
        <w:rPr>
          <w:rFonts w:ascii="Times New Roman" w:hAnsi="Times New Roman" w:cs="Times New Roman" w:eastAsia="Times New Roman" w:hint="default"/>
          <w:spacing w:val="-2"/>
        </w:rPr>
        <w:t>10</w:t>
      </w:r>
      <w:r>
        <w:rPr>
          <w:spacing w:val="-2"/>
        </w:rPr>
        <w:t>股派发现金红利</w:t>
      </w:r>
      <w:r>
        <w:rPr>
          <w:rFonts w:ascii="Times New Roman" w:hAnsi="Times New Roman" w:cs="Times New Roman" w:eastAsia="Times New Roman" w:hint="default"/>
          <w:spacing w:val="-2"/>
        </w:rPr>
        <w:t>0.1</w:t>
      </w:r>
      <w:r>
        <w:rPr>
          <w:spacing w:val="-2"/>
        </w:rPr>
        <w:t>元（含税），共分配现金红利</w:t>
      </w:r>
      <w:r>
        <w:rPr>
          <w:rFonts w:ascii="Times New Roman" w:hAnsi="Times New Roman" w:cs="Times New Roman" w:eastAsia="Times New Roman" w:hint="default"/>
          <w:spacing w:val="-2"/>
        </w:rPr>
        <w:t>11,562,780.85</w:t>
      </w:r>
      <w:r>
        <w:rPr>
          <w:spacing w:val="-2"/>
        </w:rPr>
        <w:t>元。上述分配方案还将提交股东大会审议</w:t>
      </w:r>
      <w:r>
        <w:rPr>
          <w:spacing w:val="-30"/>
        </w:rPr>
        <w:t> </w:t>
      </w:r>
      <w:r>
        <w:rPr>
          <w:spacing w:val="-30"/>
        </w:rPr>
      </w:r>
      <w:r>
        <w:rPr/>
        <w:t>通过。</w:t>
      </w:r>
    </w:p>
    <w:p>
      <w:pPr>
        <w:pStyle w:val="BodyText"/>
        <w:spacing w:line="256" w:lineRule="auto" w:before="55"/>
        <w:ind w:right="95"/>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日，本公司除上述事项外未发生其他影响本财务报表阅读和理解的重大资产负债表日后</w:t>
      </w:r>
      <w:r>
        <w:rPr>
          <w:spacing w:val="-29"/>
        </w:rPr>
        <w:t> </w:t>
      </w:r>
      <w:r>
        <w:rPr>
          <w:spacing w:val="-29"/>
        </w:rPr>
      </w:r>
      <w:r>
        <w:rPr/>
        <w:t>事项。</w:t>
      </w:r>
    </w:p>
    <w:p>
      <w:pPr>
        <w:spacing w:line="240" w:lineRule="auto" w:before="9"/>
        <w:rPr>
          <w:rFonts w:ascii="宋体" w:hAnsi="宋体" w:cs="宋体" w:eastAsia="宋体" w:hint="default"/>
          <w:sz w:val="22"/>
          <w:szCs w:val="22"/>
        </w:rPr>
      </w:pPr>
    </w:p>
    <w:p>
      <w:pPr>
        <w:pStyle w:val="Heading2"/>
        <w:spacing w:line="240" w:lineRule="auto"/>
        <w:ind w:right="95"/>
        <w:jc w:val="left"/>
        <w:rPr>
          <w:b w:val="0"/>
          <w:bCs w:val="0"/>
        </w:rPr>
      </w:pPr>
      <w:r>
        <w:rPr/>
        <w:t>十六、其他重要事项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95"/>
        <w:jc w:val="left"/>
        <w:rPr>
          <w:b w:val="0"/>
          <w:bCs w:val="0"/>
        </w:rPr>
      </w:pPr>
      <w:r>
        <w:rPr>
          <w:rFonts w:ascii="Times New Roman" w:hAnsi="Times New Roman" w:cs="Times New Roman" w:eastAsia="Times New Roman" w:hint="default"/>
        </w:rPr>
        <w:t>1</w:t>
      </w:r>
      <w:r>
        <w:rPr/>
        <w:t>、前期会计差错更正</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5"/>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4"/>
        <w:rPr>
          <w:rFonts w:ascii="宋体" w:hAnsi="宋体" w:cs="宋体" w:eastAsia="宋体" w:hint="default"/>
          <w:b/>
          <w:bCs/>
          <w:sz w:val="26"/>
          <w:szCs w:val="26"/>
        </w:rPr>
      </w:pPr>
    </w:p>
    <w:p>
      <w:pPr>
        <w:spacing w:before="0"/>
        <w:ind w:left="0" w:right="17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715"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0" w:right="108" w:hanging="721"/>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3"/>
        <w:rPr>
          <w:rFonts w:ascii="宋体" w:hAnsi="宋体" w:cs="宋体" w:eastAsia="宋体" w:hint="default"/>
          <w:sz w:val="19"/>
          <w:szCs w:val="19"/>
        </w:rPr>
      </w:pPr>
    </w:p>
    <w:p>
      <w:pPr>
        <w:pStyle w:val="Heading4"/>
        <w:spacing w:line="240" w:lineRule="auto" w:before="36"/>
        <w:ind w:right="95"/>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8"/>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74"/>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8"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3"/>
        <w:rPr>
          <w:rFonts w:ascii="宋体" w:hAnsi="宋体" w:cs="宋体" w:eastAsia="宋体" w:hint="default"/>
          <w:b/>
          <w:bCs/>
          <w:sz w:val="19"/>
          <w:szCs w:val="19"/>
        </w:rPr>
      </w:pPr>
    </w:p>
    <w:p>
      <w:pPr>
        <w:pStyle w:val="Heading4"/>
        <w:spacing w:line="240" w:lineRule="auto" w:before="36"/>
        <w:ind w:right="95"/>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5"/>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5"/>
        <w:jc w:val="left"/>
        <w:rPr>
          <w:b w:val="0"/>
          <w:bCs w:val="0"/>
        </w:rPr>
      </w:pPr>
      <w:r>
        <w:rPr/>
        <w:t>（</w:t>
      </w:r>
      <w:r>
        <w:rPr>
          <w:rFonts w:ascii="Times New Roman" w:hAnsi="Times New Roman" w:cs="Times New Roman" w:eastAsia="Times New Roman" w:hint="default"/>
        </w:rPr>
        <w:t>1</w:t>
      </w:r>
      <w:r>
        <w:rPr/>
        <w:t>）非货币性资产交换</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5"/>
        <w:jc w:val="left"/>
        <w:rPr>
          <w:b w:val="0"/>
          <w:bCs w:val="0"/>
        </w:rPr>
      </w:pPr>
      <w:r>
        <w:rPr/>
        <w:t>（</w:t>
      </w:r>
      <w:r>
        <w:rPr>
          <w:rFonts w:ascii="Times New Roman" w:hAnsi="Times New Roman" w:cs="Times New Roman" w:eastAsia="Times New Roman" w:hint="default"/>
        </w:rPr>
        <w:t>2</w:t>
      </w:r>
      <w:r>
        <w:rPr/>
        <w:t>）其他资产置换</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5"/>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5"/>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10"/>
        <w:rPr>
          <w:rFonts w:ascii="宋体" w:hAnsi="宋体" w:cs="宋体" w:eastAsia="宋体" w:hint="default"/>
          <w:b/>
          <w:bCs/>
          <w:sz w:val="22"/>
          <w:szCs w:val="22"/>
        </w:rPr>
      </w:pPr>
    </w:p>
    <w:p>
      <w:pPr>
        <w:spacing w:before="44"/>
        <w:ind w:left="0" w:right="17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1028"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9"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7"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7" w:right="48"/>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spacing w:before="49"/>
        <w:ind w:left="152" w:right="9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80" w:top="1060" w:bottom="1160" w:left="980" w:right="960"/>
        </w:sectPr>
      </w:pPr>
    </w:p>
    <w:p>
      <w:pPr>
        <w:spacing w:line="240" w:lineRule="auto" w:before="10"/>
        <w:rPr>
          <w:rFonts w:ascii="宋体" w:hAnsi="宋体" w:cs="宋体" w:eastAsia="宋体" w:hint="default"/>
          <w:sz w:val="24"/>
          <w:szCs w:val="24"/>
        </w:rPr>
      </w:pPr>
    </w:p>
    <w:p>
      <w:pPr>
        <w:pStyle w:val="Heading4"/>
        <w:spacing w:line="240" w:lineRule="auto" w:before="36"/>
        <w:ind w:right="153"/>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53"/>
        <w:jc w:val="left"/>
      </w:pPr>
      <w:r>
        <w:rPr>
          <w:spacing w:val="-2"/>
        </w:rPr>
        <w:t>本公司报告分部为江西科为薄膜新型材料有限公司，确定依据为其构成独立资产组，同时生产并销售差异</w:t>
      </w:r>
      <w:r>
        <w:rPr>
          <w:spacing w:val="-44"/>
        </w:rPr>
        <w:t> </w:t>
      </w:r>
      <w:r>
        <w:rPr>
          <w:spacing w:val="-44"/>
        </w:rPr>
      </w:r>
      <w:r>
        <w:rPr/>
        <w:t>化产品，其会计政策与公司一致。</w:t>
      </w:r>
    </w:p>
    <w:p>
      <w:pPr>
        <w:spacing w:line="240" w:lineRule="auto" w:before="7"/>
        <w:rPr>
          <w:rFonts w:ascii="宋体" w:hAnsi="宋体" w:cs="宋体" w:eastAsia="宋体" w:hint="default"/>
          <w:sz w:val="23"/>
          <w:szCs w:val="23"/>
        </w:rPr>
      </w:pPr>
    </w:p>
    <w:p>
      <w:pPr>
        <w:pStyle w:val="Heading4"/>
        <w:spacing w:line="240" w:lineRule="auto"/>
        <w:ind w:right="153"/>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715" w:hRule="exact"/>
        </w:trPr>
        <w:tc>
          <w:tcPr>
            <w:tcW w:w="2369" w:type="dxa"/>
            <w:tcBorders>
              <w:top w:val="single" w:sz="4" w:space="0" w:color="000000"/>
              <w:left w:val="single" w:sz="4" w:space="0" w:color="000000"/>
              <w:bottom w:val="single" w:sz="4" w:space="0" w:color="000000"/>
              <w:right w:val="single" w:sz="10" w:space="0" w:color="E0FFFF"/>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1022" w:right="110" w:hanging="901"/>
              <w:jc w:val="left"/>
              <w:rPr>
                <w:rFonts w:ascii="宋体" w:hAnsi="宋体" w:cs="宋体" w:eastAsia="宋体" w:hint="default"/>
                <w:sz w:val="18"/>
                <w:szCs w:val="18"/>
              </w:rPr>
            </w:pPr>
            <w:r>
              <w:rPr>
                <w:rFonts w:ascii="宋体" w:hAnsi="宋体" w:cs="宋体" w:eastAsia="宋体" w:hint="default"/>
                <w:sz w:val="18"/>
                <w:szCs w:val="18"/>
              </w:rPr>
              <w:t>江西科为薄膜新型材料有限 公司</w:t>
            </w:r>
          </w:p>
        </w:tc>
        <w:tc>
          <w:tcPr>
            <w:tcW w:w="2393" w:type="dxa"/>
            <w:tcBorders>
              <w:top w:val="single" w:sz="4" w:space="0" w:color="000000"/>
              <w:left w:val="single" w:sz="10" w:space="0" w:color="E0FFFF"/>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34"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03"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1,835,336.26</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1,835,336.26</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03"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20,911,301.33</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20,911,301.33</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03"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7,003,186.24</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7,003,186.24</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03"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579,691.48</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579,691.48</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03"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75,503,858.73</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75,503,858.73</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03"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105,833,374.04</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105,833,374.04</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股东资产</w:t>
            </w:r>
          </w:p>
        </w:tc>
        <w:tc>
          <w:tcPr>
            <w:tcW w:w="2403"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57,722,218.20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57,722,218.20</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03"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2,005,496.01</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2,005,496.01</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03"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2,804,397.88</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2,804,397.88</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03"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495,790.70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495,790.70</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03"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63,027,902.79</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63,027,902.79</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03"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168,861,276.83</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168,861,276.83</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03"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37,670,068.64</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37,670,068.64</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03"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6,290,368.15</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6,290,368.15</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03" w:type="dxa"/>
            <w:tcBorders>
              <w:top w:val="single" w:sz="4" w:space="0" w:color="000000"/>
              <w:left w:val="single" w:sz="13" w:space="0" w:color="E0FFFF"/>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03"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1,325,925.45</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1,325,925.45</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03"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129,835.55</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129,835.55</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03"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45,416,197.79</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45,416,197.79</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03"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704,583.33</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704,583.33</w:t>
            </w:r>
          </w:p>
        </w:tc>
      </w:tr>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03"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704,583.33</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704,583.33</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03"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46,120,781.12</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46,120,781.12</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03"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03"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03"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600,613.86</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600,613.86</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03"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2,139,881.85</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2,139,881.85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122,740,495.71</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122,740,495.71</w:t>
            </w:r>
          </w:p>
        </w:tc>
      </w:tr>
      <w:tr>
        <w:trPr>
          <w:trHeight w:val="404" w:hRule="exact"/>
        </w:trPr>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负债及所有者权益合计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168,861,276.83</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168,861,276.83</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138,923,364.53</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138,923,364.53</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113,882,053.99</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113,882,053.99</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977,145.66</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977,145.66</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6,903,597.73</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6,903,597.73</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11,167,474.09</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11,167,474.09</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-78,625.98</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-78,625.98</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877,456.67</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877,456.67</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加：资产处置收益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-47,684.44</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-47,684.44</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2,242,700.00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2,242,700.00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7,389,277.93</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7,389,277.93</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335,262.67</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335,262.67</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576,386.18</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576,386.18</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三、利润总额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7,148,154.42</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7,148,154.42</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1,142,015.78</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1,142,015.78</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四、净利润</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6,006,138.64</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6,006,138.64</w:t>
            </w: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53"/>
        <w:jc w:val="left"/>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7"/>
        <w:rPr>
          <w:rFonts w:ascii="宋体" w:hAnsi="宋体" w:cs="宋体" w:eastAsia="宋体" w:hint="default"/>
          <w:b/>
          <w:bCs/>
          <w:sz w:val="24"/>
          <w:szCs w:val="24"/>
        </w:rPr>
      </w:pPr>
    </w:p>
    <w:p>
      <w:pPr>
        <w:spacing w:line="487" w:lineRule="auto" w:before="0"/>
        <w:ind w:left="152" w:right="59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十七、母公司财务报表主要项目注释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4"/>
        <w:spacing w:line="240" w:lineRule="auto" w:before="84"/>
        <w:ind w:right="153"/>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46"/>
        <w:gridCol w:w="751"/>
        <w:gridCol w:w="761"/>
        <w:gridCol w:w="764"/>
        <w:gridCol w:w="751"/>
        <w:gridCol w:w="801"/>
        <w:gridCol w:w="653"/>
        <w:gridCol w:w="761"/>
        <w:gridCol w:w="814"/>
        <w:gridCol w:w="922"/>
        <w:gridCol w:w="943"/>
      </w:tblGrid>
      <w:tr>
        <w:trPr>
          <w:trHeight w:val="398" w:hRule="exact"/>
        </w:trPr>
        <w:tc>
          <w:tcPr>
            <w:tcW w:w="1646" w:type="dxa"/>
            <w:vMerge w:val="restart"/>
            <w:tcBorders>
              <w:top w:val="single" w:sz="4" w:space="0" w:color="000000"/>
              <w:left w:val="single" w:sz="4" w:space="0" w:color="000000"/>
              <w:right w:val="single" w:sz="4" w:space="0" w:color="000000"/>
            </w:tcBorders>
            <w:shd w:val="clear" w:color="auto" w:fill="D2D2D2"/>
          </w:tcPr>
          <w:p>
            <w:pPr/>
          </w:p>
        </w:tc>
        <w:tc>
          <w:tcPr>
            <w:tcW w:w="382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46" w:type="dxa"/>
            <w:vMerge/>
            <w:tcBorders>
              <w:left w:val="single" w:sz="4" w:space="0" w:color="000000"/>
              <w:bottom w:val="nil" w:sz="6" w:space="0" w:color="auto"/>
              <w:right w:val="single" w:sz="4" w:space="0" w:color="000000"/>
            </w:tcBorders>
            <w:shd w:val="clear" w:color="auto" w:fill="D2D2D2"/>
          </w:tcPr>
          <w:p>
            <w:pPr/>
          </w:p>
        </w:tc>
        <w:tc>
          <w:tcPr>
            <w:tcW w:w="151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8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01" w:type="dxa"/>
            <w:vMerge w:val="restart"/>
            <w:tcBorders>
              <w:top w:val="single" w:sz="4" w:space="0" w:color="000000"/>
              <w:left w:val="single" w:sz="4" w:space="0" w:color="000000"/>
              <w:right w:val="single" w:sz="4" w:space="0" w:color="000000"/>
            </w:tcBorders>
            <w:shd w:val="clear" w:color="auto" w:fill="D2D2D2"/>
          </w:tcPr>
          <w:p>
            <w:pPr/>
          </w:p>
        </w:tc>
        <w:tc>
          <w:tcPr>
            <w:tcW w:w="141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3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43"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类别</w:t>
            </w:r>
          </w:p>
        </w:tc>
        <w:tc>
          <w:tcPr>
            <w:tcW w:w="1513" w:type="dxa"/>
            <w:gridSpan w:val="2"/>
            <w:vMerge/>
            <w:tcBorders>
              <w:left w:val="single" w:sz="4" w:space="0" w:color="000000"/>
              <w:bottom w:val="single" w:sz="4" w:space="0" w:color="000000"/>
              <w:right w:val="single" w:sz="4" w:space="0" w:color="000000"/>
            </w:tcBorders>
            <w:shd w:val="clear" w:color="auto" w:fill="D2D2D2"/>
          </w:tcPr>
          <w:p>
            <w:pPr/>
          </w:p>
        </w:tc>
        <w:tc>
          <w:tcPr>
            <w:tcW w:w="1516" w:type="dxa"/>
            <w:gridSpan w:val="2"/>
            <w:vMerge/>
            <w:tcBorders>
              <w:left w:val="single" w:sz="4" w:space="0" w:color="000000"/>
              <w:bottom w:val="single" w:sz="4" w:space="0" w:color="000000"/>
              <w:right w:val="single" w:sz="4" w:space="0" w:color="000000"/>
            </w:tcBorders>
            <w:shd w:val="clear" w:color="auto" w:fill="D2D2D2"/>
          </w:tcPr>
          <w:p>
            <w:pPr/>
          </w:p>
        </w:tc>
        <w:tc>
          <w:tcPr>
            <w:tcW w:w="801" w:type="dxa"/>
            <w:vMerge/>
            <w:tcBorders>
              <w:left w:val="single" w:sz="4" w:space="0" w:color="000000"/>
              <w:bottom w:val="nil" w:sz="6" w:space="0" w:color="auto"/>
              <w:right w:val="single" w:sz="4" w:space="0" w:color="000000"/>
            </w:tcBorders>
            <w:shd w:val="clear" w:color="auto" w:fill="D2D2D2"/>
          </w:tcPr>
          <w:p>
            <w:pPr/>
          </w:p>
        </w:tc>
        <w:tc>
          <w:tcPr>
            <w:tcW w:w="1414" w:type="dxa"/>
            <w:gridSpan w:val="2"/>
            <w:vMerge/>
            <w:tcBorders>
              <w:left w:val="single" w:sz="4" w:space="0" w:color="000000"/>
              <w:bottom w:val="single" w:sz="4" w:space="0" w:color="000000"/>
              <w:right w:val="single" w:sz="4" w:space="0" w:color="000000"/>
            </w:tcBorders>
            <w:shd w:val="clear" w:color="auto" w:fill="D2D2D2"/>
          </w:tcPr>
          <w:p>
            <w:pPr/>
          </w:p>
        </w:tc>
        <w:tc>
          <w:tcPr>
            <w:tcW w:w="1736" w:type="dxa"/>
            <w:gridSpan w:val="2"/>
            <w:vMerge/>
            <w:tcBorders>
              <w:left w:val="single" w:sz="4" w:space="0" w:color="000000"/>
              <w:bottom w:val="single" w:sz="4" w:space="0" w:color="000000"/>
              <w:right w:val="single" w:sz="4" w:space="0" w:color="000000"/>
            </w:tcBorders>
            <w:shd w:val="clear" w:color="auto" w:fill="D2D2D2"/>
          </w:tcPr>
          <w:p>
            <w:pPr/>
          </w:p>
        </w:tc>
        <w:tc>
          <w:tcPr>
            <w:tcW w:w="943"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46" w:type="dxa"/>
            <w:vMerge/>
            <w:tcBorders>
              <w:left w:val="single" w:sz="4" w:space="0" w:color="000000"/>
              <w:bottom w:val="single" w:sz="4" w:space="0" w:color="FFFFFF"/>
              <w:right w:val="single" w:sz="4" w:space="0" w:color="000000"/>
            </w:tcBorders>
            <w:shd w:val="clear" w:color="auto" w:fill="D2D2D2"/>
          </w:tcPr>
          <w:p>
            <w:pPr/>
          </w:p>
        </w:tc>
        <w:tc>
          <w:tcPr>
            <w:tcW w:w="75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5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6" w:right="92"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8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22" w:type="dxa"/>
            <w:tcBorders>
              <w:top w:val="single" w:sz="4" w:space="0" w:color="000000"/>
              <w:left w:val="single" w:sz="4" w:space="0" w:color="000000"/>
              <w:bottom w:val="nil" w:sz="6" w:space="0" w:color="auto"/>
              <w:right w:val="single" w:sz="4" w:space="0" w:color="000000"/>
            </w:tcBorders>
            <w:shd w:val="clear" w:color="auto" w:fill="D2D2D2"/>
          </w:tcPr>
          <w:p>
            <w:pPr/>
          </w:p>
        </w:tc>
        <w:tc>
          <w:tcPr>
            <w:tcW w:w="9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1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46" w:type="dxa"/>
            <w:vMerge w:val="restart"/>
            <w:tcBorders>
              <w:top w:val="single" w:sz="4" w:space="0" w:color="FFFFFF"/>
              <w:left w:val="single" w:sz="4" w:space="0" w:color="000000"/>
              <w:right w:val="single" w:sz="4" w:space="0" w:color="000000"/>
            </w:tcBorders>
            <w:shd w:val="clear" w:color="auto" w:fill="D2D2D2"/>
          </w:tcPr>
          <w:p>
            <w:pPr/>
          </w:p>
        </w:tc>
        <w:tc>
          <w:tcPr>
            <w:tcW w:w="75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8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1" w:type="dxa"/>
            <w:vMerge/>
            <w:tcBorders>
              <w:left w:val="single" w:sz="4" w:space="0" w:color="000000"/>
              <w:right w:val="single" w:sz="4" w:space="0" w:color="000000"/>
            </w:tcBorders>
            <w:shd w:val="clear" w:color="auto" w:fill="D2D2D2"/>
          </w:tcPr>
          <w:p>
            <w:pPr/>
          </w:p>
        </w:tc>
        <w:tc>
          <w:tcPr>
            <w:tcW w:w="801"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4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46" w:type="dxa"/>
            <w:vMerge/>
            <w:tcBorders>
              <w:left w:val="single" w:sz="4" w:space="0" w:color="000000"/>
              <w:right w:val="single" w:sz="4" w:space="0" w:color="000000"/>
            </w:tcBorders>
            <w:shd w:val="clear" w:color="auto" w:fill="D2D2D2"/>
          </w:tcPr>
          <w:p>
            <w:pPr/>
          </w:p>
        </w:tc>
        <w:tc>
          <w:tcPr>
            <w:tcW w:w="751"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51" w:type="dxa"/>
            <w:vMerge/>
            <w:tcBorders>
              <w:left w:val="single" w:sz="4" w:space="0" w:color="000000"/>
              <w:right w:val="single" w:sz="4" w:space="0" w:color="000000"/>
            </w:tcBorders>
            <w:shd w:val="clear" w:color="auto" w:fill="D2D2D2"/>
          </w:tcPr>
          <w:p>
            <w:pPr/>
          </w:p>
        </w:tc>
        <w:tc>
          <w:tcPr>
            <w:tcW w:w="801" w:type="dxa"/>
            <w:vMerge w:val="restart"/>
            <w:tcBorders>
              <w:top w:val="nil" w:sz="6" w:space="0" w:color="auto"/>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22" w:type="dxa"/>
            <w:vMerge/>
            <w:tcBorders>
              <w:left w:val="single" w:sz="4" w:space="0" w:color="000000"/>
              <w:bottom w:val="nil" w:sz="6" w:space="0" w:color="auto"/>
              <w:right w:val="single" w:sz="4" w:space="0" w:color="000000"/>
            </w:tcBorders>
            <w:shd w:val="clear" w:color="auto" w:fill="D2D2D2"/>
          </w:tcPr>
          <w:p>
            <w:pPr/>
          </w:p>
        </w:tc>
        <w:tc>
          <w:tcPr>
            <w:tcW w:w="94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46" w:type="dxa"/>
            <w:vMerge/>
            <w:tcBorders>
              <w:left w:val="single" w:sz="4" w:space="0" w:color="000000"/>
              <w:bottom w:val="single" w:sz="4" w:space="0" w:color="000000"/>
              <w:right w:val="single" w:sz="4" w:space="0" w:color="000000"/>
            </w:tcBorders>
            <w:shd w:val="clear" w:color="auto" w:fill="D2D2D2"/>
          </w:tcPr>
          <w:p>
            <w:pPr/>
          </w:p>
        </w:tc>
        <w:tc>
          <w:tcPr>
            <w:tcW w:w="75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51" w:type="dxa"/>
            <w:vMerge/>
            <w:tcBorders>
              <w:left w:val="single" w:sz="4" w:space="0" w:color="000000"/>
              <w:bottom w:val="single" w:sz="4" w:space="0" w:color="000000"/>
              <w:right w:val="single" w:sz="4" w:space="0" w:color="000000"/>
            </w:tcBorders>
            <w:shd w:val="clear" w:color="auto" w:fill="D2D2D2"/>
          </w:tcPr>
          <w:p>
            <w:pPr/>
          </w:p>
        </w:tc>
        <w:tc>
          <w:tcPr>
            <w:tcW w:w="801" w:type="dxa"/>
            <w:vMerge/>
            <w:tcBorders>
              <w:left w:val="single" w:sz="4" w:space="0" w:color="000000"/>
              <w:bottom w:val="single" w:sz="4" w:space="0" w:color="000000"/>
              <w:right w:val="single" w:sz="4" w:space="0" w:color="000000"/>
            </w:tcBorders>
            <w:shd w:val="clear" w:color="auto" w:fill="D2D2D2"/>
          </w:tcPr>
          <w:p>
            <w:pPr/>
          </w:p>
        </w:tc>
        <w:tc>
          <w:tcPr>
            <w:tcW w:w="65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22" w:type="dxa"/>
            <w:tcBorders>
              <w:top w:val="nil" w:sz="6" w:space="0" w:color="auto"/>
              <w:left w:val="single" w:sz="4" w:space="0" w:color="000000"/>
              <w:bottom w:val="single" w:sz="4" w:space="0" w:color="000000"/>
              <w:right w:val="single" w:sz="4" w:space="0" w:color="000000"/>
            </w:tcBorders>
            <w:shd w:val="clear" w:color="auto" w:fill="D2D2D2"/>
          </w:tcPr>
          <w:p>
            <w:pPr/>
          </w:p>
        </w:tc>
        <w:tc>
          <w:tcPr>
            <w:tcW w:w="94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z w:val="18"/>
                <w:szCs w:val="18"/>
              </w:rPr>
              <w:t>按信用风险特征组</w:t>
            </w:r>
          </w:p>
        </w:tc>
        <w:tc>
          <w:tcPr>
            <w:tcW w:w="75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0"/>
              <w:ind w:left="82" w:right="0"/>
              <w:jc w:val="left"/>
              <w:rPr>
                <w:rFonts w:ascii="Times New Roman" w:hAnsi="Times New Roman" w:cs="Times New Roman" w:eastAsia="Times New Roman" w:hint="default"/>
                <w:sz w:val="18"/>
                <w:szCs w:val="18"/>
              </w:rPr>
            </w:pPr>
            <w:r>
              <w:rPr>
                <w:rFonts w:ascii="Times New Roman"/>
                <w:sz w:val="18"/>
              </w:rPr>
              <w:t>973,408,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100.00%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98" w:right="0"/>
              <w:jc w:val="left"/>
              <w:rPr>
                <w:rFonts w:ascii="Times New Roman" w:hAnsi="Times New Roman" w:cs="Times New Roman" w:eastAsia="Times New Roman" w:hint="default"/>
                <w:sz w:val="18"/>
                <w:szCs w:val="18"/>
              </w:rPr>
            </w:pPr>
            <w:r>
              <w:rPr>
                <w:rFonts w:ascii="Times New Roman"/>
                <w:sz w:val="18"/>
              </w:rPr>
              <w:t>55,106,1</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5" w:right="0"/>
              <w:jc w:val="left"/>
              <w:rPr>
                <w:rFonts w:ascii="Times New Roman" w:hAnsi="Times New Roman" w:cs="Times New Roman" w:eastAsia="Times New Roman" w:hint="default"/>
                <w:sz w:val="18"/>
                <w:szCs w:val="18"/>
              </w:rPr>
            </w:pPr>
            <w:r>
              <w:rPr>
                <w:rFonts w:ascii="Times New Roman"/>
                <w:sz w:val="18"/>
              </w:rPr>
              <w:t>5.66%</w:t>
            </w:r>
          </w:p>
        </w:tc>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6" w:right="0"/>
              <w:jc w:val="left"/>
              <w:rPr>
                <w:rFonts w:ascii="Times New Roman" w:hAnsi="Times New Roman" w:cs="Times New Roman" w:eastAsia="Times New Roman" w:hint="default"/>
                <w:sz w:val="18"/>
                <w:szCs w:val="18"/>
              </w:rPr>
            </w:pPr>
            <w:r>
              <w:rPr>
                <w:rFonts w:ascii="Times New Roman"/>
                <w:sz w:val="18"/>
              </w:rPr>
              <w:t>918,301,9</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5" w:right="0"/>
              <w:jc w:val="left"/>
              <w:rPr>
                <w:rFonts w:ascii="Times New Roman" w:hAnsi="Times New Roman" w:cs="Times New Roman" w:eastAsia="Times New Roman" w:hint="default"/>
                <w:sz w:val="18"/>
                <w:szCs w:val="18"/>
              </w:rPr>
            </w:pPr>
            <w:r>
              <w:rPr>
                <w:rFonts w:ascii="Times New Roman"/>
                <w:sz w:val="18"/>
              </w:rPr>
              <w:t>706,794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62" w:right="0"/>
              <w:jc w:val="left"/>
              <w:rPr>
                <w:rFonts w:ascii="Times New Roman" w:hAnsi="Times New Roman" w:cs="Times New Roman" w:eastAsia="Times New Roman" w:hint="default"/>
                <w:sz w:val="18"/>
                <w:szCs w:val="18"/>
              </w:rPr>
            </w:pPr>
            <w:r>
              <w:rPr>
                <w:rFonts w:ascii="Times New Roman"/>
                <w:sz w:val="18"/>
              </w:rPr>
              <w:t>36,386,86</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5.15%</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0" w:right="0"/>
              <w:jc w:val="left"/>
              <w:rPr>
                <w:rFonts w:ascii="Times New Roman" w:hAnsi="Times New Roman" w:cs="Times New Roman" w:eastAsia="Times New Roman" w:hint="default"/>
                <w:sz w:val="18"/>
                <w:szCs w:val="18"/>
              </w:rPr>
            </w:pPr>
            <w:r>
              <w:rPr>
                <w:rFonts w:ascii="Times New Roman"/>
                <w:sz w:val="18"/>
              </w:rPr>
              <w:t>670,407,99</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1"/>
        <w:gridCol w:w="763"/>
        <w:gridCol w:w="763"/>
        <w:gridCol w:w="788"/>
        <w:gridCol w:w="655"/>
        <w:gridCol w:w="761"/>
        <w:gridCol w:w="814"/>
        <w:gridCol w:w="934"/>
        <w:gridCol w:w="931"/>
      </w:tblGrid>
      <w:tr>
        <w:trPr>
          <w:trHeight w:val="67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2" w:right="159"/>
              <w:jc w:val="left"/>
              <w:rPr>
                <w:rFonts w:ascii="宋体" w:hAnsi="宋体" w:cs="宋体" w:eastAsia="宋体" w:hint="default"/>
                <w:sz w:val="18"/>
                <w:szCs w:val="18"/>
              </w:rPr>
            </w:pPr>
            <w:r>
              <w:rPr>
                <w:rFonts w:ascii="宋体" w:hAnsi="宋体" w:cs="宋体" w:eastAsia="宋体" w:hint="default"/>
                <w:sz w:val="18"/>
                <w:szCs w:val="18"/>
              </w:rPr>
              <w:t>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7" w:right="0"/>
              <w:jc w:val="left"/>
              <w:rPr>
                <w:rFonts w:ascii="Times New Roman" w:hAnsi="Times New Roman" w:cs="Times New Roman" w:eastAsia="Times New Roman" w:hint="default"/>
                <w:sz w:val="18"/>
                <w:szCs w:val="18"/>
              </w:rPr>
            </w:pPr>
            <w:r>
              <w:rPr>
                <w:rFonts w:ascii="Times New Roman"/>
                <w:sz w:val="18"/>
              </w:rPr>
              <w:t>055.30</w:t>
            </w: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23" w:right="0"/>
              <w:jc w:val="left"/>
              <w:rPr>
                <w:rFonts w:ascii="Times New Roman" w:hAnsi="Times New Roman" w:cs="Times New Roman" w:eastAsia="Times New Roman" w:hint="default"/>
                <w:sz w:val="18"/>
                <w:szCs w:val="18"/>
              </w:rPr>
            </w:pPr>
            <w:r>
              <w:rPr>
                <w:rFonts w:ascii="Times New Roman"/>
                <w:sz w:val="18"/>
              </w:rPr>
              <w:t>01.20</w:t>
            </w: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50" w:right="0"/>
              <w:jc w:val="left"/>
              <w:rPr>
                <w:rFonts w:ascii="Times New Roman" w:hAnsi="Times New Roman" w:cs="Times New Roman" w:eastAsia="Times New Roman" w:hint="default"/>
                <w:sz w:val="18"/>
                <w:szCs w:val="18"/>
              </w:rPr>
            </w:pPr>
            <w:r>
              <w:rPr>
                <w:rFonts w:ascii="Times New Roman"/>
                <w:sz w:val="18"/>
              </w:rPr>
              <w:t>54.10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3" w:right="0"/>
              <w:jc w:val="left"/>
              <w:rPr>
                <w:rFonts w:ascii="Times New Roman" w:hAnsi="Times New Roman" w:cs="Times New Roman" w:eastAsia="Times New Roman" w:hint="default"/>
                <w:sz w:val="18"/>
                <w:szCs w:val="18"/>
              </w:rPr>
            </w:pPr>
            <w:r>
              <w:rPr>
                <w:rFonts w:ascii="Times New Roman"/>
                <w:sz w:val="18"/>
              </w:rPr>
              <w:t>,854.80</w:t>
            </w: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68" w:right="0"/>
              <w:jc w:val="left"/>
              <w:rPr>
                <w:rFonts w:ascii="Times New Roman" w:hAnsi="Times New Roman" w:cs="Times New Roman" w:eastAsia="Times New Roman" w:hint="default"/>
                <w:sz w:val="18"/>
                <w:szCs w:val="18"/>
              </w:rPr>
            </w:pPr>
            <w:r>
              <w:rPr>
                <w:rFonts w:ascii="Times New Roman"/>
                <w:sz w:val="18"/>
              </w:rPr>
              <w:t>0.15</w:t>
            </w: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85" w:right="0"/>
              <w:jc w:val="left"/>
              <w:rPr>
                <w:rFonts w:ascii="Times New Roman" w:hAnsi="Times New Roman" w:cs="Times New Roman" w:eastAsia="Times New Roman" w:hint="default"/>
                <w:sz w:val="18"/>
                <w:szCs w:val="18"/>
              </w:rPr>
            </w:pPr>
            <w:r>
              <w:rPr>
                <w:rFonts w:ascii="Times New Roman"/>
                <w:sz w:val="18"/>
              </w:rPr>
              <w:t>4.65</w:t>
            </w:r>
          </w:p>
        </w:tc>
      </w:tr>
      <w:tr>
        <w:trPr>
          <w:trHeight w:val="713"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973,408,</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055.30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55,106,1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01.20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5.66%</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918,301,9</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54.10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706,794</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,854.80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36,386,86</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0.15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5.15%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670,407,99</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4.65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15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组合中，按账龄分析法计提坏账准备的应收账款：</w:t>
      </w:r>
    </w:p>
    <w:p>
      <w:pPr>
        <w:spacing w:before="43"/>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293" w:space="4536"/>
            <w:col w:w="1121"/>
          </w:cols>
        </w:sectPr>
      </w:pP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3"/>
        <w:gridCol w:w="2295"/>
        <w:gridCol w:w="2391"/>
        <w:gridCol w:w="2390"/>
      </w:tblGrid>
      <w:tr>
        <w:trPr>
          <w:trHeight w:val="205" w:hRule="exact"/>
        </w:trPr>
        <w:tc>
          <w:tcPr>
            <w:tcW w:w="2483"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4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账龄</w:t>
            </w:r>
          </w:p>
        </w:tc>
        <w:tc>
          <w:tcPr>
            <w:tcW w:w="7076"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483"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3"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915,706,112.70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45,785,305.64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20,632,934.68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4,126,586.94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3,288,428.00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1,644,214.00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3,549,994.62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3,549,994.62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943,177,470.00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55,106,101.20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5.84%</w:t>
            </w:r>
          </w:p>
        </w:tc>
      </w:tr>
    </w:tbl>
    <w:p>
      <w:pPr>
        <w:spacing w:line="357" w:lineRule="auto" w:before="49"/>
        <w:ind w:left="152" w:right="545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38" w:lineRule="auto" w:before="29"/>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组合中，采用其他方法计提坏账准备的应收账款：</w:t>
      </w:r>
    </w:p>
    <w:p>
      <w:pPr>
        <w:spacing w:line="240" w:lineRule="auto" w:before="8"/>
        <w:rPr>
          <w:rFonts w:ascii="宋体" w:hAnsi="宋体" w:cs="宋体" w:eastAsia="宋体" w:hint="default"/>
          <w:sz w:val="21"/>
          <w:szCs w:val="21"/>
        </w:rPr>
      </w:pPr>
    </w:p>
    <w:p>
      <w:pPr>
        <w:pStyle w:val="Heading4"/>
        <w:spacing w:line="240" w:lineRule="auto"/>
        <w:ind w:right="15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type w:val="continuous"/>
          <w:pgSz w:w="11910" w:h="16840"/>
          <w:pgMar w:top="1060" w:bottom="1160" w:left="980" w:right="980"/>
        </w:sectPr>
      </w:pPr>
    </w:p>
    <w:p>
      <w:pPr>
        <w:spacing w:line="360" w:lineRule="auto"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本期计提坏账准备金额元；本期收回或转回坏账准备金额元。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5013" w:space="3816"/>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2"/>
        <w:gridCol w:w="3088"/>
      </w:tblGrid>
      <w:tr>
        <w:trPr>
          <w:trHeight w:val="402"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4"/>
        <w:rPr>
          <w:rFonts w:ascii="宋体" w:hAnsi="宋体" w:cs="宋体" w:eastAsia="宋体" w:hint="default"/>
          <w:sz w:val="19"/>
          <w:szCs w:val="19"/>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6"/>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32" w:right="68"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after="0"/>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ind w:right="153"/>
        <w:jc w:val="left"/>
      </w:pPr>
      <w:r>
        <w:rPr>
          <w:spacing w:val="-3"/>
        </w:rPr>
        <w:t>本公司按欠款方归集的期末余额前五名的应收账款合计金额为</w:t>
      </w:r>
      <w:r>
        <w:rPr>
          <w:rFonts w:ascii="Times New Roman" w:hAnsi="Times New Roman" w:cs="Times New Roman" w:eastAsia="Times New Roman" w:hint="default"/>
          <w:spacing w:val="-3"/>
        </w:rPr>
        <w:t>691,627,986.10</w:t>
      </w:r>
      <w:r>
        <w:rPr>
          <w:spacing w:val="-3"/>
        </w:rPr>
        <w:t>，占应收账款原值年末余额总</w:t>
      </w:r>
      <w:r>
        <w:rPr>
          <w:spacing w:val="-28"/>
        </w:rPr>
        <w:t> </w:t>
      </w:r>
      <w:r>
        <w:rPr>
          <w:spacing w:val="-28"/>
        </w:rPr>
      </w:r>
      <w:r>
        <w:rPr/>
        <w:t>计数的比例为</w:t>
      </w:r>
      <w:r>
        <w:rPr>
          <w:rFonts w:ascii="Times New Roman" w:hAnsi="Times New Roman" w:cs="Times New Roman" w:eastAsia="Times New Roman" w:hint="default"/>
        </w:rPr>
        <w:t>71.05%</w:t>
      </w:r>
      <w:r>
        <w:rPr/>
        <w:t>，相应计提坏账准备年末余额合计金额为</w:t>
      </w:r>
      <w:r>
        <w:rPr>
          <w:rFonts w:ascii="Times New Roman" w:hAnsi="Times New Roman" w:cs="Times New Roman" w:eastAsia="Times New Roman" w:hint="default"/>
        </w:rPr>
        <w:t>34,581,399.30</w:t>
      </w:r>
      <w:r>
        <w:rPr/>
        <w:t>元。</w:t>
      </w:r>
    </w:p>
    <w:p>
      <w:pPr>
        <w:spacing w:line="240" w:lineRule="auto" w:before="4"/>
        <w:rPr>
          <w:rFonts w:ascii="宋体" w:hAnsi="宋体" w:cs="宋体" w:eastAsia="宋体" w:hint="default"/>
          <w:sz w:val="23"/>
          <w:szCs w:val="23"/>
        </w:rPr>
      </w:pPr>
    </w:p>
    <w:p>
      <w:pPr>
        <w:pStyle w:val="Heading4"/>
        <w:spacing w:line="240" w:lineRule="auto"/>
        <w:ind w:right="153"/>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4"/>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153"/>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398"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12" w:type="dxa"/>
            <w:vMerge/>
            <w:tcBorders>
              <w:left w:val="single" w:sz="4" w:space="0" w:color="000000"/>
              <w:bottom w:val="single" w:sz="5"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2" w:type="dxa"/>
            <w:vMerge w:val="restart"/>
            <w:tcBorders>
              <w:top w:val="single" w:sz="5" w:space="0" w:color="FFFFFF"/>
              <w:left w:val="single" w:sz="4" w:space="0" w:color="000000"/>
              <w:right w:val="single" w:sz="4" w:space="0" w:color="000000"/>
            </w:tcBorders>
            <w:shd w:val="clear" w:color="auto" w:fill="D2D2D2"/>
          </w:tcPr>
          <w:p>
            <w:pPr/>
          </w:p>
        </w:tc>
        <w:tc>
          <w:tcPr>
            <w:tcW w:w="774"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7,470,64</w:t>
            </w:r>
          </w:p>
          <w:p>
            <w:pPr>
              <w:pStyle w:val="TableParagraph"/>
              <w:spacing w:line="240" w:lineRule="auto" w:before="105"/>
              <w:ind w:left="422" w:right="0"/>
              <w:jc w:val="left"/>
              <w:rPr>
                <w:rFonts w:ascii="Times New Roman" w:hAnsi="Times New Roman" w:cs="Times New Roman" w:eastAsia="Times New Roman" w:hint="default"/>
                <w:sz w:val="18"/>
                <w:szCs w:val="18"/>
              </w:rPr>
            </w:pPr>
            <w:r>
              <w:rPr>
                <w:rFonts w:ascii="Times New Roman"/>
                <w:sz w:val="18"/>
              </w:rPr>
              <w:t>5.76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1,246,45</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4.36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16.68%</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6,224,191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7,326,8</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23.12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1,795,166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6" w:right="0"/>
              <w:jc w:val="left"/>
              <w:rPr>
                <w:rFonts w:ascii="Times New Roman" w:hAnsi="Times New Roman" w:cs="Times New Roman" w:eastAsia="Times New Roman" w:hint="default"/>
                <w:sz w:val="18"/>
                <w:szCs w:val="18"/>
              </w:rPr>
            </w:pPr>
            <w:r>
              <w:rPr>
                <w:rFonts w:ascii="Times New Roman"/>
                <w:sz w:val="18"/>
              </w:rPr>
              <w:t>24.50%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5,531,656.3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r>
      <w:tr>
        <w:trPr>
          <w:trHeight w:val="163"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7,470,64</w:t>
            </w:r>
          </w:p>
          <w:p>
            <w:pPr>
              <w:pStyle w:val="TableParagraph"/>
              <w:spacing w:line="240" w:lineRule="auto" w:before="103"/>
              <w:ind w:left="422" w:right="0"/>
              <w:jc w:val="left"/>
              <w:rPr>
                <w:rFonts w:ascii="Times New Roman" w:hAnsi="Times New Roman" w:cs="Times New Roman" w:eastAsia="Times New Roman" w:hint="default"/>
                <w:sz w:val="18"/>
                <w:szCs w:val="18"/>
              </w:rPr>
            </w:pPr>
            <w:r>
              <w:rPr>
                <w:rFonts w:ascii="Times New Roman"/>
                <w:sz w:val="18"/>
              </w:rPr>
              <w:t>5.76</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1,246,45</w:t>
            </w:r>
          </w:p>
          <w:p>
            <w:pPr>
              <w:pStyle w:val="TableParagraph"/>
              <w:spacing w:line="240" w:lineRule="auto" w:before="103"/>
              <w:ind w:left="415" w:right="0"/>
              <w:jc w:val="left"/>
              <w:rPr>
                <w:rFonts w:ascii="Times New Roman" w:hAnsi="Times New Roman" w:cs="Times New Roman" w:eastAsia="Times New Roman" w:hint="default"/>
                <w:sz w:val="18"/>
                <w:szCs w:val="18"/>
              </w:rPr>
            </w:pPr>
            <w:r>
              <w:rPr>
                <w:rFonts w:ascii="Times New Roman"/>
                <w:sz w:val="18"/>
              </w:rPr>
              <w:t>4.36</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16.68%</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6,224,191</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z w:val="18"/>
              </w:rPr>
              <w:t>.40</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3"/>
              <w:ind w:left="62" w:right="0"/>
              <w:jc w:val="center"/>
              <w:rPr>
                <w:rFonts w:ascii="Times New Roman" w:hAnsi="Times New Roman" w:cs="Times New Roman" w:eastAsia="Times New Roman" w:hint="default"/>
                <w:sz w:val="18"/>
                <w:szCs w:val="18"/>
              </w:rPr>
            </w:pPr>
            <w:r>
              <w:rPr>
                <w:rFonts w:ascii="Times New Roman"/>
                <w:sz w:val="18"/>
              </w:rPr>
              <w:t>7,326,8</w:t>
            </w:r>
          </w:p>
          <w:p>
            <w:pPr>
              <w:pStyle w:val="TableParagraph"/>
              <w:spacing w:line="240" w:lineRule="auto" w:before="103"/>
              <w:ind w:left="197" w:right="0"/>
              <w:jc w:val="center"/>
              <w:rPr>
                <w:rFonts w:ascii="Times New Roman" w:hAnsi="Times New Roman" w:cs="Times New Roman" w:eastAsia="Times New Roman" w:hint="default"/>
                <w:sz w:val="18"/>
                <w:szCs w:val="18"/>
              </w:rPr>
            </w:pPr>
            <w:r>
              <w:rPr>
                <w:rFonts w:ascii="Times New Roman"/>
                <w:sz w:val="18"/>
              </w:rPr>
              <w:t>23.12</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1,795,166</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z w:val="18"/>
              </w:rPr>
              <w:t>.79</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46" w:right="0"/>
              <w:jc w:val="left"/>
              <w:rPr>
                <w:rFonts w:ascii="Times New Roman" w:hAnsi="Times New Roman" w:cs="Times New Roman" w:eastAsia="Times New Roman" w:hint="default"/>
                <w:sz w:val="18"/>
                <w:szCs w:val="18"/>
              </w:rPr>
            </w:pPr>
            <w:r>
              <w:rPr>
                <w:rFonts w:ascii="Times New Roman"/>
                <w:sz w:val="18"/>
              </w:rPr>
              <w:t>24.50%</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5,531,656.3</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3</w:t>
            </w:r>
          </w:p>
        </w:tc>
      </w:tr>
      <w:tr>
        <w:trPr>
          <w:trHeight w:val="392"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40" w:lineRule="auto" w:before="115"/>
        <w:ind w:left="15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组合中，按账龄分析法计提坏账准备的其他应收款：</w:t>
      </w:r>
    </w:p>
    <w:p>
      <w:pPr>
        <w:spacing w:before="41"/>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473" w:space="4356"/>
            <w:col w:w="112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3"/>
        <w:gridCol w:w="2295"/>
        <w:gridCol w:w="2391"/>
        <w:gridCol w:w="2390"/>
      </w:tblGrid>
      <w:tr>
        <w:trPr>
          <w:trHeight w:val="206" w:hRule="exact"/>
        </w:trPr>
        <w:tc>
          <w:tcPr>
            <w:tcW w:w="2483"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4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账龄</w:t>
            </w:r>
          </w:p>
        </w:tc>
        <w:tc>
          <w:tcPr>
            <w:tcW w:w="7076"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2483"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3"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6,180,864.69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309,043.23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4"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290,474.22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58,094.84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239,981.12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119,990.56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759,325.73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759,325.73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7,470,645.76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1,246,454.36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16.68%</w:t>
            </w:r>
          </w:p>
        </w:tc>
      </w:tr>
    </w:tbl>
    <w:p>
      <w:pPr>
        <w:spacing w:line="360" w:lineRule="auto" w:before="49"/>
        <w:ind w:left="152" w:right="527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after="0" w:line="36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9"/>
        <w:rPr>
          <w:rFonts w:ascii="宋体" w:hAnsi="宋体" w:cs="宋体" w:eastAsia="宋体" w:hint="default"/>
          <w:sz w:val="25"/>
          <w:szCs w:val="25"/>
        </w:rPr>
      </w:pPr>
    </w:p>
    <w:p>
      <w:pPr>
        <w:spacing w:line="340" w:lineRule="auto" w:before="44"/>
        <w:ind w:left="152" w:right="56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组合中，采用其他方法计提坏账准备的其他应收款：</w:t>
      </w:r>
    </w:p>
    <w:p>
      <w:pPr>
        <w:spacing w:before="39"/>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15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980"/>
        </w:sectPr>
      </w:pPr>
    </w:p>
    <w:p>
      <w:pPr>
        <w:spacing w:line="360" w:lineRule="auto"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本期计提坏账准备金额元；本期收回或转回坏账准备金额元。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5013" w:space="3816"/>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2"/>
        <w:gridCol w:w="3088"/>
      </w:tblGrid>
      <w:tr>
        <w:trPr>
          <w:trHeight w:val="402"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4"/>
        <w:rPr>
          <w:rFonts w:ascii="宋体" w:hAnsi="宋体" w:cs="宋体" w:eastAsia="宋体" w:hint="default"/>
          <w:sz w:val="19"/>
          <w:szCs w:val="19"/>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6"/>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32" w:right="68"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0"/>
        <w:rPr>
          <w:rFonts w:ascii="宋体" w:hAnsi="宋体" w:cs="宋体" w:eastAsia="宋体" w:hint="default"/>
          <w:sz w:val="18"/>
          <w:szCs w:val="18"/>
        </w:rPr>
      </w:pPr>
    </w:p>
    <w:p>
      <w:pPr>
        <w:pStyle w:val="Heading4"/>
        <w:spacing w:line="240" w:lineRule="auto" w:before="118"/>
        <w:ind w:right="153"/>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员工暂支款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6,906,407.76</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5,104,469.54</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564,238.00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668,722.23</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1" w:type="dxa"/>
            <w:tcBorders>
              <w:top w:val="single" w:sz="4" w:space="0" w:color="000000"/>
              <w:left w:val="single" w:sz="4" w:space="0" w:color="000000"/>
              <w:bottom w:val="single" w:sz="4" w:space="0" w:color="000000"/>
              <w:right w:val="single" w:sz="4" w:space="0" w:color="000000"/>
            </w:tcBorders>
          </w:tcPr>
          <w:p>
            <w:pP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1,553,631.35</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7,470,645.76</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7,326,823.12</w:t>
            </w: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员工暂支款</w:t>
            </w:r>
          </w:p>
        </w:tc>
        <w:tc>
          <w:tcPr>
            <w:tcW w:w="1551"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6,906,407.76</w:t>
            </w:r>
          </w:p>
        </w:tc>
        <w:tc>
          <w:tcPr>
            <w:tcW w:w="1551"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92.45%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953,156.37</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51"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564,238.00</w:t>
            </w:r>
          </w:p>
        </w:tc>
        <w:tc>
          <w:tcPr>
            <w:tcW w:w="1551"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293,298.00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7,470,645.76</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1,246,454.37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5"/>
        <w:gridCol w:w="1865"/>
        <w:gridCol w:w="1868"/>
        <w:gridCol w:w="1867"/>
        <w:gridCol w:w="1934"/>
      </w:tblGrid>
      <w:tr>
        <w:trPr>
          <w:trHeight w:val="715" w:hRule="exact"/>
        </w:trPr>
        <w:tc>
          <w:tcPr>
            <w:tcW w:w="2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8" w:right="54"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4"/>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153"/>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180,000,000.00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64,899,044.39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115,100,955.61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180,000,000.00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180,000,000.00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180,000,000.00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64,899,044.39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115,100,955.61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180,000,000.00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180,000,000.00</w:t>
            </w: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4"/>
        <w:gridCol w:w="1335"/>
        <w:gridCol w:w="1334"/>
        <w:gridCol w:w="1390"/>
        <w:gridCol w:w="1390"/>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9" w:right="58"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9"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江西科为薄膜新 型材料有限公司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180,000,000.00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64,899,044.39</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64,899,044.39</w:t>
            </w:r>
          </w:p>
        </w:tc>
      </w:tr>
      <w:tr>
        <w:trPr>
          <w:trHeight w:val="401"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180,000,000.00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64,899,044.39</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64,899,044.39</w:t>
            </w: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799"/>
        <w:gridCol w:w="797"/>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53"/>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6"/>
        <w:gridCol w:w="1835"/>
        <w:gridCol w:w="1913"/>
        <w:gridCol w:w="1913"/>
        <w:gridCol w:w="1916"/>
      </w:tblGrid>
      <w:tr>
        <w:trPr>
          <w:trHeight w:val="206" w:hRule="exact"/>
        </w:trPr>
        <w:tc>
          <w:tcPr>
            <w:tcW w:w="19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0" w:hRule="exact"/>
        </w:trPr>
        <w:tc>
          <w:tcPr>
            <w:tcW w:w="19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96"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2,895,448,720.60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2,581,342,602.79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2,441,024,505.45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2,162,938,731.55</w:t>
            </w: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24,398,534.47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711,807.51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24,825,457.79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2,269,074.30</w:t>
            </w:r>
          </w:p>
        </w:tc>
      </w:tr>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2,919,847,255.07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2,582,054,410.30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2,465,849,963.24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2,165,207,805.85</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1"/>
        <w:ind w:right="153"/>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6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3,549,322.42</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6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665,398.80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813,265.20</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29,333,698.63</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33,548,419.85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813,265.20</w:t>
            </w: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8"/>
        <w:rPr>
          <w:rFonts w:ascii="宋体" w:hAnsi="宋体" w:cs="宋体" w:eastAsia="宋体" w:hint="default"/>
          <w:b/>
          <w:bCs/>
          <w:sz w:val="22"/>
          <w:szCs w:val="22"/>
        </w:rPr>
      </w:pPr>
    </w:p>
    <w:p>
      <w:pPr>
        <w:pStyle w:val="Heading2"/>
        <w:spacing w:line="240" w:lineRule="auto"/>
        <w:ind w:right="153"/>
        <w:jc w:val="left"/>
        <w:rPr>
          <w:b w:val="0"/>
          <w:bCs w:val="0"/>
        </w:rPr>
      </w:pPr>
      <w:r>
        <w:rPr/>
        <w:t>十八、补充资料</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53"/>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2"/>
        <w:rPr>
          <w:rFonts w:ascii="宋体" w:hAnsi="宋体" w:cs="宋体" w:eastAsia="宋体" w:hint="default"/>
          <w:b/>
          <w:bCs/>
          <w:sz w:val="22"/>
          <w:szCs w:val="22"/>
        </w:rPr>
      </w:pPr>
    </w:p>
    <w:p>
      <w:pPr>
        <w:spacing w:before="44"/>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-104,246.94</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28,079,360.00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29,333,698.63</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27,758,876.49</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12,760,153.23</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72,307,534.95</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spacing w:line="300" w:lineRule="auto" w:before="44"/>
        <w:ind w:left="152" w:right="139"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2"/>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153"/>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0"/>
        <w:gridCol w:w="3083"/>
        <w:gridCol w:w="1913"/>
        <w:gridCol w:w="1913"/>
      </w:tblGrid>
      <w:tr>
        <w:trPr>
          <w:trHeight w:val="206" w:hRule="exact"/>
        </w:trPr>
        <w:tc>
          <w:tcPr>
            <w:tcW w:w="2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26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64"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2650" w:type="dxa"/>
            <w:vMerge/>
            <w:tcBorders>
              <w:left w:val="single" w:sz="4" w:space="0" w:color="000000"/>
              <w:bottom w:val="nil" w:sz="6" w:space="0" w:color="auto"/>
              <w:right w:val="single" w:sz="4" w:space="0" w:color="000000"/>
            </w:tcBorders>
            <w:shd w:val="clear" w:color="auto" w:fill="D2D2D2"/>
          </w:tcPr>
          <w:p>
            <w:pPr/>
          </w:p>
        </w:tc>
        <w:tc>
          <w:tcPr>
            <w:tcW w:w="3083"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0.0678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0.0678</w:t>
            </w:r>
          </w:p>
        </w:tc>
      </w:tr>
      <w:tr>
        <w:trPr>
          <w:trHeight w:val="713"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0.0021</w:t>
            </w:r>
          </w:p>
        </w:tc>
      </w:tr>
    </w:tbl>
    <w:p>
      <w:pPr>
        <w:spacing w:line="240" w:lineRule="auto" w:before="3"/>
        <w:rPr>
          <w:rFonts w:ascii="宋体" w:hAnsi="宋体" w:cs="宋体" w:eastAsia="宋体" w:hint="default"/>
          <w:b/>
          <w:bCs/>
          <w:sz w:val="19"/>
          <w:szCs w:val="19"/>
        </w:rPr>
      </w:pPr>
    </w:p>
    <w:p>
      <w:pPr>
        <w:pStyle w:val="Heading4"/>
        <w:spacing w:line="240" w:lineRule="auto" w:before="36"/>
        <w:ind w:right="153"/>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153"/>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59" w:lineRule="auto"/>
        <w:ind w:right="153"/>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5"/>
        </w:rPr>
        <w:t> </w:t>
      </w:r>
      <w:r>
        <w:rPr>
          <w:spacing w:val="-65"/>
        </w:rPr>
      </w:r>
      <w:r>
        <w:rPr/>
        <w:t>明该境外机构的名称</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53"/>
        <w:jc w:val="left"/>
        <w:rPr>
          <w:b w:val="0"/>
          <w:bCs w:val="0"/>
        </w:rPr>
      </w:pP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285" w:right="91"/>
        <w:jc w:val="left"/>
        <w:rPr>
          <w:b w:val="0"/>
          <w:bCs w:val="0"/>
        </w:rPr>
      </w:pPr>
      <w:bookmarkStart w:name="_bookmark10" w:id="11"/>
      <w:bookmarkEnd w:id="11"/>
      <w:r>
        <w:rPr>
          <w:b w:val="0"/>
          <w:bCs w:val="0"/>
        </w:rPr>
      </w:r>
      <w:r>
        <w:rPr/>
        <w:t>第十二节</w:t>
      </w:r>
      <w:r>
        <w:rPr>
          <w:spacing w:val="-6"/>
        </w:rPr>
        <w:t> </w:t>
      </w:r>
      <w:r>
        <w:rPr/>
        <w:t>备查文件目录</w:t>
      </w:r>
      <w:r>
        <w:rPr>
          <w:b w:val="0"/>
          <w:bCs w:val="0"/>
        </w:rPr>
      </w:r>
    </w:p>
    <w:p>
      <w:pPr>
        <w:spacing w:line="240" w:lineRule="auto" w:before="10"/>
        <w:rPr>
          <w:rFonts w:ascii="宋体" w:hAnsi="宋体" w:cs="宋体" w:eastAsia="宋体" w:hint="default"/>
          <w:b/>
          <w:bCs/>
          <w:sz w:val="38"/>
          <w:szCs w:val="38"/>
        </w:rPr>
      </w:pPr>
    </w:p>
    <w:p>
      <w:pPr>
        <w:pStyle w:val="Heading3"/>
        <w:spacing w:line="240" w:lineRule="auto"/>
        <w:ind w:left="633" w:right="91"/>
        <w:jc w:val="left"/>
      </w:pPr>
      <w:r>
        <w:rPr>
          <w:rFonts w:ascii="Times New Roman" w:hAnsi="Times New Roman" w:cs="Times New Roman" w:eastAsia="Times New Roman" w:hint="default"/>
        </w:rPr>
        <w:t>1</w:t>
      </w:r>
      <w:r>
        <w:rPr/>
        <w:t>、载有公司全体董事、高级管理人员签名确认的</w:t>
      </w:r>
      <w:r>
        <w:rPr>
          <w:rFonts w:ascii="Times New Roman" w:hAnsi="Times New Roman" w:cs="Times New Roman" w:eastAsia="Times New Roman" w:hint="default"/>
        </w:rPr>
        <w:t>2017</w:t>
      </w:r>
      <w:r>
        <w:rPr/>
        <w:t>年年度报告正本。</w:t>
      </w:r>
    </w:p>
    <w:p>
      <w:pPr>
        <w:pStyle w:val="Heading3"/>
        <w:spacing w:line="312" w:lineRule="exact" w:before="130"/>
        <w:ind w:right="91" w:firstLine="480"/>
        <w:jc w:val="left"/>
      </w:pPr>
      <w:r>
        <w:rPr>
          <w:rFonts w:ascii="Times New Roman" w:hAnsi="Times New Roman" w:cs="Times New Roman" w:eastAsia="Times New Roman" w:hint="default"/>
          <w:spacing w:val="-3"/>
        </w:rPr>
        <w:t>2</w:t>
      </w:r>
      <w:r>
        <w:rPr>
          <w:spacing w:val="-3"/>
        </w:rPr>
        <w:t>、载有公司法定代表人吴培服、主管会计工作负责人周海燕及会计机构负责人邹雪梅签</w:t>
      </w:r>
      <w:r>
        <w:rPr/>
        <w:t> 名并盖章的会计报表。</w:t>
      </w:r>
    </w:p>
    <w:p>
      <w:pPr>
        <w:pStyle w:val="Heading3"/>
        <w:spacing w:line="312" w:lineRule="exact" w:before="120"/>
        <w:ind w:right="91" w:firstLine="480"/>
        <w:jc w:val="left"/>
      </w:pPr>
      <w:r>
        <w:rPr>
          <w:rFonts w:ascii="Times New Roman" w:hAnsi="Times New Roman" w:cs="Times New Roman" w:eastAsia="Times New Roman" w:hint="default"/>
          <w:spacing w:val="-3"/>
        </w:rPr>
        <w:t>3</w:t>
      </w:r>
      <w:r>
        <w:rPr>
          <w:spacing w:val="-3"/>
        </w:rPr>
        <w:t>、载有众华会计师事务所（特殊普通合伙）盖章，注册会计师莫旭巍、李明签名并盖章</w:t>
      </w:r>
      <w:r>
        <w:rPr/>
        <w:t> 的公司</w:t>
      </w:r>
      <w:r>
        <w:rPr>
          <w:rFonts w:ascii="Times New Roman" w:hAnsi="Times New Roman" w:cs="Times New Roman" w:eastAsia="Times New Roman" w:hint="default"/>
        </w:rPr>
        <w:t>2017</w:t>
      </w:r>
      <w:r>
        <w:rPr/>
        <w:t>年度审计报告原件。</w:t>
      </w:r>
    </w:p>
    <w:p>
      <w:pPr>
        <w:pStyle w:val="Heading3"/>
        <w:spacing w:line="240" w:lineRule="auto" w:before="89"/>
        <w:ind w:left="633" w:right="0"/>
        <w:jc w:val="left"/>
      </w:pPr>
      <w:r>
        <w:rPr>
          <w:rFonts w:ascii="Times New Roman" w:hAnsi="Times New Roman" w:cs="Times New Roman" w:eastAsia="Times New Roman" w:hint="default"/>
        </w:rPr>
        <w:t>4</w:t>
      </w:r>
      <w:r>
        <w:rPr/>
        <w:t>、报告期内在中国证监会指定报纸上公开披露过的所有公司文件的正本及公告的原稿。</w:t>
      </w:r>
    </w:p>
    <w:p>
      <w:pPr>
        <w:pStyle w:val="Heading3"/>
        <w:spacing w:line="240" w:lineRule="auto" w:before="99"/>
        <w:ind w:left="633" w:right="91"/>
        <w:jc w:val="left"/>
      </w:pPr>
      <w:r>
        <w:rPr>
          <w:rFonts w:ascii="Times New Roman" w:hAnsi="Times New Roman" w:cs="Times New Roman" w:eastAsia="Times New Roman" w:hint="default"/>
        </w:rPr>
        <w:t>5</w:t>
      </w:r>
      <w:r>
        <w:rPr/>
        <w:t>、备查文件备置地点：董事会办公室。</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8"/>
          <w:szCs w:val="28"/>
        </w:rPr>
      </w:pPr>
    </w:p>
    <w:p>
      <w:pPr>
        <w:pStyle w:val="Heading2"/>
        <w:spacing w:line="595" w:lineRule="auto"/>
        <w:ind w:left="6415" w:right="897" w:hanging="960"/>
        <w:jc w:val="left"/>
        <w:rPr>
          <w:b w:val="0"/>
          <w:bCs w:val="0"/>
        </w:rPr>
      </w:pPr>
      <w:r>
        <w:rPr/>
        <w:t>江苏双星彩塑新材料股份有限公司</w:t>
      </w:r>
      <w:r>
        <w:rPr>
          <w:w w:val="99"/>
        </w:rPr>
        <w:t> </w:t>
      </w:r>
      <w:r>
        <w:rPr/>
        <w:t>董事长：吴培服</w:t>
      </w:r>
      <w:r>
        <w:rPr>
          <w:b w:val="0"/>
          <w:bCs w:val="0"/>
        </w:rPr>
      </w:r>
    </w:p>
    <w:p>
      <w:pPr>
        <w:pStyle w:val="Heading2"/>
        <w:spacing w:line="240" w:lineRule="auto" w:before="111"/>
        <w:ind w:left="6053" w:right="91"/>
        <w:jc w:val="left"/>
        <w:rPr>
          <w:b w:val="0"/>
          <w:bCs w:val="0"/>
        </w:rPr>
      </w:pPr>
      <w:r>
        <w:rPr/>
        <w:t>二〇一八年四月二十三日</w:t>
      </w:r>
      <w:r>
        <w:rPr>
          <w:b w:val="0"/>
          <w:bCs w:val="0"/>
        </w:rPr>
      </w:r>
    </w:p>
    <w:sectPr>
      <w:pgSz w:w="11910" w:h="16840"/>
      <w:pgMar w:header="745" w:footer="980" w:top="1060" w:bottom="1160" w:left="98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099976pt;margin-top:795.613892pt;width:6.5pt;height:11pt;mso-position-horizontal-relative:page;mso-position-vertical-relative:page;z-index:-75812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7581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099976pt;margin-top:781.933899pt;width:15.7pt;height:11pt;mso-position-horizontal-relative:page;mso-position-vertical-relative:page;z-index:-75808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7580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60022pt;margin-top:781.933899pt;width:17.3pt;height:11pt;mso-position-horizontal-relative:page;mso-position-vertical-relative:page;z-index:-7580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7580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17.070007pt;margin-top:36.265610pt;width:222.75pt;height:11.5pt;mso-position-horizontal-relative:page;mso-position-vertical-relative:page;z-index:-75815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江苏双星彩塑新材料股份有限公司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2"/>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21"/>
      <w:szCs w:val="21"/>
    </w:rPr>
  </w:style>
  <w:style w:styleId="Heading1" w:type="paragraph">
    <w:name w:val="Heading 1"/>
    <w:basedOn w:val="Normal"/>
    <w:uiPriority w:val="1"/>
    <w:qFormat/>
    <w:pPr>
      <w:ind w:left="2241"/>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sz w:val="24"/>
      <w:szCs w:val="24"/>
    </w:rPr>
  </w:style>
  <w:style w:styleId="Heading4" w:type="paragraph">
    <w:name w:val="Heading 4"/>
    <w:basedOn w:val="Normal"/>
    <w:uiPriority w:val="1"/>
    <w:qFormat/>
    <w:pPr>
      <w:ind w:left="152"/>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shuangxingcaisu.com/" TargetMode="External"/><Relationship Id="rId10" Type="http://schemas.openxmlformats.org/officeDocument/2006/relationships/hyperlink" Target="mailto:wudi@shuangxingcaisu.com" TargetMode="External"/><Relationship Id="rId11" Type="http://schemas.openxmlformats.org/officeDocument/2006/relationships/hyperlink" Target="mailto:002585@shuangxingcaisu.com" TargetMode="External"/><Relationship Id="rId12" Type="http://schemas.openxmlformats.org/officeDocument/2006/relationships/hyperlink" Target="http://www.cninfo.com.cn/" TargetMode="External"/><Relationship Id="rId13" Type="http://schemas.openxmlformats.org/officeDocument/2006/relationships/image" Target="media/image2.jpeg"/><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江苏双星彩塑新材料股份有限公司</dc:creator>
  <dc:title>江苏双星彩塑新材料股份有限公司2017年年度报告全文</dc:title>
  <dcterms:created xsi:type="dcterms:W3CDTF">2020-05-02T22:48:34Z</dcterms:created>
  <dcterms:modified xsi:type="dcterms:W3CDTF">2020-05-02T22:48:34Z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2018-04-23T00:00:00Z</vt:filetime>
  </property>
  <property fmtid="{D5CDD505-2E9C-101B-9397-08002B2CF9AE}" pid="3" name="Creator">
    <vt:lpwstr>Microsoft Office Word 2007</vt:lpwstr>
  </property>
  <property fmtid="{D5CDD505-2E9C-101B-9397-08002B2CF9AE}" pid="4" name="LastSaved">
    <vt:filetime>2020-05-02T00:00:00Z</vt:filetime>
  </property>
</Properties>
</file>