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63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1408838" cy="10382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838" cy="1038225"/>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872" w:right="1855" w:firstLine="0"/>
        <w:jc w:val="center"/>
        <w:rPr>
          <w:rFonts w:ascii="宋体" w:hAnsi="宋体" w:cs="宋体" w:eastAsia="宋体" w:hint="default"/>
          <w:sz w:val="36"/>
          <w:szCs w:val="36"/>
        </w:rPr>
      </w:pPr>
      <w:r>
        <w:rPr>
          <w:rFonts w:ascii="宋体" w:hAnsi="宋体" w:cs="宋体" w:eastAsia="宋体" w:hint="default"/>
          <w:b/>
          <w:bCs/>
          <w:sz w:val="36"/>
          <w:szCs w:val="36"/>
        </w:rPr>
        <w:t>江苏双星彩塑新材料股份有限公司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874" w:right="185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877" w:right="185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公司负责人吴培服、主管会计工作负责人周海燕及会计机构负责人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邹雪梅声明：保证年度报告中财务报告的真实、准确、完整。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蓝海林</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时间冲突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程银春</w:t>
            </w:r>
          </w:p>
        </w:tc>
      </w:tr>
    </w:tbl>
    <w:p>
      <w:pPr>
        <w:spacing w:line="240" w:lineRule="auto" w:before="2"/>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不适用</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1,156,278,085</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7"/>
        <w:ind w:left="152" w:right="1124"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2.00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877" w:right="18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before="945"/>
        <w:ind w:left="877" w:right="185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沃盈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平安大华基金－平安银行－平安大华沃盈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以聚酯切片为主要原料，采用先进的工艺配方，经过干燥、熔融、挤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出、铸片和拉伸制成的薄膜，具有优良的工业特性</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50"/>
              <w:jc w:val="both"/>
              <w:rPr>
                <w:rFonts w:ascii="宋体" w:hAnsi="宋体" w:cs="宋体" w:eastAsia="宋体" w:hint="default"/>
                <w:sz w:val="18"/>
                <w:szCs w:val="18"/>
              </w:rPr>
            </w:pP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广泛用于各 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主要用于包装材料、胶片 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PTA</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6"/>
              <w:jc w:val="left"/>
              <w:rPr>
                <w:rFonts w:ascii="宋体" w:hAnsi="宋体" w:cs="宋体" w:eastAsia="宋体" w:hint="default"/>
                <w:sz w:val="18"/>
                <w:szCs w:val="18"/>
              </w:rPr>
            </w:pPr>
            <w:r>
              <w:rPr>
                <w:rFonts w:ascii="宋体" w:hAnsi="宋体" w:cs="宋体" w:eastAsia="宋体" w:hint="default"/>
                <w:w w:val="99"/>
                <w:sz w:val="18"/>
                <w:szCs w:val="18"/>
              </w:rPr>
              <w:t>精对苯二甲酸（</w:t>
            </w:r>
            <w:r>
              <w:rPr>
                <w:rFonts w:ascii="Times New Roman" w:hAnsi="Times New Roman" w:cs="Times New Roman" w:eastAsia="Times New Roman" w:hint="default"/>
                <w:w w:val="99"/>
                <w:sz w:val="18"/>
                <w:szCs w:val="18"/>
              </w:rPr>
              <w:t>Pure </w:t>
            </w:r>
            <w:r>
              <w:rPr>
                <w:rFonts w:ascii="Times New Roman" w:hAnsi="Times New Roman" w:cs="Times New Roman" w:eastAsia="Times New Roman" w:hint="default"/>
                <w:spacing w:val="-2"/>
                <w:sz w:val="18"/>
                <w:szCs w:val="18"/>
              </w:rPr>
              <w:t>Terephthalic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Acid</w:t>
            </w:r>
            <w:r>
              <w:rPr>
                <w:rFonts w:ascii="宋体" w:hAnsi="宋体" w:cs="宋体" w:eastAsia="宋体" w:hint="default"/>
                <w:spacing w:val="-6"/>
                <w:w w:val="99"/>
                <w:sz w:val="18"/>
                <w:szCs w:val="18"/>
              </w:rPr>
              <w:t>），一种化工原料，聚酯切片的</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主要原料之一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MEG</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9"/>
              <w:jc w:val="left"/>
              <w:rPr>
                <w:rFonts w:ascii="宋体" w:hAnsi="宋体" w:cs="宋体" w:eastAsia="宋体" w:hint="default"/>
                <w:sz w:val="18"/>
                <w:szCs w:val="18"/>
              </w:rPr>
            </w:pPr>
            <w:r>
              <w:rPr>
                <w:rFonts w:ascii="宋体" w:hAnsi="宋体" w:cs="宋体" w:eastAsia="宋体" w:hint="default"/>
                <w:spacing w:val="-1"/>
                <w:w w:val="99"/>
                <w:sz w:val="18"/>
                <w:szCs w:val="18"/>
              </w:rPr>
              <w:t>乙二醇（</w:t>
            </w:r>
            <w:r>
              <w:rPr>
                <w:rFonts w:ascii="Times New Roman" w:hAnsi="Times New Roman" w:cs="Times New Roman" w:eastAsia="Times New Roman" w:hint="default"/>
                <w:spacing w:val="-1"/>
                <w:w w:val="99"/>
                <w:sz w:val="18"/>
                <w:szCs w:val="18"/>
              </w:rPr>
              <w:t>Mono</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Ethylene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w w:val="99"/>
                <w:sz w:val="18"/>
                <w:szCs w:val="18"/>
              </w:rPr>
              <w:t>Glycol</w:t>
            </w:r>
            <w:r>
              <w:rPr>
                <w:rFonts w:ascii="宋体" w:hAnsi="宋体" w:cs="宋体" w:eastAsia="宋体" w:hint="default"/>
                <w:spacing w:val="-4"/>
                <w:w w:val="99"/>
                <w:sz w:val="18"/>
                <w:szCs w:val="18"/>
              </w:rPr>
              <w:t>），一种化工原料，聚酯切片的主要原</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料之一</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hAnsi="Times New Roman"/>
                <w:sz w:val="18"/>
              </w:rPr>
              <w:t>μm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微米，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微米相当于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米的一百万分之一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8598pt;width:361.55pt;height:19.6pt;mso-position-horizontal-relative:page;mso-position-vertical-relative:page;z-index:-78210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002585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Shuangxing Color Plastic New Materials Co.,</w:t>
            </w:r>
            <w:r>
              <w:rPr>
                <w:rFonts w:ascii="Times New Roman"/>
                <w:spacing w:val="-22"/>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SXXC</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0527-84253042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14232894-1</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3,857,565,344.01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3,022,955,177.10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2,552,739,886.66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321,348,433.81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74,651,154.25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133,022,735.34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264,279,649.95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2,343,619.30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11,176.56%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109,175,055.55</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173,464,127.01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13,017,412.35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124,260,814.76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0.1426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0.1426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9,302,667,610.56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9,050,240,080.19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6,687,825,837.86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7,701,212,493.24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7,391,426,840.28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5,346,807,252.26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750,688,983.07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975,322,054.15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1,100,188,426.42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1,031,365,880.37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64,919,888.18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91,303,722.22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105,504,403.51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59,620,419.90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64,353,308.47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87,644,603.31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104,824,403.51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7,457,334.66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-41,674,373.03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210,914,214.66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297,297,431.39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-293,073,146.01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-104,246.94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-75,034.30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10,001,900.00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28,079,360.00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27,001,458.00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申请的一次性政府补 助</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56,465,861.72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29,333,698.63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募集资金委托理财</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671,984.00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27,758,876.49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1,129,670.17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偶发性营业外收支</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10,070,961.86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12,760,153.23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4,208,414.08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57,068,783.86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72,307,534.95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23,847,679.79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0"/>
        <w:ind w:left="152"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0"/>
        <w:jc w:val="left"/>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2"/>
        <w:spacing w:line="290" w:lineRule="exact"/>
        <w:ind w:left="635" w:right="0"/>
        <w:jc w:val="left"/>
        <w:rPr>
          <w:b w:val="0"/>
          <w:bCs w:val="0"/>
        </w:rPr>
      </w:pPr>
      <w:r>
        <w:rPr/>
        <w:t>（一）主营业务介绍</w:t>
      </w:r>
      <w:r>
        <w:rPr>
          <w:b w:val="0"/>
          <w:bCs w:val="0"/>
        </w:rPr>
      </w:r>
    </w:p>
    <w:p>
      <w:pPr>
        <w:pStyle w:val="Heading3"/>
        <w:spacing w:line="235" w:lineRule="auto" w:before="44"/>
        <w:ind w:right="1133" w:firstLine="480"/>
        <w:jc w:val="both"/>
      </w:pPr>
      <w:r>
        <w:rPr/>
        <w:t>公司主要从事先进高分子复合材料、光电新材料、光学膜、太阳能电池背板、聚酯电容 膜、信息材料、热收缩材料等聚酯薄膜的研发、生产和销售，通过持续创新和技术研发，产</w:t>
      </w:r>
      <w:r>
        <w:rPr>
          <w:spacing w:val="-91"/>
        </w:rPr>
        <w:t> </w:t>
      </w:r>
      <w:r>
        <w:rPr>
          <w:spacing w:val="-91"/>
        </w:rPr>
      </w:r>
      <w:r>
        <w:rPr/>
        <w:t>品种类不断增加，系列品种和市场占有率不断提高，形成以</w:t>
      </w:r>
      <w:r>
        <w:rPr>
          <w:rFonts w:ascii="Times New Roman" w:hAnsi="Times New Roman" w:cs="Times New Roman" w:eastAsia="Times New Roman" w:hint="default"/>
        </w:rPr>
        <w:t>“</w:t>
      </w:r>
      <w:r>
        <w:rPr/>
        <w:t>五大板块</w:t>
      </w:r>
      <w:r>
        <w:rPr>
          <w:rFonts w:ascii="Times New Roman" w:hAnsi="Times New Roman" w:cs="Times New Roman" w:eastAsia="Times New Roman" w:hint="default"/>
        </w:rPr>
        <w:t>”</w:t>
      </w:r>
      <w:r>
        <w:rPr/>
        <w:t>为框架的产业布局，</w:t>
      </w:r>
      <w:r>
        <w:rPr>
          <w:spacing w:val="-61"/>
        </w:rPr>
        <w:t> </w:t>
      </w:r>
      <w:r>
        <w:rPr>
          <w:spacing w:val="-61"/>
        </w:rPr>
      </w:r>
      <w:r>
        <w:rPr/>
        <w:t>尤其在聚酯功能膜材料、光学材料、节能窗膜、信息材料、新能源材料等方面战略推进，已</w:t>
      </w:r>
      <w:r>
        <w:rPr>
          <w:spacing w:val="-91"/>
        </w:rPr>
        <w:t> </w:t>
      </w:r>
      <w:r>
        <w:rPr>
          <w:spacing w:val="-91"/>
        </w:rPr>
      </w:r>
      <w:r>
        <w:rPr/>
        <w:t>发展成为业内领先的膜材料生产企业。</w:t>
      </w:r>
    </w:p>
    <w:p>
      <w:pPr>
        <w:pStyle w:val="Heading2"/>
        <w:spacing w:line="240" w:lineRule="auto" w:before="39"/>
        <w:ind w:left="635" w:right="0"/>
        <w:jc w:val="left"/>
        <w:rPr>
          <w:b w:val="0"/>
          <w:bCs w:val="0"/>
        </w:rPr>
      </w:pPr>
      <w:r>
        <w:rPr/>
        <w:t>主要产品及其用途：</w:t>
      </w:r>
      <w:r>
        <w:rPr>
          <w:b w:val="0"/>
          <w:bCs w:val="0"/>
        </w:rPr>
      </w:r>
    </w:p>
    <w:p>
      <w:pPr>
        <w:pStyle w:val="Heading2"/>
        <w:spacing w:line="312" w:lineRule="exact" w:before="67"/>
        <w:ind w:right="1121" w:firstLine="482"/>
        <w:jc w:val="left"/>
        <w:rPr>
          <w:b w:val="0"/>
          <w:bCs w:val="0"/>
        </w:rPr>
      </w:pPr>
      <w:r>
        <w:rPr>
          <w:spacing w:val="-3"/>
        </w:rPr>
        <w:t>（</w:t>
      </w:r>
      <w:r>
        <w:rPr>
          <w:rFonts w:ascii="Times New Roman" w:hAnsi="Times New Roman" w:cs="Times New Roman" w:eastAsia="Times New Roman" w:hint="default"/>
          <w:spacing w:val="-3"/>
        </w:rPr>
        <w:t>1</w:t>
      </w:r>
      <w:r>
        <w:rPr>
          <w:spacing w:val="-3"/>
        </w:rPr>
        <w:t>）光学材料板块：包括光学基材、光学膜片</w:t>
      </w:r>
      <w:r>
        <w:rPr>
          <w:rFonts w:ascii="Times New Roman" w:hAnsi="Times New Roman" w:cs="Times New Roman" w:eastAsia="Times New Roman" w:hint="default"/>
          <w:spacing w:val="-3"/>
        </w:rPr>
        <w:t>2</w:t>
      </w:r>
      <w:r>
        <w:rPr>
          <w:spacing w:val="-3"/>
        </w:rPr>
        <w:t>系列，共有</w:t>
      </w:r>
      <w:r>
        <w:rPr>
          <w:rFonts w:ascii="Times New Roman" w:hAnsi="Times New Roman" w:cs="Times New Roman" w:eastAsia="Times New Roman" w:hint="default"/>
          <w:spacing w:val="-3"/>
        </w:rPr>
        <w:t>130</w:t>
      </w:r>
      <w:r>
        <w:rPr>
          <w:spacing w:val="-3"/>
        </w:rPr>
        <w:t>种产品，产品已进入国内</w:t>
      </w:r>
      <w:r>
        <w:rPr>
          <w:w w:val="99"/>
        </w:rPr>
        <w:t> </w:t>
      </w:r>
      <w:r>
        <w:rPr/>
        <w:t>外市场，拥有众多终端客户，主要应用在液晶显示、智能手机、触摸面板等多个市场。</w:t>
      </w:r>
      <w:r>
        <w:rPr>
          <w:b w:val="0"/>
          <w:bCs w:val="0"/>
        </w:rPr>
      </w:r>
    </w:p>
    <w:p>
      <w:pPr>
        <w:pStyle w:val="Heading3"/>
        <w:spacing w:line="312" w:lineRule="exact" w:before="41"/>
        <w:ind w:right="0" w:firstLine="480"/>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1.1</w:t>
      </w:r>
      <w:r>
        <w:rPr>
          <w:rFonts w:ascii="宋体" w:hAnsi="宋体" w:cs="宋体" w:eastAsia="宋体" w:hint="default"/>
          <w:b/>
          <w:bCs/>
          <w:spacing w:val="-3"/>
        </w:rPr>
        <w:t>）</w:t>
      </w:r>
      <w:r>
        <w:rPr>
          <w:spacing w:val="-3"/>
        </w:rPr>
        <w:t>光学基材包括</w:t>
      </w:r>
      <w:r>
        <w:rPr>
          <w:rFonts w:ascii="Times New Roman" w:hAnsi="Times New Roman" w:cs="Times New Roman" w:eastAsia="Times New Roman" w:hint="default"/>
          <w:spacing w:val="-3"/>
        </w:rPr>
        <w:t>6</w:t>
      </w:r>
      <w:r>
        <w:rPr>
          <w:spacing w:val="-3"/>
        </w:rPr>
        <w:t>系列，其中：扩散</w:t>
      </w:r>
      <w:r>
        <w:rPr>
          <w:rFonts w:ascii="Times New Roman" w:hAnsi="Times New Roman" w:cs="Times New Roman" w:eastAsia="Times New Roman" w:hint="default"/>
          <w:spacing w:val="-3"/>
        </w:rPr>
        <w:t>/</w:t>
      </w:r>
      <w:r>
        <w:rPr>
          <w:spacing w:val="-3"/>
        </w:rPr>
        <w:t>棱镜</w:t>
      </w:r>
      <w:r>
        <w:rPr>
          <w:rFonts w:ascii="Times New Roman" w:hAnsi="Times New Roman" w:cs="Times New Roman" w:eastAsia="Times New Roman" w:hint="default"/>
          <w:spacing w:val="-3"/>
        </w:rPr>
        <w:t>/</w:t>
      </w:r>
      <w:r>
        <w:rPr>
          <w:spacing w:val="-3"/>
        </w:rPr>
        <w:t>复合</w:t>
      </w:r>
      <w:r>
        <w:rPr>
          <w:rFonts w:ascii="Times New Roman" w:hAnsi="Times New Roman" w:cs="Times New Roman" w:eastAsia="Times New Roman" w:hint="default"/>
          <w:spacing w:val="-3"/>
        </w:rPr>
        <w:t>/</w:t>
      </w:r>
      <w:r>
        <w:rPr>
          <w:spacing w:val="-3"/>
        </w:rPr>
        <w:t>微透用光学基材、调光玻璃用光学基</w:t>
      </w:r>
      <w:r>
        <w:rPr/>
        <w:t> 材、光学级保护离型基材等</w:t>
      </w:r>
      <w:r>
        <w:rPr>
          <w:rFonts w:ascii="Times New Roman" w:hAnsi="Times New Roman" w:cs="Times New Roman" w:eastAsia="Times New Roman" w:hint="default"/>
        </w:rPr>
        <w:t>30</w:t>
      </w:r>
      <w:r>
        <w:rPr/>
        <w:t>种产品，应用于显示领域的高端材料。</w:t>
      </w:r>
    </w:p>
    <w:p>
      <w:pPr>
        <w:pStyle w:val="Heading3"/>
        <w:spacing w:line="312" w:lineRule="exact" w:before="41"/>
        <w:ind w:right="1129" w:firstLine="482"/>
        <w:jc w:val="both"/>
      </w:pPr>
      <w:r>
        <w:rPr>
          <w:rFonts w:ascii="宋体" w:hAnsi="宋体" w:cs="宋体" w:eastAsia="宋体" w:hint="default"/>
          <w:b/>
          <w:bCs/>
        </w:rPr>
        <w:t>（</w:t>
      </w:r>
      <w:r>
        <w:rPr>
          <w:rFonts w:ascii="Times New Roman" w:hAnsi="Times New Roman" w:cs="Times New Roman" w:eastAsia="Times New Roman" w:hint="default"/>
          <w:b/>
          <w:bCs/>
        </w:rPr>
        <w:t>1.2</w:t>
      </w:r>
      <w:r>
        <w:rPr>
          <w:rFonts w:ascii="宋体" w:hAnsi="宋体" w:cs="宋体" w:eastAsia="宋体" w:hint="default"/>
          <w:b/>
          <w:bCs/>
        </w:rPr>
        <w:t>）</w:t>
      </w:r>
      <w:r>
        <w:rPr/>
        <w:t>光学膜片包括</w:t>
      </w:r>
      <w:r>
        <w:rPr>
          <w:rFonts w:ascii="Times New Roman" w:hAnsi="Times New Roman" w:cs="Times New Roman" w:eastAsia="Times New Roman" w:hint="default"/>
        </w:rPr>
        <w:t>4</w:t>
      </w:r>
      <w:r>
        <w:rPr/>
        <w:t>系列：其中：扩散膜、增亮膜、微透膜、光学复合膜、</w:t>
      </w:r>
      <w:r>
        <w:rPr>
          <w:rFonts w:ascii="Times New Roman" w:hAnsi="Times New Roman" w:cs="Times New Roman" w:eastAsia="Times New Roman" w:hint="default"/>
        </w:rPr>
        <w:t>2-3</w:t>
      </w:r>
      <w:r>
        <w:rPr/>
        <w:t>层复合 </w:t>
      </w:r>
      <w:r>
        <w:rPr>
          <w:spacing w:val="3"/>
        </w:rPr>
        <w:t>膜、多层复合膜、</w:t>
      </w:r>
      <w:r>
        <w:rPr>
          <w:rFonts w:ascii="Times New Roman" w:hAnsi="Times New Roman" w:cs="Times New Roman" w:eastAsia="Times New Roman" w:hint="default"/>
          <w:spacing w:val="3"/>
        </w:rPr>
        <w:t>QD</w:t>
      </w:r>
      <w:r>
        <w:rPr>
          <w:spacing w:val="3"/>
        </w:rPr>
        <w:t>量子点膜、</w:t>
      </w:r>
      <w:r>
        <w:rPr>
          <w:rFonts w:ascii="Times New Roman" w:hAnsi="Times New Roman" w:cs="Times New Roman" w:eastAsia="Times New Roman" w:hint="default"/>
          <w:spacing w:val="3"/>
        </w:rPr>
        <w:t>DBEF</w:t>
      </w:r>
      <w:r>
        <w:rPr>
          <w:spacing w:val="3"/>
        </w:rPr>
        <w:t>复合膜、保护膜等</w:t>
      </w:r>
      <w:r>
        <w:rPr>
          <w:rFonts w:ascii="Times New Roman" w:hAnsi="Times New Roman" w:cs="Times New Roman" w:eastAsia="Times New Roman" w:hint="default"/>
          <w:spacing w:val="3"/>
        </w:rPr>
        <w:t>100</w:t>
      </w:r>
      <w:r>
        <w:rPr>
          <w:spacing w:val="3"/>
        </w:rPr>
        <w:t>种产品，应用于超高清电视、</w:t>
      </w:r>
      <w:r>
        <w:rPr>
          <w:spacing w:val="-117"/>
        </w:rPr>
        <w:t> </w:t>
      </w:r>
      <w:r>
        <w:rPr>
          <w:spacing w:val="-117"/>
        </w:rPr>
      </w:r>
      <w:r>
        <w:rPr>
          <w:rFonts w:ascii="Times New Roman" w:hAnsi="Times New Roman" w:cs="Times New Roman" w:eastAsia="Times New Roman" w:hint="default"/>
        </w:rPr>
        <w:t>OLED</w:t>
      </w:r>
      <w:r>
        <w:rPr/>
        <w:t>电视、曲面</w:t>
      </w:r>
      <w:r>
        <w:rPr>
          <w:rFonts w:ascii="Times New Roman" w:hAnsi="Times New Roman" w:cs="Times New Roman" w:eastAsia="Times New Roman" w:hint="default"/>
        </w:rPr>
        <w:t>TV</w:t>
      </w:r>
      <w:r>
        <w:rPr/>
        <w:t>、显示器、触摸屏、笔记本电脑、平板电脑、智能手机、导航仪、车载</w:t>
      </w:r>
      <w:r>
        <w:rPr>
          <w:spacing w:val="-95"/>
        </w:rPr>
        <w:t> </w:t>
      </w:r>
      <w:r>
        <w:rPr>
          <w:spacing w:val="-95"/>
        </w:rPr>
      </w:r>
      <w:r>
        <w:rPr/>
        <w:t>显示屏等多个市场，主要客户包括三星、</w:t>
      </w:r>
      <w:r>
        <w:rPr>
          <w:rFonts w:ascii="Times New Roman" w:hAnsi="Times New Roman" w:cs="Times New Roman" w:eastAsia="Times New Roman" w:hint="default"/>
        </w:rPr>
        <w:t>BOE</w:t>
      </w:r>
      <w:r>
        <w:rPr/>
        <w:t>、小米、创维、</w:t>
      </w:r>
      <w:r>
        <w:rPr>
          <w:rFonts w:ascii="Times New Roman" w:hAnsi="Times New Roman" w:cs="Times New Roman" w:eastAsia="Times New Roman" w:hint="default"/>
        </w:rPr>
        <w:t>TCL</w:t>
      </w:r>
      <w:r>
        <w:rPr/>
        <w:t>、长虹、康佳、康冠、冠</w:t>
      </w:r>
      <w:r>
        <w:rPr>
          <w:spacing w:val="-59"/>
        </w:rPr>
        <w:t> </w:t>
      </w:r>
      <w:r>
        <w:rPr>
          <w:spacing w:val="-59"/>
        </w:rPr>
      </w:r>
      <w:r>
        <w:rPr/>
        <w:t>捷等国内外品牌商、模切厂等。</w:t>
      </w:r>
    </w:p>
    <w:p>
      <w:pPr>
        <w:pStyle w:val="Heading2"/>
        <w:spacing w:line="312" w:lineRule="exact" w:before="39"/>
        <w:ind w:right="1113" w:firstLine="482"/>
        <w:jc w:val="left"/>
        <w:rPr>
          <w:b w:val="0"/>
          <w:bCs w:val="0"/>
        </w:rPr>
      </w:pPr>
      <w:r>
        <w:rPr>
          <w:spacing w:val="-3"/>
        </w:rPr>
        <w:t>（</w:t>
      </w:r>
      <w:r>
        <w:rPr>
          <w:rFonts w:ascii="Times New Roman" w:hAnsi="Times New Roman" w:cs="Times New Roman" w:eastAsia="Times New Roman" w:hint="default"/>
          <w:spacing w:val="-3"/>
        </w:rPr>
        <w:t>2</w:t>
      </w:r>
      <w:r>
        <w:rPr>
          <w:spacing w:val="-3"/>
        </w:rPr>
        <w:t>）节能窗膜板块：星膜范系列节能隔热防爆膜，包括建筑窗膜、汽车窗膜、护肤膜和</w:t>
      </w:r>
      <w:r>
        <w:rPr>
          <w:w w:val="99"/>
        </w:rPr>
        <w:t> </w:t>
      </w:r>
      <w:r>
        <w:rPr/>
        <w:t>调光玻璃膜，共有</w:t>
      </w:r>
      <w:r>
        <w:rPr>
          <w:rFonts w:ascii="Times New Roman" w:hAnsi="Times New Roman" w:cs="Times New Roman" w:eastAsia="Times New Roman" w:hint="default"/>
        </w:rPr>
        <w:t>200</w:t>
      </w:r>
      <w:r>
        <w:rPr/>
        <w:t>种产品。</w:t>
      </w:r>
      <w:r>
        <w:rPr>
          <w:b w:val="0"/>
          <w:bCs w:val="0"/>
        </w:rPr>
      </w:r>
    </w:p>
    <w:p>
      <w:pPr>
        <w:pStyle w:val="Heading3"/>
        <w:spacing w:line="312" w:lineRule="exact" w:before="40"/>
        <w:ind w:right="0" w:firstLine="480"/>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2.1</w:t>
      </w:r>
      <w:r>
        <w:rPr>
          <w:rFonts w:ascii="宋体" w:hAnsi="宋体" w:cs="宋体" w:eastAsia="宋体" w:hint="default"/>
          <w:b/>
          <w:bCs/>
          <w:spacing w:val="-3"/>
        </w:rPr>
        <w:t>）</w:t>
      </w:r>
      <w:r>
        <w:rPr>
          <w:spacing w:val="-3"/>
        </w:rPr>
        <w:t>建筑窗膜包括纳米陶瓷隔热膜、高红外反射隔热膜（单银</w:t>
      </w:r>
      <w:r>
        <w:rPr>
          <w:rFonts w:ascii="Times New Roman" w:hAnsi="Times New Roman" w:cs="Times New Roman" w:eastAsia="Times New Roman" w:hint="default"/>
          <w:spacing w:val="-3"/>
        </w:rPr>
        <w:t>/</w:t>
      </w:r>
      <w:r>
        <w:rPr>
          <w:spacing w:val="-3"/>
        </w:rPr>
        <w:t>双银</w:t>
      </w:r>
      <w:r>
        <w:rPr>
          <w:rFonts w:ascii="Times New Roman" w:hAnsi="Times New Roman" w:cs="Times New Roman" w:eastAsia="Times New Roman" w:hint="default"/>
          <w:spacing w:val="-3"/>
        </w:rPr>
        <w:t>/</w:t>
      </w:r>
      <w:r>
        <w:rPr>
          <w:spacing w:val="-3"/>
        </w:rPr>
        <w:t>三银</w:t>
      </w:r>
      <w:r>
        <w:rPr>
          <w:rFonts w:ascii="Times New Roman" w:hAnsi="Times New Roman" w:cs="Times New Roman" w:eastAsia="Times New Roman" w:hint="default"/>
          <w:spacing w:val="-3"/>
        </w:rPr>
        <w:t>/</w:t>
      </w:r>
      <w:r>
        <w:rPr>
          <w:spacing w:val="-3"/>
        </w:rPr>
        <w:t>极致四银）、</w:t>
      </w:r>
      <w:r>
        <w:rPr/>
        <w:t> 高清膜、防蓝光膜、安全防爆膜等</w:t>
      </w:r>
      <w:r>
        <w:rPr>
          <w:rFonts w:ascii="Times New Roman" w:hAnsi="Times New Roman" w:cs="Times New Roman" w:eastAsia="Times New Roman" w:hint="default"/>
        </w:rPr>
        <w:t>33</w:t>
      </w:r>
      <w:r>
        <w:rPr/>
        <w:t>种产品，主要应用于建筑门窗、房外天棚、交通工具、</w:t>
      </w:r>
      <w:r>
        <w:rPr>
          <w:spacing w:val="-89"/>
        </w:rPr>
        <w:t> </w:t>
      </w:r>
      <w:r>
        <w:rPr>
          <w:spacing w:val="-89"/>
        </w:rPr>
      </w:r>
      <w:r>
        <w:rPr/>
        <w:t>民居、隔断、天棚等领域。</w:t>
      </w:r>
    </w:p>
    <w:p>
      <w:pPr>
        <w:pStyle w:val="Heading3"/>
        <w:spacing w:line="312" w:lineRule="exact" w:before="40"/>
        <w:ind w:right="1131" w:firstLine="482"/>
        <w:jc w:val="both"/>
      </w:pPr>
      <w:r>
        <w:rPr>
          <w:rFonts w:ascii="宋体" w:hAnsi="宋体" w:cs="宋体" w:eastAsia="宋体" w:hint="default"/>
          <w:b/>
          <w:bCs/>
        </w:rPr>
        <w:t>（</w:t>
      </w:r>
      <w:r>
        <w:rPr>
          <w:rFonts w:ascii="Times New Roman" w:hAnsi="Times New Roman" w:cs="Times New Roman" w:eastAsia="Times New Roman" w:hint="default"/>
          <w:b/>
          <w:bCs/>
        </w:rPr>
        <w:t>2.2</w:t>
      </w:r>
      <w:r>
        <w:rPr>
          <w:rFonts w:ascii="宋体" w:hAnsi="宋体" w:cs="宋体" w:eastAsia="宋体" w:hint="default"/>
          <w:b/>
          <w:bCs/>
        </w:rPr>
        <w:t>）</w:t>
      </w:r>
      <w:r>
        <w:rPr/>
        <w:t>汽车窗膜包括高隔热纳米窗膜、单银</w:t>
      </w:r>
      <w:r>
        <w:rPr>
          <w:rFonts w:ascii="Times New Roman" w:hAnsi="Times New Roman" w:cs="Times New Roman" w:eastAsia="Times New Roman" w:hint="default"/>
        </w:rPr>
        <w:t>/</w:t>
      </w:r>
      <w:r>
        <w:rPr/>
        <w:t>双银</w:t>
      </w:r>
      <w:r>
        <w:rPr>
          <w:rFonts w:ascii="Times New Roman" w:hAnsi="Times New Roman" w:cs="Times New Roman" w:eastAsia="Times New Roman" w:hint="default"/>
        </w:rPr>
        <w:t>/</w:t>
      </w:r>
      <w:r>
        <w:rPr/>
        <w:t>三银高隔热前挡、极致四银侧后档、 </w:t>
      </w:r>
      <w:r>
        <w:rPr>
          <w:spacing w:val="-2"/>
        </w:rPr>
        <w:t>全防紫外线前挡、</w:t>
      </w:r>
      <w:r>
        <w:rPr>
          <w:rFonts w:ascii="Times New Roman" w:hAnsi="Times New Roman" w:cs="Times New Roman" w:eastAsia="Times New Roman" w:hint="default"/>
          <w:spacing w:val="-2"/>
        </w:rPr>
        <w:t>N</w:t>
      </w:r>
      <w:r>
        <w:rPr>
          <w:spacing w:val="-2"/>
        </w:rPr>
        <w:t>系列侧窗、</w:t>
      </w:r>
      <w:r>
        <w:rPr>
          <w:rFonts w:ascii="Times New Roman" w:hAnsi="Times New Roman" w:cs="Times New Roman" w:eastAsia="Times New Roman" w:hint="default"/>
          <w:spacing w:val="-2"/>
        </w:rPr>
        <w:t>E</w:t>
      </w:r>
      <w:r>
        <w:rPr>
          <w:spacing w:val="-2"/>
        </w:rPr>
        <w:t>系列磁控碳膜侧窗、</w:t>
      </w:r>
      <w:r>
        <w:rPr>
          <w:rFonts w:ascii="Times New Roman" w:hAnsi="Times New Roman" w:cs="Times New Roman" w:eastAsia="Times New Roman" w:hint="default"/>
          <w:spacing w:val="-2"/>
        </w:rPr>
        <w:t>SP</w:t>
      </w:r>
      <w:r>
        <w:rPr>
          <w:spacing w:val="-2"/>
        </w:rPr>
        <w:t>原色磁控系列、纳米陶瓷磁控银前挡</w:t>
      </w:r>
      <w:r>
        <w:rPr>
          <w:spacing w:val="-110"/>
        </w:rPr>
        <w:t> </w:t>
      </w:r>
      <w:r>
        <w:rPr>
          <w:spacing w:val="-110"/>
        </w:rPr>
      </w:r>
      <w:r>
        <w:rPr/>
        <w:t>系列、磁控银前挡、蓝银等</w:t>
      </w:r>
      <w:r>
        <w:rPr>
          <w:rFonts w:ascii="Times New Roman" w:hAnsi="Times New Roman" w:cs="Times New Roman" w:eastAsia="Times New Roman" w:hint="default"/>
        </w:rPr>
        <w:t>130</w:t>
      </w:r>
      <w:r>
        <w:rPr/>
        <w:t>种产品。</w:t>
      </w:r>
    </w:p>
    <w:p>
      <w:pPr>
        <w:pStyle w:val="Heading3"/>
        <w:spacing w:line="312" w:lineRule="exact" w:before="38"/>
        <w:ind w:right="0" w:firstLine="482"/>
        <w:jc w:val="left"/>
      </w:pPr>
      <w:r>
        <w:rPr>
          <w:rFonts w:ascii="宋体" w:hAnsi="宋体" w:cs="宋体" w:eastAsia="宋体" w:hint="default"/>
          <w:b/>
          <w:bCs/>
          <w:spacing w:val="2"/>
        </w:rPr>
        <w:t>（</w:t>
      </w:r>
      <w:r>
        <w:rPr>
          <w:rFonts w:ascii="Times New Roman" w:hAnsi="Times New Roman" w:cs="Times New Roman" w:eastAsia="Times New Roman" w:hint="default"/>
          <w:b/>
          <w:bCs/>
          <w:spacing w:val="2"/>
        </w:rPr>
        <w:t>2.3</w:t>
      </w:r>
      <w:r>
        <w:rPr>
          <w:rFonts w:ascii="宋体" w:hAnsi="宋体" w:cs="宋体" w:eastAsia="宋体" w:hint="default"/>
          <w:b/>
          <w:bCs/>
          <w:spacing w:val="2"/>
        </w:rPr>
        <w:t>）护</w:t>
      </w:r>
      <w:r>
        <w:rPr>
          <w:spacing w:val="2"/>
        </w:rPr>
        <w:t>肤膜分为</w:t>
      </w:r>
      <w:r>
        <w:rPr>
          <w:rFonts w:ascii="Times New Roman" w:hAnsi="Times New Roman" w:cs="Times New Roman" w:eastAsia="Times New Roman" w:hint="default"/>
          <w:spacing w:val="2"/>
        </w:rPr>
        <w:t>6</w:t>
      </w:r>
      <w:r>
        <w:rPr>
          <w:spacing w:val="2"/>
        </w:rPr>
        <w:t>系列，包括全防紫外线护肤膜、高清晰度原色膜等</w:t>
      </w:r>
      <w:r>
        <w:rPr>
          <w:rFonts w:ascii="Times New Roman" w:hAnsi="Times New Roman" w:cs="Times New Roman" w:eastAsia="Times New Roman" w:hint="default"/>
          <w:spacing w:val="2"/>
        </w:rPr>
        <w:t>25</w:t>
      </w:r>
      <w:r>
        <w:rPr>
          <w:spacing w:val="2"/>
        </w:rPr>
        <w:t>种产品，主要 </w:t>
      </w:r>
      <w:r>
        <w:rPr/>
        <w:t>应用于汽车玻璃贴膜、建筑玻璃贴膜。</w:t>
      </w:r>
    </w:p>
    <w:p>
      <w:pPr>
        <w:pStyle w:val="Heading3"/>
        <w:spacing w:line="232" w:lineRule="auto" w:before="18"/>
        <w:ind w:right="0" w:firstLine="482"/>
        <w:jc w:val="left"/>
      </w:pPr>
      <w:r>
        <w:rPr>
          <w:rFonts w:ascii="宋体" w:hAnsi="宋体" w:cs="宋体" w:eastAsia="宋体" w:hint="default"/>
          <w:b/>
          <w:bCs/>
          <w:spacing w:val="2"/>
        </w:rPr>
        <w:t>（</w:t>
      </w:r>
      <w:r>
        <w:rPr>
          <w:rFonts w:ascii="Times New Roman" w:hAnsi="Times New Roman" w:cs="Times New Roman" w:eastAsia="Times New Roman" w:hint="default"/>
          <w:b/>
          <w:bCs/>
          <w:spacing w:val="2"/>
        </w:rPr>
        <w:t>2.4</w:t>
      </w:r>
      <w:r>
        <w:rPr>
          <w:rFonts w:ascii="宋体" w:hAnsi="宋体" w:cs="宋体" w:eastAsia="宋体" w:hint="default"/>
          <w:b/>
          <w:bCs/>
          <w:spacing w:val="2"/>
        </w:rPr>
        <w:t>）</w:t>
      </w:r>
      <w:r>
        <w:rPr>
          <w:spacing w:val="2"/>
        </w:rPr>
        <w:t>调光玻璃膜（智能电控液晶膜）包括标准型和彩色型</w:t>
      </w:r>
      <w:r>
        <w:rPr>
          <w:rFonts w:ascii="Times New Roman" w:hAnsi="Times New Roman" w:cs="Times New Roman" w:eastAsia="Times New Roman" w:hint="default"/>
          <w:spacing w:val="2"/>
        </w:rPr>
        <w:t>6</w:t>
      </w:r>
      <w:r>
        <w:rPr>
          <w:spacing w:val="2"/>
        </w:rPr>
        <w:t>系列</w:t>
      </w:r>
      <w:r>
        <w:rPr>
          <w:rFonts w:ascii="Times New Roman" w:hAnsi="Times New Roman" w:cs="Times New Roman" w:eastAsia="Times New Roman" w:hint="default"/>
          <w:spacing w:val="2"/>
        </w:rPr>
        <w:t>12</w:t>
      </w:r>
      <w:r>
        <w:rPr>
          <w:spacing w:val="2"/>
        </w:rPr>
        <w:t>种产品，主要应用 </w:t>
      </w:r>
      <w:r>
        <w:rPr/>
        <w:t>在智能家居、办公会议隔断、手术室、智能建筑视窗、酒店卫浴隔断、橱窗柜体展厅、户外</w:t>
      </w:r>
      <w:r>
        <w:rPr>
          <w:spacing w:val="-91"/>
        </w:rPr>
        <w:t> </w:t>
      </w:r>
      <w:r>
        <w:rPr>
          <w:spacing w:val="-91"/>
        </w:rPr>
      </w:r>
      <w:r>
        <w:rPr>
          <w:spacing w:val="-3"/>
        </w:rPr>
        <w:t>投影显示、建筑外墙及汽车玻璃等领域，具有安全、防爆、隐私、节能、环保、装饰、美观、</w:t>
      </w:r>
      <w:r>
        <w:rPr>
          <w:spacing w:val="-82"/>
        </w:rPr>
        <w:t> </w:t>
      </w:r>
      <w:r>
        <w:rPr>
          <w:spacing w:val="-82"/>
        </w:rPr>
      </w:r>
      <w:r>
        <w:rPr/>
        <w:t>智能等性能，夏季节能效果可节约</w:t>
      </w:r>
      <w:r>
        <w:rPr>
          <w:rFonts w:ascii="Times New Roman" w:hAnsi="Times New Roman" w:cs="Times New Roman" w:eastAsia="Times New Roman" w:hint="default"/>
        </w:rPr>
        <w:t>27.8%</w:t>
      </w:r>
      <w:r>
        <w:rPr/>
        <w:t>建筑能耗，隔紫外率高达</w:t>
      </w:r>
      <w:r>
        <w:rPr>
          <w:rFonts w:ascii="Times New Roman" w:hAnsi="Times New Roman" w:cs="Times New Roman" w:eastAsia="Times New Roman" w:hint="default"/>
        </w:rPr>
        <w:t>99%</w:t>
      </w:r>
      <w:r>
        <w:rPr/>
        <w:t>以上，其中：高红外反 射隔热膜性能卓越替代进口品牌，实现了国产品牌替代进口。</w:t>
      </w:r>
    </w:p>
    <w:p>
      <w:pPr>
        <w:pStyle w:val="Heading2"/>
        <w:spacing w:line="240" w:lineRule="auto" w:before="39"/>
        <w:ind w:left="635" w:right="0"/>
        <w:jc w:val="left"/>
        <w:rPr>
          <w:b w:val="0"/>
          <w:bCs w:val="0"/>
        </w:rPr>
      </w:pPr>
      <w:r>
        <w:rPr/>
        <w:t>（</w:t>
      </w:r>
      <w:r>
        <w:rPr>
          <w:rFonts w:ascii="Times New Roman" w:hAnsi="Times New Roman" w:cs="Times New Roman" w:eastAsia="Times New Roman" w:hint="default"/>
        </w:rPr>
        <w:t>3</w:t>
      </w:r>
      <w:r>
        <w:rPr/>
        <w:t>）信息材料板块：包括色带打印、光电显示</w:t>
      </w:r>
      <w:r>
        <w:rPr>
          <w:rFonts w:ascii="Times New Roman" w:hAnsi="Times New Roman" w:cs="Times New Roman" w:eastAsia="Times New Roman" w:hint="default"/>
        </w:rPr>
        <w:t>2</w:t>
      </w:r>
      <w:r>
        <w:rPr/>
        <w:t>系列</w:t>
      </w:r>
      <w:r>
        <w:rPr>
          <w:rFonts w:ascii="Times New Roman" w:hAnsi="Times New Roman" w:cs="Times New Roman" w:eastAsia="Times New Roman" w:hint="default"/>
        </w:rPr>
        <w:t>20</w:t>
      </w:r>
      <w:r>
        <w:rPr/>
        <w:t>种产品。</w:t>
      </w:r>
      <w:r>
        <w:rPr>
          <w:b w:val="0"/>
          <w:bCs w:val="0"/>
        </w:rPr>
      </w:r>
    </w:p>
    <w:p>
      <w:pPr>
        <w:pStyle w:val="Heading3"/>
        <w:spacing w:line="312" w:lineRule="exact" w:before="49"/>
        <w:ind w:right="0" w:firstLine="480"/>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3.1</w:t>
      </w:r>
      <w:r>
        <w:rPr>
          <w:rFonts w:ascii="宋体" w:hAnsi="宋体" w:cs="宋体" w:eastAsia="宋体" w:hint="default"/>
          <w:b/>
          <w:bCs/>
          <w:spacing w:val="-3"/>
        </w:rPr>
        <w:t>）</w:t>
      </w:r>
      <w:r>
        <w:rPr>
          <w:spacing w:val="-3"/>
        </w:rPr>
        <w:t>色带打印类：具备多种规格的</w:t>
      </w:r>
      <w:r>
        <w:rPr>
          <w:rFonts w:ascii="Times New Roman" w:hAnsi="Times New Roman" w:cs="Times New Roman" w:eastAsia="Times New Roman" w:hint="default"/>
          <w:spacing w:val="-3"/>
        </w:rPr>
        <w:t>TTR</w:t>
      </w:r>
      <w:r>
        <w:rPr>
          <w:spacing w:val="-3"/>
        </w:rPr>
        <w:t>碳带膜、高端</w:t>
      </w:r>
      <w:r>
        <w:rPr>
          <w:rFonts w:ascii="Times New Roman" w:hAnsi="Times New Roman" w:cs="Times New Roman" w:eastAsia="Times New Roman" w:hint="default"/>
          <w:spacing w:val="-3"/>
        </w:rPr>
        <w:t>TTR</w:t>
      </w:r>
      <w:r>
        <w:rPr>
          <w:spacing w:val="-3"/>
        </w:rPr>
        <w:t>膜等</w:t>
      </w:r>
      <w:r>
        <w:rPr>
          <w:rFonts w:ascii="Times New Roman" w:hAnsi="Times New Roman" w:cs="Times New Roman" w:eastAsia="Times New Roman" w:hint="default"/>
          <w:spacing w:val="-3"/>
        </w:rPr>
        <w:t>5</w:t>
      </w:r>
      <w:r>
        <w:rPr>
          <w:spacing w:val="-3"/>
        </w:rPr>
        <w:t>种产品，主要应用于打</w:t>
      </w:r>
      <w:r>
        <w:rPr/>
        <w:t> 印色带、条形码、条幅等领域。</w:t>
      </w:r>
    </w:p>
    <w:p>
      <w:pPr>
        <w:spacing w:after="0" w:line="312" w:lineRule="exact"/>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3"/>
        <w:spacing w:line="312" w:lineRule="exact" w:before="56"/>
        <w:ind w:right="0" w:firstLine="482"/>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3.2</w:t>
      </w:r>
      <w:r>
        <w:rPr>
          <w:rFonts w:ascii="宋体" w:hAnsi="宋体" w:cs="宋体" w:eastAsia="宋体" w:hint="default"/>
          <w:b/>
          <w:bCs/>
          <w:spacing w:val="-3"/>
        </w:rPr>
        <w:t>）</w:t>
      </w:r>
      <w:r>
        <w:rPr>
          <w:spacing w:val="-3"/>
        </w:rPr>
        <w:t>光电显示类：包括电阻式</w:t>
      </w:r>
      <w:r>
        <w:rPr>
          <w:rFonts w:ascii="Times New Roman" w:hAnsi="Times New Roman" w:cs="Times New Roman" w:eastAsia="Times New Roman" w:hint="default"/>
          <w:spacing w:val="-3"/>
        </w:rPr>
        <w:t>/</w:t>
      </w:r>
      <w:r>
        <w:rPr>
          <w:spacing w:val="-3"/>
        </w:rPr>
        <w:t>电容式</w:t>
      </w:r>
      <w:r>
        <w:rPr>
          <w:rFonts w:ascii="Times New Roman" w:hAnsi="Times New Roman" w:cs="Times New Roman" w:eastAsia="Times New Roman" w:hint="default"/>
          <w:spacing w:val="-3"/>
        </w:rPr>
        <w:t>ITO</w:t>
      </w:r>
      <w:r>
        <w:rPr>
          <w:spacing w:val="-3"/>
        </w:rPr>
        <w:t>导电膜、调光玻璃用</w:t>
      </w:r>
      <w:r>
        <w:rPr>
          <w:rFonts w:ascii="Times New Roman" w:hAnsi="Times New Roman" w:cs="Times New Roman" w:eastAsia="Times New Roman" w:hint="default"/>
          <w:spacing w:val="-3"/>
        </w:rPr>
        <w:t>ITO</w:t>
      </w:r>
      <w:r>
        <w:rPr>
          <w:spacing w:val="-3"/>
        </w:rPr>
        <w:t>导电膜、低电阻</w:t>
      </w:r>
      <w:r>
        <w:rPr>
          <w:rFonts w:ascii="Times New Roman" w:hAnsi="Times New Roman" w:cs="Times New Roman" w:eastAsia="Times New Roman" w:hint="default"/>
          <w:spacing w:val="-3"/>
        </w:rPr>
        <w:t>ITO</w:t>
      </w:r>
      <w:r>
        <w:rPr>
          <w:rFonts w:ascii="Times New Roman" w:hAnsi="Times New Roman" w:cs="Times New Roman" w:eastAsia="Times New Roman" w:hint="default"/>
          <w:w w:val="99"/>
        </w:rPr>
        <w:t> </w:t>
      </w:r>
      <w:r>
        <w:rPr/>
        <w:t>导电膜、</w:t>
      </w:r>
      <w:r>
        <w:rPr>
          <w:rFonts w:ascii="Times New Roman" w:hAnsi="Times New Roman" w:cs="Times New Roman" w:eastAsia="Times New Roman" w:hint="default"/>
        </w:rPr>
        <w:t>IM</w:t>
      </w:r>
      <w:r>
        <w:rPr/>
        <w:t>基膜等</w:t>
      </w:r>
      <w:r>
        <w:rPr>
          <w:rFonts w:ascii="Times New Roman" w:hAnsi="Times New Roman" w:cs="Times New Roman" w:eastAsia="Times New Roman" w:hint="default"/>
        </w:rPr>
        <w:t>15</w:t>
      </w:r>
      <w:r>
        <w:rPr/>
        <w:t>种产品，主要应用于触摸面板、平板、手机等领域。</w:t>
      </w:r>
    </w:p>
    <w:p>
      <w:pPr>
        <w:pStyle w:val="Heading2"/>
        <w:spacing w:line="240" w:lineRule="auto" w:before="10"/>
        <w:ind w:left="635" w:right="0"/>
        <w:jc w:val="left"/>
        <w:rPr>
          <w:b w:val="0"/>
          <w:bCs w:val="0"/>
        </w:rPr>
      </w:pPr>
      <w:r>
        <w:rPr/>
        <w:t>（</w:t>
      </w:r>
      <w:r>
        <w:rPr>
          <w:rFonts w:ascii="Times New Roman" w:hAnsi="Times New Roman" w:cs="Times New Roman" w:eastAsia="Times New Roman" w:hint="default"/>
        </w:rPr>
        <w:t>4</w:t>
      </w:r>
      <w:r>
        <w:rPr/>
        <w:t>）热收缩材料板块：包括</w:t>
      </w:r>
      <w:r>
        <w:rPr>
          <w:rFonts w:ascii="Times New Roman" w:hAnsi="Times New Roman" w:cs="Times New Roman" w:eastAsia="Times New Roman" w:hint="default"/>
        </w:rPr>
        <w:t>PETG</w:t>
      </w:r>
      <w:r>
        <w:rPr/>
        <w:t>收缩膜、</w:t>
      </w:r>
      <w:r>
        <w:rPr>
          <w:rFonts w:ascii="Times New Roman" w:hAnsi="Times New Roman" w:cs="Times New Roman" w:eastAsia="Times New Roman" w:hint="default"/>
        </w:rPr>
        <w:t>PVC</w:t>
      </w:r>
      <w:r>
        <w:rPr/>
        <w:t>收缩膜和综合类材料，共有</w:t>
      </w:r>
      <w:r>
        <w:rPr>
          <w:rFonts w:ascii="Times New Roman" w:hAnsi="Times New Roman" w:cs="Times New Roman" w:eastAsia="Times New Roman" w:hint="default"/>
        </w:rPr>
        <w:t>232</w:t>
      </w:r>
      <w:r>
        <w:rPr/>
        <w:t>种产品。</w:t>
      </w:r>
      <w:r>
        <w:rPr>
          <w:b w:val="0"/>
          <w:bCs w:val="0"/>
        </w:rPr>
      </w:r>
    </w:p>
    <w:p>
      <w:pPr>
        <w:pStyle w:val="Heading3"/>
        <w:spacing w:line="312" w:lineRule="exact" w:before="49"/>
        <w:ind w:right="0" w:firstLine="482"/>
        <w:jc w:val="left"/>
      </w:pPr>
      <w:r>
        <w:rPr>
          <w:rFonts w:ascii="宋体" w:hAnsi="宋体" w:cs="宋体" w:eastAsia="宋体" w:hint="default"/>
          <w:b/>
          <w:bCs/>
        </w:rPr>
        <w:t>（</w:t>
      </w:r>
      <w:r>
        <w:rPr>
          <w:rFonts w:ascii="Times New Roman" w:hAnsi="Times New Roman" w:cs="Times New Roman" w:eastAsia="Times New Roman" w:hint="default"/>
          <w:b/>
          <w:bCs/>
        </w:rPr>
        <w:t>4.1</w:t>
      </w:r>
      <w:r>
        <w:rPr>
          <w:rFonts w:ascii="宋体" w:hAnsi="宋体" w:cs="宋体" w:eastAsia="宋体" w:hint="default"/>
          <w:b/>
          <w:bCs/>
        </w:rPr>
        <w:t>）</w:t>
      </w:r>
      <w:r>
        <w:rPr>
          <w:rFonts w:ascii="Times New Roman" w:hAnsi="Times New Roman" w:cs="Times New Roman" w:eastAsia="Times New Roman" w:hint="default"/>
        </w:rPr>
        <w:t>PETG</w:t>
      </w:r>
      <w:r>
        <w:rPr/>
        <w:t>收缩膜包括超高</w:t>
      </w:r>
      <w:r>
        <w:rPr>
          <w:rFonts w:ascii="Times New Roman" w:hAnsi="Times New Roman" w:cs="Times New Roman" w:eastAsia="Times New Roman" w:hint="default"/>
        </w:rPr>
        <w:t>/</w:t>
      </w:r>
      <w:r>
        <w:rPr/>
        <w:t>高</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低</w:t>
      </w:r>
      <w:r>
        <w:rPr>
          <w:rFonts w:ascii="Times New Roman" w:hAnsi="Times New Roman" w:cs="Times New Roman" w:eastAsia="Times New Roman" w:hint="default"/>
        </w:rPr>
        <w:t>/</w:t>
      </w:r>
      <w:r>
        <w:rPr/>
        <w:t>收缩率、低温收缩、抗紫外线、低收缩力、双向</w:t>
      </w:r>
      <w:r>
        <w:rPr>
          <w:w w:val="99"/>
        </w:rPr>
        <w:t> </w:t>
      </w:r>
      <w:r>
        <w:rPr/>
        <w:t>拉伸等</w:t>
      </w:r>
      <w:r>
        <w:rPr>
          <w:rFonts w:ascii="Times New Roman" w:hAnsi="Times New Roman" w:cs="Times New Roman" w:eastAsia="Times New Roman" w:hint="default"/>
        </w:rPr>
        <w:t>9</w:t>
      </w:r>
      <w:r>
        <w:rPr/>
        <w:t>系列</w:t>
      </w:r>
      <w:r>
        <w:rPr>
          <w:rFonts w:ascii="Times New Roman" w:hAnsi="Times New Roman" w:cs="Times New Roman" w:eastAsia="Times New Roman" w:hint="default"/>
        </w:rPr>
        <w:t>22</w:t>
      </w:r>
      <w:r>
        <w:rPr/>
        <w:t>种材料，主要应用于各种标签、瓶用套装、异形容器外用等要求。</w:t>
      </w:r>
    </w:p>
    <w:p>
      <w:pPr>
        <w:pStyle w:val="Heading3"/>
        <w:spacing w:line="240" w:lineRule="auto" w:before="10"/>
        <w:ind w:left="635" w:right="0"/>
        <w:jc w:val="left"/>
      </w:pPr>
      <w:r>
        <w:rPr>
          <w:rFonts w:ascii="宋体" w:hAnsi="宋体" w:cs="宋体" w:eastAsia="宋体" w:hint="default"/>
          <w:b/>
          <w:bCs/>
        </w:rPr>
        <w:t>（</w:t>
      </w:r>
      <w:r>
        <w:rPr>
          <w:rFonts w:ascii="Times New Roman" w:hAnsi="Times New Roman" w:cs="Times New Roman" w:eastAsia="Times New Roman" w:hint="default"/>
          <w:b/>
          <w:bCs/>
        </w:rPr>
        <w:t>4.2</w:t>
      </w:r>
      <w:r>
        <w:rPr>
          <w:rFonts w:ascii="宋体" w:hAnsi="宋体" w:cs="宋体" w:eastAsia="宋体" w:hint="default"/>
          <w:b/>
          <w:bCs/>
        </w:rPr>
        <w:t>）</w:t>
      </w:r>
      <w:r>
        <w:rPr>
          <w:rFonts w:ascii="Times New Roman" w:hAnsi="Times New Roman" w:cs="Times New Roman" w:eastAsia="Times New Roman" w:hint="default"/>
        </w:rPr>
        <w:t>PVC</w:t>
      </w:r>
      <w:r>
        <w:rPr/>
        <w:t>收缩膜及功能膜包括</w:t>
      </w:r>
      <w:r>
        <w:rPr>
          <w:rFonts w:ascii="Times New Roman" w:hAnsi="Times New Roman" w:cs="Times New Roman" w:eastAsia="Times New Roman" w:hint="default"/>
        </w:rPr>
        <w:t>10</w:t>
      </w:r>
      <w:r>
        <w:rPr/>
        <w:t>余款产品，已出口</w:t>
      </w:r>
      <w:r>
        <w:rPr>
          <w:rFonts w:ascii="Times New Roman" w:hAnsi="Times New Roman" w:cs="Times New Roman" w:eastAsia="Times New Roman" w:hint="default"/>
        </w:rPr>
        <w:t>50</w:t>
      </w:r>
      <w:r>
        <w:rPr/>
        <w:t>多个国家和地区。</w:t>
      </w:r>
    </w:p>
    <w:p>
      <w:pPr>
        <w:pStyle w:val="Heading3"/>
        <w:spacing w:line="312" w:lineRule="exact" w:before="51"/>
        <w:ind w:right="1010" w:firstLine="482"/>
        <w:jc w:val="both"/>
      </w:pPr>
      <w:r>
        <w:rPr>
          <w:rFonts w:ascii="宋体" w:hAnsi="宋体" w:cs="宋体" w:eastAsia="宋体" w:hint="default"/>
          <w:b/>
          <w:bCs/>
          <w:spacing w:val="-4"/>
        </w:rPr>
        <w:t>（</w:t>
      </w:r>
      <w:r>
        <w:rPr>
          <w:rFonts w:ascii="Times New Roman" w:hAnsi="Times New Roman" w:cs="Times New Roman" w:eastAsia="Times New Roman" w:hint="default"/>
          <w:b/>
          <w:bCs/>
          <w:spacing w:val="-4"/>
        </w:rPr>
        <w:t>4.3</w:t>
      </w:r>
      <w:r>
        <w:rPr>
          <w:rFonts w:ascii="宋体" w:hAnsi="宋体" w:cs="宋体" w:eastAsia="宋体" w:hint="default"/>
          <w:b/>
          <w:bCs/>
          <w:spacing w:val="-4"/>
        </w:rPr>
        <w:t>）</w:t>
      </w:r>
      <w:r>
        <w:rPr>
          <w:spacing w:val="-4"/>
        </w:rPr>
        <w:t>综合类材料包括高阻隔材料、热封材料、易撕膜、超薄复合膜、高真空金属化膜、</w:t>
      </w:r>
      <w:r>
        <w:rPr/>
        <w:t> </w:t>
      </w:r>
      <w:r>
        <w:rPr>
          <w:spacing w:val="-3"/>
        </w:rPr>
        <w:t>镀铝膜</w:t>
      </w:r>
      <w:r>
        <w:rPr>
          <w:rFonts w:ascii="Times New Roman" w:hAnsi="Times New Roman" w:cs="Times New Roman" w:eastAsia="Times New Roman" w:hint="default"/>
          <w:spacing w:val="-3"/>
        </w:rPr>
        <w:t>7</w:t>
      </w:r>
      <w:r>
        <w:rPr>
          <w:spacing w:val="-3"/>
        </w:rPr>
        <w:t>系列</w:t>
      </w:r>
      <w:r>
        <w:rPr>
          <w:rFonts w:ascii="Times New Roman" w:hAnsi="Times New Roman" w:cs="Times New Roman" w:eastAsia="Times New Roman" w:hint="default"/>
          <w:spacing w:val="-3"/>
        </w:rPr>
        <w:t>200</w:t>
      </w:r>
      <w:r>
        <w:rPr>
          <w:spacing w:val="-3"/>
        </w:rPr>
        <w:t>多种产品，主要用于医药包装、无菌包装、烟酒、化妆品、日化包装、制袋、</w:t>
      </w:r>
      <w:r>
        <w:rPr>
          <w:spacing w:val="-78"/>
        </w:rPr>
        <w:t> </w:t>
      </w:r>
      <w:r>
        <w:rPr>
          <w:spacing w:val="-78"/>
        </w:rPr>
      </w:r>
      <w:r>
        <w:rPr/>
        <w:t>涂布、印刷、复合等市场领域。</w:t>
      </w:r>
    </w:p>
    <w:p>
      <w:pPr>
        <w:spacing w:line="254" w:lineRule="auto" w:before="7"/>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）新能源材料板块：包括太阳能电池背板、背板基材及系列</w:t>
      </w: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种产品。</w:t>
      </w:r>
      <w:r>
        <w:rPr>
          <w:rFonts w:ascii="宋体" w:hAnsi="宋体" w:cs="宋体" w:eastAsia="宋体" w:hint="default"/>
          <w:b/>
          <w:bCs/>
          <w:w w:val="99"/>
          <w:sz w:val="24"/>
          <w:szCs w:val="24"/>
        </w:rPr>
        <w:t> </w:t>
      </w:r>
      <w:r>
        <w:rPr>
          <w:rFonts w:ascii="宋体" w:hAnsi="宋体" w:cs="宋体" w:eastAsia="宋体" w:hint="default"/>
          <w:sz w:val="24"/>
          <w:szCs w:val="24"/>
        </w:rPr>
        <w:t>主要推出适应不同地区气候条件使用的太阳能电池背材基膜、太阳能电池背板膜（包括</w:t>
      </w:r>
    </w:p>
    <w:p>
      <w:pPr>
        <w:pStyle w:val="Heading3"/>
        <w:spacing w:line="316" w:lineRule="exact"/>
        <w:ind w:right="0"/>
        <w:jc w:val="both"/>
      </w:pPr>
      <w:r>
        <w:rPr/>
        <w:t>乳白、半透明、不透明）等</w:t>
      </w:r>
      <w:r>
        <w:rPr>
          <w:rFonts w:ascii="Times New Roman" w:hAnsi="Times New Roman" w:cs="Times New Roman" w:eastAsia="Times New Roman" w:hint="default"/>
        </w:rPr>
        <w:t>15</w:t>
      </w:r>
      <w:r>
        <w:rPr/>
        <w:t>种不同系列产品，满足太阳能电池封装材料需求。</w:t>
      </w:r>
    </w:p>
    <w:p>
      <w:pPr>
        <w:pStyle w:val="Heading3"/>
        <w:spacing w:line="268" w:lineRule="auto" w:before="21"/>
        <w:ind w:left="753" w:right="0" w:hanging="118"/>
        <w:jc w:val="left"/>
      </w:pPr>
      <w:r>
        <w:rPr>
          <w:rFonts w:ascii="宋体" w:hAnsi="宋体" w:cs="宋体" w:eastAsia="宋体" w:hint="default"/>
          <w:b/>
          <w:bCs/>
        </w:rPr>
        <w:t>（二）经营模式</w:t>
      </w:r>
      <w:r>
        <w:rPr>
          <w:rFonts w:ascii="宋体" w:hAnsi="宋体" w:cs="宋体" w:eastAsia="宋体" w:hint="default"/>
          <w:b/>
          <w:bCs/>
          <w:w w:val="99"/>
        </w:rPr>
        <w:t> </w:t>
      </w:r>
      <w:r>
        <w:rPr>
          <w:spacing w:val="-3"/>
        </w:rPr>
        <w:t>公司战略目标成长为具有核心竞争力的先进高分子复合材料企业，推进企业向高质量发</w:t>
      </w:r>
    </w:p>
    <w:p>
      <w:pPr>
        <w:pStyle w:val="Heading3"/>
        <w:spacing w:line="312" w:lineRule="exact"/>
        <w:ind w:right="1131"/>
        <w:jc w:val="both"/>
      </w:pPr>
      <w:r>
        <w:rPr/>
        <w:t>展。我国是高分子材料的产业大国，高分子材料作为重要工业支撑的材料，广泛应用于国民</w:t>
      </w:r>
      <w:r>
        <w:rPr>
          <w:spacing w:val="-91"/>
        </w:rPr>
        <w:t> </w:t>
      </w:r>
      <w:r>
        <w:rPr>
          <w:spacing w:val="-91"/>
        </w:rPr>
      </w:r>
      <w:r>
        <w:rPr/>
        <w:t>经济各个领域，其中重要分类是先进高分子材料，国家新材料产业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规划明确提出，</w:t>
      </w:r>
      <w:r>
        <w:rPr>
          <w:spacing w:val="-60"/>
        </w:rPr>
        <w:t> </w:t>
      </w:r>
      <w:r>
        <w:rPr>
          <w:spacing w:val="-60"/>
        </w:rPr>
      </w:r>
      <w:r>
        <w:rPr>
          <w:spacing w:val="-2"/>
        </w:rPr>
        <w:t>将先进高分子材料列入重点发展六大材料之一，预计未来</w:t>
      </w:r>
      <w:r>
        <w:rPr>
          <w:rFonts w:ascii="Times New Roman" w:hAnsi="Times New Roman" w:cs="Times New Roman" w:eastAsia="Times New Roman" w:hint="default"/>
          <w:spacing w:val="-2"/>
        </w:rPr>
        <w:t>5</w:t>
      </w:r>
      <w:r>
        <w:rPr>
          <w:spacing w:val="-2"/>
        </w:rPr>
        <w:t>年将有数万亿的市场规模空间，前</w:t>
      </w:r>
      <w:r>
        <w:rPr/>
        <w:t> 景广阔。</w:t>
      </w:r>
    </w:p>
    <w:p>
      <w:pPr>
        <w:pStyle w:val="Heading3"/>
        <w:spacing w:line="312" w:lineRule="exact" w:before="40"/>
        <w:ind w:right="1008" w:firstLine="480"/>
        <w:jc w:val="left"/>
      </w:pP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提出，坚持</w:t>
      </w:r>
      <w:r>
        <w:rPr>
          <w:rFonts w:ascii="Times New Roman" w:hAnsi="Times New Roman" w:cs="Times New Roman" w:eastAsia="Times New Roman" w:hint="default"/>
        </w:rPr>
        <w:t>“</w:t>
      </w:r>
      <w:r>
        <w:rPr/>
        <w:t>创新驱动、质量为先、绿色发展、结构优化、人才为本</w:t>
      </w:r>
      <w:r>
        <w:rPr>
          <w:rFonts w:ascii="Times New Roman" w:hAnsi="Times New Roman" w:cs="Times New Roman" w:eastAsia="Times New Roman" w:hint="default"/>
        </w:rPr>
        <w:t>”</w:t>
      </w:r>
      <w:r>
        <w:rPr/>
        <w:t>的 </w:t>
      </w:r>
      <w:r>
        <w:rPr>
          <w:spacing w:val="-6"/>
        </w:rPr>
        <w:t>基本方针，公司全面推进以</w:t>
      </w:r>
      <w:r>
        <w:rPr>
          <w:rFonts w:ascii="Times New Roman" w:hAnsi="Times New Roman" w:cs="Times New Roman" w:eastAsia="Times New Roman" w:hint="default"/>
          <w:spacing w:val="-6"/>
        </w:rPr>
        <w:t>“</w:t>
      </w:r>
      <w:r>
        <w:rPr>
          <w:spacing w:val="-6"/>
        </w:rPr>
        <w:t>五大板块</w:t>
      </w:r>
      <w:r>
        <w:rPr>
          <w:rFonts w:ascii="Times New Roman" w:hAnsi="Times New Roman" w:cs="Times New Roman" w:eastAsia="Times New Roman" w:hint="default"/>
          <w:spacing w:val="-6"/>
        </w:rPr>
        <w:t>”</w:t>
      </w:r>
      <w:r>
        <w:rPr>
          <w:spacing w:val="-6"/>
        </w:rPr>
        <w:t>框架产业布局，贯彻落实</w:t>
      </w:r>
      <w:r>
        <w:rPr>
          <w:rFonts w:ascii="Times New Roman" w:hAnsi="Times New Roman" w:cs="Times New Roman" w:eastAsia="Times New Roman" w:hint="default"/>
          <w:spacing w:val="-6"/>
        </w:rPr>
        <w:t>“</w:t>
      </w:r>
      <w:r>
        <w:rPr>
          <w:spacing w:val="-6"/>
        </w:rPr>
        <w:t>六大战略</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推动三大变革</w:t>
      </w:r>
      <w:r>
        <w:rPr>
          <w:rFonts w:ascii="Times New Roman" w:hAnsi="Times New Roman" w:cs="Times New Roman" w:eastAsia="Times New Roman" w:hint="default"/>
          <w:spacing w:val="-6"/>
        </w:rPr>
        <w:t>”</w:t>
      </w:r>
      <w:r>
        <w:rPr>
          <w:spacing w:val="-6"/>
        </w:rPr>
        <w:t>，</w:t>
      </w:r>
      <w:r>
        <w:rPr>
          <w:spacing w:val="-90"/>
        </w:rPr>
        <w:t> </w:t>
      </w:r>
      <w:r>
        <w:rPr/>
        <w:t>做强做优主业，做精做细市场，计划通过</w:t>
      </w:r>
      <w:r>
        <w:rPr>
          <w:rFonts w:ascii="Times New Roman" w:hAnsi="Times New Roman" w:cs="Times New Roman" w:eastAsia="Times New Roman" w:hint="default"/>
        </w:rPr>
        <w:t>3-5</w:t>
      </w:r>
      <w:r>
        <w:rPr/>
        <w:t>年时间，充分发挥资源优势，实现高程度整合， 由矩阵式管理进入专业化、现代化，全面国际化布局，实现企业高质量发展。</w:t>
      </w:r>
    </w:p>
    <w:p>
      <w:pPr>
        <w:pStyle w:val="Heading3"/>
        <w:spacing w:line="252" w:lineRule="auto" w:before="10"/>
        <w:ind w:left="633" w:right="0" w:firstLine="2"/>
        <w:jc w:val="left"/>
      </w:pPr>
      <w:r>
        <w:rPr>
          <w:rFonts w:ascii="Times New Roman" w:hAnsi="Times New Roman" w:cs="Times New Roman" w:eastAsia="Times New Roman" w:hint="default"/>
          <w:b/>
          <w:bCs/>
        </w:rPr>
        <w:t>1</w:t>
      </w:r>
      <w:r>
        <w:rPr>
          <w:rFonts w:ascii="宋体" w:hAnsi="宋体" w:cs="宋体" w:eastAsia="宋体" w:hint="default"/>
          <w:b/>
          <w:bCs/>
        </w:rPr>
        <w:t>、采购模式</w:t>
      </w:r>
      <w:r>
        <w:rPr>
          <w:rFonts w:ascii="宋体" w:hAnsi="宋体" w:cs="宋体" w:eastAsia="宋体" w:hint="default"/>
          <w:b/>
          <w:bCs/>
          <w:w w:val="99"/>
        </w:rPr>
        <w:t> </w:t>
      </w:r>
      <w:r>
        <w:rPr/>
        <w:t>公司制定完善的采购管理制度，以落实标杆采购性价比最优的原则，加强市场比价，及</w:t>
      </w:r>
    </w:p>
    <w:p>
      <w:pPr>
        <w:pStyle w:val="Heading3"/>
        <w:spacing w:line="300" w:lineRule="exact"/>
        <w:ind w:right="0"/>
        <w:jc w:val="both"/>
      </w:pPr>
      <w:r>
        <w:rPr/>
        <w:t>时关注原材料动态，合理调控库存，并有效控制成本，确保生产稳定有序。</w:t>
      </w:r>
    </w:p>
    <w:p>
      <w:pPr>
        <w:pStyle w:val="Heading3"/>
        <w:spacing w:line="254" w:lineRule="auto" w:before="38"/>
        <w:ind w:left="633" w:right="0" w:firstLine="2"/>
        <w:jc w:val="left"/>
      </w:pPr>
      <w:r>
        <w:rPr>
          <w:rFonts w:ascii="Times New Roman" w:hAnsi="Times New Roman" w:cs="Times New Roman" w:eastAsia="Times New Roman" w:hint="default"/>
          <w:b/>
          <w:bCs/>
        </w:rPr>
        <w:t>2</w:t>
      </w:r>
      <w:r>
        <w:rPr>
          <w:rFonts w:ascii="宋体" w:hAnsi="宋体" w:cs="宋体" w:eastAsia="宋体" w:hint="default"/>
          <w:b/>
          <w:bCs/>
        </w:rPr>
        <w:t>、生产模式</w:t>
      </w:r>
      <w:r>
        <w:rPr>
          <w:rFonts w:ascii="宋体" w:hAnsi="宋体" w:cs="宋体" w:eastAsia="宋体" w:hint="default"/>
          <w:b/>
          <w:bCs/>
          <w:w w:val="99"/>
        </w:rPr>
        <w:t> </w:t>
      </w:r>
      <w:r>
        <w:rPr/>
        <w:t>公司实行扁平化管理，以项目经理责任制贯彻落实，突出以市场为导向的生产管理和项</w:t>
      </w:r>
    </w:p>
    <w:p>
      <w:pPr>
        <w:pStyle w:val="Heading3"/>
        <w:spacing w:line="312" w:lineRule="exact" w:before="14"/>
        <w:ind w:right="1139"/>
        <w:jc w:val="both"/>
      </w:pPr>
      <w:r>
        <w:rPr/>
        <w:t>目增加值考核管理，从研发、生产、销售与售后服务全方位质量监控，实现生产、质量和市</w:t>
      </w:r>
      <w:r>
        <w:rPr>
          <w:spacing w:val="-91"/>
        </w:rPr>
        <w:t> </w:t>
      </w:r>
      <w:r>
        <w:rPr>
          <w:spacing w:val="-91"/>
        </w:rPr>
      </w:r>
      <w:r>
        <w:rPr/>
        <w:t>场建立良好沟通反馈机制，一周一会协调解决发展中的问题，实现计划与执行跟踪，带动推</w:t>
      </w:r>
      <w:r>
        <w:rPr>
          <w:spacing w:val="-91"/>
        </w:rPr>
        <w:t> </w:t>
      </w:r>
      <w:r>
        <w:rPr>
          <w:spacing w:val="-91"/>
        </w:rPr>
      </w:r>
      <w:r>
        <w:rPr/>
        <w:t>进企业纵深发展。</w:t>
      </w:r>
    </w:p>
    <w:p>
      <w:pPr>
        <w:pStyle w:val="Heading3"/>
        <w:spacing w:line="254" w:lineRule="auto" w:before="7"/>
        <w:ind w:left="633" w:right="0" w:firstLine="2"/>
        <w:jc w:val="left"/>
      </w:pPr>
      <w:r>
        <w:rPr>
          <w:rFonts w:ascii="Times New Roman" w:hAnsi="Times New Roman" w:cs="Times New Roman" w:eastAsia="Times New Roman" w:hint="default"/>
          <w:b/>
          <w:bCs/>
        </w:rPr>
        <w:t>3</w:t>
      </w:r>
      <w:r>
        <w:rPr>
          <w:rFonts w:ascii="宋体" w:hAnsi="宋体" w:cs="宋体" w:eastAsia="宋体" w:hint="default"/>
          <w:b/>
          <w:bCs/>
        </w:rPr>
        <w:t>、销售模式</w:t>
      </w:r>
      <w:r>
        <w:rPr>
          <w:rFonts w:ascii="宋体" w:hAnsi="宋体" w:cs="宋体" w:eastAsia="宋体" w:hint="default"/>
          <w:b/>
          <w:bCs/>
          <w:w w:val="99"/>
        </w:rPr>
        <w:t> </w:t>
      </w:r>
      <w:r>
        <w:rPr/>
        <w:t>公司销售主要采用直销模式，产品订单销售和服务遍及国内及拓展到世界</w:t>
      </w:r>
      <w:r>
        <w:rPr>
          <w:rFonts w:ascii="Times New Roman" w:hAnsi="Times New Roman" w:cs="Times New Roman" w:eastAsia="Times New Roman" w:hint="default"/>
        </w:rPr>
        <w:t>50</w:t>
      </w:r>
      <w:r>
        <w:rPr/>
        <w:t>多个国家和</w:t>
      </w:r>
    </w:p>
    <w:p>
      <w:pPr>
        <w:pStyle w:val="Heading3"/>
        <w:spacing w:line="277" w:lineRule="exact"/>
        <w:ind w:right="0"/>
        <w:jc w:val="both"/>
      </w:pPr>
      <w:r>
        <w:rPr>
          <w:spacing w:val="-3"/>
        </w:rPr>
        <w:t>地区，建立起高效、完善的销售网络，深入重点客户、区域市场、特色产品全面布局，专线、</w:t>
      </w:r>
    </w:p>
    <w:p>
      <w:pPr>
        <w:pStyle w:val="Heading3"/>
        <w:spacing w:line="312" w:lineRule="exact" w:before="29"/>
        <w:ind w:right="1138"/>
        <w:jc w:val="both"/>
      </w:pPr>
      <w:r>
        <w:rPr/>
        <w:t>专产品、专市场，配备专门的营销、技术和管理团队，国内设有办事机构近多处，国外布局</w:t>
      </w:r>
      <w:r>
        <w:rPr>
          <w:spacing w:val="-90"/>
        </w:rPr>
        <w:t> </w:t>
      </w:r>
      <w:r>
        <w:rPr>
          <w:spacing w:val="-90"/>
        </w:rPr>
      </w:r>
      <w:r>
        <w:rPr/>
        <w:t>拓展专业市场贸易网点，多地设立服务机构，为客户提供产品服务。</w:t>
      </w:r>
    </w:p>
    <w:p>
      <w:pPr>
        <w:spacing w:line="268" w:lineRule="auto" w:before="1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（三）业绩增长驱动要素</w:t>
      </w:r>
      <w:r>
        <w:rPr>
          <w:rFonts w:ascii="宋体" w:hAnsi="宋体" w:cs="宋体" w:eastAsia="宋体" w:hint="default"/>
          <w:b/>
          <w:bCs/>
          <w:w w:val="99"/>
          <w:sz w:val="24"/>
          <w:szCs w:val="24"/>
        </w:rPr>
        <w:t> </w:t>
      </w:r>
      <w:r>
        <w:rPr>
          <w:rFonts w:ascii="宋体" w:hAnsi="宋体" w:cs="宋体" w:eastAsia="宋体" w:hint="default"/>
          <w:sz w:val="24"/>
          <w:szCs w:val="24"/>
        </w:rPr>
        <w:t>通过优化产品结构，以聚酯薄膜工业中间材料，功能性、高性能持续推动发展，充分发</w:t>
      </w:r>
    </w:p>
    <w:p>
      <w:pPr>
        <w:pStyle w:val="Heading3"/>
        <w:spacing w:line="283" w:lineRule="exact"/>
        <w:ind w:right="0"/>
        <w:jc w:val="both"/>
      </w:pPr>
      <w:r>
        <w:rPr/>
        <w:t>挥五大板块优势、产品技术开发优势、规模优势和品牌优势，实现经营效益不断提升。</w:t>
      </w:r>
    </w:p>
    <w:p>
      <w:pPr>
        <w:pStyle w:val="Heading3"/>
        <w:spacing w:line="312" w:lineRule="exact" w:before="69"/>
        <w:ind w:right="1135" w:firstLine="482"/>
        <w:jc w:val="both"/>
      </w:pPr>
      <w:r>
        <w:rPr>
          <w:rFonts w:ascii="宋体" w:hAnsi="宋体" w:cs="宋体" w:eastAsia="宋体" w:hint="default"/>
          <w:b/>
          <w:bCs/>
        </w:rPr>
        <w:t>产能增长因素。</w:t>
      </w:r>
      <w:r>
        <w:rPr/>
        <w:t>通过实施已建项目的满产达效，在建项目新产能的陆续投放逐步扩张产 能，立足重点新材料、新技术、新产品的继续突破，通过技术、工艺结合，持续创新，满足</w:t>
      </w:r>
      <w:r>
        <w:rPr>
          <w:spacing w:val="-91"/>
        </w:rPr>
        <w:t> </w:t>
      </w:r>
      <w:r>
        <w:rPr>
          <w:spacing w:val="-91"/>
        </w:rPr>
      </w:r>
      <w:r>
        <w:rPr/>
        <w:t>多元化需求，做精做强高分子材料领域持续向高端发展，全球布局形成竞争优势，带动公司</w:t>
      </w:r>
      <w:r>
        <w:rPr>
          <w:spacing w:val="-88"/>
        </w:rPr>
        <w:t> </w:t>
      </w:r>
      <w:r>
        <w:rPr>
          <w:spacing w:val="-88"/>
        </w:rPr>
      </w:r>
      <w:r>
        <w:rPr/>
        <w:t>未来增长的驱动力。</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3"/>
        <w:spacing w:line="237" w:lineRule="auto" w:before="28"/>
        <w:ind w:right="1139" w:firstLine="482"/>
        <w:jc w:val="both"/>
      </w:pPr>
      <w:r>
        <w:rPr>
          <w:rFonts w:ascii="宋体" w:hAnsi="宋体" w:cs="宋体" w:eastAsia="宋体" w:hint="default"/>
          <w:b/>
          <w:bCs/>
        </w:rPr>
        <w:t>技术创新因素。</w:t>
      </w:r>
      <w:r>
        <w:rPr/>
        <w:t>通过自主研发，加大产品结构调整，拓展新品技术储备，加力在高端光 学材料、新型显示光学模组材料、智能穿戴、光伏材料柔性太阳能产品等新领域布局，巩固</w:t>
      </w:r>
      <w:r>
        <w:rPr>
          <w:spacing w:val="-91"/>
        </w:rPr>
        <w:t> </w:t>
      </w:r>
      <w:r>
        <w:rPr>
          <w:spacing w:val="-91"/>
        </w:rPr>
      </w:r>
      <w:r>
        <w:rPr/>
        <w:t>公司高端薄膜材料的领先地位，将成为公司未来发展的驱动要素之一。</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期末余额为 </w:t>
            </w:r>
            <w:r>
              <w:rPr>
                <w:rFonts w:ascii="Times New Roman" w:hAnsi="Times New Roman" w:cs="Times New Roman" w:eastAsia="Times New Roman" w:hint="default"/>
                <w:sz w:val="18"/>
                <w:szCs w:val="18"/>
              </w:rPr>
              <w:t>3,329,463,894.91 </w:t>
            </w:r>
            <w:r>
              <w:rPr>
                <w:rFonts w:ascii="宋体" w:hAnsi="宋体" w:cs="宋体" w:eastAsia="宋体" w:hint="default"/>
                <w:spacing w:val="-3"/>
                <w:sz w:val="18"/>
                <w:szCs w:val="18"/>
              </w:rPr>
              <w:t>元，较年初增加</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32.66%</w:t>
            </w:r>
            <w:r>
              <w:rPr>
                <w:rFonts w:ascii="宋体" w:hAnsi="宋体" w:cs="宋体" w:eastAsia="宋体" w:hint="default"/>
                <w:sz w:val="18"/>
                <w:szCs w:val="18"/>
              </w:rPr>
              <w:t>，增加原因系二亿平光学膜部 分项目完工投产，房屋竣工验收完成，由在建工程转入固定资产所致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127,430,768.03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元，较年初增加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33.56%</w:t>
            </w:r>
            <w:r>
              <w:rPr>
                <w:rFonts w:ascii="宋体" w:hAnsi="宋体" w:cs="宋体" w:eastAsia="宋体" w:hint="default"/>
                <w:sz w:val="18"/>
                <w:szCs w:val="18"/>
              </w:rPr>
              <w:t>，主要系公司本期新购入位于嶂 山大道西侧的土地一块。</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224,747,061.08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元，较年初减少</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75.34%</w:t>
            </w:r>
            <w:r>
              <w:rPr>
                <w:rFonts w:ascii="宋体" w:hAnsi="宋体" w:cs="宋体" w:eastAsia="宋体" w:hint="default"/>
                <w:spacing w:val="-3"/>
                <w:sz w:val="18"/>
                <w:szCs w:val="18"/>
              </w:rPr>
              <w:t>，减少原因系二亿平光学膜部分</w:t>
            </w:r>
            <w:r>
              <w:rPr>
                <w:rFonts w:ascii="宋体" w:hAnsi="宋体" w:cs="宋体" w:eastAsia="宋体" w:hint="default"/>
                <w:sz w:val="18"/>
                <w:szCs w:val="18"/>
              </w:rPr>
              <w:t> 项目完工投产，房屋竣工验收完成，由在建工程转入固定资产所致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4,063,333.33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元，较年初减少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65.94%</w:t>
            </w:r>
            <w:r>
              <w:rPr>
                <w:rFonts w:ascii="宋体" w:hAnsi="宋体" w:cs="宋体" w:eastAsia="宋体" w:hint="default"/>
                <w:sz w:val="18"/>
                <w:szCs w:val="18"/>
              </w:rPr>
              <w:t>，减少原因系本期用于购买理财产 品计提应收利息减少所致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期末余额为 </w:t>
            </w:r>
            <w:r>
              <w:rPr>
                <w:rFonts w:ascii="Times New Roman" w:hAnsi="Times New Roman" w:cs="Times New Roman" w:eastAsia="Times New Roman" w:hint="default"/>
                <w:sz w:val="18"/>
                <w:szCs w:val="18"/>
              </w:rPr>
              <w:t>1,446,550,380.65 </w:t>
            </w:r>
            <w:r>
              <w:rPr>
                <w:rFonts w:ascii="宋体" w:hAnsi="宋体" w:cs="宋体" w:eastAsia="宋体" w:hint="default"/>
                <w:sz w:val="18"/>
                <w:szCs w:val="18"/>
              </w:rPr>
              <w:t>元，较年初增加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32.84%</w:t>
            </w:r>
            <w:r>
              <w:rPr>
                <w:rFonts w:ascii="宋体" w:hAnsi="宋体" w:cs="宋体" w:eastAsia="宋体" w:hint="default"/>
                <w:sz w:val="18"/>
                <w:szCs w:val="18"/>
              </w:rPr>
              <w:t>，增加原因系聚酯薄膜备货 库存增加及原材料价格上涨导致产品成本上升所致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2,856,068.64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元，较年初增加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91.92%</w:t>
            </w:r>
            <w:r>
              <w:rPr>
                <w:rFonts w:ascii="宋体" w:hAnsi="宋体" w:cs="宋体" w:eastAsia="宋体" w:hint="default"/>
                <w:sz w:val="18"/>
                <w:szCs w:val="18"/>
              </w:rPr>
              <w:t>，增加原因系新增苗木绿化资产所 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14,692,396.22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54.18%</w:t>
            </w:r>
            <w:r>
              <w:rPr>
                <w:rFonts w:ascii="宋体" w:hAnsi="宋体" w:cs="宋体" w:eastAsia="宋体" w:hint="default"/>
                <w:sz w:val="18"/>
                <w:szCs w:val="18"/>
              </w:rPr>
              <w:t>，增加原因系账龄政策计提坏账 准备增加所致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176,472,736.35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162.87%</w:t>
            </w:r>
            <w:r>
              <w:rPr>
                <w:rFonts w:ascii="宋体" w:hAnsi="宋体" w:cs="宋体" w:eastAsia="宋体" w:hint="default"/>
                <w:sz w:val="18"/>
                <w:szCs w:val="18"/>
              </w:rPr>
              <w:t>，增加原因预付光学膜二期工 程项目资金所致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41,899,137.40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49.81%</w:t>
            </w:r>
            <w:r>
              <w:rPr>
                <w:rFonts w:ascii="宋体" w:hAnsi="宋体" w:cs="宋体" w:eastAsia="宋体" w:hint="default"/>
                <w:sz w:val="18"/>
                <w:szCs w:val="18"/>
              </w:rPr>
              <w:t>，增加原因系本期销售订单增加 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21,977,141.98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70.66%</w:t>
            </w:r>
            <w:r>
              <w:rPr>
                <w:rFonts w:ascii="宋体" w:hAnsi="宋体" w:cs="宋体" w:eastAsia="宋体" w:hint="default"/>
                <w:sz w:val="18"/>
                <w:szCs w:val="18"/>
              </w:rPr>
              <w:t>，增加原因系本期计提待发放的 工资奖金增加所致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13,324,241.78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34.62%</w:t>
            </w:r>
            <w:r>
              <w:rPr>
                <w:rFonts w:ascii="宋体" w:hAnsi="宋体" w:cs="宋体" w:eastAsia="宋体" w:hint="default"/>
                <w:sz w:val="18"/>
                <w:szCs w:val="18"/>
              </w:rPr>
              <w:t>，增加原因系本期利润总额增加</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计提的应缴纳所得税增加所致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118,583,361.97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元，较年初减少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60.76%</w:t>
            </w:r>
            <w:r>
              <w:rPr>
                <w:rFonts w:ascii="宋体" w:hAnsi="宋体" w:cs="宋体" w:eastAsia="宋体" w:hint="default"/>
                <w:sz w:val="18"/>
                <w:szCs w:val="18"/>
              </w:rPr>
              <w:t>，减少原因系本期支付光学膜二 期项目资金所致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1,192,048,121.84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30.39%</w:t>
            </w:r>
            <w:r>
              <w:rPr>
                <w:rFonts w:ascii="宋体" w:hAnsi="宋体" w:cs="宋体" w:eastAsia="宋体" w:hint="default"/>
                <w:sz w:val="18"/>
                <w:szCs w:val="18"/>
              </w:rPr>
              <w:t>，增加原因系本期利润增加所 致</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2"/>
        <w:spacing w:line="309" w:lineRule="exact"/>
        <w:ind w:left="635" w:right="0"/>
        <w:jc w:val="left"/>
        <w:rPr>
          <w:b w:val="0"/>
          <w:bCs w:val="0"/>
        </w:rPr>
      </w:pPr>
      <w:r>
        <w:rPr>
          <w:rFonts w:ascii="Times New Roman" w:hAnsi="Times New Roman" w:cs="Times New Roman" w:eastAsia="Times New Roman" w:hint="default"/>
        </w:rPr>
        <w:t>1</w:t>
      </w:r>
      <w:r>
        <w:rPr/>
        <w:t>、全产业链优势</w:t>
      </w:r>
      <w:r>
        <w:rPr>
          <w:b w:val="0"/>
          <w:bCs w:val="0"/>
        </w:rPr>
      </w:r>
    </w:p>
    <w:p>
      <w:pPr>
        <w:pStyle w:val="Heading3"/>
        <w:spacing w:line="237" w:lineRule="auto" w:before="23"/>
        <w:ind w:right="1135" w:firstLine="480"/>
        <w:jc w:val="both"/>
      </w:pPr>
      <w:r>
        <w:rPr/>
        <w:t>公司集从原料开发、挤出拉伸、精密涂布、磁控溅射、微成型、电子光雕模具等全套工 艺技术，具备全产业链技术产品开发优势，能够快速进行新产品开发和核心技术延伸研究，</w:t>
      </w:r>
      <w:r>
        <w:rPr>
          <w:spacing w:val="-91"/>
        </w:rPr>
        <w:t> </w:t>
      </w:r>
      <w:r>
        <w:rPr>
          <w:spacing w:val="-91"/>
        </w:rPr>
      </w:r>
      <w:r>
        <w:rPr/>
        <w:t>覆盖了镀、涂、压、拉、印及后道加工的产业技术工艺环节，促进在高端产品上的开发能力</w:t>
      </w:r>
      <w:r>
        <w:rPr>
          <w:spacing w:val="-91"/>
        </w:rPr>
        <w:t> </w:t>
      </w:r>
      <w:r>
        <w:rPr>
          <w:spacing w:val="-91"/>
        </w:rPr>
      </w:r>
      <w:r>
        <w:rPr/>
        <w:t>和开发速度，不断提升产品技术含量和附加值，推动技术垂直整合，加速了公司在中高端产</w:t>
      </w:r>
      <w:r>
        <w:rPr>
          <w:spacing w:val="-91"/>
        </w:rPr>
        <w:t> </w:t>
      </w:r>
      <w:r>
        <w:rPr>
          <w:spacing w:val="-91"/>
        </w:rPr>
      </w:r>
      <w:r>
        <w:rPr/>
        <w:t>品种类的持续提升，有助于公司实现在高分子材料行业趋势把握、渠道拓展、技术研发等方</w:t>
      </w:r>
      <w:r>
        <w:rPr>
          <w:spacing w:val="-88"/>
        </w:rPr>
        <w:t> </w:t>
      </w:r>
      <w:r>
        <w:rPr>
          <w:spacing w:val="-88"/>
        </w:rPr>
      </w:r>
      <w:r>
        <w:rPr/>
        <w:t>面保持竞争优势，形成以技术创新驱动企业发展。</w:t>
      </w:r>
    </w:p>
    <w:p>
      <w:pPr>
        <w:spacing w:line="252" w:lineRule="auto" w:before="39"/>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、自主创新和技术开发优势</w:t>
      </w:r>
      <w:r>
        <w:rPr>
          <w:rFonts w:ascii="宋体" w:hAnsi="宋体" w:cs="宋体" w:eastAsia="宋体" w:hint="default"/>
          <w:b/>
          <w:bCs/>
          <w:w w:val="99"/>
          <w:sz w:val="24"/>
          <w:szCs w:val="24"/>
        </w:rPr>
        <w:t> </w:t>
      </w:r>
      <w:r>
        <w:rPr>
          <w:rFonts w:ascii="宋体" w:hAnsi="宋体" w:cs="宋体" w:eastAsia="宋体" w:hint="default"/>
          <w:sz w:val="24"/>
          <w:szCs w:val="24"/>
        </w:rPr>
        <w:t>公司拥有完善的研发体系，通过自主研发、工艺创新，充分发挥在高分子材料领域的优</w:t>
      </w:r>
    </w:p>
    <w:p>
      <w:pPr>
        <w:pStyle w:val="Heading3"/>
        <w:spacing w:line="312" w:lineRule="exact" w:before="16"/>
        <w:ind w:right="1139"/>
        <w:jc w:val="both"/>
      </w:pPr>
      <w:r>
        <w:rPr/>
        <w:t>势，研发符合行业发展趋势的技术和产品，在高分子膜材料、光学膜材料、信息材料、新能</w:t>
      </w:r>
      <w:r>
        <w:rPr>
          <w:spacing w:val="-91"/>
        </w:rPr>
        <w:t> </w:t>
      </w:r>
      <w:r>
        <w:rPr>
          <w:spacing w:val="-91"/>
        </w:rPr>
      </w:r>
      <w:r>
        <w:rPr/>
        <w:t>源材料等领域取得多项技术水平突破，掌握了自主研发的核心技术。</w:t>
      </w:r>
    </w:p>
    <w:p>
      <w:pPr>
        <w:pStyle w:val="Heading3"/>
        <w:spacing w:line="312" w:lineRule="exact" w:before="41"/>
        <w:ind w:right="1138" w:firstLine="480"/>
        <w:jc w:val="both"/>
      </w:pPr>
      <w:r>
        <w:rPr/>
        <w:t>通过技术与配方工艺的结合，及时调整产品结构，自主研发光学级高端基材，超薄高显 复合膜，纳米高档窗膜，太阳能电池背板及用于该背板的膜用聚酯等多项新产品新技术同时</w:t>
      </w:r>
      <w:r>
        <w:rPr>
          <w:spacing w:val="-91"/>
        </w:rPr>
        <w:t> </w:t>
      </w:r>
      <w:r>
        <w:rPr>
          <w:spacing w:val="-91"/>
        </w:rPr>
      </w:r>
      <w:r>
        <w:rPr/>
        <w:t>具有自主知识产权，达到国内、国际先进水平，通过持续加强自主创新投入，突破传统向新</w:t>
      </w:r>
      <w:r>
        <w:rPr>
          <w:spacing w:val="-89"/>
        </w:rPr>
        <w:t> </w:t>
      </w:r>
      <w:r>
        <w:rPr>
          <w:spacing w:val="-89"/>
        </w:rPr>
      </w:r>
      <w:r>
        <w:rPr/>
        <w:t>兴产业核心技术延伸研究，研发实力逐步提升，形成较强的技术和产品竞争优势。</w:t>
      </w:r>
    </w:p>
    <w:p>
      <w:pPr>
        <w:spacing w:line="254" w:lineRule="auto" w:before="10"/>
        <w:ind w:left="633"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、研发实力和核心人才团队优势</w:t>
      </w:r>
      <w:r>
        <w:rPr>
          <w:rFonts w:ascii="宋体" w:hAnsi="宋体" w:cs="宋体" w:eastAsia="宋体" w:hint="default"/>
          <w:b/>
          <w:bCs/>
          <w:w w:val="99"/>
          <w:sz w:val="24"/>
          <w:szCs w:val="24"/>
        </w:rPr>
        <w:t> </w:t>
      </w:r>
      <w:r>
        <w:rPr>
          <w:rFonts w:ascii="宋体" w:hAnsi="宋体" w:cs="宋体" w:eastAsia="宋体" w:hint="default"/>
          <w:spacing w:val="-3"/>
          <w:sz w:val="24"/>
          <w:szCs w:val="24"/>
        </w:rPr>
        <w:t>立足核心材料技术，发挥平台优势，全球开展技术交流合作，重视人才培养和引进机制，</w:t>
      </w:r>
    </w:p>
    <w:p>
      <w:pPr>
        <w:pStyle w:val="Heading3"/>
        <w:spacing w:line="312" w:lineRule="exact" w:before="14"/>
        <w:ind w:right="1133"/>
        <w:jc w:val="both"/>
      </w:pPr>
      <w:r>
        <w:rPr/>
        <w:t>技术技能人才优势明显，建立一支集研发、生产、市场等核心技术能力和专业团队，拥有研</w:t>
      </w:r>
      <w:r>
        <w:rPr>
          <w:spacing w:val="-91"/>
        </w:rPr>
        <w:t> </w:t>
      </w:r>
      <w:r>
        <w:rPr>
          <w:spacing w:val="-91"/>
        </w:rPr>
      </w:r>
      <w:r>
        <w:rPr/>
        <w:t>发人才队伍，专业领域涉及材料工程、光学工程、原料分析、化学工程、高分子材料等多个</w:t>
      </w:r>
      <w:r>
        <w:rPr>
          <w:spacing w:val="-91"/>
        </w:rPr>
        <w:t> </w:t>
      </w:r>
      <w:r>
        <w:rPr>
          <w:spacing w:val="-91"/>
        </w:rPr>
      </w:r>
      <w:r>
        <w:rPr/>
        <w:t>专业，在强化研发投入方面持续增强，每年研发经费占营业收入比例都在</w:t>
      </w:r>
      <w:r>
        <w:rPr>
          <w:rFonts w:ascii="Times New Roman" w:hAnsi="Times New Roman" w:cs="Times New Roman" w:eastAsia="Times New Roman" w:hint="default"/>
        </w:rPr>
        <w:t>3.0%</w:t>
      </w:r>
      <w:r>
        <w:rPr/>
        <w:t>以上，确保新</w:t>
      </w:r>
      <w:r>
        <w:rPr>
          <w:spacing w:val="-106"/>
        </w:rPr>
        <w:t> </w:t>
      </w:r>
      <w:r>
        <w:rPr>
          <w:spacing w:val="-106"/>
        </w:rPr>
      </w:r>
      <w:r>
        <w:rPr/>
        <w:t>产品持续开发、市场占有率持续提升，科研创新能力持续加强，拥有国家火炬计划薄膜特色</w:t>
      </w:r>
      <w:r>
        <w:rPr>
          <w:spacing w:val="-89"/>
        </w:rPr>
        <w:t> </w:t>
      </w:r>
      <w:r>
        <w:rPr>
          <w:spacing w:val="-89"/>
        </w:rPr>
      </w:r>
      <w:r>
        <w:rPr/>
        <w:t>产业基地，系国家高新技术企业、中国双向拉伸薄膜产业基地、中国轻工业塑料行业十强企</w:t>
      </w:r>
      <w:r>
        <w:rPr>
          <w:spacing w:val="-91"/>
        </w:rPr>
        <w:t> </w:t>
      </w:r>
      <w:r>
        <w:rPr>
          <w:spacing w:val="-91"/>
        </w:rPr>
      </w:r>
      <w:r>
        <w:rPr/>
        <w:t>业、江苏省</w:t>
      </w:r>
      <w:r>
        <w:rPr>
          <w:rFonts w:ascii="Times New Roman" w:hAnsi="Times New Roman" w:cs="Times New Roman" w:eastAsia="Times New Roman" w:hint="default"/>
        </w:rPr>
        <w:t>PET</w:t>
      </w:r>
      <w:r>
        <w:rPr/>
        <w:t>基材功能性薄膜工程技术研究中心、江苏省认定企业技术中心。</w:t>
      </w:r>
    </w:p>
    <w:p>
      <w:pPr>
        <w:pStyle w:val="Heading3"/>
        <w:spacing w:line="235" w:lineRule="auto" w:before="15"/>
        <w:ind w:right="0" w:firstLine="482"/>
        <w:jc w:val="left"/>
      </w:pPr>
      <w:r>
        <w:rPr>
          <w:rFonts w:ascii="Times New Roman" w:hAnsi="Times New Roman" w:cs="Times New Roman" w:eastAsia="Times New Roman" w:hint="default"/>
          <w:b/>
          <w:bCs/>
        </w:rPr>
        <w:t>4</w:t>
      </w:r>
      <w:r>
        <w:rPr>
          <w:rFonts w:ascii="宋体" w:hAnsi="宋体" w:cs="宋体" w:eastAsia="宋体" w:hint="default"/>
          <w:b/>
          <w:bCs/>
        </w:rPr>
        <w:t>、品牌和市场竞争优势</w:t>
      </w:r>
      <w:r>
        <w:rPr>
          <w:rFonts w:ascii="宋体" w:hAnsi="宋体" w:cs="宋体" w:eastAsia="宋体" w:hint="default"/>
          <w:b/>
          <w:bCs/>
          <w:w w:val="99"/>
        </w:rPr>
        <w:t> </w:t>
      </w:r>
      <w:r>
        <w:rPr/>
        <w:t>公司注重品牌建设，通过持续客户结构调整，坚持以市场和客户需求为导向，强化技术和市</w:t>
      </w:r>
      <w:r>
        <w:rPr>
          <w:spacing w:val="-91"/>
        </w:rPr>
        <w:t> </w:t>
      </w:r>
      <w:r>
        <w:rPr>
          <w:spacing w:val="-91"/>
        </w:rPr>
      </w:r>
      <w:r>
        <w:rPr/>
        <w:t>场的搭建互应，销售网络和客户结构持续优化，经过多年发展积累，已形成覆盖国内大部分</w:t>
      </w:r>
      <w:r>
        <w:rPr>
          <w:spacing w:val="-91"/>
        </w:rPr>
        <w:t> </w:t>
      </w:r>
      <w:r>
        <w:rPr>
          <w:spacing w:val="-91"/>
        </w:rPr>
      </w:r>
      <w:r>
        <w:rPr/>
        <w:t>区域和国外</w:t>
      </w:r>
      <w:r>
        <w:rPr>
          <w:rFonts w:ascii="Times New Roman" w:hAnsi="Times New Roman" w:cs="Times New Roman" w:eastAsia="Times New Roman" w:hint="default"/>
        </w:rPr>
        <w:t>50</w:t>
      </w:r>
      <w:r>
        <w:rPr/>
        <w:t>多个国家和地区的终端客户群，包涵世界</w:t>
      </w:r>
      <w:r>
        <w:rPr>
          <w:rFonts w:ascii="Times New Roman" w:hAnsi="Times New Roman" w:cs="Times New Roman" w:eastAsia="Times New Roman" w:hint="default"/>
        </w:rPr>
        <w:t>500</w:t>
      </w:r>
      <w:r>
        <w:rPr/>
        <w:t>强在内的一大批世界知名企业，同 </w:t>
      </w:r>
      <w:r>
        <w:rPr>
          <w:spacing w:val="-3"/>
        </w:rPr>
        <w:t>时，基于公司在显示材料、信息材料、节能窗膜材料、新能源材料、热收缩材料、挤出材料、</w:t>
      </w:r>
      <w:r>
        <w:rPr>
          <w:spacing w:val="-81"/>
        </w:rPr>
        <w:t> </w:t>
      </w:r>
      <w:r>
        <w:rPr>
          <w:spacing w:val="-81"/>
        </w:rPr>
      </w:r>
      <w:r>
        <w:rPr>
          <w:spacing w:val="-5"/>
        </w:rPr>
        <w:t>智能显示等一系列材料领域的核心技术和产品创新能力，可以为客户提供多元化需求，</w:t>
      </w:r>
      <w:r>
        <w:rPr>
          <w:rFonts w:ascii="Times New Roman" w:hAnsi="Times New Roman" w:cs="Times New Roman" w:eastAsia="Times New Roman" w:hint="default"/>
          <w:spacing w:val="-5"/>
        </w:rPr>
        <w:t>“</w:t>
      </w:r>
      <w:r>
        <w:rPr>
          <w:spacing w:val="-5"/>
        </w:rPr>
        <w:t>双星</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3"/>
        </w:rPr>
        <w:t> </w:t>
      </w:r>
      <w:r>
        <w:rPr/>
        <w:t>系列产品、</w:t>
      </w:r>
      <w:r>
        <w:rPr>
          <w:rFonts w:ascii="Times New Roman" w:hAnsi="Times New Roman" w:cs="Times New Roman" w:eastAsia="Times New Roman" w:hint="default"/>
        </w:rPr>
        <w:t>“</w:t>
      </w:r>
      <w:r>
        <w:rPr/>
        <w:t>星膜范</w:t>
      </w:r>
      <w:r>
        <w:rPr>
          <w:rFonts w:ascii="Times New Roman" w:hAnsi="Times New Roman" w:cs="Times New Roman" w:eastAsia="Times New Roman" w:hint="default"/>
        </w:rPr>
        <w:t>”</w:t>
      </w:r>
      <w:r>
        <w:rPr/>
        <w:t>系列品牌节能窗膜畅销国内外，加速在行业形成较强的品牌优势，为更</w:t>
      </w:r>
      <w:r>
        <w:rPr>
          <w:spacing w:val="-64"/>
        </w:rPr>
        <w:t> </w:t>
      </w:r>
      <w:r>
        <w:rPr>
          <w:spacing w:val="-64"/>
        </w:rPr>
      </w:r>
      <w:r>
        <w:rPr/>
        <w:t>多新产品的投放和市场拓展以及品牌延伸夯实了基础。</w:t>
      </w:r>
    </w:p>
    <w:p>
      <w:pPr>
        <w:spacing w:after="0" w:line="235"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0" w:firstLine="420"/>
        <w:jc w:val="left"/>
      </w:pPr>
      <w:r>
        <w:rPr>
          <w:rFonts w:ascii="Times New Roman" w:hAnsi="Times New Roman" w:cs="Times New Roman" w:eastAsia="Times New Roman" w:hint="default"/>
        </w:rPr>
        <w:t>2018</w:t>
      </w:r>
      <w:r>
        <w:rPr/>
        <w:t>年度，公司紧紧围绕年初制定的经营计划，坚持以提升质量和效益为着力点，不断</w:t>
      </w:r>
      <w:r>
        <w:rPr>
          <w:spacing w:val="2"/>
        </w:rPr>
        <w:t> </w:t>
      </w:r>
      <w:r>
        <w:rPr/>
        <w:t>优化产品结构，持续推进创新产品的研发，积极开拓国内外市场，提升盈利能力；内部加强</w:t>
      </w:r>
      <w:r>
        <w:rPr>
          <w:spacing w:val="-89"/>
        </w:rPr>
        <w:t> </w:t>
      </w:r>
      <w:r>
        <w:rPr>
          <w:spacing w:val="-89"/>
        </w:rPr>
      </w:r>
      <w:r>
        <w:rPr>
          <w:spacing w:val="-3"/>
        </w:rPr>
        <w:t>管理，强化产品质量提升，通过创新挖潜，落实节能降耗，降本增销，有效提升了经营效益。</w:t>
      </w:r>
      <w:r>
        <w:rPr>
          <w:spacing w:val="-82"/>
        </w:rPr>
        <w:t> </w:t>
      </w:r>
      <w:r>
        <w:rPr>
          <w:spacing w:val="-82"/>
        </w:rPr>
      </w:r>
      <w:r>
        <w:rPr>
          <w:spacing w:val="-3"/>
        </w:rPr>
        <w:t>公司</w:t>
      </w:r>
      <w:r>
        <w:rPr>
          <w:rFonts w:ascii="Times New Roman" w:hAnsi="Times New Roman" w:cs="Times New Roman" w:eastAsia="Times New Roman" w:hint="default"/>
          <w:spacing w:val="-3"/>
        </w:rPr>
        <w:t>2018</w:t>
      </w:r>
      <w:r>
        <w:rPr>
          <w:spacing w:val="-3"/>
        </w:rPr>
        <w:t>年度实现营业收入</w:t>
      </w:r>
      <w:r>
        <w:rPr>
          <w:rFonts w:ascii="Times New Roman" w:hAnsi="Times New Roman" w:cs="Times New Roman" w:eastAsia="Times New Roman" w:hint="default"/>
          <w:spacing w:val="-3"/>
        </w:rPr>
        <w:t>385,756.53</w:t>
      </w:r>
      <w:r>
        <w:rPr>
          <w:spacing w:val="-3"/>
        </w:rPr>
        <w:t>万元，同比增长了</w:t>
      </w:r>
      <w:r>
        <w:rPr>
          <w:rFonts w:ascii="Times New Roman" w:hAnsi="Times New Roman" w:cs="Times New Roman" w:eastAsia="Times New Roman" w:hint="default"/>
          <w:spacing w:val="-3"/>
        </w:rPr>
        <w:t>27.61%</w:t>
      </w:r>
      <w:r>
        <w:rPr>
          <w:spacing w:val="-3"/>
        </w:rPr>
        <w:t>；实现归属于上市公司股东的</w:t>
      </w:r>
      <w:r>
        <w:rPr>
          <w:spacing w:val="-71"/>
        </w:rPr>
        <w:t> </w:t>
      </w:r>
      <w:r>
        <w:rPr>
          <w:spacing w:val="-71"/>
        </w:rPr>
      </w:r>
      <w:r>
        <w:rPr/>
        <w:t>净利润</w:t>
      </w:r>
      <w:r>
        <w:rPr>
          <w:rFonts w:ascii="Times New Roman" w:hAnsi="Times New Roman" w:cs="Times New Roman" w:eastAsia="Times New Roman" w:hint="default"/>
        </w:rPr>
        <w:t>32,134.84</w:t>
      </w:r>
      <w:r>
        <w:rPr/>
        <w:t>万元，同比增长</w:t>
      </w:r>
      <w:r>
        <w:rPr>
          <w:rFonts w:ascii="Times New Roman" w:hAnsi="Times New Roman" w:cs="Times New Roman" w:eastAsia="Times New Roman" w:hint="default"/>
        </w:rPr>
        <w:t>330.47</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spacing w:line="271" w:lineRule="auto" w:before="7"/>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（一）科技创新和产品研发</w:t>
      </w:r>
      <w:r>
        <w:rPr>
          <w:rFonts w:ascii="宋体" w:hAnsi="宋体" w:cs="宋体" w:eastAsia="宋体" w:hint="default"/>
          <w:b/>
          <w:bCs/>
          <w:w w:val="99"/>
          <w:sz w:val="24"/>
          <w:szCs w:val="24"/>
        </w:rPr>
        <w:t> </w:t>
      </w:r>
      <w:r>
        <w:rPr>
          <w:rFonts w:ascii="宋体" w:hAnsi="宋体" w:cs="宋体" w:eastAsia="宋体" w:hint="default"/>
          <w:sz w:val="24"/>
          <w:szCs w:val="24"/>
        </w:rPr>
        <w:t>瞄准市场前沿抢先布局战略性技术，加大研发技术与创新力度，提升企业核心竞争力和</w:t>
      </w:r>
    </w:p>
    <w:p>
      <w:pPr>
        <w:pStyle w:val="Heading3"/>
        <w:spacing w:line="281" w:lineRule="exact"/>
        <w:ind w:right="0"/>
        <w:jc w:val="left"/>
      </w:pPr>
      <w:r>
        <w:rPr/>
        <w:t>可持续发展能力。</w:t>
      </w:r>
    </w:p>
    <w:p>
      <w:pPr>
        <w:pStyle w:val="Heading3"/>
        <w:spacing w:line="312" w:lineRule="exact" w:before="69"/>
        <w:ind w:right="998" w:firstLine="480"/>
        <w:jc w:val="left"/>
      </w:pPr>
      <w:r>
        <w:rPr/>
        <w:t>报告期内，公司继续加大技术研发创新投入和新产品开发，通过自主研发，重点发展以 五大板块为核心的创新产品，保持光学材料、节能窗膜、信息材料、新能源材料等优势产品</w:t>
      </w:r>
      <w:r>
        <w:rPr>
          <w:spacing w:val="-89"/>
        </w:rPr>
        <w:t> </w:t>
      </w:r>
      <w:r>
        <w:rPr>
          <w:spacing w:val="-89"/>
        </w:rPr>
      </w:r>
      <w:r>
        <w:rPr/>
        <w:t>利润水平持续增长，布局高端光学基材、高隔热纳米窗膜、高显超薄化用复合膜片、光学保</w:t>
      </w:r>
      <w:r>
        <w:rPr>
          <w:spacing w:val="-91"/>
        </w:rPr>
        <w:t> </w:t>
      </w:r>
      <w:r>
        <w:rPr>
          <w:spacing w:val="-91"/>
        </w:rPr>
      </w:r>
      <w:r>
        <w:rPr/>
        <w:t>护离型基材等新品量产。新增专利申请</w:t>
      </w:r>
      <w:r>
        <w:rPr>
          <w:rFonts w:ascii="Times New Roman" w:hAnsi="Times New Roman" w:cs="Times New Roman" w:eastAsia="Times New Roman" w:hint="default"/>
        </w:rPr>
        <w:t>11</w:t>
      </w:r>
      <w:r>
        <w:rPr/>
        <w:t>件，授权专利</w:t>
      </w:r>
      <w:r>
        <w:rPr>
          <w:rFonts w:ascii="Times New Roman" w:hAnsi="Times New Roman" w:cs="Times New Roman" w:eastAsia="Times New Roman" w:hint="default"/>
        </w:rPr>
        <w:t>16</w:t>
      </w:r>
      <w:r>
        <w:rPr/>
        <w:t>件，其中：授权发明专利</w:t>
      </w:r>
      <w:r>
        <w:rPr>
          <w:rFonts w:ascii="Times New Roman" w:hAnsi="Times New Roman" w:cs="Times New Roman" w:eastAsia="Times New Roman" w:hint="default"/>
        </w:rPr>
        <w:t>6</w:t>
      </w:r>
      <w:r>
        <w:rPr/>
        <w:t>件，通过 </w:t>
      </w:r>
      <w:r>
        <w:rPr>
          <w:spacing w:val="-2"/>
        </w:rPr>
        <w:t>新产品新技术鉴定</w:t>
      </w:r>
      <w:r>
        <w:rPr>
          <w:rFonts w:ascii="Times New Roman" w:hAnsi="Times New Roman" w:cs="Times New Roman" w:eastAsia="Times New Roman" w:hint="default"/>
          <w:spacing w:val="-2"/>
        </w:rPr>
        <w:t>6</w:t>
      </w:r>
      <w:r>
        <w:rPr>
          <w:spacing w:val="-2"/>
        </w:rPr>
        <w:t>项，参与行业标准和国家环保标准制定</w:t>
      </w:r>
      <w:r>
        <w:rPr>
          <w:rFonts w:ascii="Times New Roman" w:hAnsi="Times New Roman" w:cs="Times New Roman" w:eastAsia="Times New Roman" w:hint="default"/>
          <w:spacing w:val="-2"/>
        </w:rPr>
        <w:t>2</w:t>
      </w:r>
      <w:r>
        <w:rPr>
          <w:spacing w:val="-2"/>
        </w:rPr>
        <w:t>项，以技术创新增强核心竞争力，</w:t>
      </w:r>
      <w:r>
        <w:rPr>
          <w:spacing w:val="-117"/>
        </w:rPr>
        <w:t> </w:t>
      </w:r>
      <w:r>
        <w:rPr>
          <w:spacing w:val="-117"/>
        </w:rPr>
      </w:r>
      <w:r>
        <w:rPr/>
        <w:t>形成持续成长的新动力。</w:t>
      </w:r>
    </w:p>
    <w:p>
      <w:pPr>
        <w:spacing w:line="268" w:lineRule="auto" w:before="7"/>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（二）重点项目持续推进和产能提升</w:t>
      </w:r>
      <w:r>
        <w:rPr>
          <w:rFonts w:ascii="宋体" w:hAnsi="宋体" w:cs="宋体" w:eastAsia="宋体" w:hint="default"/>
          <w:b/>
          <w:bCs/>
          <w:w w:val="99"/>
          <w:sz w:val="24"/>
          <w:szCs w:val="24"/>
        </w:rPr>
        <w:t> </w:t>
      </w:r>
      <w:r>
        <w:rPr>
          <w:rFonts w:ascii="宋体" w:hAnsi="宋体" w:cs="宋体" w:eastAsia="宋体" w:hint="default"/>
          <w:sz w:val="24"/>
          <w:szCs w:val="24"/>
        </w:rPr>
        <w:t>报告期内，积极推动研发创新及投资项目建设，年产二亿平方米光学膜项目建设进展顺</w:t>
      </w:r>
    </w:p>
    <w:p>
      <w:pPr>
        <w:pStyle w:val="Heading3"/>
        <w:spacing w:line="312" w:lineRule="exact"/>
        <w:ind w:right="0"/>
        <w:jc w:val="left"/>
      </w:pPr>
      <w:r>
        <w:rPr/>
        <w:t>利，实现光学基膜自主开发，产品质量提升，项目后续产能陆续实现投产。推进多项技术改</w:t>
      </w:r>
      <w:r>
        <w:rPr>
          <w:spacing w:val="-86"/>
        </w:rPr>
        <w:t> </w:t>
      </w:r>
      <w:r>
        <w:rPr>
          <w:spacing w:val="-86"/>
        </w:rPr>
      </w:r>
      <w:r>
        <w:rPr/>
        <w:t>造等工艺的提升，产能的陆续释放将成为公司近年业绩发展的基础驱动要素。</w:t>
      </w:r>
    </w:p>
    <w:p>
      <w:pPr>
        <w:spacing w:line="268" w:lineRule="auto" w:before="1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（三）人才集聚，管理提升；</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报告期内，公司持续深化生产经营管理，加快推行管理创新，围绕提升效率和激发活力，</w:t>
      </w:r>
    </w:p>
    <w:p>
      <w:pPr>
        <w:pStyle w:val="Heading3"/>
        <w:spacing w:line="312" w:lineRule="exact"/>
        <w:ind w:right="996"/>
        <w:jc w:val="left"/>
      </w:pPr>
      <w:r>
        <w:rPr/>
        <w:t>以精益管理推进水平上台阶。重视集聚创新人才，以人才集聚打造团队能力提升，突出专业</w:t>
      </w:r>
      <w:r>
        <w:rPr>
          <w:spacing w:val="-91"/>
        </w:rPr>
        <w:t> </w:t>
      </w:r>
      <w:r>
        <w:rPr>
          <w:spacing w:val="-91"/>
        </w:rPr>
      </w:r>
      <w:r>
        <w:rPr>
          <w:spacing w:val="-2"/>
        </w:rPr>
        <w:t>技能的重要性，以才引才，用才带才，为推进技术创新提供支撑，人才结构和层次更趋优化，</w:t>
      </w:r>
      <w:r>
        <w:rPr/>
        <w:t> 增强可持续发展能力，提升整体经营效益。</w:t>
      </w:r>
    </w:p>
    <w:p>
      <w:pPr>
        <w:spacing w:line="312" w:lineRule="exact"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（四）管理创新持续加强</w:t>
      </w:r>
      <w:r>
        <w:rPr>
          <w:rFonts w:ascii="宋体" w:hAnsi="宋体" w:cs="宋体" w:eastAsia="宋体" w:hint="default"/>
          <w:b/>
          <w:bCs/>
          <w:w w:val="99"/>
          <w:sz w:val="24"/>
          <w:szCs w:val="24"/>
        </w:rPr>
        <w:t> </w:t>
      </w:r>
      <w:r>
        <w:rPr>
          <w:rFonts w:ascii="宋体" w:hAnsi="宋体" w:cs="宋体" w:eastAsia="宋体" w:hint="default"/>
          <w:sz w:val="24"/>
          <w:szCs w:val="24"/>
        </w:rPr>
        <w:t>报告期内，公司持续加强管理，通过创新创造效益，实现成本降低、效率提升，使创新</w:t>
      </w:r>
    </w:p>
    <w:p>
      <w:pPr>
        <w:pStyle w:val="Heading3"/>
        <w:spacing w:line="312" w:lineRule="exact"/>
        <w:ind w:right="0"/>
        <w:jc w:val="left"/>
      </w:pPr>
      <w:r>
        <w:rPr/>
        <w:t>成为企业的核心能力，不断提升管理水平。并以市场为导向，以客户为中心，整合资源，创</w:t>
      </w:r>
      <w:r>
        <w:rPr>
          <w:spacing w:val="-89"/>
        </w:rPr>
        <w:t> </w:t>
      </w:r>
      <w:r>
        <w:rPr>
          <w:spacing w:val="-89"/>
        </w:rPr>
      </w:r>
      <w:r>
        <w:rPr/>
        <w:t>造竞争新优势，提升企业运营能力。</w:t>
      </w:r>
    </w:p>
    <w:p>
      <w:pPr>
        <w:pStyle w:val="Heading3"/>
        <w:spacing w:line="312" w:lineRule="exact"/>
        <w:ind w:right="1127" w:firstLine="482"/>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1</w:t>
      </w:r>
      <w:r>
        <w:rPr>
          <w:rFonts w:ascii="宋体" w:hAnsi="宋体" w:cs="宋体" w:eastAsia="宋体" w:hint="default"/>
          <w:b/>
          <w:bCs/>
          <w:spacing w:val="-2"/>
        </w:rPr>
        <w:t>）生产管理扎实推进；</w:t>
      </w:r>
      <w:r>
        <w:rPr>
          <w:spacing w:val="-2"/>
        </w:rPr>
        <w:t>落实以效益为中心的精细化管理，持续项目</w:t>
      </w:r>
      <w:r>
        <w:rPr>
          <w:rFonts w:ascii="Times New Roman" w:hAnsi="Times New Roman" w:cs="Times New Roman" w:eastAsia="Times New Roman" w:hint="default"/>
          <w:spacing w:val="-2"/>
        </w:rPr>
        <w:t>“</w:t>
      </w:r>
      <w:r>
        <w:rPr>
          <w:spacing w:val="-2"/>
        </w:rPr>
        <w:t>增加值</w:t>
      </w:r>
      <w:r>
        <w:rPr>
          <w:rFonts w:ascii="Times New Roman" w:hAnsi="Times New Roman" w:cs="Times New Roman" w:eastAsia="Times New Roman" w:hint="default"/>
          <w:spacing w:val="-2"/>
        </w:rPr>
        <w:t>”</w:t>
      </w:r>
      <w:r>
        <w:rPr>
          <w:spacing w:val="-2"/>
        </w:rPr>
        <w:t>管理，以</w:t>
      </w:r>
      <w:r>
        <w:rPr/>
        <w:t> 推进产能利用率提升聚焦产品价值生产，管理标准化全方位推进，扭住</w:t>
      </w:r>
      <w:r>
        <w:rPr>
          <w:rFonts w:ascii="Times New Roman" w:hAnsi="Times New Roman" w:cs="Times New Roman" w:eastAsia="Times New Roman" w:hint="default"/>
        </w:rPr>
        <w:t>“</w:t>
      </w:r>
      <w:r>
        <w:rPr/>
        <w:t>质量</w:t>
      </w:r>
      <w:r>
        <w:rPr>
          <w:rFonts w:ascii="Times New Roman" w:hAnsi="Times New Roman" w:cs="Times New Roman" w:eastAsia="Times New Roman" w:hint="default"/>
        </w:rPr>
        <w:t>”</w:t>
      </w:r>
      <w:r>
        <w:rPr/>
        <w:t>关键点，将质</w:t>
      </w:r>
      <w:r>
        <w:rPr>
          <w:spacing w:val="-56"/>
        </w:rPr>
        <w:t> </w:t>
      </w:r>
      <w:r>
        <w:rPr>
          <w:spacing w:val="-56"/>
        </w:rPr>
      </w:r>
      <w:r>
        <w:rPr/>
        <w:t>量效益作为提升管理目标重要标尺，管理水平不断提升。</w:t>
      </w:r>
    </w:p>
    <w:p>
      <w:pPr>
        <w:pStyle w:val="Heading3"/>
        <w:spacing w:line="312" w:lineRule="exact"/>
        <w:ind w:right="0" w:firstLine="482"/>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2</w:t>
      </w:r>
      <w:r>
        <w:rPr>
          <w:rFonts w:ascii="宋体" w:hAnsi="宋体" w:cs="宋体" w:eastAsia="宋体" w:hint="default"/>
          <w:b/>
          <w:bCs/>
          <w:spacing w:val="-3"/>
        </w:rPr>
        <w:t>）基础管理不断深化；</w:t>
      </w:r>
      <w:r>
        <w:rPr>
          <w:spacing w:val="-3"/>
        </w:rPr>
        <w:t>开展项目内务管理新</w:t>
      </w:r>
      <w:r>
        <w:rPr>
          <w:rFonts w:ascii="Times New Roman" w:hAnsi="Times New Roman" w:cs="Times New Roman" w:eastAsia="Times New Roman" w:hint="default"/>
          <w:spacing w:val="-3"/>
        </w:rPr>
        <w:t>10</w:t>
      </w:r>
      <w:r>
        <w:rPr>
          <w:spacing w:val="-3"/>
        </w:rPr>
        <w:t>条落实，以创新推广应用新技术、新工</w:t>
      </w:r>
      <w:r>
        <w:rPr/>
        <w:t> 艺，开展管理</w:t>
      </w:r>
      <w:r>
        <w:rPr>
          <w:rFonts w:ascii="Times New Roman" w:hAnsi="Times New Roman" w:cs="Times New Roman" w:eastAsia="Times New Roman" w:hint="default"/>
        </w:rPr>
        <w:t>“</w:t>
      </w:r>
      <w:r>
        <w:rPr/>
        <w:t>短板</w:t>
      </w:r>
      <w:r>
        <w:rPr>
          <w:rFonts w:ascii="Times New Roman" w:hAnsi="Times New Roman" w:cs="Times New Roman" w:eastAsia="Times New Roman" w:hint="default"/>
        </w:rPr>
        <w:t>”</w:t>
      </w:r>
      <w:r>
        <w:rPr/>
        <w:t>和质量</w:t>
      </w:r>
      <w:r>
        <w:rPr>
          <w:rFonts w:ascii="Times New Roman" w:hAnsi="Times New Roman" w:cs="Times New Roman" w:eastAsia="Times New Roman" w:hint="default"/>
        </w:rPr>
        <w:t>“</w:t>
      </w:r>
      <w:r>
        <w:rPr/>
        <w:t>痛点</w:t>
      </w:r>
      <w:r>
        <w:rPr>
          <w:rFonts w:ascii="Times New Roman" w:hAnsi="Times New Roman" w:cs="Times New Roman" w:eastAsia="Times New Roman" w:hint="default"/>
        </w:rPr>
        <w:t>”</w:t>
      </w:r>
      <w:r>
        <w:rPr/>
        <w:t>的重点突破，推进降本增效，提高运营效率。</w:t>
      </w:r>
    </w:p>
    <w:p>
      <w:pPr>
        <w:pStyle w:val="Heading3"/>
        <w:spacing w:line="312" w:lineRule="exact"/>
        <w:ind w:right="0" w:firstLine="482"/>
        <w:jc w:val="left"/>
      </w:pPr>
      <w:r>
        <w:rPr>
          <w:rFonts w:ascii="宋体" w:hAnsi="宋体" w:cs="宋体" w:eastAsia="宋体" w:hint="default"/>
          <w:b/>
          <w:bCs/>
          <w:spacing w:val="-3"/>
        </w:rPr>
        <w:t>（</w:t>
      </w:r>
      <w:r>
        <w:rPr>
          <w:rFonts w:ascii="Times New Roman" w:hAnsi="Times New Roman" w:cs="Times New Roman" w:eastAsia="Times New Roman" w:hint="default"/>
          <w:b/>
          <w:bCs/>
          <w:spacing w:val="-3"/>
        </w:rPr>
        <w:t>3</w:t>
      </w:r>
      <w:r>
        <w:rPr>
          <w:rFonts w:ascii="宋体" w:hAnsi="宋体" w:cs="宋体" w:eastAsia="宋体" w:hint="default"/>
          <w:b/>
          <w:bCs/>
          <w:spacing w:val="-3"/>
        </w:rPr>
        <w:t>）财务管理持续深化；</w:t>
      </w:r>
      <w:r>
        <w:rPr>
          <w:spacing w:val="-3"/>
        </w:rPr>
        <w:t>信息化财务全方位效率推进，以节能降耗为目标，实施降本增</w:t>
      </w:r>
      <w:r>
        <w:rPr/>
        <w:t> 收和全面预算工作，落实资金风险管控，实现收支有度，职能参谋不断强化。</w:t>
      </w:r>
    </w:p>
    <w:p>
      <w:pPr>
        <w:pStyle w:val="Heading3"/>
        <w:spacing w:line="312" w:lineRule="exact" w:before="40"/>
        <w:ind w:right="0" w:firstLine="410"/>
        <w:jc w:val="left"/>
      </w:pPr>
      <w:r>
        <w:rPr>
          <w:rFonts w:ascii="宋体" w:hAnsi="宋体" w:cs="宋体" w:eastAsia="宋体" w:hint="default"/>
          <w:b/>
          <w:bCs/>
          <w:spacing w:val="-1"/>
        </w:rPr>
        <w:t>（</w:t>
      </w:r>
      <w:r>
        <w:rPr>
          <w:rFonts w:ascii="Times New Roman" w:hAnsi="Times New Roman" w:cs="Times New Roman" w:eastAsia="Times New Roman" w:hint="default"/>
          <w:b/>
          <w:bCs/>
          <w:spacing w:val="-1"/>
        </w:rPr>
        <w:t>4</w:t>
      </w:r>
      <w:r>
        <w:rPr>
          <w:rFonts w:ascii="宋体" w:hAnsi="宋体" w:cs="宋体" w:eastAsia="宋体" w:hint="default"/>
          <w:b/>
          <w:bCs/>
          <w:spacing w:val="-1"/>
        </w:rPr>
        <w:t>）强化物资采供管理。</w:t>
      </w:r>
      <w:r>
        <w:rPr>
          <w:spacing w:val="-1"/>
        </w:rPr>
        <w:t>立足科学化、合理化，将财务管理职能深度延伸，实行阳光采</w:t>
      </w:r>
      <w:r>
        <w:rPr/>
        <w:t> 购，标杆采购，有效降低采购成本，提高采购效率。</w:t>
      </w:r>
    </w:p>
    <w:p>
      <w:pPr>
        <w:spacing w:after="0" w:line="312" w:lineRule="exact"/>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3,857,565,344.01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3,022,955,177.10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3,857,565,344.01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3,022,955,177.10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27.61%</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3,674,252,994.95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2,826,521,197.82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84,673,712.26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90,693,972.62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61,324,236.58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81,284,477.31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37,314,400.22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24,455,529.35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52.58%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3,136,926,491.35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2,553,269,408.49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720,638,852.66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469,685,768.61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8" w:lineRule="auto"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4" w:space="570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3,820,250,943.79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3,185,784,644.60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3,674,252,994.95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3,062,708,081.16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84,673,712.26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70,386,494.15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61,324,236.58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52,690,069.29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3,099,612,091.13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2,644,445,160.25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720,638,852.66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541,339,484.35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聚酯薄膜行业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300,261.59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33.62%</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-21.43%</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3" w:space="804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2,503,885,231.99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2,078,523,479.90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59,930,836.23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32,910,298.36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燃料动力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195,262,837.63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152,879,351.07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303,629,175.31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245,951,076.78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52,690,069.29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66,269,862.44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70,386,494.15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82,875,145.73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5,276,289.55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1"/>
          <w:szCs w:val="21"/>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1,085,085,958.10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28.13%</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400,344,270.62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229,793,717.48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192,069,236.31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156,345,125.96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106,533,607.73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1,085,085,958.10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2,043,436,761.30</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64.13%</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932,837,495.13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29.28%</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329,126,781.06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10.33%</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308,235,611.55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248,056,071.31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225,180,802.25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2,043,436,761.30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111,570,405.43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91,677,511.67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61,362,885.30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42,940,457.11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42.90%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主要原因系公司本报告期管理工资、 奖金、福利及社保费用较上年同期增 加所致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27,506,804.19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27,478,980.43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121,508,267.11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96,604,139.55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25.78%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3"/>
        <w:spacing w:line="312" w:lineRule="exact" w:before="86"/>
        <w:ind w:right="996" w:firstLine="480"/>
        <w:jc w:val="left"/>
      </w:pPr>
      <w:r>
        <w:rPr/>
        <w:t>深入实施创新驱动发展战略，加快形成以科技创新、技术创新、产品开发为主要引领和 </w:t>
      </w:r>
      <w:r>
        <w:rPr>
          <w:spacing w:val="-2"/>
        </w:rPr>
        <w:t>支撑的创新体系和发展模式。一批新技术应用、新产品开发、新市场拓展，使产品结构调优，</w:t>
      </w:r>
      <w:r>
        <w:rPr/>
        <w:t> 通过技术进步，效率提升，效益增加，产品质量稳定中提升，形成较强的技术和产品竞争优</w:t>
      </w:r>
      <w:r>
        <w:rPr>
          <w:spacing w:val="-91"/>
        </w:rPr>
        <w:t> </w:t>
      </w:r>
      <w:r>
        <w:rPr>
          <w:spacing w:val="-91"/>
        </w:rPr>
      </w:r>
      <w:r>
        <w:rPr>
          <w:spacing w:val="-5"/>
        </w:rPr>
        <w:t>势。</w:t>
      </w:r>
      <w:r>
        <w:rPr>
          <w:rFonts w:ascii="宋体" w:hAnsi="宋体" w:cs="宋体" w:eastAsia="宋体" w:hint="default"/>
          <w:spacing w:val="-5"/>
        </w:rPr>
        <w:t>2018</w:t>
      </w:r>
      <w:r>
        <w:rPr>
          <w:spacing w:val="-5"/>
        </w:rPr>
        <w:t>年，研发投入</w:t>
      </w:r>
      <w:r>
        <w:rPr>
          <w:rFonts w:ascii="宋体" w:hAnsi="宋体" w:cs="宋体" w:eastAsia="宋体" w:hint="default"/>
          <w:spacing w:val="-5"/>
        </w:rPr>
        <w:t>12150.8</w:t>
      </w:r>
      <w:r>
        <w:rPr>
          <w:spacing w:val="-5"/>
        </w:rPr>
        <w:t>万元，承担自主备案项目</w:t>
      </w:r>
      <w:r>
        <w:rPr>
          <w:rFonts w:ascii="宋体" w:hAnsi="宋体" w:cs="宋体" w:eastAsia="宋体" w:hint="default"/>
          <w:spacing w:val="-5"/>
        </w:rPr>
        <w:t>14</w:t>
      </w:r>
      <w:r>
        <w:rPr>
          <w:spacing w:val="-5"/>
        </w:rPr>
        <w:t>项，落实四银低辐射隔热节能窗膜、</w:t>
      </w:r>
      <w:r>
        <w:rPr>
          <w:spacing w:val="-84"/>
        </w:rPr>
        <w:t> </w:t>
      </w:r>
      <w:r>
        <w:rPr>
          <w:spacing w:val="-84"/>
        </w:rPr>
      </w:r>
      <w:r>
        <w:rPr/>
        <w:t>直下式无扩散板背光模组用复合膜片、棱镜复合用光学级聚酯薄膜等</w:t>
      </w:r>
      <w:r>
        <w:rPr>
          <w:rFonts w:ascii="宋体" w:hAnsi="宋体" w:cs="宋体" w:eastAsia="宋体" w:hint="default"/>
        </w:rPr>
        <w:t>30</w:t>
      </w:r>
      <w:r>
        <w:rPr/>
        <w:t>多项新产品新技术开</w:t>
      </w:r>
      <w:r>
        <w:rPr>
          <w:spacing w:val="-87"/>
        </w:rPr>
        <w:t> </w:t>
      </w:r>
      <w:r>
        <w:rPr>
          <w:spacing w:val="-87"/>
        </w:rPr>
      </w:r>
      <w:r>
        <w:rPr/>
        <w:t>发完成；申请专利</w:t>
      </w:r>
      <w:r>
        <w:rPr>
          <w:rFonts w:ascii="宋体" w:hAnsi="宋体" w:cs="宋体" w:eastAsia="宋体" w:hint="default"/>
        </w:rPr>
        <w:t>11</w:t>
      </w:r>
      <w:r>
        <w:rPr/>
        <w:t>件，授权专利</w:t>
      </w:r>
      <w:r>
        <w:rPr>
          <w:rFonts w:ascii="宋体" w:hAnsi="宋体" w:cs="宋体" w:eastAsia="宋体" w:hint="default"/>
        </w:rPr>
        <w:t>16</w:t>
      </w:r>
      <w:r>
        <w:rPr/>
        <w:t>件，其中：授权发明专利</w:t>
      </w:r>
      <w:r>
        <w:rPr>
          <w:rFonts w:ascii="宋体" w:hAnsi="宋体" w:cs="宋体" w:eastAsia="宋体" w:hint="default"/>
        </w:rPr>
        <w:t>6</w:t>
      </w:r>
      <w:r>
        <w:rPr/>
        <w:t>件，授权实用新型专利</w:t>
      </w:r>
      <w:r>
        <w:rPr>
          <w:rFonts w:ascii="宋体" w:hAnsi="宋体" w:cs="宋体" w:eastAsia="宋体" w:hint="default"/>
        </w:rPr>
        <w:t>10</w:t>
      </w:r>
      <w:r>
        <w:rPr/>
        <w:t>件； 通过新产品新技术鉴定</w:t>
      </w:r>
      <w:r>
        <w:rPr>
          <w:rFonts w:ascii="宋体" w:hAnsi="宋体" w:cs="宋体" w:eastAsia="宋体" w:hint="default"/>
        </w:rPr>
        <w:t>6</w:t>
      </w:r>
      <w:r>
        <w:rPr/>
        <w:t>项，以技术创新增强核心竞争力，形成持续成长的新动能，支撑企业 长足发展。</w:t>
      </w:r>
    </w:p>
    <w:p>
      <w:pPr>
        <w:spacing w:before="58"/>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121,508,267.11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96,604,139.55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25.78%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0"/>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3,506,776,388.34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2,571,752,645.40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3,333,312,261.33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2,558,735,233.05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173,464,127.01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13,017,412.35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1,232.55%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4,315,001,584.55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2,095,468,953.09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4,308,422,775.66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4,761,121,920.26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6,578,808.89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-2,665,652,967.17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1,969,306,649.81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50,513,319.96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1,918,793,329.85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139,350,229.89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-748,227,623.49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-118.62%</w:t>
            </w:r>
            <w:r>
              <w:rPr>
                <w:rFonts w:ascii="Times New Roman"/>
                <w:spacing w:val="-1"/>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）经营活动现金流入同比增加</w:t>
      </w:r>
      <w:r>
        <w:rPr>
          <w:rFonts w:ascii="Times New Roman" w:hAnsi="Times New Roman" w:cs="Times New Roman" w:eastAsia="Times New Roman" w:hint="default"/>
          <w:sz w:val="18"/>
          <w:szCs w:val="18"/>
        </w:rPr>
        <w:t>36.36%</w:t>
      </w:r>
      <w:r>
        <w:rPr>
          <w:rFonts w:ascii="宋体" w:hAnsi="宋体" w:cs="宋体" w:eastAsia="宋体" w:hint="default"/>
          <w:sz w:val="18"/>
          <w:szCs w:val="18"/>
        </w:rPr>
        <w:t>，主要原因系报告期内销售回款收到的现金较上年同期增加所致；</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）经营活动现金流出同比增加</w:t>
      </w:r>
      <w:r>
        <w:rPr>
          <w:rFonts w:ascii="Times New Roman" w:hAnsi="Times New Roman" w:cs="Times New Roman" w:eastAsia="Times New Roman" w:hint="default"/>
          <w:sz w:val="18"/>
          <w:szCs w:val="18"/>
        </w:rPr>
        <w:t>30.27%</w:t>
      </w:r>
      <w:r>
        <w:rPr>
          <w:rFonts w:ascii="宋体" w:hAnsi="宋体" w:cs="宋体" w:eastAsia="宋体" w:hint="default"/>
          <w:sz w:val="18"/>
          <w:szCs w:val="18"/>
        </w:rPr>
        <w:t>，主要原因系报告期内销售增加相应购买原料支付的现金较上年同期增加所致；</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）经营活动产生的现金流量净额同比增加</w:t>
      </w:r>
      <w:r>
        <w:rPr>
          <w:rFonts w:ascii="Times New Roman" w:hAnsi="Times New Roman" w:cs="Times New Roman" w:eastAsia="Times New Roman" w:hint="default"/>
          <w:sz w:val="18"/>
          <w:szCs w:val="18"/>
        </w:rPr>
        <w:t>1232.55%</w:t>
      </w:r>
      <w:r>
        <w:rPr>
          <w:rFonts w:ascii="宋体" w:hAnsi="宋体" w:cs="宋体" w:eastAsia="宋体" w:hint="default"/>
          <w:sz w:val="18"/>
          <w:szCs w:val="18"/>
        </w:rPr>
        <w:t>，主要原因系报告期内销售收到的现金较上年同期增加所致；</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）投资活动现金流入同比增长了</w:t>
      </w:r>
      <w:r>
        <w:rPr>
          <w:rFonts w:ascii="Times New Roman" w:hAnsi="Times New Roman" w:cs="Times New Roman" w:eastAsia="Times New Roman" w:hint="default"/>
          <w:sz w:val="18"/>
          <w:szCs w:val="18"/>
        </w:rPr>
        <w:t>105.92%</w:t>
      </w:r>
      <w:r>
        <w:rPr>
          <w:rFonts w:ascii="宋体" w:hAnsi="宋体" w:cs="宋体" w:eastAsia="宋体" w:hint="default"/>
          <w:sz w:val="18"/>
          <w:szCs w:val="18"/>
        </w:rPr>
        <w:t>，主要原因系报告期内购买理财产品到期资金到账所致；</w:t>
      </w:r>
    </w:p>
    <w:p>
      <w:pPr>
        <w:spacing w:line="300" w:lineRule="auto" w:before="63"/>
        <w:ind w:left="152" w:right="11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）投资活动产生的现金流量净额同比减少</w:t>
      </w:r>
      <w:r>
        <w:rPr>
          <w:rFonts w:ascii="Times New Roman" w:hAnsi="Times New Roman" w:cs="Times New Roman" w:eastAsia="Times New Roman" w:hint="default"/>
          <w:sz w:val="18"/>
          <w:szCs w:val="18"/>
        </w:rPr>
        <w:t>100.25%</w:t>
      </w:r>
      <w:r>
        <w:rPr>
          <w:rFonts w:ascii="宋体" w:hAnsi="宋体" w:cs="宋体" w:eastAsia="宋体" w:hint="default"/>
          <w:sz w:val="18"/>
          <w:szCs w:val="18"/>
        </w:rPr>
        <w:t>，主要原因系报告期内募集资金购买理财产品资金到账较上年同期增加 所致；</w:t>
      </w:r>
    </w:p>
    <w:p>
      <w:pPr>
        <w:spacing w:before="3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）筹资活动现金流入同比减少</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，主要原因系公司上年同期非公开发行股份资金到账所致；</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）筹资活动产生的现金流量净额同比减少</w:t>
      </w:r>
      <w:r>
        <w:rPr>
          <w:rFonts w:ascii="Times New Roman" w:hAnsi="Times New Roman" w:cs="Times New Roman" w:eastAsia="Times New Roman" w:hint="default"/>
          <w:sz w:val="18"/>
          <w:szCs w:val="18"/>
        </w:rPr>
        <w:t>102.31%</w:t>
      </w:r>
      <w:r>
        <w:rPr>
          <w:rFonts w:ascii="宋体" w:hAnsi="宋体" w:cs="宋体" w:eastAsia="宋体" w:hint="default"/>
          <w:sz w:val="18"/>
          <w:szCs w:val="18"/>
        </w:rPr>
        <w:t>，主要原因系公司上年同期非公开发行股份资金到账所致。</w:t>
      </w:r>
    </w:p>
    <w:p>
      <w:pPr>
        <w:spacing w:line="340" w:lineRule="auto" w:before="101"/>
        <w:ind w:left="152" w:right="11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）现金及现金等价物净增加额同比增少</w:t>
      </w:r>
      <w:r>
        <w:rPr>
          <w:rFonts w:ascii="Times New Roman" w:hAnsi="Times New Roman" w:cs="Times New Roman" w:eastAsia="Times New Roman" w:hint="default"/>
          <w:sz w:val="18"/>
          <w:szCs w:val="18"/>
        </w:rPr>
        <w:t>118.62%</w:t>
      </w:r>
      <w:r>
        <w:rPr>
          <w:rFonts w:ascii="宋体" w:hAnsi="宋体" w:cs="宋体" w:eastAsia="宋体" w:hint="default"/>
          <w:sz w:val="18"/>
          <w:szCs w:val="18"/>
        </w:rPr>
        <w:t>，主要原因系报告期经营活动产生的现金流量净额较上年同期增加所致。 报告期内公司经营活动产生的现金净流量与本年度净利润存在重大差异的原因说明</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91"/>
        <w:gridCol w:w="797"/>
        <w:gridCol w:w="2919"/>
      </w:tblGrid>
      <w:tr>
        <w:trPr>
          <w:trHeight w:val="38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621,264,238.56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825,623,745.22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921,560,212.41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908,896,334.12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1,446,550,380.65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15.55%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1,088,932,800.92</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3.52%</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增加原因系聚酯薄膜备货库存增加 及原材料价格上涨导致产品成本上 升所致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3,329,463,894.91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35.79%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2,509,728,845.72</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27.73%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8.06%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增加原因系二亿平光学膜部分项目 </w:t>
            </w:r>
            <w:r>
              <w:rPr>
                <w:rFonts w:ascii="宋体" w:hAnsi="宋体" w:cs="宋体" w:eastAsia="宋体" w:hint="default"/>
                <w:spacing w:val="-2"/>
                <w:sz w:val="18"/>
                <w:szCs w:val="18"/>
              </w:rPr>
              <w:t>完工投产，房屋竣工验收完成，由在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建工程转入固定资产所致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224,747,061.08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2.42%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911,445,567.90</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-7.65%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增加原因系二亿平光学膜部分项目 </w:t>
            </w:r>
            <w:r>
              <w:rPr>
                <w:rFonts w:ascii="宋体" w:hAnsi="宋体" w:cs="宋体" w:eastAsia="宋体" w:hint="default"/>
                <w:spacing w:val="-2"/>
                <w:sz w:val="18"/>
                <w:szCs w:val="18"/>
              </w:rPr>
              <w:t>完工投产，房屋竣工验收完成，由在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建工程转入固定资产所致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4,063,333.33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11,931,218.36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减少原因系本期用于购买理财产品 计提应收利息减少所致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127,430,768.03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95,410,026.65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增加原因系新购土地所致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2,856,068.64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1,488,156.35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增加原因系新增苗木绿化资产所致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14,692,396.22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9,529,648.03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增加原因系账龄政策计提坏账准备 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176,472,736.35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67,134,086.30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增加原因预付光学膜二期工程项目 资金所致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41,899,137.40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27,968,348.32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增加原因系本期销售订单增加所致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21,977,141.98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12,877,637.86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增加原因系本期计提待发放的工资 奖金增加所致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13,324,241.78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9,897,990.07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增加原因系本期利润总额增加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计提 的应缴纳所得税增加所致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118,583,361.97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302,186,692.43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减少原因系本期支付光学膜二期项 目资金所致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1,192,048,121.84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914,192,559.67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增加原因系本期利润增加所致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left="392" w:right="139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left="392" w:right="1394"/>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2" w:right="139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left="392" w:right="139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4"/>
        <w:spacing w:line="240" w:lineRule="auto"/>
        <w:ind w:left="392" w:right="139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left="392" w:right="139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277"/>
        <w:gridCol w:w="1289"/>
        <w:gridCol w:w="1090"/>
        <w:gridCol w:w="1447"/>
        <w:gridCol w:w="924"/>
        <w:gridCol w:w="958"/>
        <w:gridCol w:w="1097"/>
        <w:gridCol w:w="1274"/>
        <w:gridCol w:w="852"/>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9" w:right="86"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4"/>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3" w:right="92"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3"/>
              <w:jc w:val="right"/>
              <w:rPr>
                <w:rFonts w:ascii="Times New Roman" w:hAnsi="Times New Roman" w:cs="Times New Roman" w:eastAsia="Times New Roman" w:hint="default"/>
                <w:sz w:val="18"/>
                <w:szCs w:val="18"/>
              </w:rPr>
            </w:pPr>
            <w:r>
              <w:rPr>
                <w:rFonts w:ascii="Times New Roman"/>
                <w:spacing w:val="-1"/>
                <w:sz w:val="18"/>
              </w:rPr>
              <w:t>3,000,000.00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5,660,157.00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5,194,200.00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4"/>
              <w:jc w:val="right"/>
              <w:rPr>
                <w:rFonts w:ascii="Times New Roman" w:hAnsi="Times New Roman" w:cs="Times New Roman" w:eastAsia="Times New Roman" w:hint="default"/>
                <w:sz w:val="18"/>
                <w:szCs w:val="18"/>
              </w:rPr>
            </w:pPr>
            <w:r>
              <w:rPr>
                <w:rFonts w:ascii="Times New Roman"/>
                <w:spacing w:val="-1"/>
                <w:sz w:val="18"/>
              </w:rPr>
              <w:t>398,000,000.00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398,000,000.00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4"/>
              <w:jc w:val="right"/>
              <w:rPr>
                <w:rFonts w:ascii="Times New Roman" w:hAnsi="Times New Roman" w:cs="Times New Roman" w:eastAsia="Times New Roman" w:hint="default"/>
                <w:sz w:val="18"/>
                <w:szCs w:val="18"/>
              </w:rPr>
            </w:pPr>
            <w:r>
              <w:rPr>
                <w:rFonts w:ascii="Times New Roman"/>
                <w:spacing w:val="-1"/>
                <w:sz w:val="18"/>
              </w:rPr>
              <w:t>401,000,000.00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5,660,157.00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403,194,200.00</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392" w:right="139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392" w:right="139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4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首发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270,660.97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275,999.15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52" w:right="67" w:hanging="180"/>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17.3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136,793.94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381.91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138,298.03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52" w:right="67" w:hanging="180"/>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1,844.19</w:t>
            </w: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196,757.29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54,675.96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96,881.04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109,262.36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63" w:right="67" w:hanging="92"/>
              <w:jc w:val="left"/>
              <w:rPr>
                <w:rFonts w:ascii="宋体" w:hAnsi="宋体" w:cs="宋体" w:eastAsia="宋体" w:hint="default"/>
                <w:sz w:val="18"/>
                <w:szCs w:val="18"/>
              </w:rPr>
            </w:pPr>
            <w:r>
              <w:rPr>
                <w:rFonts w:ascii="宋体" w:hAnsi="宋体" w:cs="宋体" w:eastAsia="宋体" w:hint="default"/>
                <w:sz w:val="18"/>
                <w:szCs w:val="18"/>
              </w:rPr>
              <w:t>募集专户 和理财</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604,212.2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55,057.87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511,178.22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2.98%</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109,262.36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95" w:right="0"/>
              <w:jc w:val="left"/>
              <w:rPr>
                <w:rFonts w:ascii="Times New Roman" w:hAnsi="Times New Roman" w:cs="Times New Roman" w:eastAsia="Times New Roman" w:hint="default"/>
                <w:sz w:val="18"/>
                <w:szCs w:val="18"/>
              </w:rPr>
            </w:pPr>
            <w:r>
              <w:rPr>
                <w:rFonts w:ascii="Times New Roman"/>
                <w:sz w:val="18"/>
              </w:rPr>
              <w:t>1,861.49</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、首次发行募集资金</w:t>
            </w:r>
            <w:r>
              <w:rPr>
                <w:rFonts w:ascii="宋体" w:hAnsi="宋体" w:cs="宋体" w:eastAsia="宋体" w:hint="default"/>
                <w:spacing w:val="-4"/>
                <w:sz w:val="18"/>
                <w:szCs w:val="18"/>
              </w:rPr>
              <w:t> </w:t>
            </w:r>
            <w:r>
              <w:rPr>
                <w:rFonts w:ascii="宋体" w:hAnsi="宋体" w:cs="宋体" w:eastAsia="宋体" w:hint="default"/>
                <w:sz w:val="18"/>
                <w:szCs w:val="18"/>
              </w:rPr>
              <w:t>公司实际募集资金净额为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万元，实际募集资金净额超过计划募集资金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日，公司募集资金承诺投资项目已累计投入资金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66192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209807.15 </w:t>
            </w:r>
            <w:r>
              <w:rPr>
                <w:rFonts w:ascii="宋体" w:hAnsi="宋体" w:cs="宋体" w:eastAsia="宋体" w:hint="default"/>
                <w:spacing w:val="-4"/>
                <w:sz w:val="18"/>
                <w:szCs w:val="18"/>
              </w:rPr>
              <w:t>万元投入使用，募</w:t>
            </w:r>
            <w:r>
              <w:rPr>
                <w:rFonts w:ascii="宋体" w:hAnsi="宋体" w:cs="宋体" w:eastAsia="宋体" w:hint="default"/>
                <w:sz w:val="18"/>
                <w:szCs w:val="18"/>
              </w:rPr>
              <w:t> 集资金累计使用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275999.15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年非公开发行募集资金</w:t>
            </w:r>
            <w:r>
              <w:rPr>
                <w:rFonts w:ascii="宋体" w:hAnsi="宋体" w:cs="宋体" w:eastAsia="宋体" w:hint="default"/>
                <w:spacing w:val="-4"/>
                <w:sz w:val="18"/>
                <w:szCs w:val="18"/>
              </w:rPr>
              <w:t> </w:t>
            </w:r>
            <w:r>
              <w:rPr>
                <w:rFonts w:ascii="宋体" w:hAnsi="宋体" w:cs="宋体" w:eastAsia="宋体" w:hint="default"/>
                <w:sz w:val="18"/>
                <w:szCs w:val="18"/>
              </w:rPr>
              <w:t>公司非公开发行股票实际募集资金净额为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136793.94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日，定向增发募集资金专户项目支出累计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138298.03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年非公开发行募集资金</w:t>
            </w:r>
            <w:r>
              <w:rPr>
                <w:rFonts w:ascii="宋体" w:hAnsi="宋体" w:cs="宋体" w:eastAsia="宋体" w:hint="default"/>
                <w:spacing w:val="-3"/>
                <w:sz w:val="18"/>
                <w:szCs w:val="18"/>
              </w:rPr>
              <w:t> </w:t>
            </w:r>
            <w:r>
              <w:rPr>
                <w:rFonts w:ascii="宋体" w:hAnsi="宋体" w:cs="宋体" w:eastAsia="宋体" w:hint="default"/>
                <w:sz w:val="18"/>
                <w:szCs w:val="18"/>
              </w:rPr>
              <w:t>公</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司非公开发行股票实际募集资金净额为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196757.29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日，定向增发募集资金专户项目支出累计</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96881.04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 性聚酯薄膜项目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66,163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66,192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10,667.83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136,793.9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118,793.9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120,298.0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-661.06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收购江西科为薄膜新 型材料有限公司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204.75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万平方米 光学膜项目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196,757.2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196,757.2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54,675.96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96,881.04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399,714.2</w:t>
            </w:r>
          </w:p>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399,714.2</w:t>
            </w:r>
          </w:p>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55,057.87</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301,371.0</w:t>
            </w:r>
          </w:p>
          <w:p>
            <w:pPr>
              <w:pStyle w:val="TableParagraph"/>
              <w:spacing w:line="240" w:lineRule="auto" w:before="103"/>
              <w:ind w:left="8" w:right="0"/>
              <w:jc w:val="center"/>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10,211.52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69" w:right="6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 池封装材料基材项目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65,811.42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64,870.55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4,544.97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138,686.5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138,686.5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144,936.6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7pt;margin-top:71.999985pt;width:478.7pt;height:694.3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8"/>
                    <w:gridCol w:w="781"/>
                    <w:gridCol w:w="780"/>
                    <w:gridCol w:w="780"/>
                    <w:gridCol w:w="780"/>
                    <w:gridCol w:w="780"/>
                    <w:gridCol w:w="780"/>
                    <w:gridCol w:w="781"/>
                    <w:gridCol w:w="780"/>
                    <w:gridCol w:w="780"/>
                  </w:tblGrid>
                  <w:tr>
                    <w:trPr>
                      <w:trHeight w:val="67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57" w:right="23" w:hanging="46"/>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功能性膜级切片项目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21,749.36</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604,212.2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55,057.87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511,178.2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31,960.88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25"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首次发行募集资金投资项目即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万吨新型功能性聚酯薄膜项目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w:t>
                        </w:r>
                      </w:p>
                      <w:p>
                        <w:pPr>
                          <w:pStyle w:val="TableParagraph"/>
                          <w:spacing w:line="314"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效益的原因为：公司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万吨新型功能性聚酯薄膜项目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建成后，涵盖了高收缩率、中收缩率、 低收缩力等各类产品，满足了低温收缩、较好收缩曲线的要求，适用于各种标签、瓶用套装、异形 容器外用收缩等产品。该项目效益测算按照当时经济形势及市场需求计算预计效益但项目建成后由 于市场竞争激烈，导致该项目生产的产品价格出现了较大的波动，影响了该项目预计效益实现。首 次发行募集资金投资项目即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万吨新型功能性聚酯薄膜及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万吨功能性膜级切片项目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w:t>
                        </w:r>
                      </w:p>
                      <w:p>
                        <w:pPr>
                          <w:pStyle w:val="TableParagraph"/>
                          <w:spacing w:line="307" w:lineRule="auto" w:before="1"/>
                          <w:ind w:left="16" w:right="19"/>
                          <w:jc w:val="left"/>
                          <w:rPr>
                            <w:rFonts w:ascii="宋体" w:hAnsi="宋体" w:cs="宋体" w:eastAsia="宋体" w:hint="default"/>
                            <w:sz w:val="18"/>
                            <w:szCs w:val="18"/>
                          </w:rPr>
                        </w:pPr>
                        <w:r>
                          <w:rPr>
                            <w:rFonts w:ascii="宋体" w:hAnsi="宋体" w:cs="宋体" w:eastAsia="宋体" w:hint="default"/>
                            <w:spacing w:val="-4"/>
                            <w:sz w:val="18"/>
                            <w:szCs w:val="18"/>
                          </w:rPr>
                          <w:t>度实现的效益未达到预计效益的原因为：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年产</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万吨功能性膜级切片</w:t>
                        </w:r>
                        <w:r>
                          <w:rPr>
                            <w:rFonts w:ascii="Times New Roman" w:hAnsi="Times New Roman" w:cs="Times New Roman" w:eastAsia="Times New Roman" w:hint="default"/>
                            <w:sz w:val="18"/>
                            <w:szCs w:val="18"/>
                          </w:rPr>
                          <w:t>”</w:t>
                        </w:r>
                        <w:r>
                          <w:rPr>
                            <w:rFonts w:ascii="宋体" w:hAnsi="宋体" w:cs="宋体" w:eastAsia="宋体" w:hint="default"/>
                            <w:sz w:val="18"/>
                            <w:szCs w:val="18"/>
                          </w:rPr>
                          <w:t>建成投产后主要为公司最终</w:t>
                        </w:r>
                        <w:r>
                          <w:rPr>
                            <w:rFonts w:ascii="宋体" w:hAnsi="宋体" w:cs="宋体" w:eastAsia="宋体" w:hint="default"/>
                            <w:spacing w:val="-88"/>
                            <w:sz w:val="18"/>
                            <w:szCs w:val="18"/>
                          </w:rPr>
                          <w:t> </w:t>
                        </w:r>
                        <w:r>
                          <w:rPr>
                            <w:rFonts w:ascii="宋体" w:hAnsi="宋体" w:cs="宋体" w:eastAsia="宋体" w:hint="default"/>
                            <w:sz w:val="18"/>
                            <w:szCs w:val="18"/>
                          </w:rPr>
                          <w:t>产品提供原材料，并不直接对外销售，根据公司整体产品规划、生产计划和原材料研发需要进行生 产安排，因此，公司主要产品的价格波动对膜级切片的效益产生较大影响。</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 </w:t>
                        </w:r>
                        <w:r>
                          <w:rPr>
                            <w:rFonts w:ascii="宋体" w:hAnsi="宋体" w:cs="宋体" w:eastAsia="宋体" w:hint="default"/>
                            <w:spacing w:val="-4"/>
                            <w:sz w:val="18"/>
                            <w:szCs w:val="18"/>
                          </w:rPr>
                          <w:t>性聚酯薄膜项目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建成投产后，该项目产能利用率和产销率都已达到预期，受到整体经济形势的影响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市场竞争较为激烈，产品价格下降幅度较大，未能达到预计效益。首次发行募集资金投资项目即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年</w:t>
                        </w:r>
                        <w:r>
                          <w:rPr>
                            <w:rFonts w:ascii="宋体" w:hAnsi="宋体" w:cs="宋体" w:eastAsia="宋体" w:hint="default"/>
                            <w:spacing w:val="-83"/>
                            <w:sz w:val="18"/>
                            <w:szCs w:val="18"/>
                          </w:rPr>
                          <w:t> </w:t>
                        </w:r>
                        <w:r>
                          <w:rPr>
                            <w:rFonts w:ascii="宋体" w:hAnsi="宋体" w:cs="宋体" w:eastAsia="宋体" w:hint="default"/>
                            <w:sz w:val="18"/>
                            <w:szCs w:val="18"/>
                          </w:rPr>
                          <w:t>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2"/>
                            <w:sz w:val="18"/>
                            <w:szCs w:val="18"/>
                          </w:rPr>
                          <w:t>万吨太阳能电池封装材料基材项目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投产后，公司推出适应不同地区气候条件使用的太阳能电池背材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基膜、太阳能电池背板膜等系列产品，因经济形势的波动对新能源行业影响较大，对公司该产品的 </w:t>
                        </w:r>
                        <w:r>
                          <w:rPr>
                            <w:rFonts w:ascii="宋体" w:hAnsi="宋体" w:cs="宋体" w:eastAsia="宋体" w:hint="default"/>
                            <w:spacing w:val="-2"/>
                            <w:sz w:val="18"/>
                            <w:szCs w:val="18"/>
                          </w:rPr>
                          <w:t>推广及销售产生了较为不利的影响，未能达到预计效益。定向增发募集资金投资项目即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年产一亿平</w:t>
                        </w:r>
                        <w:r>
                          <w:rPr>
                            <w:rFonts w:ascii="宋体" w:hAnsi="宋体" w:cs="宋体" w:eastAsia="宋体" w:hint="default"/>
                            <w:spacing w:val="-80"/>
                            <w:sz w:val="18"/>
                            <w:szCs w:val="18"/>
                          </w:rPr>
                          <w:t> </w:t>
                        </w:r>
                        <w:r>
                          <w:rPr>
                            <w:rFonts w:ascii="宋体" w:hAnsi="宋体" w:cs="宋体" w:eastAsia="宋体" w:hint="default"/>
                            <w:sz w:val="18"/>
                            <w:szCs w:val="18"/>
                          </w:rPr>
                          <w:t>米的光学膜项目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本年度实现的效益未达到预计效益的原因为：公司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年产一亿平米的光学膜项目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投产后，主要生产光学膜等新型产品，市场竞争激烈，目前光学膜产品已获得三星在内的国际一线 品牌认证并全球供货；国内主要客户为京东、</w:t>
                        </w:r>
                        <w:r>
                          <w:rPr>
                            <w:rFonts w:ascii="Times New Roman" w:hAnsi="Times New Roman" w:cs="Times New Roman" w:eastAsia="Times New Roman" w:hint="default"/>
                            <w:sz w:val="18"/>
                            <w:szCs w:val="18"/>
                          </w:rPr>
                          <w:t>TCL</w:t>
                        </w:r>
                        <w:r>
                          <w:rPr>
                            <w:rFonts w:ascii="宋体" w:hAnsi="宋体" w:cs="宋体" w:eastAsia="宋体" w:hint="default"/>
                            <w:sz w:val="18"/>
                            <w:szCs w:val="18"/>
                          </w:rPr>
                          <w:t>、海信、创维、长虹、康冠、小米、华为等国内 品牌。由于受到前期技术逐步完善、技术创新等因素影响，导致该系列产品成本较高；此外，由于 公司涉足光学膜时间较短，国内外销售渠道培育需要一定周期，对公司该产品的推广及销售产生了 一定影响。定向增发募集资金投资项目即</w:t>
                        </w:r>
                        <w:r>
                          <w:rPr>
                            <w:rFonts w:ascii="Times New Roman" w:hAnsi="Times New Roman" w:cs="Times New Roman" w:eastAsia="Times New Roman" w:hint="default"/>
                            <w:sz w:val="18"/>
                            <w:szCs w:val="18"/>
                          </w:rPr>
                          <w:t>“</w:t>
                        </w:r>
                        <w:r>
                          <w:rPr>
                            <w:rFonts w:ascii="宋体" w:hAnsi="宋体" w:cs="宋体" w:eastAsia="宋体" w:hint="default"/>
                            <w:sz w:val="18"/>
                            <w:szCs w:val="18"/>
                          </w:rPr>
                          <w:t>收购江西科为薄膜新型材料有限公司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 未达到预计效益的原因为：由于受到江西科为薄膜新型材料有限公司经营等因素影响，江西科为薄 膜新型材料有限公司未达到预期效益。</w:t>
                        </w:r>
                      </w:p>
                    </w:tc>
                  </w:tr>
                  <w:tr>
                    <w:trPr>
                      <w:trHeight w:val="1015"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125"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2"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日召开了关于超募资金投资项目的临时股东大会并对超募资金的使用计划进行</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8"/>
                            <w:sz w:val="18"/>
                            <w:szCs w:val="18"/>
                          </w:rPr>
                          <w:t>了公告。超募资金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万元将用于投资建设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万吨太阳能电池封装材料基材项目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p>
                        <w:pPr>
                          <w:pStyle w:val="TableParagraph"/>
                          <w:spacing w:line="300" w:lineRule="auto" w:before="63"/>
                          <w:ind w:left="16" w:right="17"/>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万吨新型功能性聚酯薄膜及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w w:val="100"/>
                            <w:sz w:val="18"/>
                            <w:szCs w:val="18"/>
                          </w:rPr>
                          <w:t>万吨功能性膜级切片项目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，超募资金不能满足项目资金需求部</w:t>
                        </w:r>
                        <w:r>
                          <w:rPr>
                            <w:rFonts w:ascii="宋体" w:hAnsi="宋体" w:cs="宋体" w:eastAsia="宋体" w:hint="default"/>
                            <w:sz w:val="18"/>
                            <w:szCs w:val="18"/>
                          </w:rPr>
                          <w:t> 分，公司将通过自筹等方式来解决，</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年度超募资金使用了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年度超募资金 使用了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89,443.32</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33,111.09</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年度超募资金使用了</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6,281.01</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年度超募资金使用了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729.28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超募资金使用了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2,245.12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年度未使用超募资金，截止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日，累计支付资</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209,807.15 </w:t>
                        </w:r>
                        <w:r>
                          <w:rPr>
                            <w:rFonts w:ascii="宋体" w:hAnsi="宋体" w:cs="宋体" w:eastAsia="宋体" w:hint="default"/>
                            <w:sz w:val="18"/>
                            <w:szCs w:val="18"/>
                          </w:rPr>
                          <w:t>万元。</w:t>
                        </w:r>
                      </w:p>
                    </w:tc>
                  </w:tr>
                  <w:tr>
                    <w:trPr>
                      <w:trHeight w:val="704"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1142"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0"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日，公司第一届董事会第七次会议审议并通过了《关于使用募集资金置换预先已投 </w:t>
                        </w:r>
                        <w:r>
                          <w:rPr>
                            <w:rFonts w:ascii="宋体" w:hAnsi="宋体" w:cs="宋体" w:eastAsia="宋体" w:hint="default"/>
                            <w:spacing w:val="-5"/>
                            <w:sz w:val="18"/>
                            <w:szCs w:val="18"/>
                          </w:rPr>
                          <w:t>入募集资金项目的自筹资金的议案》，同意公司以首次公开发行股票募集资金置换预先已投入募集资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金投资项目的自筹资金共计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元。上述置换资金业经保荐人确认，并经上海众华沪银</w:t>
                        </w:r>
                      </w:p>
                      <w:p>
                        <w:pPr>
                          <w:pStyle w:val="TableParagraph"/>
                          <w:spacing w:line="309" w:lineRule="auto" w:before="7"/>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会计师事务所有限公司沪众会字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号专项鉴证报告确认。</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 </w:t>
                        </w:r>
                        <w:r>
                          <w:rPr>
                            <w:rFonts w:ascii="宋体" w:hAnsi="宋体" w:cs="宋体" w:eastAsia="宋体" w:hint="default"/>
                            <w:spacing w:val="-5"/>
                            <w:sz w:val="18"/>
                            <w:szCs w:val="18"/>
                          </w:rPr>
                          <w:t>届董事会第九次会议审议并通过了《公司以募集资金置换预先已投入募集资金项目自筹资金》，同意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公司以非公开发行股票募集资金置换预先已投入募集资金投资项目的自筹资金共计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140,652,078.81</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元。上述置换资金业经保荐人确认，并经众华会计师事务所众会字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4615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号专项鉴证报告确</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日，公司第三届董事会第六次会议审议并通过了《公司以募集资金置换预先已 </w:t>
                        </w:r>
                        <w:r>
                          <w:rPr>
                            <w:rFonts w:ascii="宋体" w:hAnsi="宋体" w:cs="宋体" w:eastAsia="宋体" w:hint="default"/>
                            <w:spacing w:val="-5"/>
                            <w:sz w:val="18"/>
                            <w:szCs w:val="18"/>
                          </w:rPr>
                          <w:t>投入募集资金项目自筹资金》，同意公司以非公开发行股票募集资金置换预先已投入募集资金投资项</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目的自筹资金共计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234,265,776.92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元。上述置换资金业经保荐人确认，并经众华会计师事务所众会</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2602 </w:t>
                        </w:r>
                        <w:r>
                          <w:rPr>
                            <w:rFonts w:ascii="宋体" w:hAnsi="宋体" w:cs="宋体" w:eastAsia="宋体" w:hint="default"/>
                            <w:sz w:val="18"/>
                            <w:szCs w:val="18"/>
                          </w:rPr>
                          <w:t>号专项鉴证报告确认。</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日本公司第一届董事会第十三次会议决议，使用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日止，到期归还募集资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金专用账户。本公司于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本公司第一届董事会第十九次会议决议，使用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亿元募集资金用于暂时补充流动资金，使用期限不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日止，到期归还募集资金专用账。本公司于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亿元至募投资金专用账户。根据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日第二届董事会第七次会议</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决议决议，预计使用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万元募集资金用于暂时补充流动资金，使用期限不超过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日止，到期归还募集资金专用账户。本公司实际使用闲置募集资</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金暂时补充流动资金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3,720.00 </w:t>
                        </w:r>
                        <w:r>
                          <w:rPr>
                            <w:rFonts w:ascii="宋体" w:hAnsi="宋体" w:cs="宋体" w:eastAsia="宋体" w:hint="default"/>
                            <w:spacing w:val="-8"/>
                            <w:sz w:val="18"/>
                            <w:szCs w:val="18"/>
                          </w:rPr>
                          <w:t>万元。截止至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日，本公司已全部归还至募集资金专用</w:t>
                        </w:r>
                        <w:r>
                          <w:rPr>
                            <w:rFonts w:ascii="宋体" w:hAnsi="宋体" w:cs="宋体" w:eastAsia="宋体" w:hint="default"/>
                            <w:sz w:val="18"/>
                            <w:szCs w:val="18"/>
                          </w:rPr>
                          <w:t> 账户。</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公司首次发行募集资金项目建设已全部完成，为实现股东利益最大化原则，为提高募集资金使用效 率，公司第三届董事会第十八次会议审议通过《公司关于部分募集资金投资项目结项并将结余募集 </w:t>
                        </w:r>
                        <w:r>
                          <w:rPr>
                            <w:rFonts w:ascii="宋体" w:hAnsi="宋体" w:cs="宋体" w:eastAsia="宋体" w:hint="default"/>
                            <w:spacing w:val="-5"/>
                            <w:sz w:val="18"/>
                            <w:szCs w:val="18"/>
                          </w:rPr>
                          <w:t>资金永久补充流动资金的议案》，公司将完结项目结余募集资金人民币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173,046.34</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元全部转出，划转</w:t>
                        </w:r>
                      </w:p>
                      <w:p>
                        <w:pPr>
                          <w:pStyle w:val="TableParagraph"/>
                          <w:spacing w:line="300" w:lineRule="auto"/>
                          <w:ind w:left="24" w:right="23"/>
                          <w:jc w:val="both"/>
                          <w:rPr>
                            <w:rFonts w:ascii="宋体" w:hAnsi="宋体" w:cs="宋体" w:eastAsia="宋体" w:hint="default"/>
                            <w:sz w:val="18"/>
                            <w:szCs w:val="18"/>
                          </w:rPr>
                        </w:pPr>
                        <w:r>
                          <w:rPr>
                            <w:rFonts w:ascii="宋体" w:hAnsi="宋体" w:cs="宋体" w:eastAsia="宋体" w:hint="default"/>
                            <w:sz w:val="18"/>
                            <w:szCs w:val="18"/>
                          </w:rPr>
                          <w:t>完成后公司已对募集资金专户进行销户处理。公司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年定向增发募集资金项目建设已全部完成 为实现股东利益最大化原则，为提高募集资金使用效率，公司第三届董事会第十八次会议审议通过</w:t>
                        </w:r>
                      </w:p>
                      <w:p>
                        <w:pPr>
                          <w:pStyle w:val="TableParagraph"/>
                          <w:spacing w:line="316" w:lineRule="auto" w:before="31"/>
                          <w:ind w:left="24" w:right="21"/>
                          <w:jc w:val="both"/>
                          <w:rPr>
                            <w:rFonts w:ascii="宋体" w:hAnsi="宋体" w:cs="宋体" w:eastAsia="宋体" w:hint="default"/>
                            <w:sz w:val="18"/>
                            <w:szCs w:val="18"/>
                          </w:rPr>
                        </w:pPr>
                        <w:r>
                          <w:rPr>
                            <w:rFonts w:ascii="宋体" w:hAnsi="宋体" w:cs="宋体" w:eastAsia="宋体" w:hint="default"/>
                            <w:sz w:val="18"/>
                            <w:szCs w:val="18"/>
                          </w:rPr>
                          <w:t>《公司关于部分募集资金投资项目结项并将结余募集资金永久补充流动资金的议案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将完结项</w:t>
                        </w:r>
                        <w:r>
                          <w:rPr>
                            <w:rFonts w:ascii="宋体" w:hAnsi="宋体" w:cs="宋体" w:eastAsia="宋体" w:hint="default"/>
                            <w:sz w:val="18"/>
                            <w:szCs w:val="18"/>
                          </w:rPr>
                          <w:t> 目结余募集资金人民币</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元全部转出</w:t>
                        </w:r>
                        <w:r>
                          <w:rPr>
                            <w:rFonts w:ascii="宋体" w:hAnsi="宋体" w:cs="宋体" w:eastAsia="宋体" w:hint="default"/>
                            <w:spacing w:val="-92"/>
                            <w:sz w:val="18"/>
                            <w:szCs w:val="18"/>
                          </w:rPr>
                          <w:t>，</w:t>
                        </w:r>
                        <w:r>
                          <w:rPr>
                            <w:rFonts w:ascii="宋体" w:hAnsi="宋体" w:cs="宋体" w:eastAsia="宋体" w:hint="default"/>
                            <w:sz w:val="18"/>
                            <w:szCs w:val="18"/>
                          </w:rPr>
                          <w:t>划转完成</w:t>
                        </w:r>
                        <w:r>
                          <w:rPr>
                            <w:rFonts w:ascii="宋体" w:hAnsi="宋体" w:cs="宋体" w:eastAsia="宋体" w:hint="default"/>
                            <w:spacing w:val="-3"/>
                            <w:sz w:val="18"/>
                            <w:szCs w:val="18"/>
                          </w:rPr>
                          <w:t>后</w:t>
                        </w:r>
                        <w:r>
                          <w:rPr>
                            <w:rFonts w:ascii="宋体" w:hAnsi="宋体" w:cs="宋体" w:eastAsia="宋体" w:hint="default"/>
                            <w:sz w:val="18"/>
                            <w:szCs w:val="18"/>
                          </w:rPr>
                          <w:t>公司已对募集资金专户进行销户处理</w:t>
                        </w:r>
                      </w:p>
                    </w:tc>
                  </w:tr>
                  <w:tr>
                    <w:trPr>
                      <w:trHeight w:val="19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公司将项目结余募集资金人民币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173,046.34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元转入一般户中国工商银行股份有限公司宿迁分行 </w:t>
                        </w:r>
                        <w:r>
                          <w:rPr>
                            <w:rFonts w:ascii="Times New Roman" w:hAnsi="Times New Roman" w:cs="Times New Roman" w:eastAsia="Times New Roman" w:hint="default"/>
                            <w:spacing w:val="-2"/>
                            <w:sz w:val="18"/>
                            <w:szCs w:val="18"/>
                          </w:rPr>
                          <w:t>1116020009000009820</w:t>
                        </w:r>
                        <w:r>
                          <w:rPr>
                            <w:rFonts w:ascii="宋体" w:hAnsi="宋体" w:cs="宋体" w:eastAsia="宋体" w:hint="default"/>
                            <w:spacing w:val="-2"/>
                            <w:sz w:val="18"/>
                            <w:szCs w:val="18"/>
                          </w:rPr>
                          <w:t>，全部用于永久补充流动资金，用于公司日常生产经营活动。公司将项目结余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18,441,909.46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元转入一般户中国工商银行股份有限公司宿迁分行 </w:t>
                        </w:r>
                        <w:r>
                          <w:rPr>
                            <w:rFonts w:ascii="Times New Roman" w:hAnsi="Times New Roman" w:cs="Times New Roman" w:eastAsia="Times New Roman" w:hint="default"/>
                            <w:sz w:val="18"/>
                            <w:szCs w:val="18"/>
                          </w:rPr>
                          <w:t>1116020009000009820</w:t>
                        </w:r>
                        <w:r>
                          <w:rPr>
                            <w:rFonts w:ascii="宋体" w:hAnsi="宋体" w:cs="宋体" w:eastAsia="宋体" w:hint="default"/>
                            <w:sz w:val="18"/>
                            <w:szCs w:val="18"/>
                          </w:rPr>
                          <w:t>，全部用于永久补充流动资金，用于公司日常生产经营活动。 为了提高募集资金的使用效率，公司已定期存储了部分尚未使用的募集资金及购买理财产品，到期 后该部分资金将返还至募集资金专户。本期购买定期存款情况如下：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日召开第三届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133" w:firstLine="0"/>
        <w:jc w:val="right"/>
        <w:rPr>
          <w:rFonts w:ascii="宋体" w:hAnsi="宋体" w:cs="宋体" w:eastAsia="宋体" w:hint="default"/>
          <w:sz w:val="18"/>
          <w:szCs w:val="18"/>
        </w:rPr>
      </w:pPr>
      <w:r>
        <w:rPr/>
        <w:pict>
          <v:shape style="position:absolute;margin-left:56.459999pt;margin-top:-29.908293pt;width:479.2pt;height:350.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597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pacing w:val="-5"/>
                            <w:sz w:val="18"/>
                            <w:szCs w:val="18"/>
                          </w:rPr>
                          <w:t>董事会第十七次会议审议通过了《关于公司将部分闲置募集资金转为定期存款方式存放的议案》，当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日将募集资金以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7,949,000.00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1.88%</w:t>
                        </w:r>
                        <w:r>
                          <w:rPr>
                            <w:rFonts w:ascii="宋体" w:hAnsi="宋体" w:cs="宋体" w:eastAsia="宋体" w:hint="default"/>
                            <w:sz w:val="18"/>
                            <w:szCs w:val="18"/>
                          </w:rPr>
                          <w:t>；以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9,538,000.00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美元定期存款形式存入中国建设银行，到期日为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2.31%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。本期购买理财产品情况如下：</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日，公司第三届董事会第十八次会议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第三届监事会第十八次会议及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w:t>
                        </w:r>
                        <w:r>
                          <w:rPr>
                            <w:rFonts w:ascii="宋体" w:hAnsi="宋体" w:cs="宋体" w:eastAsia="宋体" w:hint="default"/>
                            <w:spacing w:val="-3"/>
                            <w:sz w:val="18"/>
                            <w:szCs w:val="18"/>
                          </w:rPr>
                          <w:t>过</w:t>
                        </w:r>
                        <w:r>
                          <w:rPr>
                            <w:rFonts w:ascii="宋体" w:hAnsi="宋体" w:cs="宋体" w:eastAsia="宋体" w:hint="default"/>
                            <w:spacing w:val="-89"/>
                            <w:sz w:val="18"/>
                            <w:szCs w:val="18"/>
                          </w:rPr>
                          <w:t>了</w:t>
                        </w:r>
                        <w:r>
                          <w:rPr>
                            <w:rFonts w:ascii="宋体" w:hAnsi="宋体" w:cs="宋体" w:eastAsia="宋体" w:hint="default"/>
                            <w:sz w:val="18"/>
                            <w:szCs w:val="18"/>
                          </w:rPr>
                          <w:t>《公司关于用自有资金和暂时闲置募</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8"/>
                            <w:sz w:val="18"/>
                            <w:szCs w:val="18"/>
                          </w:rPr>
                          <w:t>集资金进行现金管理的议案》。建行</w:t>
                        </w:r>
                        <w:r>
                          <w:rPr>
                            <w:rFonts w:ascii="宋体" w:hAnsi="宋体" w:cs="宋体" w:eastAsia="宋体" w:hint="default"/>
                            <w:spacing w:val="3"/>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乾元</w:t>
                        </w:r>
                        <w:r>
                          <w:rPr>
                            <w:rFonts w:ascii="Times New Roman" w:hAnsi="Times New Roman" w:cs="Times New Roman" w:eastAsia="Times New Roman" w:hint="default"/>
                            <w:spacing w:val="-1"/>
                            <w:w w:val="100"/>
                            <w:sz w:val="18"/>
                            <w:szCs w:val="18"/>
                          </w:rPr>
                          <w:t>”2017</w:t>
                        </w:r>
                        <w:r>
                          <w:rPr>
                            <w:rFonts w:ascii="Times New Roman" w:hAnsi="Times New Roman" w:cs="Times New Roman" w:eastAsia="Times New Roman" w:hint="default"/>
                            <w:spacing w:val="3"/>
                            <w:w w:val="100"/>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191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期理财产品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亿到期，</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公司继续使用部分暂时闲置的募集资金购买理财产，购买中国建设银行江苏省</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保本型人民币 理财产品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040</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期，本金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600,000,000.00</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元，到期日为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23"/>
                            <w:sz w:val="18"/>
                            <w:szCs w:val="18"/>
                          </w:rPr>
                          <w:t>日。交行</w:t>
                        </w:r>
                        <w:r>
                          <w:rPr>
                            <w:rFonts w:ascii="宋体" w:hAnsi="宋体" w:cs="宋体" w:eastAsia="宋体" w:hint="default"/>
                            <w:spacing w:val="3"/>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蕴通财富</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日</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增利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亿到期，</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日，公司继续使用部分暂时闲置的募集资金购买理</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财产品，购买交通银行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蕴通财富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 </w:t>
                        </w:r>
                        <w:r>
                          <w:rPr>
                            <w:rFonts w:ascii="宋体" w:hAnsi="宋体" w:cs="宋体" w:eastAsia="宋体" w:hint="default"/>
                            <w:spacing w:val="-4"/>
                            <w:sz w:val="18"/>
                            <w:szCs w:val="18"/>
                          </w:rPr>
                          <w:t>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日。交行</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蕴通财富</w:t>
                        </w:r>
                        <w:r>
                          <w:rPr>
                            <w:rFonts w:ascii="Times New Roman" w:hAnsi="Times New Roman" w:cs="Times New Roman" w:eastAsia="Times New Roman" w:hint="default"/>
                            <w:sz w:val="18"/>
                            <w:szCs w:val="18"/>
                          </w:rPr>
                          <w:t>·</w:t>
                        </w:r>
                        <w:r>
                          <w:rPr>
                            <w:rFonts w:ascii="宋体" w:hAnsi="宋体" w:cs="宋体" w:eastAsia="宋体" w:hint="default"/>
                            <w:sz w:val="18"/>
                            <w:szCs w:val="18"/>
                          </w:rPr>
                          <w:t>日增利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亿到期，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日，公司继续使用部分暂时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闲置的募集资金购买理财产品，购买交通银行交通银行藴通财富结构性存款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 </w:t>
                        </w:r>
                        <w:r>
                          <w:rPr>
                            <w:rFonts w:ascii="宋体" w:hAnsi="宋体" w:cs="宋体" w:eastAsia="宋体" w:hint="default"/>
                            <w:sz w:val="18"/>
                            <w:szCs w:val="18"/>
                          </w:rPr>
                          <w:t>天，本金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日。建行</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040 </w:t>
                        </w:r>
                        <w:r>
                          <w:rPr>
                            <w:rFonts w:ascii="宋体" w:hAnsi="宋体" w:cs="宋体" w:eastAsia="宋体" w:hint="default"/>
                            <w:sz w:val="18"/>
                            <w:szCs w:val="18"/>
                          </w:rPr>
                          <w:t>期理财产品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亿到期</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日，公司继续使用部分暂时闲置的募集资金购买理财产，购买中国建设银行定期型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结构性存款，本金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元，到期日为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日。交行结构性存款理财产品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到期，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日，公司继续使用部分暂时闲置的募集资金购买理财产，购买南京银行利率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挂钩型结构性存款，本金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日。建行定期型结构性存款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亿到期，</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日，公司继续使用部分暂时闲置的募集资金购买理财产，购买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浦发银行公司新客固定持有期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JG403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期，本金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元，到期日为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日。</w:t>
                        </w:r>
                        <w:r>
                          <w:rPr>
                            <w:rFonts w:ascii="宋体" w:hAnsi="宋体" w:cs="宋体" w:eastAsia="宋体" w:hint="default"/>
                            <w:sz w:val="18"/>
                            <w:szCs w:val="18"/>
                          </w:rPr>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before="76"/>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133" w:firstLine="0"/>
        <w:jc w:val="right"/>
        <w:rPr>
          <w:rFonts w:ascii="宋体" w:hAnsi="宋体" w:cs="宋体" w:eastAsia="宋体" w:hint="default"/>
          <w:sz w:val="18"/>
          <w:szCs w:val="18"/>
        </w:rPr>
      </w:pPr>
      <w:r>
        <w:rPr/>
        <w:pict>
          <v:shape style="position:absolute;margin-left:56.400002pt;margin-top:-217.058258pt;width:479.4pt;height:266.1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收购江西科 为薄膜新型 材料有限公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p>
                      <w:p>
                        <w:pPr>
                          <w:pStyle w:val="TableParagraph"/>
                          <w:spacing w:line="316" w:lineRule="auto" w:before="63"/>
                          <w:ind w:left="115" w:right="23" w:hanging="92"/>
                          <w:jc w:val="left"/>
                          <w:rPr>
                            <w:rFonts w:ascii="宋体" w:hAnsi="宋体" w:cs="宋体" w:eastAsia="宋体" w:hint="default"/>
                            <w:sz w:val="18"/>
                            <w:szCs w:val="18"/>
                          </w:rPr>
                        </w:pPr>
                        <w:r>
                          <w:rPr>
                            <w:rFonts w:ascii="宋体" w:hAnsi="宋体" w:cs="宋体" w:eastAsia="宋体" w:hint="default"/>
                            <w:sz w:val="18"/>
                            <w:szCs w:val="18"/>
                          </w:rPr>
                          <w:t>万平方米光 学膜项目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5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18,000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204.75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66"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tcPr>
                      <w:p>
                        <w:pPr>
                          <w:pStyle w:val="TableParagraph"/>
                          <w:spacing w:line="300" w:lineRule="auto" w:before="49"/>
                          <w:ind w:left="1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日经公司第二届董事会第十七次会议决议，公司收购江西科为薄膜新型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材料有限公司（以下简称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江西科为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股权。其中，收购柯秋平持有的江西科为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99%</w:t>
                        </w:r>
                        <w:r>
                          <w:rPr>
                            <w:rFonts w:ascii="宋体" w:hAnsi="宋体" w:cs="宋体" w:eastAsia="宋体" w:hint="default"/>
                            <w:sz w:val="18"/>
                            <w:szCs w:val="18"/>
                          </w:rPr>
                          <w:t>股权及时招军持有的江西科为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股权的价格合计为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万元。同时，双星新材</w:t>
                        </w:r>
                        <w:r>
                          <w:rPr>
                            <w:rFonts w:ascii="宋体" w:hAnsi="宋体" w:cs="宋体" w:eastAsia="宋体" w:hint="default"/>
                            <w:sz w:val="18"/>
                            <w:szCs w:val="18"/>
                          </w:rPr>
                          <w:t> 向江西科为增加注册资本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万元，增资后，江西科为注册资本为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万元。增</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万元的价格为人民币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万元，上述股权转让及增资金额合计为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p>
                        <w:pPr>
                          <w:pStyle w:val="TableParagraph"/>
                          <w:spacing w:line="240" w:lineRule="auto" w:before="62"/>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公司本次收购并增资江西科为使用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亿元。</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年第一次临时股东大会决议：审议通过关于《公司拟使用部分募</w:t>
                        </w:r>
                      </w:p>
                    </w:tc>
                  </w:tr>
                  <w:tr>
                    <w:trPr>
                      <w:trHeight w:val="703"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tcPr>
                      <w:p>
                        <w:pPr/>
                      </w:p>
                    </w:tc>
                  </w:tr>
                  <w:tr>
                    <w:trPr>
                      <w:trHeight w:val="766"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299"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集资金收购江西科为薄膜新型材料有限公司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股权并增加注册资本》的议案，审 </w:t>
            </w:r>
            <w:r>
              <w:rPr>
                <w:rFonts w:ascii="宋体" w:hAnsi="宋体" w:cs="宋体" w:eastAsia="宋体" w:hint="default"/>
                <w:spacing w:val="-5"/>
                <w:sz w:val="18"/>
                <w:szCs w:val="18"/>
              </w:rPr>
              <w:t>议通过关于《江西科为薄膜新型材料有限公司股权转让与增资入股协议》的议案。</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日完成收购江西科为薄膜新型材料有限公司的公告，双星新材公告：拟使 用部分募集资金收购江西科为薄膜新型材料有限公司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股权并增加注册资本。</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由于受到江西科为薄膜新型材料有限公司经营等因素影响，江西科为薄膜新型材料有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限公司未达到预期效益。</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450" w:lineRule="atLeast" w:before="162"/>
        <w:ind w:left="635" w:right="0" w:firstLine="0"/>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先进高分子复合材料作为《国家</w:t>
      </w:r>
      <w:r>
        <w:rPr>
          <w:rFonts w:ascii="Times New Roman" w:hAnsi="Times New Roman" w:cs="Times New Roman" w:eastAsia="Times New Roman" w:hint="default"/>
          <w:sz w:val="24"/>
          <w:szCs w:val="24"/>
        </w:rPr>
        <w:t>“</w:t>
      </w:r>
      <w:r>
        <w:rPr>
          <w:rFonts w:ascii="宋体" w:hAnsi="宋体" w:cs="宋体" w:eastAsia="宋体" w:hint="default"/>
          <w:sz w:val="24"/>
          <w:szCs w:val="24"/>
        </w:rPr>
        <w:t>十三五</w:t>
      </w:r>
      <w:r>
        <w:rPr>
          <w:rFonts w:ascii="Times New Roman" w:hAnsi="Times New Roman" w:cs="Times New Roman" w:eastAsia="Times New Roman" w:hint="default"/>
          <w:sz w:val="24"/>
          <w:szCs w:val="24"/>
        </w:rPr>
        <w:t>”</w:t>
      </w:r>
      <w:r>
        <w:rPr>
          <w:rFonts w:ascii="宋体" w:hAnsi="宋体" w:cs="宋体" w:eastAsia="宋体" w:hint="default"/>
          <w:sz w:val="24"/>
          <w:szCs w:val="24"/>
        </w:rPr>
        <w:t>战略规划》新材料领域重点支持鼓励发展的材</w:t>
      </w:r>
    </w:p>
    <w:p>
      <w:pPr>
        <w:pStyle w:val="Heading3"/>
        <w:spacing w:line="235" w:lineRule="auto"/>
        <w:ind w:right="1131"/>
        <w:jc w:val="both"/>
      </w:pPr>
      <w:r>
        <w:rPr/>
        <w:t>料，在《中国制造</w:t>
      </w:r>
      <w:r>
        <w:rPr>
          <w:rFonts w:ascii="Times New Roman" w:hAnsi="Times New Roman" w:cs="Times New Roman" w:eastAsia="Times New Roman" w:hint="default"/>
        </w:rPr>
        <w:t>2025</w:t>
      </w:r>
      <w:r>
        <w:rPr/>
        <w:t>》重点领域技术发展中高性能膜材料作为新材料也列入多项目计划鼓</w:t>
      </w:r>
      <w:r>
        <w:rPr>
          <w:spacing w:val="-91"/>
        </w:rPr>
        <w:t> </w:t>
      </w:r>
      <w:r>
        <w:rPr>
          <w:spacing w:val="-91"/>
        </w:rPr>
      </w:r>
      <w:r>
        <w:rPr/>
        <w:t>励支持发展，一些发达国家跨国企业也把高性能膜材料发展作为工业中间新材料，抓在手中</w:t>
      </w:r>
      <w:r>
        <w:rPr>
          <w:spacing w:val="-91"/>
        </w:rPr>
        <w:t> </w:t>
      </w:r>
      <w:r>
        <w:rPr>
          <w:spacing w:val="-91"/>
        </w:rPr>
      </w:r>
      <w:r>
        <w:rPr/>
        <w:t>持续推进发展，聚酯薄膜作为当前工业中间材料和未来战略性新兴产业中重要的新材料，是</w:t>
      </w:r>
      <w:r>
        <w:rPr>
          <w:spacing w:val="-91"/>
        </w:rPr>
        <w:t> </w:t>
      </w:r>
      <w:r>
        <w:rPr>
          <w:spacing w:val="-91"/>
        </w:rPr>
      </w:r>
      <w:r>
        <w:rPr/>
        <w:t>一种绿色、环保、综合性能优异的高分子薄膜材料，近年来，</w:t>
      </w:r>
      <w:r>
        <w:rPr>
          <w:rFonts w:ascii="Times New Roman" w:hAnsi="Times New Roman" w:cs="Times New Roman" w:eastAsia="Times New Roman" w:hint="default"/>
        </w:rPr>
        <w:t>BOPET</w:t>
      </w:r>
      <w:r>
        <w:rPr/>
        <w:t>产业发展迅速，行业产 品种类繁多，市场应用领域越来越广，因其机械强度高、刚性好、韧性强，绝缘性优良等多</w:t>
      </w:r>
      <w:r>
        <w:rPr>
          <w:spacing w:val="-91"/>
        </w:rPr>
        <w:t> </w:t>
      </w:r>
      <w:r>
        <w:rPr>
          <w:spacing w:val="-91"/>
        </w:rPr>
      </w:r>
      <w:r>
        <w:rPr/>
        <w:t>方面优异性能，被广泛应用到包装、印刷、磁记录、感光、办公、绝缘、护卡、建筑、装饰</w:t>
      </w:r>
      <w:r>
        <w:rPr>
          <w:spacing w:val="-87"/>
        </w:rPr>
        <w:t> </w:t>
      </w:r>
      <w:r>
        <w:rPr>
          <w:spacing w:val="-87"/>
        </w:rPr>
      </w:r>
      <w:r>
        <w:rPr/>
        <w:t>装潢上，产品的专业化程度越来越高，差异化、特种化、高端化的产品供给模式逐步形成，</w:t>
      </w:r>
      <w:r>
        <w:rPr>
          <w:spacing w:val="-91"/>
        </w:rPr>
        <w:t> </w:t>
      </w:r>
      <w:r>
        <w:rPr>
          <w:spacing w:val="-91"/>
        </w:rPr>
      </w:r>
      <w:r>
        <w:rPr/>
        <w:t>同时进一步应用于航天、光学、太阳能、电子、电工等高精尖技术领域，推动了相关领域的</w:t>
      </w:r>
      <w:r>
        <w:rPr>
          <w:spacing w:val="-91"/>
        </w:rPr>
        <w:t> </w:t>
      </w:r>
      <w:r>
        <w:rPr>
          <w:spacing w:val="-91"/>
        </w:rPr>
      </w:r>
      <w:r>
        <w:rPr/>
        <w:t>材料革命和进步。</w:t>
      </w:r>
    </w:p>
    <w:p>
      <w:pPr>
        <w:pStyle w:val="Heading3"/>
        <w:spacing w:line="240" w:lineRule="auto" w:before="118"/>
        <w:ind w:left="635" w:right="0"/>
        <w:jc w:val="left"/>
      </w:pPr>
      <w:r>
        <w:rPr>
          <w:spacing w:val="-3"/>
        </w:rPr>
        <w:t>当前，行业市场竞争日趋激烈，国内聚酯薄膜需求稳定增长，行业企业利润率合理提升，</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3"/>
        <w:spacing w:line="237" w:lineRule="auto" w:before="28"/>
        <w:ind w:right="996"/>
        <w:jc w:val="left"/>
      </w:pPr>
      <w:r>
        <w:rPr/>
        <w:t>行业实现理性发展，处于平稳期，供需好转，盈利能力提升。功能膜因其较高的利润率及更</w:t>
      </w:r>
      <w:r>
        <w:rPr>
          <w:spacing w:val="-91"/>
        </w:rPr>
        <w:t> </w:t>
      </w:r>
      <w:r>
        <w:rPr>
          <w:spacing w:val="-91"/>
        </w:rPr>
      </w:r>
      <w:r>
        <w:rPr/>
        <w:t>广阔的发展空间引起市场的广泛关注，</w:t>
      </w:r>
      <w:r>
        <w:rPr>
          <w:rFonts w:ascii="Times New Roman" w:hAnsi="Times New Roman" w:cs="Times New Roman" w:eastAsia="Times New Roman" w:hint="default"/>
        </w:rPr>
        <w:t>BOPET</w:t>
      </w:r>
      <w:r>
        <w:rPr/>
        <w:t>行业企业在研发功能化薄膜新产品方面的投入 不断加大，进一步加大差异化薄膜产品市场的开发力度，产品竞争从普通膜向功能膜转移。</w:t>
      </w:r>
      <w:r>
        <w:rPr>
          <w:spacing w:val="-86"/>
        </w:rPr>
        <w:t> </w:t>
      </w:r>
      <w:r>
        <w:rPr>
          <w:spacing w:val="-86"/>
        </w:rPr>
      </w:r>
      <w:r>
        <w:rPr>
          <w:spacing w:val="-2"/>
        </w:rPr>
        <w:t>企业更加重视自身的市场定位和竞争优势分析，各企业开始显现出较鲜明的产品专业化特色。</w:t>
      </w:r>
      <w:r>
        <w:rPr/>
        <w:t> 特别是近几年来，高附加值产品份额在增加，行业企业加大技术改造和技术攻关的力度，提</w:t>
      </w:r>
      <w:r>
        <w:rPr>
          <w:spacing w:val="-91"/>
        </w:rPr>
        <w:t> </w:t>
      </w:r>
      <w:r>
        <w:rPr>
          <w:spacing w:val="-91"/>
        </w:rPr>
      </w:r>
      <w:r>
        <w:rPr/>
        <w:t>高自主创新能力，在光学薄膜基膜、光学用离型保护膜基膜、太阳能电池背板基膜、窗膜基</w:t>
      </w:r>
      <w:r>
        <w:rPr>
          <w:spacing w:val="-91"/>
        </w:rPr>
        <w:t> </w:t>
      </w:r>
      <w:r>
        <w:rPr>
          <w:spacing w:val="-91"/>
        </w:rPr>
      </w:r>
      <w:r>
        <w:rPr/>
        <w:t>膜、有色膜、在线涂布膜等方面产品品种数量和质量有较大提升，产品在光学、太阳能、建</w:t>
      </w:r>
      <w:r>
        <w:rPr>
          <w:spacing w:val="-91"/>
        </w:rPr>
        <w:t> </w:t>
      </w:r>
      <w:r>
        <w:rPr>
          <w:spacing w:val="-91"/>
        </w:rPr>
      </w:r>
      <w:r>
        <w:rPr>
          <w:spacing w:val="-3"/>
        </w:rPr>
        <w:t>筑、电子、电工等高精尖技术领域的使用，未来仍将进一步向高端化、精细化、专业化发展，</w:t>
      </w:r>
      <w:r>
        <w:rPr>
          <w:spacing w:val="-82"/>
        </w:rPr>
        <w:t> </w:t>
      </w:r>
      <w:r>
        <w:rPr>
          <w:spacing w:val="-82"/>
        </w:rPr>
      </w:r>
      <w:r>
        <w:rPr/>
        <w:t>创新是永恒的主题，进一步提升企业自主创新能力、加强精益管理、降低运营成本、走出自</w:t>
      </w:r>
      <w:r>
        <w:rPr>
          <w:spacing w:val="-91"/>
        </w:rPr>
        <w:t> </w:t>
      </w:r>
      <w:r>
        <w:rPr>
          <w:spacing w:val="-91"/>
        </w:rPr>
      </w:r>
      <w:r>
        <w:rPr/>
        <w:t>己的特色是企业未来努力的方向。</w:t>
      </w:r>
    </w:p>
    <w:p>
      <w:pPr>
        <w:pStyle w:val="Heading3"/>
        <w:spacing w:line="237" w:lineRule="auto" w:before="123"/>
        <w:ind w:right="1137" w:firstLine="482"/>
        <w:jc w:val="both"/>
      </w:pPr>
      <w:r>
        <w:rPr/>
        <w:t>公司将通过持续创新，围绕产业升级，开展技术进步，坚持新发展理念，坚持推进高质 量发展，坚持以提高经济增长质量和效益为立足点，以创新带动潜能发挥，加快技术创新，</w:t>
      </w:r>
      <w:r>
        <w:rPr>
          <w:spacing w:val="-91"/>
        </w:rPr>
        <w:t> </w:t>
      </w:r>
      <w:r>
        <w:rPr>
          <w:spacing w:val="-91"/>
        </w:rPr>
      </w:r>
      <w:r>
        <w:rPr/>
        <w:t>新产品开发，新市场拓展，强化各项基础管理，增强综合管理能力，围绕“特色产品、功能</w:t>
      </w:r>
      <w:r>
        <w:rPr>
          <w:spacing w:val="-91"/>
        </w:rPr>
        <w:t> </w:t>
      </w:r>
      <w:r>
        <w:rPr>
          <w:spacing w:val="-91"/>
        </w:rPr>
      </w:r>
      <w:r>
        <w:rPr/>
        <w:t>性产品、高端产品”发展，加快企业转型升级，调结构、提效益，实施品牌战略，以市场为</w:t>
      </w:r>
      <w:r>
        <w:rPr>
          <w:spacing w:val="-91"/>
        </w:rPr>
        <w:t> </w:t>
      </w:r>
      <w:r>
        <w:rPr>
          <w:spacing w:val="-91"/>
        </w:rPr>
      </w:r>
      <w:r>
        <w:rPr/>
        <w:t>导向，注重内涵与质量，从强化科技引领，突出加强自主创新，扎实推进创新驱动，深入推</w:t>
      </w:r>
      <w:r>
        <w:rPr>
          <w:spacing w:val="-91"/>
        </w:rPr>
        <w:t> </w:t>
      </w:r>
      <w:r>
        <w:rPr>
          <w:spacing w:val="-91"/>
        </w:rPr>
      </w:r>
      <w:r>
        <w:rPr/>
        <w:t>进高性能新品研发，加快结构调整，实现资源更高程度整合，创新发展，对外拓展，推动企</w:t>
      </w:r>
      <w:r>
        <w:rPr>
          <w:spacing w:val="-91"/>
        </w:rPr>
        <w:t> </w:t>
      </w:r>
      <w:r>
        <w:rPr>
          <w:spacing w:val="-91"/>
        </w:rPr>
      </w:r>
      <w:r>
        <w:rPr/>
        <w:t>业在膜材料制造领域形成全面布局，逐步实现高端产品市场进口替代，目标全球高分子复合</w:t>
      </w:r>
      <w:r>
        <w:rPr>
          <w:spacing w:val="-90"/>
        </w:rPr>
        <w:t> </w:t>
      </w:r>
      <w:r>
        <w:rPr>
          <w:spacing w:val="-90"/>
        </w:rPr>
      </w:r>
      <w:r>
        <w:rPr/>
        <w:t>材料研发领域形成竞争优势，全面提升企业的竞争实力。</w:t>
      </w:r>
    </w:p>
    <w:p>
      <w:pPr>
        <w:pStyle w:val="Heading3"/>
        <w:spacing w:line="235" w:lineRule="auto" w:before="126"/>
        <w:ind w:right="1132" w:firstLine="482"/>
        <w:jc w:val="both"/>
      </w:pPr>
      <w:r>
        <w:rPr>
          <w:rFonts w:ascii="Times New Roman" w:hAnsi="Times New Roman" w:cs="Times New Roman" w:eastAsia="Times New Roman" w:hint="default"/>
          <w:spacing w:val="-3"/>
        </w:rPr>
        <w:t>1</w:t>
      </w:r>
      <w:r>
        <w:rPr>
          <w:spacing w:val="-3"/>
        </w:rPr>
        <w:t>、在产品结构方面，国外大型跨国企业根据新兴产业的需求，占领了高端薄膜的国际市</w:t>
      </w:r>
      <w:r>
        <w:rPr/>
        <w:t> 场。当前，光学基膜产品的国内、国际市场被国外企业垄断，国内对光学基膜的进口依存度</w:t>
      </w:r>
      <w:r>
        <w:rPr>
          <w:spacing w:val="-91"/>
        </w:rPr>
        <w:t> </w:t>
      </w:r>
      <w:r>
        <w:rPr>
          <w:spacing w:val="-91"/>
        </w:rPr>
      </w:r>
      <w:r>
        <w:rPr/>
        <w:t>较高。未来，国内包括液晶电视在内的电子产品持续快速增长，国产的光学膜供给迫切需要</w:t>
      </w:r>
      <w:r>
        <w:rPr>
          <w:spacing w:val="-91"/>
        </w:rPr>
        <w:t> </w:t>
      </w:r>
      <w:r>
        <w:rPr>
          <w:spacing w:val="-91"/>
        </w:rPr>
      </w:r>
      <w:r>
        <w:rPr/>
        <w:t>加快步伐实现替代，为此，增加光学膜项目的开发研究对提升下游的液晶显示器材等产业的</w:t>
      </w:r>
      <w:r>
        <w:rPr>
          <w:spacing w:val="-91"/>
        </w:rPr>
        <w:t> </w:t>
      </w:r>
      <w:r>
        <w:rPr>
          <w:spacing w:val="-91"/>
        </w:rPr>
      </w:r>
      <w:r>
        <w:rPr/>
        <w:t>国产化有着积极作用。</w:t>
      </w:r>
    </w:p>
    <w:p>
      <w:pPr>
        <w:pStyle w:val="Heading3"/>
        <w:spacing w:line="310" w:lineRule="exact" w:before="153"/>
        <w:ind w:right="1131" w:firstLine="420"/>
        <w:jc w:val="both"/>
      </w:pPr>
      <w:r>
        <w:rPr>
          <w:rFonts w:ascii="Times New Roman" w:hAnsi="Times New Roman" w:cs="Times New Roman" w:eastAsia="Times New Roman" w:hint="default"/>
          <w:spacing w:val="-1"/>
        </w:rPr>
        <w:t>2</w:t>
      </w:r>
      <w:r>
        <w:rPr>
          <w:spacing w:val="-1"/>
        </w:rPr>
        <w:t>、高阻隔性聚酯薄膜通过填料改性、多层复合、溅射等技术方式赋予聚酯薄膜优良的水</w:t>
      </w:r>
      <w:r>
        <w:rPr/>
        <w:t> 蒸气、氧气阻隔性，可以应用于节能、医疗和光电领域，市场前景广阔。</w:t>
      </w:r>
    </w:p>
    <w:p>
      <w:pPr>
        <w:pStyle w:val="Heading3"/>
        <w:spacing w:line="225" w:lineRule="auto" w:before="109"/>
        <w:ind w:right="1129" w:firstLine="482"/>
        <w:jc w:val="both"/>
      </w:pPr>
      <w:r>
        <w:rPr>
          <w:rFonts w:ascii="Times New Roman" w:hAnsi="Times New Roman" w:cs="Times New Roman" w:eastAsia="Times New Roman" w:hint="default"/>
          <w:spacing w:val="-3"/>
        </w:rPr>
        <w:t>3</w:t>
      </w:r>
      <w:r>
        <w:rPr>
          <w:spacing w:val="-3"/>
        </w:rPr>
        <w:t>、热收缩聚酯薄膜主要在高端产品（出口产品）和领域中应用。当前国内市场上，聚酯</w:t>
      </w:r>
      <w:r>
        <w:rPr/>
        <w:t> 热收缩膜主要应用在电容器、电池商标、</w:t>
      </w:r>
      <w:r>
        <w:rPr>
          <w:rFonts w:ascii="Times New Roman" w:hAnsi="Times New Roman" w:cs="Times New Roman" w:eastAsia="Times New Roman" w:hint="default"/>
        </w:rPr>
        <w:t>PET</w:t>
      </w:r>
      <w:r>
        <w:rPr/>
        <w:t>瓶收缩标签等产品上，具有方便、环保、有利</w:t>
      </w:r>
      <w:r>
        <w:rPr>
          <w:spacing w:val="-42"/>
        </w:rPr>
        <w:t> </w:t>
      </w:r>
      <w:r>
        <w:rPr/>
        <w:t>于回收等特点，未来将逐步替代</w:t>
      </w:r>
      <w:r>
        <w:rPr>
          <w:rFonts w:ascii="Times New Roman" w:hAnsi="Times New Roman" w:cs="Times New Roman" w:eastAsia="Times New Roman" w:hint="default"/>
        </w:rPr>
        <w:t>PVC</w:t>
      </w:r>
      <w:r>
        <w:rPr/>
        <w:t>热收缩膜。</w:t>
      </w:r>
    </w:p>
    <w:p>
      <w:pPr>
        <w:pStyle w:val="Heading3"/>
        <w:spacing w:line="232" w:lineRule="auto" w:before="113"/>
        <w:ind w:right="1130" w:firstLine="482"/>
        <w:jc w:val="both"/>
      </w:pPr>
      <w:r>
        <w:rPr>
          <w:rFonts w:ascii="Times New Roman" w:hAnsi="Times New Roman" w:cs="Times New Roman" w:eastAsia="Times New Roman" w:hint="default"/>
          <w:spacing w:val="-3"/>
        </w:rPr>
        <w:t>4</w:t>
      </w:r>
      <w:r>
        <w:rPr>
          <w:spacing w:val="-3"/>
        </w:rPr>
        <w:t>、智能窗膜是实现智能调控光热透反射特性的节能材料，它的调节仅利用自然环境的温</w:t>
      </w:r>
      <w:r>
        <w:rPr/>
        <w:t> 度变化就能实现对太阳能的自动调控的功能。夏天最大限度的控制的减少热量的侵袭，冬天</w:t>
      </w:r>
      <w:r>
        <w:rPr>
          <w:spacing w:val="-91"/>
        </w:rPr>
        <w:t> </w:t>
      </w:r>
      <w:r>
        <w:rPr>
          <w:spacing w:val="-91"/>
        </w:rPr>
      </w:r>
      <w:r>
        <w:rPr/>
        <w:t>积极导入太阳光特别是其中的红外部分，减少资源和能源的消耗。同时，玻璃窗膜在维护物</w:t>
      </w:r>
      <w:r>
        <w:rPr>
          <w:spacing w:val="-86"/>
        </w:rPr>
        <w:t> </w:t>
      </w:r>
      <w:r>
        <w:rPr>
          <w:spacing w:val="-86"/>
        </w:rPr>
      </w:r>
      <w:r>
        <w:rPr/>
        <w:t>玻璃的安全性、有效控制和减少玻璃爆裂及高空坠落伤害等方面有着重要的作用。</w:t>
      </w:r>
    </w:p>
    <w:p>
      <w:pPr>
        <w:spacing w:line="331" w:lineRule="auto" w:before="119"/>
        <w:ind w:left="635" w:right="0" w:firstLine="0"/>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围绕聚酯新材料产业，基于服务国家发展大战略，依靠创新，加快产品结构调整，深入</w:t>
      </w:r>
    </w:p>
    <w:p>
      <w:pPr>
        <w:pStyle w:val="Heading3"/>
        <w:spacing w:line="227" w:lineRule="exact"/>
        <w:ind w:right="0"/>
        <w:jc w:val="left"/>
      </w:pPr>
      <w:r>
        <w:rPr/>
        <w:t>研究分析国内外经济形势和行业发展趋势，围绕高质量发展要求，以落实</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规划目标，</w:t>
      </w:r>
    </w:p>
    <w:p>
      <w:pPr>
        <w:pStyle w:val="Heading3"/>
        <w:spacing w:line="312" w:lineRule="exact" w:before="21"/>
        <w:ind w:right="1132"/>
        <w:jc w:val="both"/>
      </w:pPr>
      <w:r>
        <w:rPr/>
        <w:t>从围绕高端产业，做好产业高端，积极实施创新驱动战略，全方位夯实提升核心竞争能力，</w:t>
      </w:r>
      <w:r>
        <w:rPr>
          <w:spacing w:val="-91"/>
        </w:rPr>
        <w:t> </w:t>
      </w:r>
      <w:r>
        <w:rPr>
          <w:spacing w:val="-91"/>
        </w:rPr>
      </w:r>
      <w:r>
        <w:rPr/>
        <w:t>扎实推进</w:t>
      </w:r>
      <w:r>
        <w:rPr>
          <w:rFonts w:ascii="Times New Roman" w:hAnsi="Times New Roman" w:cs="Times New Roman" w:eastAsia="Times New Roman" w:hint="default"/>
        </w:rPr>
        <w:t>“</w:t>
      </w:r>
      <w:r>
        <w:rPr/>
        <w:t>六大发展战略</w:t>
      </w:r>
      <w:r>
        <w:rPr>
          <w:rFonts w:ascii="Times New Roman" w:hAnsi="Times New Roman" w:cs="Times New Roman" w:eastAsia="Times New Roman" w:hint="default"/>
        </w:rPr>
        <w:t>”</w:t>
      </w:r>
      <w:r>
        <w:rPr/>
        <w:t>，全力拓展</w:t>
      </w:r>
      <w:r>
        <w:rPr>
          <w:rFonts w:ascii="Times New Roman" w:hAnsi="Times New Roman" w:cs="Times New Roman" w:eastAsia="Times New Roman" w:hint="default"/>
        </w:rPr>
        <w:t>“</w:t>
      </w:r>
      <w:r>
        <w:rPr/>
        <w:t>五大板块</w:t>
      </w:r>
      <w:r>
        <w:rPr>
          <w:rFonts w:ascii="Times New Roman" w:hAnsi="Times New Roman" w:cs="Times New Roman" w:eastAsia="Times New Roman" w:hint="default"/>
        </w:rPr>
        <w:t>”</w:t>
      </w:r>
      <w:r>
        <w:rPr/>
        <w:t>总体布局，以聚酯薄膜工业中间材料向功能</w:t>
      </w:r>
      <w:r>
        <w:rPr>
          <w:spacing w:val="-44"/>
        </w:rPr>
        <w:t> </w:t>
      </w:r>
      <w:r>
        <w:rPr>
          <w:spacing w:val="-44"/>
        </w:rPr>
      </w:r>
      <w:r>
        <w:rPr/>
        <w:t>性、高性能持续推动发展，服务拓展应用到更多领域，以科技创新为引领，以人才集聚打造</w:t>
      </w:r>
      <w:r>
        <w:rPr>
          <w:spacing w:val="-91"/>
        </w:rPr>
        <w:t> </w:t>
      </w:r>
      <w:r>
        <w:rPr>
          <w:spacing w:val="-91"/>
        </w:rPr>
      </w:r>
      <w:r>
        <w:rPr/>
        <w:t>团队能力提升，以落实智能制造推动平台建设，实现生产、技术和管理的深度融合，以板块</w:t>
      </w:r>
      <w:r>
        <w:rPr>
          <w:spacing w:val="-91"/>
        </w:rPr>
        <w:t> </w:t>
      </w:r>
      <w:r>
        <w:rPr>
          <w:spacing w:val="-91"/>
        </w:rPr>
      </w:r>
      <w:r>
        <w:rPr/>
        <w:t>带动，实现上游发展拓展，夯实基础，打造新材料行业领先水平，努力提升公司市场竞争力</w:t>
      </w:r>
      <w:r>
        <w:rPr>
          <w:spacing w:val="-91"/>
        </w:rPr>
        <w:t> </w:t>
      </w:r>
      <w:r>
        <w:rPr>
          <w:spacing w:val="-91"/>
        </w:rPr>
      </w:r>
      <w:r>
        <w:rPr/>
        <w:t>和可持续发展能力。</w:t>
      </w:r>
    </w:p>
    <w:p>
      <w:pPr>
        <w:spacing w:after="0" w:line="312" w:lineRule="exact"/>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37" w:lineRule="auto" w:before="28"/>
        <w:ind w:right="996" w:firstLine="482"/>
        <w:jc w:val="left"/>
      </w:pPr>
      <w:r>
        <w:rPr/>
        <w:t>同时，聚焦拓展新业务范围，突出竞争优势，持续夯实发展现有业务和市场，充分发挥 </w:t>
      </w:r>
      <w:r>
        <w:rPr>
          <w:spacing w:val="-2"/>
        </w:rPr>
        <w:t>资源优势，大力度推进提档升级，效益提升，并结合国内国际两个市场布局，以市场国际化、</w:t>
      </w:r>
      <w:r>
        <w:rPr/>
        <w:t> 技术人才国际化、企业国际化，深入推进高端产品的差异化发展，积极延伸产业链，通过加</w:t>
      </w:r>
      <w:r>
        <w:rPr>
          <w:spacing w:val="-91"/>
        </w:rPr>
        <w:t> </w:t>
      </w:r>
      <w:r>
        <w:rPr>
          <w:spacing w:val="-91"/>
        </w:rPr>
      </w:r>
      <w:r>
        <w:rPr>
          <w:spacing w:val="-2"/>
        </w:rPr>
        <w:t>快结构调整，实现资源更高程度整合，创新发展，推动企业向国际一流先进高分子复合材料、</w:t>
      </w:r>
      <w:r>
        <w:rPr/>
        <w:t> 光学材料、节能窗膜材料、信息材料、新能源材料等领域实现新的更大突破，发展中持续领</w:t>
      </w:r>
      <w:r>
        <w:rPr>
          <w:spacing w:val="-91"/>
        </w:rPr>
        <w:t> </w:t>
      </w:r>
      <w:r>
        <w:rPr>
          <w:spacing w:val="-91"/>
        </w:rPr>
      </w:r>
      <w:r>
        <w:rPr/>
        <w:t>跑同行。</w:t>
      </w:r>
    </w:p>
    <w:p>
      <w:pPr>
        <w:pStyle w:val="Heading3"/>
        <w:spacing w:line="430" w:lineRule="exact" w:before="57"/>
        <w:ind w:left="731" w:right="0" w:hanging="96"/>
        <w:jc w:val="left"/>
      </w:pPr>
      <w:r>
        <w:rPr>
          <w:rFonts w:ascii="宋体" w:hAnsi="宋体" w:cs="宋体" w:eastAsia="宋体" w:hint="default"/>
          <w:b/>
          <w:bCs/>
        </w:rPr>
        <w:t>（三）公司经营计划</w:t>
      </w:r>
      <w:r>
        <w:rPr>
          <w:rFonts w:ascii="宋体" w:hAnsi="宋体" w:cs="宋体" w:eastAsia="宋体" w:hint="default"/>
          <w:b/>
          <w:bCs/>
          <w:w w:val="99"/>
        </w:rPr>
        <w:t> </w:t>
      </w:r>
      <w:r>
        <w:rPr>
          <w:spacing w:val="-5"/>
        </w:rPr>
        <w:t>根据公司发展战略及</w:t>
      </w:r>
      <w:r>
        <w:rPr>
          <w:rFonts w:ascii="Times New Roman" w:hAnsi="Times New Roman" w:cs="Times New Roman" w:eastAsia="Times New Roman" w:hint="default"/>
          <w:spacing w:val="-5"/>
        </w:rPr>
        <w:t>2019</w:t>
      </w:r>
      <w:r>
        <w:rPr>
          <w:spacing w:val="-5"/>
        </w:rPr>
        <w:t>年发展目标，结合公司的实际情况，公司在</w:t>
      </w:r>
      <w:r>
        <w:rPr>
          <w:rFonts w:ascii="Times New Roman" w:hAnsi="Times New Roman" w:cs="Times New Roman" w:eastAsia="Times New Roman" w:hint="default"/>
          <w:spacing w:val="-5"/>
        </w:rPr>
        <w:t>2019</w:t>
      </w:r>
      <w:r>
        <w:rPr>
          <w:spacing w:val="-5"/>
        </w:rPr>
        <w:t>年的经营计划：</w:t>
      </w:r>
    </w:p>
    <w:p>
      <w:pPr>
        <w:pStyle w:val="Heading3"/>
        <w:spacing w:line="268" w:lineRule="exact"/>
        <w:ind w:right="0"/>
        <w:jc w:val="both"/>
      </w:pPr>
      <w:r>
        <w:rPr>
          <w:rFonts w:ascii="Times New Roman" w:hAnsi="Times New Roman" w:cs="Times New Roman" w:eastAsia="Times New Roman" w:hint="default"/>
        </w:rPr>
        <w:t>2019</w:t>
      </w:r>
      <w:r>
        <w:rPr/>
        <w:t>年，贯彻落实五大发展理念，紧紧围绕高质量发展要求，坚持以提高经济增长质量和效</w:t>
      </w:r>
    </w:p>
    <w:p>
      <w:pPr>
        <w:pStyle w:val="Heading3"/>
        <w:spacing w:line="312" w:lineRule="exact" w:before="20"/>
        <w:ind w:right="1126"/>
        <w:jc w:val="both"/>
      </w:pPr>
      <w:r>
        <w:rPr/>
        <w:t>益为立足点，着力抓好自主创新，统筹推进五大板块布局，着力加快结构调整总量突破，突</w:t>
      </w:r>
      <w:r>
        <w:rPr>
          <w:spacing w:val="-91"/>
        </w:rPr>
        <w:t> </w:t>
      </w:r>
      <w:r>
        <w:rPr>
          <w:spacing w:val="-91"/>
        </w:rPr>
      </w:r>
      <w:r>
        <w:rPr/>
        <w:t>出项目带动功能，夯实发展基础，增加新增长点。</w:t>
      </w:r>
      <w:r>
        <w:rPr>
          <w:rFonts w:ascii="Times New Roman" w:hAnsi="Times New Roman" w:cs="Times New Roman" w:eastAsia="Times New Roman" w:hint="default"/>
        </w:rPr>
        <w:t>2019</w:t>
      </w:r>
      <w:r>
        <w:rPr/>
        <w:t>年计划销售增长</w:t>
      </w:r>
      <w:r>
        <w:rPr>
          <w:rFonts w:ascii="Times New Roman" w:hAnsi="Times New Roman" w:cs="Times New Roman" w:eastAsia="Times New Roman" w:hint="default"/>
        </w:rPr>
        <w:t>30%</w:t>
      </w:r>
      <w:r>
        <w:rPr/>
        <w:t>，预计实现净利</w:t>
      </w:r>
      <w:r>
        <w:rPr>
          <w:spacing w:val="-49"/>
        </w:rPr>
        <w:t> </w:t>
      </w:r>
      <w:r>
        <w:rPr/>
        <w:t>润较上年增长。</w:t>
      </w:r>
    </w:p>
    <w:p>
      <w:pPr>
        <w:pStyle w:val="Heading2"/>
        <w:spacing w:line="240" w:lineRule="auto" w:before="90"/>
        <w:ind w:left="635" w:right="0"/>
        <w:jc w:val="left"/>
        <w:rPr>
          <w:b w:val="0"/>
          <w:bCs w:val="0"/>
        </w:rPr>
      </w:pPr>
      <w:r>
        <w:rPr/>
        <w:t>（四）未来发展可能面对的风险因素</w:t>
      </w:r>
      <w:r>
        <w:rPr>
          <w:b w:val="0"/>
          <w:bCs w:val="0"/>
        </w:rPr>
      </w:r>
    </w:p>
    <w:p>
      <w:pPr>
        <w:pStyle w:val="Heading3"/>
        <w:spacing w:line="240" w:lineRule="auto" w:before="120"/>
        <w:ind w:left="573" w:right="0"/>
        <w:jc w:val="left"/>
      </w:pPr>
      <w:r>
        <w:rPr>
          <w:rFonts w:ascii="Times New Roman" w:hAnsi="Times New Roman" w:cs="Times New Roman" w:eastAsia="Times New Roman" w:hint="default"/>
        </w:rPr>
        <w:t>1</w:t>
      </w:r>
      <w:r>
        <w:rPr/>
        <w:t>、行业风险</w:t>
      </w:r>
    </w:p>
    <w:p>
      <w:pPr>
        <w:pStyle w:val="Heading3"/>
        <w:spacing w:line="312" w:lineRule="auto" w:before="97"/>
        <w:ind w:left="573" w:right="1213"/>
        <w:jc w:val="left"/>
      </w:pPr>
      <w:r>
        <w:rPr/>
        <w:t>（</w:t>
      </w:r>
      <w:r>
        <w:rPr>
          <w:rFonts w:ascii="Times New Roman" w:hAnsi="Times New Roman" w:cs="Times New Roman" w:eastAsia="Times New Roman" w:hint="default"/>
        </w:rPr>
        <w:t>1</w:t>
      </w:r>
      <w:r>
        <w:rPr/>
        <w:t>）宏观经济与市场环境变化风险 公司的主要产品为聚酯薄膜等新型功能性薄膜，产品广泛应用于各类食品、饮料、医药</w:t>
      </w:r>
    </w:p>
    <w:p>
      <w:pPr>
        <w:pStyle w:val="Heading3"/>
        <w:spacing w:line="239" w:lineRule="exact"/>
        <w:ind w:right="0"/>
        <w:jc w:val="both"/>
      </w:pPr>
      <w:r>
        <w:rPr/>
        <w:t>和日用品的包装，并已逐步拓展向液晶显示、智能手机、触摸面板、汽车、建筑节能玻璃、</w:t>
      </w:r>
    </w:p>
    <w:p>
      <w:pPr>
        <w:pStyle w:val="Heading3"/>
        <w:spacing w:line="312" w:lineRule="exact" w:before="29"/>
        <w:ind w:right="1171"/>
        <w:jc w:val="both"/>
      </w:pPr>
      <w:r>
        <w:rPr/>
        <w:t>光伏新能源等应用领域。上述领域与宏观经济运行状况密切相关，宏观经济的波动对公司主 要产品的价格和需求有较大影响，聚酯薄膜行业呈现较为明显的周期性，是一个发展前景非 常广阔的行业，公司所面临的市场环境逐渐好转，但如果未来国内外经济水平趋于恶化或长 期保持低位，将会对公司生产经营和盈利水平产生不利影响。</w:t>
      </w:r>
    </w:p>
    <w:p>
      <w:pPr>
        <w:pStyle w:val="Heading3"/>
        <w:spacing w:line="312" w:lineRule="auto" w:before="89"/>
        <w:ind w:left="573" w:right="1213"/>
        <w:jc w:val="left"/>
      </w:pPr>
      <w:r>
        <w:rPr/>
        <w:t>（</w:t>
      </w:r>
      <w:r>
        <w:rPr>
          <w:rFonts w:ascii="Times New Roman" w:hAnsi="Times New Roman" w:cs="Times New Roman" w:eastAsia="Times New Roman" w:hint="default"/>
        </w:rPr>
        <w:t>2</w:t>
      </w:r>
      <w:r>
        <w:rPr/>
        <w:t>）行业竞争风险 由于聚酯薄膜优异的材料性能，未来需求及应用领域将不断被开发，应用领域广，市场</w:t>
      </w:r>
    </w:p>
    <w:p>
      <w:pPr>
        <w:pStyle w:val="Heading3"/>
        <w:spacing w:line="239" w:lineRule="exact"/>
        <w:ind w:right="0"/>
        <w:jc w:val="both"/>
      </w:pPr>
      <w:r>
        <w:rPr/>
        <w:t>潜力大，前几年，聚酯薄膜企业的生产规模不断扩张，国内聚酯薄膜行业的市场竞争激烈，</w:t>
      </w:r>
    </w:p>
    <w:p>
      <w:pPr>
        <w:pStyle w:val="Heading3"/>
        <w:spacing w:line="312" w:lineRule="exact" w:before="29"/>
        <w:ind w:right="1170"/>
        <w:jc w:val="both"/>
      </w:pPr>
      <w:r>
        <w:rPr/>
        <w:t>可能导致公司产品的利润率下降。尽管公司凭借高质量发展且产品的品种齐全和强大的品牌 优势位居国内聚酯薄膜行业领跑企业，取得一定的规模和成本的竞争优势，但随着行业的发 展，公司面临市场竞争不断加大的风险，如果公司不能正确判断、把握行业的市场动态和发 展趋势，不能根据技术发展和客户需求变化及时推出新产品、优化产品结构，不能进一步提 高产品质量及经营效率，保持竞争优势，则存在因竞争优势减弱而导致经营业绩不能达到预 期目标的风险。</w:t>
      </w:r>
    </w:p>
    <w:p>
      <w:pPr>
        <w:pStyle w:val="Heading3"/>
        <w:spacing w:line="240" w:lineRule="auto" w:before="89"/>
        <w:ind w:left="573" w:right="0"/>
        <w:jc w:val="left"/>
      </w:pPr>
      <w:r>
        <w:rPr>
          <w:rFonts w:ascii="Times New Roman" w:hAnsi="Times New Roman" w:cs="Times New Roman" w:eastAsia="Times New Roman" w:hint="default"/>
        </w:rPr>
        <w:t>2</w:t>
      </w:r>
      <w:r>
        <w:rPr/>
        <w:t>、经营风险</w:t>
      </w:r>
    </w:p>
    <w:p>
      <w:pPr>
        <w:pStyle w:val="Heading3"/>
        <w:spacing w:line="312" w:lineRule="auto" w:before="99"/>
        <w:ind w:left="573" w:right="1213"/>
        <w:jc w:val="left"/>
      </w:pPr>
      <w:r>
        <w:rPr/>
        <w:t>（</w:t>
      </w:r>
      <w:r>
        <w:rPr>
          <w:rFonts w:ascii="Times New Roman" w:hAnsi="Times New Roman" w:cs="Times New Roman" w:eastAsia="Times New Roman" w:hint="default"/>
        </w:rPr>
        <w:t>1</w:t>
      </w:r>
      <w:r>
        <w:rPr/>
        <w:t>）主要产品价格波动的风险 目前公司主要从事先进高分子复合材料领域产品、光电新材料、光学膜、太阳能电池背</w:t>
      </w:r>
    </w:p>
    <w:p>
      <w:pPr>
        <w:pStyle w:val="Heading3"/>
        <w:spacing w:line="240" w:lineRule="exact"/>
        <w:ind w:right="0"/>
        <w:jc w:val="both"/>
      </w:pPr>
      <w:r>
        <w:rPr/>
        <w:t>板、聚酯电容膜、信息材料、热收缩材料等聚酯薄膜的技术研发、生产和销售，由于受到国</w:t>
      </w:r>
    </w:p>
    <w:p>
      <w:pPr>
        <w:pStyle w:val="Heading3"/>
        <w:spacing w:line="312" w:lineRule="exact" w:before="29"/>
        <w:ind w:right="1170"/>
        <w:jc w:val="both"/>
      </w:pPr>
      <w:r>
        <w:rPr/>
        <w:t>内外整体经济环境影响，聚酯薄膜价格上涨幅度及节奏跟随上游原料价格的波动高度一致， 公司具有从聚酯薄膜上游聚酯切片到下游应用产品相对完整的产业链，丰富了公司聚酯薄膜 的产品结构，分散了经营风险，降低了公司聚酯薄膜生产成本，可以在一定程度上减少聚酯 薄膜价格波动对公司业绩的影响。但如果公司因拓展市场份额、市场竞争加剧等因素影响聚 酯薄膜价格低位，可能直接影响产品的毛利率，将对公司的盈利能力造成不利影响。</w:t>
      </w:r>
    </w:p>
    <w:p>
      <w:pPr>
        <w:pStyle w:val="Heading3"/>
        <w:spacing w:line="240" w:lineRule="auto" w:before="89"/>
        <w:ind w:left="573" w:right="0"/>
        <w:jc w:val="left"/>
      </w:pPr>
      <w:r>
        <w:rPr/>
        <w:t>（</w:t>
      </w:r>
      <w:r>
        <w:rPr>
          <w:rFonts w:ascii="Times New Roman" w:hAnsi="Times New Roman" w:cs="Times New Roman" w:eastAsia="Times New Roman" w:hint="default"/>
        </w:rPr>
        <w:t>2</w:t>
      </w:r>
      <w:r>
        <w:rPr/>
        <w:t>）主要原材料价格波动的风险</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3"/>
        <w:spacing w:line="230" w:lineRule="auto" w:before="37"/>
        <w:ind w:right="996" w:firstLine="420"/>
        <w:jc w:val="left"/>
      </w:pPr>
      <w:r>
        <w:rPr/>
        <w:t>公司对外采购的原材料主要包括石化产品</w:t>
      </w:r>
      <w:r>
        <w:rPr>
          <w:rFonts w:ascii="Times New Roman" w:hAnsi="Times New Roman" w:cs="Times New Roman" w:eastAsia="Times New Roman" w:hint="default"/>
        </w:rPr>
        <w:t>PTA</w:t>
      </w:r>
      <w:r>
        <w:rPr/>
        <w:t>和</w:t>
      </w:r>
      <w:r>
        <w:rPr>
          <w:rFonts w:ascii="Times New Roman" w:hAnsi="Times New Roman" w:cs="Times New Roman" w:eastAsia="Times New Roman" w:hint="default"/>
        </w:rPr>
        <w:t>MEG</w:t>
      </w:r>
      <w:r>
        <w:rPr/>
        <w:t>，该原料占公司聚酯薄膜产品成本 </w:t>
      </w:r>
      <w:r>
        <w:rPr>
          <w:spacing w:val="-1"/>
        </w:rPr>
        <w:t>的比例超过</w:t>
      </w:r>
      <w:r>
        <w:rPr>
          <w:rFonts w:ascii="Times New Roman" w:hAnsi="Times New Roman" w:cs="Times New Roman" w:eastAsia="Times New Roman" w:hint="default"/>
          <w:spacing w:val="-1"/>
        </w:rPr>
        <w:t>70%</w:t>
      </w:r>
      <w:r>
        <w:rPr>
          <w:spacing w:val="-1"/>
        </w:rPr>
        <w:t>，公司采取标杆采购管理，严格控制采购成本，优化工艺设计，采用新原料、</w:t>
      </w:r>
      <w:r>
        <w:rPr/>
        <w:t> 新工艺等综合措施降低生产成本，国际原油价格的较大波动将通过原材料采购价格直接影响 产品的生产成本，仍将对公司的盈利能力产生影响。</w:t>
      </w:r>
    </w:p>
    <w:p>
      <w:pPr>
        <w:pStyle w:val="Heading3"/>
        <w:spacing w:line="240" w:lineRule="auto" w:before="119"/>
        <w:ind w:left="573" w:right="0"/>
        <w:jc w:val="left"/>
      </w:pPr>
      <w:r>
        <w:rPr>
          <w:rFonts w:ascii="Times New Roman" w:hAnsi="Times New Roman" w:cs="Times New Roman" w:eastAsia="Times New Roman" w:hint="default"/>
        </w:rPr>
        <w:t>3</w:t>
      </w:r>
      <w:r>
        <w:rPr/>
        <w:t>、投资风险</w:t>
      </w:r>
    </w:p>
    <w:p>
      <w:pPr>
        <w:pStyle w:val="Heading3"/>
        <w:spacing w:line="312" w:lineRule="auto" w:before="99"/>
        <w:ind w:left="573" w:right="1213"/>
        <w:jc w:val="left"/>
      </w:pPr>
      <w:r>
        <w:rPr/>
        <w:t>（</w:t>
      </w:r>
      <w:r>
        <w:rPr>
          <w:rFonts w:ascii="Times New Roman" w:hAnsi="Times New Roman" w:cs="Times New Roman" w:eastAsia="Times New Roman" w:hint="default"/>
        </w:rPr>
        <w:t>1</w:t>
      </w:r>
      <w:r>
        <w:rPr/>
        <w:t>）产能扩张引致的市场拓展风险 公司近年来主要产品聚酯薄膜的产能扩张较快，目前产能已超过</w:t>
      </w:r>
      <w:r>
        <w:rPr>
          <w:rFonts w:ascii="Times New Roman" w:hAnsi="Times New Roman" w:cs="Times New Roman" w:eastAsia="Times New Roman" w:hint="default"/>
        </w:rPr>
        <w:t>30</w:t>
      </w:r>
      <w:r>
        <w:rPr/>
        <w:t>万吨，产能居于国内</w:t>
      </w:r>
    </w:p>
    <w:p>
      <w:pPr>
        <w:pStyle w:val="Heading3"/>
        <w:spacing w:line="214" w:lineRule="exact"/>
        <w:ind w:right="0"/>
        <w:jc w:val="both"/>
      </w:pPr>
      <w:r>
        <w:rPr/>
        <w:t>领先地位。</w:t>
      </w:r>
    </w:p>
    <w:p>
      <w:pPr>
        <w:pStyle w:val="Heading3"/>
        <w:spacing w:line="237" w:lineRule="auto" w:before="120"/>
        <w:ind w:right="1170" w:firstLine="420"/>
        <w:jc w:val="both"/>
      </w:pPr>
      <w:r>
        <w:rPr/>
        <w:t>尽管随着消费品市场对包装材料需求的增长和聚酯薄膜自身优异性能带动其应用领域的 不断拓展，聚酯薄膜产品具有良好的市场前景。公司也凭借优良的产品性能、多样的产品种 类、良好的企业品牌获得了市场的认同，建立了广泛的客户基础和客户资源；同时，募集资 金投资项目的可行性相关结论均是基于当时市场环境、国家产业政策、公司发展战略、国内 外市场环境和技术水平等条件做出的，公司的募投项目市场前景较好，毛利水平较高。但随 着项目的建成，如果市场容量增长未达到预期，或者公司在产能提高的同时新市场开拓等方 面不能达到预期目标消化新增产能，则存在公司产能利用不足的风险。</w:t>
      </w:r>
    </w:p>
    <w:p>
      <w:pPr>
        <w:pStyle w:val="Heading3"/>
        <w:spacing w:line="312" w:lineRule="auto" w:before="118"/>
        <w:ind w:left="573" w:right="1213"/>
        <w:jc w:val="left"/>
      </w:pPr>
      <w:r>
        <w:rPr/>
        <w:t>（</w:t>
      </w:r>
      <w:r>
        <w:rPr>
          <w:rFonts w:ascii="Times New Roman" w:hAnsi="Times New Roman" w:cs="Times New Roman" w:eastAsia="Times New Roman" w:hint="default"/>
        </w:rPr>
        <w:t>2</w:t>
      </w:r>
      <w:r>
        <w:rPr/>
        <w:t>）项目能否达到预期收益的风险 公司历次建设项目经过了充分的调查论证，具备良好的技术和市场基础。但公司投资项</w:t>
      </w:r>
    </w:p>
    <w:p>
      <w:pPr>
        <w:pStyle w:val="Heading3"/>
        <w:spacing w:line="239" w:lineRule="exact"/>
        <w:ind w:right="0"/>
        <w:jc w:val="both"/>
      </w:pPr>
      <w:r>
        <w:rPr/>
        <w:t>目的可行性分析是基于当前市场环境、现有技术基础、发展趋势等因素作出的合理判断。如</w:t>
      </w:r>
    </w:p>
    <w:p>
      <w:pPr>
        <w:pStyle w:val="Heading3"/>
        <w:spacing w:line="312" w:lineRule="exact" w:before="29"/>
        <w:ind w:right="1171"/>
        <w:jc w:val="both"/>
      </w:pPr>
      <w:r>
        <w:rPr/>
        <w:t>果未来市场环境、国际贸易争端、技术水平出现重大不利变化，或者整体宏观经济形势出现 大幅度下滑，导致产品单价大幅下降或产能利用率不足的情况，可能在一段时间内对公司募 投项目预期的盈利水平产生影响。</w:t>
      </w:r>
    </w:p>
    <w:p>
      <w:pPr>
        <w:pStyle w:val="Heading3"/>
        <w:spacing w:line="312" w:lineRule="auto" w:before="89"/>
        <w:ind w:left="573" w:right="0"/>
        <w:jc w:val="left"/>
      </w:pPr>
      <w:r>
        <w:rPr/>
        <w:t>（</w:t>
      </w:r>
      <w:r>
        <w:rPr>
          <w:rFonts w:ascii="Times New Roman" w:hAnsi="Times New Roman" w:cs="Times New Roman" w:eastAsia="Times New Roman" w:hint="default"/>
        </w:rPr>
        <w:t>3</w:t>
      </w:r>
      <w:r>
        <w:rPr/>
        <w:t>）新增固定资产折旧影响未来经营业绩的风险 </w:t>
      </w:r>
      <w:r>
        <w:rPr>
          <w:spacing w:val="2"/>
        </w:rPr>
        <w:t>公司投资项目建成后，固定资产将大幅增加，导致每年新增折旧金额也较大。在项目完</w:t>
      </w:r>
      <w:r>
        <w:rPr/>
      </w:r>
    </w:p>
    <w:p>
      <w:pPr>
        <w:pStyle w:val="Heading3"/>
        <w:spacing w:line="239" w:lineRule="exact"/>
        <w:ind w:right="0"/>
        <w:jc w:val="both"/>
      </w:pPr>
      <w:r>
        <w:rPr/>
        <w:t>全达产前或不能如期达产并发挥经济效益的情况下，公司存在因折旧增加而导致利润下降的</w:t>
      </w:r>
    </w:p>
    <w:p>
      <w:pPr>
        <w:pStyle w:val="Heading3"/>
        <w:spacing w:line="313" w:lineRule="exact"/>
        <w:ind w:right="0"/>
        <w:jc w:val="both"/>
      </w:pPr>
      <w:r>
        <w:rPr/>
        <w:t>风险。</w:t>
      </w:r>
    </w:p>
    <w:p>
      <w:pPr>
        <w:pStyle w:val="Heading3"/>
        <w:spacing w:line="240" w:lineRule="auto" w:before="118"/>
        <w:ind w:left="573" w:right="0"/>
        <w:jc w:val="left"/>
      </w:pPr>
      <w:r>
        <w:rPr>
          <w:rFonts w:ascii="Times New Roman" w:hAnsi="Times New Roman" w:cs="Times New Roman" w:eastAsia="Times New Roman" w:hint="default"/>
        </w:rPr>
        <w:t>4</w:t>
      </w:r>
      <w:r>
        <w:rPr/>
        <w:t>、技术风险</w:t>
      </w:r>
    </w:p>
    <w:p>
      <w:pPr>
        <w:pStyle w:val="Heading3"/>
        <w:spacing w:line="312" w:lineRule="auto" w:before="99"/>
        <w:ind w:left="573" w:right="1213"/>
        <w:jc w:val="left"/>
      </w:pPr>
      <w:r>
        <w:rPr/>
        <w:t>（</w:t>
      </w:r>
      <w:r>
        <w:rPr>
          <w:rFonts w:ascii="Times New Roman" w:hAnsi="Times New Roman" w:cs="Times New Roman" w:eastAsia="Times New Roman" w:hint="default"/>
        </w:rPr>
        <w:t>1</w:t>
      </w:r>
      <w:r>
        <w:rPr/>
        <w:t>）核心技术人员流失风险 公司拥有较强的研发队伍和优秀的核心技术人员，这是公司技术领先、产品创新的主要</w:t>
      </w:r>
    </w:p>
    <w:p>
      <w:pPr>
        <w:pStyle w:val="Heading3"/>
        <w:spacing w:line="239" w:lineRule="exact"/>
        <w:ind w:right="0"/>
        <w:jc w:val="both"/>
      </w:pPr>
      <w:r>
        <w:rPr/>
        <w:t>因素之一。公司一贯重视并不断完善技术人员的激励约束机制，制定了向技术人员倾斜的收</w:t>
      </w:r>
    </w:p>
    <w:p>
      <w:pPr>
        <w:pStyle w:val="Heading3"/>
        <w:spacing w:line="312" w:lineRule="exact" w:before="29"/>
        <w:ind w:right="1171"/>
        <w:jc w:val="both"/>
      </w:pPr>
      <w:r>
        <w:rPr/>
        <w:t>入分配制度。随着市场竞争的加剧，如果公司不能持续完善各类激励机制，可能面临核心技 术人员流失的风险。</w:t>
      </w:r>
    </w:p>
    <w:p>
      <w:pPr>
        <w:pStyle w:val="Heading3"/>
        <w:spacing w:line="312" w:lineRule="auto" w:before="89"/>
        <w:ind w:left="537" w:right="1126" w:firstLine="36"/>
        <w:jc w:val="left"/>
      </w:pPr>
      <w:r>
        <w:rPr/>
        <w:t>（</w:t>
      </w:r>
      <w:r>
        <w:rPr>
          <w:rFonts w:ascii="Times New Roman" w:hAnsi="Times New Roman" w:cs="Times New Roman" w:eastAsia="Times New Roman" w:hint="default"/>
        </w:rPr>
        <w:t>2</w:t>
      </w:r>
      <w:r>
        <w:rPr/>
        <w:t>）技术泄密的风险 </w:t>
      </w:r>
      <w:r>
        <w:rPr>
          <w:spacing w:val="-3"/>
        </w:rPr>
        <w:t>工艺流程设计和原材料配比是公司技术实力的主要体现，经过多年的研发与生产，公司积</w:t>
      </w:r>
    </w:p>
    <w:p>
      <w:pPr>
        <w:pStyle w:val="Heading3"/>
        <w:spacing w:line="239" w:lineRule="exact"/>
        <w:ind w:right="0"/>
        <w:jc w:val="both"/>
      </w:pPr>
      <w:r>
        <w:rPr/>
        <w:t>累了大量聚酯薄膜生产的技术诀窍，掌握了一整套与薄膜制造相关的关键技术和工艺流程、</w:t>
      </w:r>
    </w:p>
    <w:p>
      <w:pPr>
        <w:pStyle w:val="Heading3"/>
        <w:spacing w:line="312" w:lineRule="exact" w:before="29"/>
        <w:ind w:right="1139"/>
        <w:jc w:val="both"/>
      </w:pPr>
      <w:r>
        <w:rPr/>
        <w:t>设备参数调试等方面的非专利技术，这些专利技术及非专利技术均为公司拥有，但其转化为</w:t>
      </w:r>
      <w:r>
        <w:rPr>
          <w:spacing w:val="-91"/>
        </w:rPr>
        <w:t> </w:t>
      </w:r>
      <w:r>
        <w:rPr>
          <w:spacing w:val="-91"/>
        </w:rPr>
      </w:r>
      <w:r>
        <w:rPr/>
        <w:t>生产力与技术人员和生产人员的熟练掌握程度密切相关。虽然目前公司已采取了多项措施以</w:t>
      </w:r>
      <w:r>
        <w:rPr>
          <w:spacing w:val="-91"/>
        </w:rPr>
        <w:t> </w:t>
      </w:r>
      <w:r>
        <w:rPr>
          <w:spacing w:val="-91"/>
        </w:rPr>
      </w:r>
      <w:r>
        <w:rPr/>
        <w:t>稳定员工队伍，包括主要技术人员持有公司股份等方式使其切身利益与公司的长远发展紧密</w:t>
      </w:r>
      <w:r>
        <w:rPr>
          <w:spacing w:val="-91"/>
        </w:rPr>
        <w:t> </w:t>
      </w:r>
      <w:r>
        <w:rPr>
          <w:spacing w:val="-91"/>
        </w:rPr>
      </w:r>
      <w:r>
        <w:rPr/>
        <w:t>相连，但随着国内聚酯薄膜行业的快速发展，聚酯薄膜企业对专业技术人才的竞争将趋于激</w:t>
      </w:r>
      <w:r>
        <w:rPr>
          <w:spacing w:val="-91"/>
        </w:rPr>
        <w:t> </w:t>
      </w:r>
      <w:r>
        <w:rPr>
          <w:spacing w:val="-91"/>
        </w:rPr>
      </w:r>
      <w:r>
        <w:rPr/>
        <w:t>烈，如果管理不善或核心技术人员流失，仍存在技术泄密的风险。</w:t>
      </w:r>
    </w:p>
    <w:p>
      <w:pPr>
        <w:spacing w:after="0" w:line="312" w:lineRule="exact"/>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2018-001</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2018-002</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2018-003</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2018-004</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2018-005</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2018-006</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2018-007</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2018-008</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2018-009</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2018-010</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4"/>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6"/>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2018-011</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 资者关系活动记录表</w:t>
            </w:r>
            <w:r>
              <w:rPr>
                <w:rFonts w:ascii="宋体" w:hAnsi="宋体" w:cs="宋体" w:eastAsia="宋体" w:hint="default"/>
                <w:spacing w:val="-2"/>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2018-012</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879" w:right="1855"/>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52" w:right="7064" w:firstLine="0"/>
        <w:jc w:val="left"/>
        <w:rPr>
          <w:rFonts w:ascii="宋体" w:hAnsi="宋体" w:cs="宋体" w:eastAsia="宋体" w:hint="default"/>
          <w:sz w:val="18"/>
          <w:szCs w:val="18"/>
        </w:rPr>
      </w:pPr>
      <w:r>
        <w:rPr/>
        <w:pict>
          <v:shape style="position:absolute;margin-left:57pt;margin-top:38.621704pt;width:478.7pt;height:172.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月完成</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年年度权益分派。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56" w:lineRule="auto" w:before="80"/>
        <w:ind w:right="1128" w:firstLine="420"/>
        <w:jc w:val="both"/>
      </w:pPr>
      <w:r>
        <w:rPr>
          <w:spacing w:val="-1"/>
        </w:rPr>
        <w:t>公司</w:t>
      </w:r>
      <w:r>
        <w:rPr>
          <w:rFonts w:ascii="Times New Roman" w:hAnsi="Times New Roman" w:cs="Times New Roman" w:eastAsia="Times New Roman" w:hint="default"/>
          <w:spacing w:val="-1"/>
        </w:rPr>
        <w:t>2016</w:t>
      </w:r>
      <w:r>
        <w:rPr>
          <w:spacing w:val="-1"/>
        </w:rPr>
        <w:t>年度利润分配方案为：以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日总股本</w:t>
      </w:r>
      <w:r>
        <w:rPr>
          <w:rFonts w:ascii="Times New Roman" w:hAnsi="Times New Roman" w:cs="Times New Roman" w:eastAsia="Times New Roman" w:hint="default"/>
          <w:spacing w:val="-1"/>
        </w:rPr>
        <w:t>889,444,681.00</w:t>
      </w:r>
      <w:r>
        <w:rPr>
          <w:spacing w:val="-1"/>
        </w:rPr>
        <w:t>股为基数，向全体股东每</w:t>
      </w:r>
      <w:r>
        <w:rPr>
          <w:rFonts w:ascii="Times New Roman" w:hAnsi="Times New Roman" w:cs="Times New Roman" w:eastAsia="Times New Roman" w:hint="default"/>
          <w:spacing w:val="-1"/>
        </w:rPr>
        <w:t>10</w:t>
      </w:r>
      <w:r>
        <w:rPr>
          <w:spacing w:val="-1"/>
        </w:rPr>
        <w:t>股</w:t>
      </w:r>
      <w:r>
        <w:rPr>
          <w:w w:val="100"/>
        </w:rPr>
        <w:t> </w:t>
      </w:r>
      <w:r>
        <w:rPr>
          <w:spacing w:val="-3"/>
        </w:rPr>
        <w:t>派发现金红利</w:t>
      </w:r>
      <w:r>
        <w:rPr>
          <w:rFonts w:ascii="Times New Roman" w:hAnsi="Times New Roman" w:cs="Times New Roman" w:eastAsia="Times New Roman" w:hint="default"/>
          <w:spacing w:val="-3"/>
        </w:rPr>
        <w:t>0.2</w:t>
      </w:r>
      <w:r>
        <w:rPr>
          <w:spacing w:val="-3"/>
        </w:rPr>
        <w:t>元（含税），共分配现金红利</w:t>
      </w:r>
      <w:r>
        <w:rPr>
          <w:rFonts w:ascii="Times New Roman" w:hAnsi="Times New Roman" w:cs="Times New Roman" w:eastAsia="Times New Roman" w:hint="default"/>
          <w:spacing w:val="-3"/>
        </w:rPr>
        <w:t>17,788,893.62</w:t>
      </w:r>
      <w:r>
        <w:rPr>
          <w:spacing w:val="-3"/>
        </w:rPr>
        <w:t>元；以公司总股本</w:t>
      </w:r>
      <w:r>
        <w:rPr>
          <w:rFonts w:ascii="Times New Roman" w:hAnsi="Times New Roman" w:cs="Times New Roman" w:eastAsia="Times New Roman" w:hint="default"/>
          <w:spacing w:val="-3"/>
        </w:rPr>
        <w:t>889,444,681.00</w:t>
      </w:r>
      <w:r>
        <w:rPr>
          <w:spacing w:val="-3"/>
        </w:rPr>
        <w:t>股为基数，以</w:t>
      </w:r>
      <w:r>
        <w:rPr>
          <w:spacing w:val="-5"/>
        </w:rPr>
        <w:t> </w:t>
      </w:r>
      <w:r>
        <w:rPr>
          <w:spacing w:val="-5"/>
        </w:rPr>
      </w:r>
      <w:r>
        <w:rPr>
          <w:spacing w:val="-3"/>
        </w:rPr>
        <w:t>资本公积转增股本，每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3</w:t>
      </w:r>
      <w:r>
        <w:rPr>
          <w:spacing w:val="-3"/>
        </w:rPr>
        <w:t>股，共计转增</w:t>
      </w:r>
      <w:r>
        <w:rPr>
          <w:rFonts w:ascii="Times New Roman" w:hAnsi="Times New Roman" w:cs="Times New Roman" w:eastAsia="Times New Roman" w:hint="default"/>
          <w:spacing w:val="-3"/>
        </w:rPr>
        <w:t>266,833,404.00 </w:t>
      </w:r>
      <w:r>
        <w:rPr/>
        <w:t>股，转增后公司总股本增至</w:t>
      </w:r>
      <w:r>
        <w:rPr>
          <w:rFonts w:ascii="Times New Roman" w:hAnsi="Times New Roman" w:cs="Times New Roman" w:eastAsia="Times New Roman" w:hint="default"/>
        </w:rPr>
        <w:t>1,156,278,085.00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股。</w:t>
      </w:r>
    </w:p>
    <w:p>
      <w:pPr>
        <w:pStyle w:val="BodyText"/>
        <w:spacing w:line="256" w:lineRule="auto" w:before="145"/>
        <w:ind w:right="1126" w:firstLine="420"/>
        <w:jc w:val="both"/>
      </w:pPr>
      <w:r>
        <w:rPr>
          <w:spacing w:val="-2"/>
        </w:rPr>
        <w:t>公司</w:t>
      </w:r>
      <w:r>
        <w:rPr>
          <w:rFonts w:ascii="Times New Roman" w:hAnsi="Times New Roman" w:cs="Times New Roman" w:eastAsia="Times New Roman" w:hint="default"/>
          <w:spacing w:val="-2"/>
        </w:rPr>
        <w:t>2017</w:t>
      </w:r>
      <w:r>
        <w:rPr>
          <w:spacing w:val="-2"/>
        </w:rPr>
        <w:t>年度利润分配方案为：以公司总股本</w:t>
      </w:r>
      <w:r>
        <w:rPr>
          <w:rFonts w:ascii="Times New Roman" w:hAnsi="Times New Roman" w:cs="Times New Roman" w:eastAsia="Times New Roman" w:hint="default"/>
          <w:spacing w:val="-2"/>
        </w:rPr>
        <w:t>1,156,278,085.00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w w:val="100"/>
        </w:rPr>
        <w:t> </w:t>
      </w:r>
      <w:r>
        <w:rPr/>
        <w:t>红利</w:t>
      </w:r>
      <w:r>
        <w:rPr>
          <w:rFonts w:ascii="Times New Roman" w:hAnsi="Times New Roman" w:cs="Times New Roman" w:eastAsia="Times New Roman" w:hint="default"/>
        </w:rPr>
        <w:t>0.10</w:t>
      </w:r>
      <w:r>
        <w:rPr/>
        <w:t>元（含税），共分配现金红利</w:t>
      </w:r>
      <w:r>
        <w:rPr>
          <w:rFonts w:ascii="Times New Roman" w:hAnsi="Times New Roman" w:cs="Times New Roman" w:eastAsia="Times New Roman" w:hint="default"/>
        </w:rPr>
        <w:t>11,562,780.85</w:t>
      </w:r>
      <w:r>
        <w:rPr/>
        <w:t>元剩余未分配利润暂不分配，结转入下一年度；公司</w:t>
      </w:r>
      <w:r>
        <w:rPr>
          <w:spacing w:val="-28"/>
        </w:rPr>
        <w:t> </w:t>
      </w:r>
      <w:r>
        <w:rPr>
          <w:spacing w:val="-28"/>
        </w:rPr>
      </w:r>
      <w:r>
        <w:rPr>
          <w:rFonts w:ascii="Times New Roman" w:hAnsi="Times New Roman" w:cs="Times New Roman" w:eastAsia="Times New Roman" w:hint="default"/>
        </w:rPr>
        <w:t>2017</w:t>
      </w:r>
      <w:r>
        <w:rPr/>
        <w:t>年度不进行资本公积金转增股本。</w:t>
      </w:r>
    </w:p>
    <w:p>
      <w:pPr>
        <w:pStyle w:val="BodyText"/>
        <w:spacing w:line="256" w:lineRule="auto" w:before="125"/>
        <w:ind w:right="1126" w:firstLine="420"/>
        <w:jc w:val="both"/>
      </w:pPr>
      <w:r>
        <w:rPr>
          <w:spacing w:val="-2"/>
        </w:rPr>
        <w:t>公司</w:t>
      </w:r>
      <w:r>
        <w:rPr>
          <w:rFonts w:ascii="Times New Roman" w:hAnsi="Times New Roman" w:cs="Times New Roman" w:eastAsia="Times New Roman" w:hint="default"/>
          <w:spacing w:val="-2"/>
        </w:rPr>
        <w:t>2018</w:t>
      </w:r>
      <w:r>
        <w:rPr>
          <w:spacing w:val="-2"/>
        </w:rPr>
        <w:t>年度利润分配预案为：以公司总股本</w:t>
      </w:r>
      <w:r>
        <w:rPr>
          <w:rFonts w:ascii="Times New Roman" w:hAnsi="Times New Roman" w:cs="Times New Roman" w:eastAsia="Times New Roman" w:hint="default"/>
          <w:spacing w:val="-2"/>
        </w:rPr>
        <w:t>1,156,278,085.00</w:t>
      </w:r>
      <w:r>
        <w:rPr>
          <w:spacing w:val="-2"/>
        </w:rPr>
        <w:t>股为基数，向全体股东每</w:t>
      </w:r>
      <w:r>
        <w:rPr>
          <w:rFonts w:ascii="Times New Roman" w:hAnsi="Times New Roman" w:cs="Times New Roman" w:eastAsia="Times New Roman" w:hint="default"/>
          <w:spacing w:val="-2"/>
        </w:rPr>
        <w:t>10</w:t>
      </w:r>
      <w:r>
        <w:rPr>
          <w:spacing w:val="-2"/>
        </w:rPr>
        <w:t>股派发现金</w:t>
      </w:r>
      <w:r>
        <w:rPr>
          <w:w w:val="100"/>
        </w:rPr>
        <w:t> </w:t>
      </w:r>
      <w:r>
        <w:rPr>
          <w:spacing w:val="-5"/>
        </w:rPr>
        <w:t>红利</w:t>
      </w:r>
      <w:r>
        <w:rPr>
          <w:rFonts w:ascii="Times New Roman" w:hAnsi="Times New Roman" w:cs="Times New Roman" w:eastAsia="Times New Roman" w:hint="default"/>
          <w:spacing w:val="-5"/>
        </w:rPr>
        <w:t>2</w:t>
      </w:r>
      <w:r>
        <w:rPr>
          <w:spacing w:val="-5"/>
        </w:rPr>
        <w:t>元（含税），共分配现金红利</w:t>
      </w:r>
      <w:r>
        <w:rPr>
          <w:rFonts w:ascii="Times New Roman" w:hAnsi="Times New Roman" w:cs="Times New Roman" w:eastAsia="Times New Roman" w:hint="default"/>
          <w:spacing w:val="-5"/>
        </w:rPr>
        <w:t>231,255,617.00</w:t>
      </w:r>
      <w:r>
        <w:rPr>
          <w:spacing w:val="-5"/>
        </w:rPr>
        <w:t>元剩余未分配利润暂不分配，结转入下一年度；公司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年度不进行资本公积金转增股本。</w:t>
      </w:r>
    </w:p>
    <w:p>
      <w:pPr>
        <w:spacing w:before="8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7"/>
        <w:gridCol w:w="1195"/>
        <w:gridCol w:w="1197"/>
        <w:gridCol w:w="1184"/>
        <w:gridCol w:w="1208"/>
        <w:gridCol w:w="1184"/>
      </w:tblGrid>
      <w:tr>
        <w:trPr>
          <w:trHeight w:val="163"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231,255,617.00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321,348,433.81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71.96%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231,255,617.00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71.96%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74,651,154.25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11,562,780.85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15.49%</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17,788,893.62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133,022,735.34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13.37%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17,788,893.62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13.37%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231,255,617.00</w:t>
            </w:r>
          </w:p>
        </w:tc>
      </w:tr>
      <w:tr>
        <w:trPr>
          <w:trHeight w:val="403"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231,255,617.00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1,192,048,121.84</w:t>
            </w:r>
          </w:p>
        </w:tc>
      </w:tr>
      <w:tr>
        <w:trPr>
          <w:trHeight w:val="71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pacing w:val="-3"/>
                <w:sz w:val="18"/>
                <w:szCs w:val="18"/>
              </w:rPr>
              <w:t>共</w:t>
            </w:r>
            <w:r>
              <w:rPr>
                <w:rFonts w:ascii="宋体" w:hAnsi="宋体" w:cs="宋体" w:eastAsia="宋体" w:hint="default"/>
                <w:sz w:val="18"/>
                <w:szCs w:val="18"/>
              </w:rPr>
              <w:t>分配现金红利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元剩余未分配利润暂不分配，结转入下一年度；公司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年度不进行资本公积金转增股本。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line="328" w:lineRule="auto"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公司报告期不存在由公司实际控制人、股东、关联方、收购人以及公司等承诺相关方在报告期内履行完毕及截至报告期末尚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未履行完毕的承诺事项。</w:t>
      </w:r>
    </w:p>
    <w:p>
      <w:pPr>
        <w:spacing w:line="240" w:lineRule="auto" w:before="13"/>
        <w:rPr>
          <w:rFonts w:ascii="宋体" w:hAnsi="宋体" w:cs="宋体" w:eastAsia="宋体" w:hint="default"/>
          <w:sz w:val="21"/>
          <w:szCs w:val="21"/>
        </w:rPr>
      </w:pPr>
    </w:p>
    <w:p>
      <w:pPr>
        <w:pStyle w:val="Heading4"/>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112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年度一般企业财务报表格式的通知》（财会〔</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号），本公司对财务报表格式进</w:t>
      </w:r>
    </w:p>
    <w:p>
      <w:pPr>
        <w:spacing w:line="21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行了相应调整。</w:t>
      </w:r>
    </w:p>
    <w:p>
      <w:pPr>
        <w:spacing w:line="300" w:lineRule="auto" w:before="76"/>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，本期余额</w:t>
      </w:r>
      <w:r>
        <w:rPr>
          <w:rFonts w:ascii="Times New Roman" w:hAnsi="Times New Roman" w:cs="Times New Roman" w:eastAsia="Times New Roman" w:hint="default"/>
          <w:spacing w:val="-2"/>
          <w:sz w:val="18"/>
          <w:szCs w:val="18"/>
        </w:rPr>
        <w:t>1,154,089,383.33</w:t>
      </w:r>
      <w:r>
        <w:rPr>
          <w:rFonts w:ascii="宋体" w:hAnsi="宋体" w:cs="宋体" w:eastAsia="宋体" w:hint="default"/>
          <w:spacing w:val="-2"/>
          <w:sz w:val="18"/>
          <w:szCs w:val="18"/>
        </w:rPr>
        <w:t>元，上期余额</w:t>
      </w:r>
      <w:r>
        <w:rPr>
          <w:rFonts w:ascii="Times New Roman" w:hAnsi="Times New Roman" w:cs="Times New Roman" w:eastAsia="Times New Roman" w:hint="default"/>
          <w:spacing w:val="-2"/>
          <w:sz w:val="18"/>
          <w:szCs w:val="18"/>
        </w:rPr>
        <w:t>1,179,463,219.01</w:t>
      </w:r>
      <w:r>
        <w:rPr>
          <w:rFonts w:ascii="宋体" w:hAnsi="宋体" w:cs="宋体" w:eastAsia="宋体" w:hint="default"/>
          <w:spacing w:val="-2"/>
          <w:sz w:val="18"/>
          <w:szCs w:val="18"/>
        </w:rPr>
        <w:t>元；</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Times New Roman" w:hAnsi="Times New Roman" w:cs="Times New Roman" w:eastAsia="Times New Roman" w:hint="default"/>
          <w:sz w:val="18"/>
          <w:szCs w:val="18"/>
        </w:rPr>
        <w:t>606,778,683.71</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507,497,140.25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固定 资产清理并入固定资产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Times New Roman" w:hAnsi="Times New Roman" w:cs="Times New Roman" w:eastAsia="Times New Roman" w:hint="default"/>
          <w:sz w:val="18"/>
          <w:szCs w:val="18"/>
        </w:rPr>
        <w:t>3,329,463,894.91</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2,509,728,845.72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工程物资并入在建工程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 </w:t>
      </w:r>
      <w:r>
        <w:rPr>
          <w:rFonts w:ascii="Times New Roman" w:hAnsi="Times New Roman" w:cs="Times New Roman" w:eastAsia="Times New Roman" w:hint="default"/>
          <w:sz w:val="18"/>
          <w:szCs w:val="18"/>
        </w:rPr>
        <w:t>224,747,061.08</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911,445,567.90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应收利息及应收股利并入其他应收款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Times New Roman" w:hAnsi="Times New Roman" w:cs="Times New Roman" w:eastAsia="Times New Roman" w:hint="default"/>
          <w:sz w:val="18"/>
          <w:szCs w:val="18"/>
        </w:rPr>
        <w:t>8,807,547.55</w:t>
      </w:r>
      <w:r>
        <w:rPr>
          <w:rFonts w:ascii="宋体" w:hAnsi="宋体" w:cs="宋体" w:eastAsia="宋体" w:hint="default"/>
          <w:sz w:val="18"/>
          <w:szCs w:val="18"/>
        </w:rPr>
        <w:t>元，上期余额</w:t>
      </w:r>
    </w:p>
    <w:p>
      <w:pPr>
        <w:spacing w:line="300" w:lineRule="auto" w:before="1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18,735,101.24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应付利息及应付股利并入其他应付款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，本期余额</w:t>
      </w:r>
      <w:r>
        <w:rPr>
          <w:rFonts w:ascii="Times New Roman" w:hAnsi="Times New Roman" w:cs="Times New Roman" w:eastAsia="Times New Roman" w:hint="default"/>
          <w:spacing w:val="-1"/>
          <w:sz w:val="18"/>
          <w:szCs w:val="18"/>
        </w:rPr>
        <w:t>118,583,361.97</w:t>
      </w:r>
      <w:r>
        <w:rPr>
          <w:rFonts w:ascii="宋体" w:hAnsi="宋体" w:cs="宋体" w:eastAsia="宋体" w:hint="default"/>
          <w:spacing w:val="-1"/>
          <w:sz w:val="18"/>
          <w:szCs w:val="18"/>
        </w:rPr>
        <w:t>元，上期余额</w:t>
      </w:r>
      <w:r>
        <w:rPr>
          <w:rFonts w:ascii="Times New Roman" w:hAnsi="Times New Roman" w:cs="Times New Roman" w:eastAsia="Times New Roman" w:hint="default"/>
          <w:spacing w:val="-1"/>
          <w:sz w:val="18"/>
          <w:szCs w:val="18"/>
        </w:rPr>
        <w:t>302,186,692.43</w:t>
      </w:r>
      <w:r>
        <w:rPr>
          <w:rFonts w:ascii="宋体" w:hAnsi="宋体" w:cs="宋体" w:eastAsia="宋体" w:hint="default"/>
          <w:spacing w:val="-1"/>
          <w:sz w:val="18"/>
          <w:szCs w:val="18"/>
        </w:rPr>
        <w:t>元；调减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管</w:t>
      </w:r>
      <w:r>
        <w:rPr>
          <w:rFonts w:ascii="宋体" w:hAnsi="宋体" w:cs="宋体" w:eastAsia="宋体" w:hint="default"/>
          <w:spacing w:val="-37"/>
          <w:sz w:val="18"/>
          <w:szCs w:val="18"/>
        </w:rPr>
        <w:t> </w:t>
      </w:r>
      <w:r>
        <w:rPr>
          <w:rFonts w:ascii="宋体" w:hAnsi="宋体" w:cs="宋体" w:eastAsia="宋体" w:hint="default"/>
          <w:sz w:val="18"/>
          <w:szCs w:val="18"/>
        </w:rPr>
        <w:t>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w:t>
      </w:r>
      <w:r>
        <w:rPr>
          <w:rFonts w:ascii="Times New Roman" w:hAnsi="Times New Roman" w:cs="Times New Roman" w:eastAsia="Times New Roman" w:hint="default"/>
          <w:sz w:val="18"/>
          <w:szCs w:val="18"/>
        </w:rPr>
        <w:t>121,508,267.11</w:t>
      </w:r>
      <w:r>
        <w:rPr>
          <w:rFonts w:ascii="宋体" w:hAnsi="宋体" w:cs="宋体" w:eastAsia="宋体" w:hint="default"/>
          <w:sz w:val="18"/>
          <w:szCs w:val="18"/>
        </w:rPr>
        <w:t>元，上期</w:t>
      </w:r>
      <w:r>
        <w:rPr>
          <w:rFonts w:ascii="Times New Roman" w:hAnsi="Times New Roman" w:cs="Times New Roman" w:eastAsia="Times New Roman" w:hint="default"/>
          <w:sz w:val="18"/>
          <w:szCs w:val="18"/>
        </w:rPr>
        <w:t>96,604,139.55</w:t>
      </w:r>
      <w:r>
        <w:rPr>
          <w:rFonts w:ascii="宋体" w:hAnsi="宋体" w:cs="宋体" w:eastAsia="宋体" w:hint="default"/>
          <w:sz w:val="18"/>
          <w:szCs w:val="18"/>
        </w:rPr>
        <w:t>元；单列</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w:t>
      </w:r>
      <w:r>
        <w:rPr>
          <w:rFonts w:ascii="Times New Roman" w:hAnsi="Times New Roman" w:cs="Times New Roman" w:eastAsia="Times New Roman" w:hint="default"/>
          <w:sz w:val="18"/>
          <w:szCs w:val="18"/>
        </w:rPr>
        <w:t>121,508,267.11</w:t>
      </w:r>
      <w:r>
        <w:rPr>
          <w:rFonts w:ascii="宋体" w:hAnsi="宋体" w:cs="宋体" w:eastAsia="宋体" w:hint="default"/>
          <w:sz w:val="18"/>
          <w:szCs w:val="18"/>
        </w:rPr>
        <w:t>元，上期</w:t>
      </w:r>
      <w:r>
        <w:rPr>
          <w:rFonts w:ascii="Times New Roman" w:hAnsi="Times New Roman" w:cs="Times New Roman" w:eastAsia="Times New Roman" w:hint="default"/>
          <w:sz w:val="18"/>
          <w:szCs w:val="18"/>
        </w:rPr>
        <w:t>96,604,139.55</w:t>
      </w:r>
      <w:r>
        <w:rPr>
          <w:rFonts w:ascii="宋体" w:hAnsi="宋体" w:cs="宋体" w:eastAsia="宋体" w:hint="default"/>
          <w:sz w:val="18"/>
          <w:szCs w:val="18"/>
        </w:rPr>
        <w:t>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公司报告期不存在委托理财。</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4"/>
          <w:szCs w:val="24"/>
        </w:rPr>
      </w:pPr>
    </w:p>
    <w:p>
      <w:pPr>
        <w:pStyle w:val="Heading3"/>
        <w:spacing w:line="312" w:lineRule="exact"/>
        <w:ind w:right="1132" w:firstLine="420"/>
        <w:jc w:val="both"/>
      </w:pPr>
      <w:r>
        <w:rPr>
          <w:spacing w:val="-1"/>
        </w:rPr>
        <w:t>公司坚决贯彻执行国家的各项方针政策，依法经营、诚实守信。秉承</w:t>
      </w:r>
      <w:r>
        <w:rPr>
          <w:rFonts w:ascii="Times New Roman" w:hAnsi="Times New Roman" w:cs="Times New Roman" w:eastAsia="Times New Roman" w:hint="default"/>
          <w:spacing w:val="-1"/>
        </w:rPr>
        <w:t>“</w:t>
      </w:r>
      <w:r>
        <w:rPr>
          <w:spacing w:val="-1"/>
        </w:rPr>
        <w:t>自加压力、争创一</w:t>
      </w:r>
      <w:r>
        <w:rPr/>
        <w:t> </w:t>
      </w:r>
      <w:r>
        <w:rPr>
          <w:spacing w:val="-2"/>
        </w:rPr>
        <w:t>流、加快发展、奉献社会</w:t>
      </w:r>
      <w:r>
        <w:rPr>
          <w:rFonts w:ascii="Times New Roman" w:hAnsi="Times New Roman" w:cs="Times New Roman" w:eastAsia="Times New Roman" w:hint="default"/>
          <w:spacing w:val="-2"/>
        </w:rPr>
        <w:t>”</w:t>
      </w:r>
      <w:r>
        <w:rPr>
          <w:spacing w:val="-2"/>
        </w:rPr>
        <w:t>的企业精神，积极承担社会责任，通过科技创新聚焦市场，立足需</w:t>
      </w:r>
      <w:r>
        <w:rPr>
          <w:spacing w:val="-110"/>
        </w:rPr>
        <w:t> </w:t>
      </w:r>
      <w:r>
        <w:rPr>
          <w:spacing w:val="-110"/>
        </w:rPr>
      </w:r>
      <w:r>
        <w:rPr/>
        <w:t>求，节约资源，降低能耗；始终以强烈的责任感和使命感，扎实做好各项生产经营管理和项 目建设工作，落实</w:t>
      </w:r>
      <w:r>
        <w:rPr>
          <w:rFonts w:ascii="Times New Roman" w:hAnsi="Times New Roman" w:cs="Times New Roman" w:eastAsia="Times New Roman" w:hint="default"/>
        </w:rPr>
        <w:t>“</w:t>
      </w:r>
      <w:r>
        <w:rPr/>
        <w:t>绿色发展、安全生产</w:t>
      </w:r>
      <w:r>
        <w:rPr>
          <w:rFonts w:ascii="Times New Roman" w:hAnsi="Times New Roman" w:cs="Times New Roman" w:eastAsia="Times New Roman" w:hint="default"/>
        </w:rPr>
        <w:t>”</w:t>
      </w:r>
      <w:r>
        <w:rPr/>
        <w:t>，努力做优做强，全力回馈社会。</w:t>
      </w:r>
    </w:p>
    <w:p>
      <w:pPr>
        <w:pStyle w:val="Heading3"/>
        <w:spacing w:line="312" w:lineRule="exact"/>
        <w:ind w:right="1135" w:firstLine="516"/>
        <w:jc w:val="both"/>
      </w:pPr>
      <w:r>
        <w:rPr/>
        <w:t>一是做讲诚信的企业，维护公平公正的市场秩序。公司自上市以来，坚持做到对投资者 持续、稳定的利润分配政策，充分考虑对投资者的回报并兼顾公司长期可持续发展。</w:t>
      </w:r>
    </w:p>
    <w:p>
      <w:pPr>
        <w:pStyle w:val="Heading3"/>
        <w:spacing w:line="312" w:lineRule="exact" w:before="40"/>
        <w:ind w:right="1138" w:firstLine="480"/>
        <w:jc w:val="both"/>
      </w:pPr>
      <w:r>
        <w:rPr/>
        <w:t>二是坚持科学发展，努力保障良好的生产环境；肩负起对职工、投资者、债权人和社会 责任；热心公益事业，积极帮助扶持社会弱势群体。积极融入社会活动，实现企业与社会和</w:t>
      </w:r>
      <w:r>
        <w:rPr>
          <w:spacing w:val="-91"/>
        </w:rPr>
        <w:t> </w:t>
      </w:r>
      <w:r>
        <w:rPr>
          <w:spacing w:val="-91"/>
        </w:rPr>
      </w:r>
      <w:r>
        <w:rPr/>
        <w:t>谐发展。</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04" w:right="1394"/>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392" w:right="139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92" w:right="13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79"/>
        <w:gridCol w:w="1144"/>
        <w:gridCol w:w="711"/>
        <w:gridCol w:w="850"/>
        <w:gridCol w:w="566"/>
        <w:gridCol w:w="1136"/>
        <w:gridCol w:w="1133"/>
        <w:gridCol w:w="1136"/>
        <w:gridCol w:w="1133"/>
        <w:gridCol w:w="710"/>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2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820" w:type="dxa"/>
            <w:gridSpan w:val="5"/>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460,809,877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-156,724,004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-156,724,004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304,085,873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460,809,877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-156,724,004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-156,724,004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304,085,873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695,468,208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156,724,004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156,724,004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852,192,212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695,468,208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156,724,004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156,724,004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852,192,212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392" w:right="139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40" w:lineRule="auto" w:before="115"/>
        <w:ind w:left="39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股份变动的批准情况</w:t>
      </w:r>
    </w:p>
    <w:p>
      <w:pPr>
        <w:spacing w:line="338" w:lineRule="auto" w:before="41"/>
        <w:ind w:left="39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39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39"/>
        <w:ind w:left="39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39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392" w:right="139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spacing w:before="44"/>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中信证券股份有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17,486,229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17,486,229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6"/>
        <w:rPr>
          <w:rFonts w:ascii="宋体" w:hAnsi="宋体" w:cs="宋体" w:eastAsia="宋体" w:hint="default"/>
          <w:sz w:val="28"/>
          <w:szCs w:val="28"/>
        </w:rPr>
      </w:pPr>
    </w:p>
    <w:tbl>
      <w:tblPr>
        <w:tblW w:w="0" w:type="auto"/>
        <w:jc w:val="left"/>
        <w:tblInd w:w="38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博时基金管理有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17,211,019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17,211,019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10" w:right="46" w:hanging="361"/>
              <w:jc w:val="left"/>
              <w:rPr>
                <w:rFonts w:ascii="宋体" w:hAnsi="宋体" w:cs="宋体" w:eastAsia="宋体" w:hint="default"/>
                <w:sz w:val="18"/>
                <w:szCs w:val="18"/>
              </w:rPr>
            </w:pPr>
            <w:r>
              <w:rPr>
                <w:rFonts w:ascii="宋体" w:hAnsi="宋体" w:cs="宋体" w:eastAsia="宋体" w:hint="default"/>
                <w:sz w:val="18"/>
                <w:szCs w:val="18"/>
              </w:rPr>
              <w:t>鹏华基金管理有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44,974,181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44,974,181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0" w:right="46" w:hanging="181"/>
              <w:jc w:val="left"/>
              <w:rPr>
                <w:rFonts w:ascii="宋体" w:hAnsi="宋体" w:cs="宋体" w:eastAsia="宋体" w:hint="default"/>
                <w:sz w:val="18"/>
                <w:szCs w:val="18"/>
              </w:rPr>
            </w:pPr>
            <w:r>
              <w:rPr>
                <w:rFonts w:ascii="宋体" w:hAnsi="宋体" w:cs="宋体" w:eastAsia="宋体" w:hint="default"/>
                <w:sz w:val="18"/>
                <w:szCs w:val="18"/>
              </w:rPr>
              <w:t>北信瑞丰基金管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19,690,189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19,690,189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0" w:right="46" w:hanging="181"/>
              <w:jc w:val="left"/>
              <w:rPr>
                <w:rFonts w:ascii="宋体" w:hAnsi="宋体" w:cs="宋体" w:eastAsia="宋体" w:hint="default"/>
                <w:sz w:val="18"/>
                <w:szCs w:val="18"/>
              </w:rPr>
            </w:pPr>
            <w:r>
              <w:rPr>
                <w:rFonts w:ascii="宋体" w:hAnsi="宋体" w:cs="宋体" w:eastAsia="宋体" w:hint="default"/>
                <w:sz w:val="18"/>
                <w:szCs w:val="18"/>
              </w:rPr>
              <w:t>安信基金管理有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26,850,257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26,850,257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2018.4.18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吕志炎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30,414,630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30,414,630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增发限售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2018.4.18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156,626,505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7" w:right="0"/>
              <w:jc w:val="left"/>
              <w:rPr>
                <w:rFonts w:ascii="Times New Roman" w:hAnsi="Times New Roman" w:cs="Times New Roman" w:eastAsia="Times New Roman" w:hint="default"/>
                <w:sz w:val="18"/>
                <w:szCs w:val="18"/>
              </w:rPr>
            </w:pPr>
            <w:r>
              <w:rPr>
                <w:rFonts w:ascii="Times New Roman"/>
                <w:sz w:val="18"/>
              </w:rPr>
              <w:t>156,626,505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392" w:right="139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13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left="392" w:right="13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left="392" w:right="139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392" w:right="139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139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449"/>
        <w:gridCol w:w="1115"/>
        <w:gridCol w:w="271"/>
        <w:gridCol w:w="853"/>
        <w:gridCol w:w="272"/>
        <w:gridCol w:w="779"/>
        <w:gridCol w:w="341"/>
        <w:gridCol w:w="449"/>
        <w:gridCol w:w="1135"/>
        <w:gridCol w:w="131"/>
        <w:gridCol w:w="678"/>
        <w:gridCol w:w="468"/>
        <w:gridCol w:w="850"/>
        <w:gridCol w:w="414"/>
        <w:gridCol w:w="649"/>
      </w:tblGrid>
      <w:tr>
        <w:trPr>
          <w:trHeight w:val="161"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1115"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39,895</w:t>
            </w:r>
          </w:p>
        </w:tc>
        <w:tc>
          <w:tcPr>
            <w:tcW w:w="139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2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41,820</w:t>
            </w:r>
          </w:p>
        </w:tc>
        <w:tc>
          <w:tcPr>
            <w:tcW w:w="171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88"/>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1115" w:type="dxa"/>
            <w:vMerge/>
            <w:tcBorders>
              <w:left w:val="single" w:sz="9" w:space="0" w:color="D2D2D2"/>
              <w:right w:val="single" w:sz="9" w:space="0" w:color="D2D2D2"/>
            </w:tcBorders>
          </w:tcPr>
          <w:p>
            <w:pPr/>
          </w:p>
        </w:tc>
        <w:tc>
          <w:tcPr>
            <w:tcW w:w="139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1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20" w:type="dxa"/>
            <w:gridSpan w:val="2"/>
            <w:vMerge/>
            <w:tcBorders>
              <w:left w:val="single" w:sz="9" w:space="0" w:color="D2D2D2"/>
              <w:right w:val="single" w:sz="10" w:space="0" w:color="D2D2D2"/>
            </w:tcBorders>
          </w:tcPr>
          <w:p>
            <w:pPr/>
          </w:p>
        </w:tc>
        <w:tc>
          <w:tcPr>
            <w:tcW w:w="171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678" w:type="dxa"/>
            <w:vMerge/>
            <w:tcBorders>
              <w:left w:val="single" w:sz="9"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706"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1115" w:type="dxa"/>
            <w:vMerge/>
            <w:tcBorders>
              <w:left w:val="single" w:sz="9" w:space="0" w:color="D2D2D2"/>
              <w:right w:val="single" w:sz="9" w:space="0" w:color="D2D2D2"/>
            </w:tcBorders>
          </w:tcPr>
          <w:p>
            <w:pPr/>
          </w:p>
        </w:tc>
        <w:tc>
          <w:tcPr>
            <w:tcW w:w="1396" w:type="dxa"/>
            <w:gridSpan w:val="3"/>
            <w:vMerge/>
            <w:tcBorders>
              <w:left w:val="single" w:sz="4" w:space="0" w:color="000000"/>
              <w:right w:val="single" w:sz="4" w:space="0" w:color="000000"/>
            </w:tcBorders>
            <w:shd w:val="clear" w:color="auto" w:fill="D2D2D2"/>
          </w:tcPr>
          <w:p>
            <w:pPr/>
          </w:p>
        </w:tc>
        <w:tc>
          <w:tcPr>
            <w:tcW w:w="1120" w:type="dxa"/>
            <w:gridSpan w:val="2"/>
            <w:vMerge/>
            <w:tcBorders>
              <w:left w:val="single" w:sz="9" w:space="0" w:color="D2D2D2"/>
              <w:right w:val="single" w:sz="10" w:space="0" w:color="D2D2D2"/>
            </w:tcBorders>
          </w:tcPr>
          <w:p>
            <w:pPr/>
          </w:p>
        </w:tc>
        <w:tc>
          <w:tcPr>
            <w:tcW w:w="1715" w:type="dxa"/>
            <w:gridSpan w:val="3"/>
            <w:vMerge/>
            <w:tcBorders>
              <w:left w:val="single" w:sz="4" w:space="0" w:color="000000"/>
              <w:right w:val="single" w:sz="4" w:space="0" w:color="000000"/>
            </w:tcBorders>
            <w:shd w:val="clear" w:color="auto" w:fill="D2D2D2"/>
          </w:tcPr>
          <w:p>
            <w:pPr/>
          </w:p>
        </w:tc>
        <w:tc>
          <w:tcPr>
            <w:tcW w:w="678" w:type="dxa"/>
            <w:vMerge/>
            <w:tcBorders>
              <w:left w:val="single" w:sz="9"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156"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1115" w:type="dxa"/>
            <w:vMerge/>
            <w:tcBorders>
              <w:left w:val="single" w:sz="9" w:space="0" w:color="D2D2D2"/>
              <w:right w:val="single" w:sz="9" w:space="0" w:color="D2D2D2"/>
            </w:tcBorders>
          </w:tcPr>
          <w:p>
            <w:pPr/>
          </w:p>
        </w:tc>
        <w:tc>
          <w:tcPr>
            <w:tcW w:w="1396" w:type="dxa"/>
            <w:gridSpan w:val="3"/>
            <w:vMerge/>
            <w:tcBorders>
              <w:left w:val="single" w:sz="4" w:space="0" w:color="000000"/>
              <w:bottom w:val="nil" w:sz="6" w:space="0" w:color="auto"/>
              <w:right w:val="single" w:sz="4" w:space="0" w:color="000000"/>
            </w:tcBorders>
            <w:shd w:val="clear" w:color="auto" w:fill="D2D2D2"/>
          </w:tcPr>
          <w:p>
            <w:pPr/>
          </w:p>
        </w:tc>
        <w:tc>
          <w:tcPr>
            <w:tcW w:w="1120" w:type="dxa"/>
            <w:gridSpan w:val="2"/>
            <w:vMerge/>
            <w:tcBorders>
              <w:left w:val="single" w:sz="9" w:space="0" w:color="D2D2D2"/>
              <w:right w:val="single" w:sz="10" w:space="0" w:color="D2D2D2"/>
            </w:tcBorders>
          </w:tcPr>
          <w:p>
            <w:pPr/>
          </w:p>
        </w:tc>
        <w:tc>
          <w:tcPr>
            <w:tcW w:w="1715" w:type="dxa"/>
            <w:gridSpan w:val="3"/>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9" w:space="0" w:color="D2D2D2"/>
              <w:right w:val="single" w:sz="13" w:space="0" w:color="D2D2D2"/>
            </w:tcBorders>
          </w:tcPr>
          <w:p>
            <w:pPr/>
          </w:p>
        </w:tc>
        <w:tc>
          <w:tcPr>
            <w:tcW w:w="1732" w:type="dxa"/>
            <w:gridSpan w:val="3"/>
            <w:vMerge/>
            <w:tcBorders>
              <w:left w:val="single" w:sz="4" w:space="0" w:color="000000"/>
              <w:right w:val="single" w:sz="4" w:space="0" w:color="000000"/>
            </w:tcBorders>
            <w:shd w:val="clear" w:color="auto" w:fill="D2D2D2"/>
          </w:tcPr>
          <w:p>
            <w:pPr/>
          </w:p>
        </w:tc>
        <w:tc>
          <w:tcPr>
            <w:tcW w:w="649" w:type="dxa"/>
            <w:vMerge/>
            <w:tcBorders>
              <w:left w:val="single" w:sz="10" w:space="0" w:color="D2D2D2"/>
              <w:right w:val="single" w:sz="4" w:space="0" w:color="000000"/>
            </w:tcBorders>
          </w:tcPr>
          <w:p>
            <w:pPr/>
          </w:p>
        </w:tc>
      </w:tr>
      <w:tr>
        <w:trPr>
          <w:trHeight w:val="206"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1115" w:type="dxa"/>
            <w:vMerge/>
            <w:tcBorders>
              <w:left w:val="single" w:sz="9" w:space="0" w:color="D2D2D2"/>
              <w:bottom w:val="single" w:sz="36" w:space="0" w:color="D2D2D2"/>
              <w:right w:val="single" w:sz="9" w:space="0" w:color="D2D2D2"/>
            </w:tcBorders>
          </w:tcPr>
          <w:p>
            <w:pPr/>
          </w:p>
        </w:tc>
        <w:tc>
          <w:tcPr>
            <w:tcW w:w="139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20" w:type="dxa"/>
            <w:gridSpan w:val="2"/>
            <w:vMerge/>
            <w:tcBorders>
              <w:left w:val="single" w:sz="9" w:space="0" w:color="D2D2D2"/>
              <w:bottom w:val="single" w:sz="36" w:space="0" w:color="D2D2D2"/>
              <w:right w:val="single" w:sz="10" w:space="0" w:color="D2D2D2"/>
            </w:tcBorders>
          </w:tcPr>
          <w:p>
            <w:pPr/>
          </w:p>
        </w:tc>
        <w:tc>
          <w:tcPr>
            <w:tcW w:w="171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vMerge/>
            <w:tcBorders>
              <w:left w:val="single" w:sz="9" w:space="0" w:color="D2D2D2"/>
              <w:bottom w:val="single" w:sz="36" w:space="0" w:color="D2D2D2"/>
              <w:right w:val="single" w:sz="13" w:space="0" w:color="D2D2D2"/>
            </w:tcBorders>
          </w:tcPr>
          <w:p>
            <w:pPr/>
          </w:p>
        </w:tc>
        <w:tc>
          <w:tcPr>
            <w:tcW w:w="1732" w:type="dxa"/>
            <w:gridSpan w:val="3"/>
            <w:vMerge/>
            <w:tcBorders>
              <w:left w:val="single" w:sz="4" w:space="0" w:color="000000"/>
              <w:bottom w:val="single" w:sz="4" w:space="0" w:color="000000"/>
              <w:right w:val="single" w:sz="4" w:space="0" w:color="000000"/>
            </w:tcBorders>
            <w:shd w:val="clear" w:color="auto" w:fill="D2D2D2"/>
          </w:tcPr>
          <w:p>
            <w:pPr/>
          </w:p>
        </w:tc>
        <w:tc>
          <w:tcPr>
            <w:tcW w:w="649" w:type="dxa"/>
            <w:vMerge/>
            <w:tcBorders>
              <w:left w:val="single" w:sz="10" w:space="0" w:color="D2D2D2"/>
              <w:bottom w:val="single" w:sz="36" w:space="0" w:color="D2D2D2"/>
              <w:right w:val="single" w:sz="4" w:space="0" w:color="000000"/>
            </w:tcBorders>
          </w:tcPr>
          <w:p>
            <w:pPr/>
          </w:p>
        </w:tc>
      </w:tr>
      <w:tr>
        <w:trPr>
          <w:trHeight w:val="487" w:hRule="exact"/>
        </w:trPr>
        <w:tc>
          <w:tcPr>
            <w:tcW w:w="985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20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21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1386" w:type="dxa"/>
            <w:gridSpan w:val="2"/>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2"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7"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9"/>
              <w:ind w:left="3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1386"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3" w:type="dxa"/>
            <w:gridSpan w:val="3"/>
            <w:vMerge/>
            <w:tcBorders>
              <w:left w:val="single" w:sz="4" w:space="0" w:color="000000"/>
              <w:right w:val="single" w:sz="4" w:space="0" w:color="000000"/>
            </w:tcBorders>
            <w:shd w:val="clear" w:color="auto" w:fill="D2D2D2"/>
          </w:tcPr>
          <w:p>
            <w:pPr/>
          </w:p>
        </w:tc>
      </w:tr>
      <w:tr>
        <w:trPr>
          <w:trHeight w:val="142"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1386" w:type="dxa"/>
            <w:gridSpan w:val="2"/>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1386" w:type="dxa"/>
            <w:gridSpan w:val="2"/>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277" w:type="dxa"/>
            <w:gridSpan w:val="3"/>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right w:val="single" w:sz="4" w:space="0" w:color="000000"/>
            </w:tcBorders>
            <w:shd w:val="clear" w:color="auto" w:fill="D2D2D2"/>
          </w:tcPr>
          <w:p>
            <w:pPr/>
          </w:p>
        </w:tc>
      </w:tr>
      <w:tr>
        <w:trPr>
          <w:trHeight w:val="161"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1386" w:type="dxa"/>
            <w:gridSpan w:val="2"/>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27.32%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315,946,969</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236,960,227</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78,986,742</w:t>
            </w:r>
          </w:p>
        </w:tc>
        <w:tc>
          <w:tcPr>
            <w:tcW w:w="850"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176,500,000</w:t>
            </w:r>
          </w:p>
        </w:tc>
      </w:tr>
      <w:tr>
        <w:trPr>
          <w:trHeight w:val="403" w:hRule="exact"/>
        </w:trPr>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67,255,646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67,125,646</w:t>
            </w:r>
          </w:p>
        </w:tc>
        <w:tc>
          <w:tcPr>
            <w:tcW w:w="1277" w:type="dxa"/>
            <w:gridSpan w:val="3"/>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416"/>
        <w:gridCol w:w="329"/>
        <w:gridCol w:w="523"/>
        <w:gridCol w:w="1051"/>
        <w:gridCol w:w="790"/>
        <w:gridCol w:w="1135"/>
        <w:gridCol w:w="492"/>
        <w:gridCol w:w="785"/>
        <w:gridCol w:w="565"/>
        <w:gridCol w:w="286"/>
        <w:gridCol w:w="1063"/>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
              <w:jc w:val="left"/>
              <w:rPr>
                <w:rFonts w:ascii="宋体" w:hAnsi="宋体" w:cs="宋体" w:eastAsia="宋体" w:hint="default"/>
                <w:sz w:val="18"/>
                <w:szCs w:val="18"/>
              </w:rPr>
            </w:pPr>
            <w:r>
              <w:rPr>
                <w:rFonts w:ascii="宋体" w:hAnsi="宋体" w:cs="宋体" w:eastAsia="宋体" w:hint="default"/>
                <w:spacing w:val="13"/>
                <w:sz w:val="18"/>
                <w:szCs w:val="18"/>
              </w:rPr>
              <w:t>宿迁市迪智成投</w:t>
            </w:r>
            <w:r>
              <w:rPr>
                <w:rFonts w:ascii="宋体" w:hAnsi="宋体" w:cs="宋体" w:eastAsia="宋体" w:hint="default"/>
                <w:spacing w:val="-86"/>
                <w:sz w:val="18"/>
                <w:szCs w:val="18"/>
              </w:rPr>
              <w:t> </w:t>
            </w:r>
            <w:r>
              <w:rPr>
                <w:rFonts w:ascii="宋体" w:hAnsi="宋体" w:cs="宋体" w:eastAsia="宋体" w:hint="default"/>
                <w:sz w:val="18"/>
                <w:szCs w:val="18"/>
              </w:rPr>
              <w:t>资咨询有限公司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60,840,000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60,840,000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
              <w:jc w:val="left"/>
              <w:rPr>
                <w:rFonts w:ascii="宋体" w:hAnsi="宋体" w:cs="宋体" w:eastAsia="宋体" w:hint="default"/>
                <w:sz w:val="18"/>
                <w:szCs w:val="18"/>
              </w:rPr>
            </w:pPr>
            <w:r>
              <w:rPr>
                <w:rFonts w:ascii="宋体" w:hAnsi="宋体" w:cs="宋体" w:eastAsia="宋体" w:hint="default"/>
                <w:spacing w:val="13"/>
                <w:sz w:val="18"/>
                <w:szCs w:val="18"/>
              </w:rPr>
              <w:t>宿迁市启恒投资</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60,840,000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60,840,000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60,840,000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吕志炎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34,529,057</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34,529,057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
              <w:jc w:val="left"/>
              <w:rPr>
                <w:rFonts w:ascii="宋体" w:hAnsi="宋体" w:cs="宋体" w:eastAsia="宋体" w:hint="default"/>
                <w:sz w:val="18"/>
                <w:szCs w:val="18"/>
              </w:rPr>
            </w:pPr>
            <w:r>
              <w:rPr>
                <w:rFonts w:ascii="宋体" w:hAnsi="宋体" w:cs="宋体" w:eastAsia="宋体" w:hint="default"/>
                <w:spacing w:val="13"/>
                <w:sz w:val="18"/>
                <w:szCs w:val="18"/>
              </w:rPr>
              <w:t>山东省农村经济</w:t>
            </w:r>
            <w:r>
              <w:rPr>
                <w:rFonts w:ascii="宋体" w:hAnsi="宋体" w:cs="宋体" w:eastAsia="宋体" w:hint="default"/>
                <w:spacing w:val="-86"/>
                <w:sz w:val="18"/>
                <w:szCs w:val="18"/>
              </w:rPr>
              <w:t> </w:t>
            </w:r>
            <w:r>
              <w:rPr>
                <w:rFonts w:ascii="宋体" w:hAnsi="宋体" w:cs="宋体" w:eastAsia="宋体" w:hint="default"/>
                <w:sz w:val="18"/>
                <w:szCs w:val="18"/>
              </w:rPr>
              <w:t>开发投资公司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23,112,122</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23,112,122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
              <w:jc w:val="both"/>
              <w:rPr>
                <w:rFonts w:ascii="宋体" w:hAnsi="宋体" w:cs="宋体" w:eastAsia="宋体" w:hint="default"/>
                <w:sz w:val="18"/>
                <w:szCs w:val="18"/>
              </w:rPr>
            </w:pPr>
            <w:r>
              <w:rPr>
                <w:rFonts w:ascii="宋体" w:hAnsi="宋体" w:cs="宋体" w:eastAsia="宋体" w:hint="default"/>
                <w:spacing w:val="13"/>
                <w:sz w:val="18"/>
                <w:szCs w:val="18"/>
              </w:rPr>
              <w:t>北信瑞丰基金－</w:t>
            </w:r>
            <w:r>
              <w:rPr>
                <w:rFonts w:ascii="宋体" w:hAnsi="宋体" w:cs="宋体" w:eastAsia="宋体" w:hint="default"/>
                <w:spacing w:val="-86"/>
                <w:sz w:val="18"/>
                <w:szCs w:val="18"/>
              </w:rPr>
              <w:t> </w:t>
            </w:r>
            <w:r>
              <w:rPr>
                <w:rFonts w:ascii="宋体" w:hAnsi="宋体" w:cs="宋体" w:eastAsia="宋体" w:hint="default"/>
                <w:spacing w:val="13"/>
                <w:sz w:val="18"/>
                <w:szCs w:val="18"/>
              </w:rPr>
              <w:t>招商银行－华润</w:t>
            </w:r>
            <w:r>
              <w:rPr>
                <w:rFonts w:ascii="宋体" w:hAnsi="宋体" w:cs="宋体" w:eastAsia="宋体" w:hint="default"/>
                <w:spacing w:val="-86"/>
                <w:sz w:val="18"/>
                <w:szCs w:val="18"/>
              </w:rPr>
              <w:t> </w:t>
            </w:r>
            <w:r>
              <w:rPr>
                <w:rFonts w:ascii="宋体" w:hAnsi="宋体" w:cs="宋体" w:eastAsia="宋体" w:hint="default"/>
                <w:spacing w:val="13"/>
                <w:sz w:val="18"/>
                <w:szCs w:val="18"/>
              </w:rPr>
              <w:t>深国投信托－华</w:t>
            </w:r>
            <w:r>
              <w:rPr>
                <w:rFonts w:ascii="宋体" w:hAnsi="宋体" w:cs="宋体" w:eastAsia="宋体" w:hint="default"/>
                <w:spacing w:val="-86"/>
                <w:sz w:val="18"/>
                <w:szCs w:val="18"/>
              </w:rPr>
              <w:t> </w:t>
            </w:r>
            <w:r>
              <w:rPr>
                <w:rFonts w:ascii="宋体" w:hAnsi="宋体" w:cs="宋体" w:eastAsia="宋体" w:hint="default"/>
                <w:spacing w:val="5"/>
                <w:sz w:val="18"/>
                <w:szCs w:val="18"/>
              </w:rPr>
              <w:t>润信托</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皓熙定增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3"/>
                <w:sz w:val="18"/>
                <w:szCs w:val="18"/>
              </w:rPr>
              <w:t>号集合资金信</w:t>
            </w:r>
            <w:r>
              <w:rPr>
                <w:rFonts w:ascii="宋体" w:hAnsi="宋体" w:cs="宋体" w:eastAsia="宋体" w:hint="default"/>
                <w:spacing w:val="-74"/>
                <w:sz w:val="18"/>
                <w:szCs w:val="18"/>
              </w:rPr>
              <w:t> </w:t>
            </w:r>
            <w:r>
              <w:rPr>
                <w:rFonts w:ascii="宋体" w:hAnsi="宋体" w:cs="宋体" w:eastAsia="宋体" w:hint="default"/>
                <w:sz w:val="18"/>
                <w:szCs w:val="18"/>
              </w:rPr>
              <w:t>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17,452,668</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17,452,668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
              <w:jc w:val="left"/>
              <w:rPr>
                <w:rFonts w:ascii="宋体" w:hAnsi="宋体" w:cs="宋体" w:eastAsia="宋体" w:hint="default"/>
                <w:sz w:val="18"/>
                <w:szCs w:val="18"/>
              </w:rPr>
            </w:pPr>
            <w:r>
              <w:rPr>
                <w:rFonts w:ascii="宋体" w:hAnsi="宋体" w:cs="宋体" w:eastAsia="宋体" w:hint="default"/>
                <w:spacing w:val="13"/>
                <w:sz w:val="18"/>
                <w:szCs w:val="18"/>
              </w:rPr>
              <w:t>全国社保基金五</w:t>
            </w:r>
            <w:r>
              <w:rPr>
                <w:rFonts w:ascii="宋体" w:hAnsi="宋体" w:cs="宋体" w:eastAsia="宋体" w:hint="default"/>
                <w:spacing w:val="-86"/>
                <w:sz w:val="18"/>
                <w:szCs w:val="18"/>
              </w:rPr>
              <w:t> </w:t>
            </w:r>
            <w:r>
              <w:rPr>
                <w:rFonts w:ascii="宋体" w:hAnsi="宋体" w:cs="宋体" w:eastAsia="宋体" w:hint="default"/>
                <w:sz w:val="18"/>
                <w:szCs w:val="18"/>
              </w:rPr>
              <w:t>零三组合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15,999,931</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15,999,931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both"/>
              <w:rPr>
                <w:rFonts w:ascii="宋体" w:hAnsi="宋体" w:cs="宋体" w:eastAsia="宋体" w:hint="default"/>
                <w:sz w:val="18"/>
                <w:szCs w:val="18"/>
              </w:rPr>
            </w:pPr>
            <w:r>
              <w:rPr>
                <w:rFonts w:ascii="宋体" w:hAnsi="宋体" w:cs="宋体" w:eastAsia="宋体" w:hint="default"/>
                <w:spacing w:val="13"/>
                <w:sz w:val="18"/>
                <w:szCs w:val="18"/>
              </w:rPr>
              <w:t>安信基金－招商</w:t>
            </w:r>
            <w:r>
              <w:rPr>
                <w:rFonts w:ascii="宋体" w:hAnsi="宋体" w:cs="宋体" w:eastAsia="宋体" w:hint="default"/>
                <w:spacing w:val="-86"/>
                <w:sz w:val="18"/>
                <w:szCs w:val="18"/>
              </w:rPr>
              <w:t> </w:t>
            </w:r>
            <w:r>
              <w:rPr>
                <w:rFonts w:ascii="宋体" w:hAnsi="宋体" w:cs="宋体" w:eastAsia="宋体" w:hint="default"/>
                <w:spacing w:val="13"/>
                <w:sz w:val="18"/>
                <w:szCs w:val="18"/>
              </w:rPr>
              <w:t>银行－广东粤财</w:t>
            </w:r>
            <w:r>
              <w:rPr>
                <w:rFonts w:ascii="宋体" w:hAnsi="宋体" w:cs="宋体" w:eastAsia="宋体" w:hint="default"/>
                <w:spacing w:val="-86"/>
                <w:sz w:val="18"/>
                <w:szCs w:val="18"/>
              </w:rPr>
              <w:t> </w:t>
            </w:r>
            <w:r>
              <w:rPr>
                <w:rFonts w:ascii="宋体" w:hAnsi="宋体" w:cs="宋体" w:eastAsia="宋体" w:hint="default"/>
                <w:sz w:val="18"/>
                <w:szCs w:val="18"/>
              </w:rPr>
              <w:t>信</w:t>
            </w:r>
            <w:r>
              <w:rPr>
                <w:rFonts w:ascii="宋体" w:hAnsi="宋体" w:cs="宋体" w:eastAsia="宋体" w:hint="default"/>
                <w:spacing w:val="-33"/>
                <w:sz w:val="18"/>
                <w:szCs w:val="18"/>
              </w:rPr>
              <w:t> </w:t>
            </w:r>
            <w:r>
              <w:rPr>
                <w:rFonts w:ascii="宋体" w:hAnsi="宋体" w:cs="宋体" w:eastAsia="宋体" w:hint="default"/>
                <w:sz w:val="18"/>
                <w:szCs w:val="18"/>
              </w:rPr>
              <w:t>托</w:t>
            </w:r>
            <w:r>
              <w:rPr>
                <w:rFonts w:ascii="宋体" w:hAnsi="宋体" w:cs="宋体" w:eastAsia="宋体" w:hint="default"/>
                <w:spacing w:val="-33"/>
                <w:sz w:val="18"/>
                <w:szCs w:val="18"/>
              </w:rPr>
              <w:t> </w:t>
            </w: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粤</w:t>
            </w:r>
            <w:r>
              <w:rPr>
                <w:rFonts w:ascii="宋体" w:hAnsi="宋体" w:cs="宋体" w:eastAsia="宋体" w:hint="default"/>
                <w:spacing w:val="-33"/>
                <w:sz w:val="18"/>
                <w:szCs w:val="18"/>
              </w:rPr>
              <w:t> </w:t>
            </w:r>
            <w:r>
              <w:rPr>
                <w:rFonts w:ascii="宋体" w:hAnsi="宋体" w:cs="宋体" w:eastAsia="宋体" w:hint="default"/>
                <w:sz w:val="18"/>
                <w:szCs w:val="18"/>
              </w:rPr>
              <w:t>财</w:t>
            </w:r>
            <w:r>
              <w:rPr>
                <w:rFonts w:ascii="宋体" w:hAnsi="宋体" w:cs="宋体" w:eastAsia="宋体" w:hint="default"/>
                <w:spacing w:val="-33"/>
                <w:sz w:val="18"/>
                <w:szCs w:val="18"/>
              </w:rPr>
              <w:t> </w:t>
            </w:r>
            <w:r>
              <w:rPr>
                <w:rFonts w:ascii="宋体" w:hAnsi="宋体" w:cs="宋体" w:eastAsia="宋体" w:hint="default"/>
                <w:sz w:val="18"/>
                <w:szCs w:val="18"/>
              </w:rPr>
              <w:t>信</w:t>
            </w:r>
            <w:r>
              <w:rPr>
                <w:rFonts w:ascii="宋体" w:hAnsi="宋体" w:cs="宋体" w:eastAsia="宋体" w:hint="default"/>
                <w:sz w:val="18"/>
                <w:szCs w:val="18"/>
              </w:rPr>
              <w:t> 托</w:t>
            </w:r>
            <w:r>
              <w:rPr>
                <w:rFonts w:ascii="Times New Roman" w:hAnsi="Times New Roman" w:cs="Times New Roman" w:eastAsia="Times New Roman" w:hint="default"/>
                <w:sz w:val="18"/>
                <w:szCs w:val="18"/>
              </w:rPr>
              <w:t>·</w:t>
            </w:r>
            <w:r>
              <w:rPr>
                <w:rFonts w:ascii="宋体" w:hAnsi="宋体" w:cs="宋体" w:eastAsia="宋体" w:hint="default"/>
                <w:sz w:val="18"/>
                <w:szCs w:val="18"/>
              </w:rPr>
              <w:t>菁英 </w:t>
            </w:r>
            <w:r>
              <w:rPr>
                <w:rFonts w:ascii="Times New Roman" w:hAnsi="Times New Roman" w:cs="Times New Roman" w:eastAsia="Times New Roman" w:hint="default"/>
                <w:sz w:val="18"/>
                <w:szCs w:val="18"/>
              </w:rPr>
              <w:t>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 一资金信托计划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14,283,427</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14,283,427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宋体" w:hAnsi="宋体" w:cs="宋体" w:eastAsia="宋体" w:hint="default"/>
                <w:sz w:val="18"/>
                <w:szCs w:val="18"/>
              </w:rPr>
            </w:pPr>
            <w:r>
              <w:rPr>
                <w:rFonts w:ascii="宋体" w:hAnsi="宋体" w:cs="宋体" w:eastAsia="宋体" w:hint="default"/>
                <w:spacing w:val="13"/>
                <w:sz w:val="18"/>
                <w:szCs w:val="18"/>
              </w:rPr>
              <w:t>安徽国富产业投</w:t>
            </w:r>
            <w:r>
              <w:rPr>
                <w:rFonts w:ascii="宋体" w:hAnsi="宋体" w:cs="宋体" w:eastAsia="宋体" w:hint="default"/>
                <w:spacing w:val="-86"/>
                <w:sz w:val="18"/>
                <w:szCs w:val="18"/>
              </w:rPr>
              <w:t> </w:t>
            </w:r>
            <w:r>
              <w:rPr>
                <w:rFonts w:ascii="宋体" w:hAnsi="宋体" w:cs="宋体" w:eastAsia="宋体" w:hint="default"/>
                <w:spacing w:val="13"/>
                <w:sz w:val="18"/>
                <w:szCs w:val="18"/>
              </w:rPr>
              <w:t>资基金管理有限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11,600,470</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11,600,470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01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pacing w:val="-2"/>
                <w:sz w:val="18"/>
                <w:szCs w:val="18"/>
              </w:rPr>
              <w:t>吴培服为宿迁市迪智成投资咨询有限公司和宿迁市启恒投资有限公司控股股东。吴迪为吴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培服之子，视为一致行动人。</w:t>
            </w:r>
          </w:p>
        </w:tc>
      </w:tr>
      <w:tr>
        <w:trPr>
          <w:trHeight w:val="402" w:hRule="exact"/>
        </w:trPr>
        <w:tc>
          <w:tcPr>
            <w:tcW w:w="98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16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16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64" w:type="dxa"/>
            <w:gridSpan w:val="3"/>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16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78,986,742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78,986,742</w:t>
            </w:r>
          </w:p>
        </w:tc>
      </w:tr>
      <w:tr>
        <w:trPr>
          <w:trHeight w:val="401"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60,840,000</w:t>
            </w:r>
          </w:p>
        </w:tc>
      </w:tr>
      <w:tr>
        <w:trPr>
          <w:trHeight w:val="404"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60,840,000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3" w:right="0"/>
              <w:jc w:val="left"/>
              <w:rPr>
                <w:rFonts w:ascii="Times New Roman" w:hAnsi="Times New Roman" w:cs="Times New Roman" w:eastAsia="Times New Roman" w:hint="default"/>
                <w:sz w:val="18"/>
                <w:szCs w:val="18"/>
              </w:rPr>
            </w:pPr>
            <w:r>
              <w:rPr>
                <w:rFonts w:ascii="Times New Roman"/>
                <w:sz w:val="18"/>
              </w:rPr>
              <w:t>60,840,000</w:t>
            </w:r>
          </w:p>
        </w:tc>
      </w:tr>
      <w:tr>
        <w:trPr>
          <w:trHeight w:val="401"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吕志炎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34,529,057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34,529,057</w:t>
            </w:r>
          </w:p>
        </w:tc>
      </w:tr>
      <w:tr>
        <w:trPr>
          <w:trHeight w:val="403"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山东省农村经济开发投资公司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23,112,122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23,112,122</w:t>
            </w:r>
          </w:p>
        </w:tc>
      </w:tr>
      <w:tr>
        <w:trPr>
          <w:trHeight w:val="1027" w:hRule="exact"/>
        </w:trPr>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北信瑞丰基金－招商银行－华润深国投 信托－华润信托</w:t>
            </w:r>
            <w:r>
              <w:rPr>
                <w:rFonts w:ascii="Times New Roman" w:hAnsi="Times New Roman" w:cs="Times New Roman" w:eastAsia="Times New Roman" w:hint="default"/>
                <w:sz w:val="18"/>
                <w:szCs w:val="18"/>
              </w:rPr>
              <w:t>·</w:t>
            </w:r>
            <w:r>
              <w:rPr>
                <w:rFonts w:ascii="宋体" w:hAnsi="宋体" w:cs="宋体" w:eastAsia="宋体" w:hint="default"/>
                <w:sz w:val="18"/>
                <w:szCs w:val="18"/>
              </w:rPr>
              <w:t>皓熙定增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号集合资金 信托计划</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17,452,668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17,452,668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164"/>
        <w:gridCol w:w="3992"/>
        <w:gridCol w:w="1349"/>
        <w:gridCol w:w="1349"/>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全国社保基金五零三组合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15,999,931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15,999,931</w:t>
            </w:r>
          </w:p>
        </w:tc>
      </w:tr>
      <w:tr>
        <w:trPr>
          <w:trHeight w:val="716"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安信基金－招商银行－广东粤财信托－ 粤财信托</w:t>
            </w:r>
            <w:r>
              <w:rPr>
                <w:rFonts w:ascii="Times New Roman" w:hAnsi="Times New Roman" w:cs="Times New Roman" w:eastAsia="Times New Roman" w:hint="default"/>
                <w:sz w:val="18"/>
                <w:szCs w:val="18"/>
              </w:rPr>
              <w:t>·</w:t>
            </w:r>
            <w:r>
              <w:rPr>
                <w:rFonts w:ascii="宋体" w:hAnsi="宋体" w:cs="宋体" w:eastAsia="宋体" w:hint="default"/>
                <w:sz w:val="18"/>
                <w:szCs w:val="18"/>
              </w:rPr>
              <w:t>菁英</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116 </w:t>
            </w:r>
            <w:r>
              <w:rPr>
                <w:rFonts w:ascii="宋体" w:hAnsi="宋体" w:cs="宋体" w:eastAsia="宋体" w:hint="default"/>
                <w:sz w:val="18"/>
                <w:szCs w:val="18"/>
              </w:rPr>
              <w:t>期单一资金信托计划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14,283,427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14,283,427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安徽国富产业投资基金管理有限公司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11,600,470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11,600,470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8,222,240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8,222,240</w:t>
            </w:r>
          </w:p>
        </w:tc>
      </w:tr>
      <w:tr>
        <w:trPr>
          <w:trHeight w:val="1027"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名无限售流通股股东之间，以及前</w:t>
            </w:r>
          </w:p>
          <w:p>
            <w:pPr>
              <w:pStyle w:val="TableParagraph"/>
              <w:spacing w:line="300" w:lineRule="auto" w:before="63"/>
              <w:ind w:left="24"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吴培服为宿迁市迪智成投资咨询有限公司和宿迁市启恒投资有限公司控股股东。</w:t>
            </w:r>
          </w:p>
        </w:tc>
      </w:tr>
    </w:tbl>
    <w:p>
      <w:pPr>
        <w:spacing w:before="49"/>
        <w:ind w:left="392" w:right="13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39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392" w:right="13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26"/>
          <w:szCs w:val="26"/>
        </w:rPr>
      </w:pPr>
    </w:p>
    <w:p>
      <w:pPr>
        <w:pStyle w:val="Heading4"/>
        <w:spacing w:line="240" w:lineRule="auto"/>
        <w:ind w:left="392" w:right="139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39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387"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392" w:right="139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39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left="392" w:right="1394"/>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39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387"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392" w:right="139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39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80" w:top="1060" w:bottom="1160" w:left="74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5130" w:lineRule="exact"/>
        <w:ind w:left="1355"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4591799" cy="32575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799" cy="3257550"/>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2"/>
        <w:rPr>
          <w:rFonts w:ascii="宋体" w:hAnsi="宋体" w:cs="宋体" w:eastAsia="宋体" w:hint="default"/>
          <w:sz w:val="17"/>
          <w:szCs w:val="17"/>
        </w:rPr>
      </w:pPr>
    </w:p>
    <w:p>
      <w:pPr>
        <w:pStyle w:val="Heading3"/>
        <w:spacing w:line="240" w:lineRule="auto" w:before="2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135"/>
        <w:gridCol w:w="550"/>
        <w:gridCol w:w="728"/>
        <w:gridCol w:w="566"/>
        <w:gridCol w:w="850"/>
        <w:gridCol w:w="1047"/>
        <w:gridCol w:w="797"/>
        <w:gridCol w:w="799"/>
        <w:gridCol w:w="797"/>
        <w:gridCol w:w="799"/>
        <w:gridCol w:w="1006"/>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315,946,9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315,946,969</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67,255,64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67,255,646</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383,202,6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383,202,615</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8"/>
        <w:rPr>
          <w:rFonts w:ascii="宋体" w:hAnsi="宋体" w:cs="宋体" w:eastAsia="宋体" w:hint="default"/>
          <w:sz w:val="13"/>
          <w:szCs w:val="13"/>
        </w:rPr>
      </w:pPr>
    </w:p>
    <w:p>
      <w:pPr>
        <w:pStyle w:val="BodyText"/>
        <w:spacing w:line="240" w:lineRule="auto" w:before="0"/>
        <w:ind w:left="573" w:right="0"/>
        <w:jc w:val="left"/>
      </w:pPr>
      <w:r>
        <w:rPr>
          <w:rFonts w:ascii="Times New Roman" w:hAnsi="Times New Roman" w:cs="Times New Roman" w:eastAsia="Times New Roman" w:hint="default"/>
        </w:rPr>
        <w:t>1</w:t>
      </w:r>
      <w:r>
        <w:rPr/>
        <w:t>、董事</w:t>
      </w:r>
    </w:p>
    <w:p>
      <w:pPr>
        <w:pStyle w:val="BodyText"/>
        <w:spacing w:line="264" w:lineRule="auto" w:before="139"/>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）曹薇：女，</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3</w:t>
      </w:r>
      <w:r>
        <w:rPr>
          <w:spacing w:val="-2"/>
        </w:rPr>
        <w:t>月出生，中国籍，无永久境外居留权，大专学历。历任宿迁市彩塑包装有限</w:t>
      </w:r>
      <w:r>
        <w:rPr>
          <w:w w:val="100"/>
        </w:rPr>
        <w:t> </w:t>
      </w:r>
      <w:r>
        <w:rPr/>
        <w:t>公司监事，现任本公司董事。</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4</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66" w:lineRule="auto" w:before="142"/>
        <w:ind w:right="1105" w:firstLine="420"/>
        <w:jc w:val="both"/>
      </w:pPr>
      <w:r>
        <w:rPr>
          <w:spacing w:val="-2"/>
        </w:rPr>
        <w:t>（</w:t>
      </w:r>
      <w:r>
        <w:rPr>
          <w:rFonts w:ascii="Times New Roman" w:hAnsi="Times New Roman" w:cs="Times New Roman" w:eastAsia="Times New Roman" w:hint="default"/>
          <w:spacing w:val="-2"/>
        </w:rPr>
        <w:t>5</w:t>
      </w:r>
      <w:r>
        <w:rPr>
          <w:spacing w:val="-2"/>
        </w:rPr>
        <w:t>）蓝海林：男，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8</w:t>
      </w:r>
      <w:r>
        <w:rPr>
          <w:spacing w:val="-2"/>
        </w:rPr>
        <w:t>月出生，中国籍，无永久境外居留权，博士学历。现为华南理工大学工商</w:t>
      </w:r>
      <w:r>
        <w:rPr>
          <w:w w:val="100"/>
        </w:rPr>
        <w:t> </w:t>
      </w:r>
      <w:r>
        <w:rPr>
          <w:spacing w:val="-2"/>
        </w:rPr>
        <w:t>管理学院教授、博士生导师，同时担任中国企业战略管理研究中心、广东省中小企业研究咨询中心主任，</w:t>
      </w:r>
      <w:r>
        <w:rPr>
          <w:spacing w:val="-21"/>
        </w:rPr>
        <w:t> </w:t>
      </w:r>
      <w:r>
        <w:rPr>
          <w:spacing w:val="-21"/>
        </w:rPr>
      </w:r>
      <w:r>
        <w:rPr/>
        <w:t>国家</w:t>
      </w:r>
      <w:r>
        <w:rPr>
          <w:rFonts w:ascii="Times New Roman" w:hAnsi="Times New Roman" w:cs="Times New Roman" w:eastAsia="Times New Roman" w:hint="default"/>
        </w:rPr>
        <w:t>985</w:t>
      </w:r>
      <w:r>
        <w:rPr/>
        <w:t>二期新型工业化发展创新研究基地管理委员会首席科学家兼委员会主任，政协广东省第九届委员</w:t>
      </w:r>
      <w:r>
        <w:rPr>
          <w:spacing w:val="-27"/>
        </w:rPr>
        <w:t> </w:t>
      </w:r>
      <w:r>
        <w:rPr>
          <w:spacing w:val="-27"/>
        </w:rPr>
      </w:r>
      <w:r>
        <w:rPr>
          <w:spacing w:val="-2"/>
        </w:rPr>
        <w:t>会委员、第十届和第十一届委员会特聘委员等。目前担任广东天龙油墨集团股份有限公司独立董事、广州</w:t>
      </w:r>
      <w:r>
        <w:rPr>
          <w:spacing w:val="-43"/>
        </w:rPr>
        <w:t> </w:t>
      </w:r>
      <w:r>
        <w:rPr>
          <w:spacing w:val="-43"/>
        </w:rPr>
      </w:r>
      <w:r>
        <w:rPr>
          <w:spacing w:val="-2"/>
        </w:rPr>
        <w:t>汽车集团股份有限公司独立董事、广东新宝电器股份有限公司独立董事、广东万家乐股份有限公司独立董</w:t>
      </w:r>
      <w:r>
        <w:rPr>
          <w:spacing w:val="-44"/>
        </w:rPr>
        <w:t> </w:t>
      </w:r>
      <w:r>
        <w:rPr>
          <w:spacing w:val="-44"/>
        </w:rPr>
      </w:r>
      <w:r>
        <w:rPr/>
        <w:t>事。现任本公司独立董事。</w:t>
      </w:r>
    </w:p>
    <w:p>
      <w:pPr>
        <w:pStyle w:val="BodyText"/>
        <w:spacing w:line="240" w:lineRule="auto" w:before="134"/>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）程银春：男，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6</w:t>
      </w:r>
      <w:r>
        <w:rPr/>
        <w:t>月出生，中国籍，无永久境外居留权，专科学历。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BodyText"/>
        <w:spacing w:line="266" w:lineRule="auto" w:before="36"/>
        <w:ind w:right="1127"/>
        <w:jc w:val="both"/>
      </w:pPr>
      <w:r>
        <w:rPr>
          <w:spacing w:val="-2"/>
        </w:rPr>
        <w:t>月担任芜湖会计师事务所项目经理、部门经理、所长助理、副所长，</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月至今担任珠海会计师事务</w:t>
      </w:r>
      <w:r>
        <w:rPr>
          <w:spacing w:val="-41"/>
        </w:rPr>
        <w:t> </w:t>
      </w:r>
      <w:r>
        <w:rPr>
          <w:spacing w:val="-41"/>
        </w:rPr>
      </w:r>
      <w:r>
        <w:rPr>
          <w:spacing w:val="-2"/>
        </w:rPr>
        <w:t>所（现为大华会计师事务所）专业标准部经理、所长助理、副所长、合伙人。目前担任蒙娜丽莎集团股份</w:t>
      </w:r>
      <w:r>
        <w:rPr>
          <w:spacing w:val="-42"/>
        </w:rPr>
        <w:t> </w:t>
      </w:r>
      <w:r>
        <w:rPr>
          <w:spacing w:val="-42"/>
        </w:rPr>
      </w:r>
      <w:r>
        <w:rPr/>
        <w:t>有限公司独立董事。现任本公司独立董事。</w:t>
      </w:r>
    </w:p>
    <w:p>
      <w:pPr>
        <w:pStyle w:val="BodyText"/>
        <w:spacing w:line="261" w:lineRule="auto" w:before="134"/>
        <w:ind w:right="1126" w:firstLine="420"/>
        <w:jc w:val="both"/>
      </w:pPr>
      <w:r>
        <w:rPr>
          <w:spacing w:val="-2"/>
        </w:rPr>
        <w:t>（</w:t>
      </w:r>
      <w:r>
        <w:rPr>
          <w:rFonts w:ascii="Times New Roman" w:hAnsi="Times New Roman" w:cs="Times New Roman" w:eastAsia="Times New Roman" w:hint="default"/>
          <w:spacing w:val="-2"/>
        </w:rPr>
        <w:t>7</w:t>
      </w:r>
      <w:r>
        <w:rPr>
          <w:spacing w:val="-2"/>
        </w:rPr>
        <w:t>）李小虎：男，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6</w:t>
      </w:r>
      <w:r>
        <w:rPr>
          <w:spacing w:val="-2"/>
        </w:rPr>
        <w:t>月出生，美国籍，博士后学历。历任美国哥伦布世纪国际集团公司研发总</w:t>
      </w:r>
      <w:r>
        <w:rPr>
          <w:w w:val="100"/>
        </w:rPr>
        <w:t> </w:t>
      </w:r>
      <w:r>
        <w:rPr/>
        <w:t>监、美国波士胶（</w:t>
      </w:r>
      <w:r>
        <w:rPr>
          <w:rFonts w:ascii="Times New Roman" w:hAnsi="Times New Roman" w:cs="Times New Roman" w:eastAsia="Times New Roman" w:hint="default"/>
        </w:rPr>
        <w:t>Bostik</w:t>
      </w:r>
      <w:r>
        <w:rPr/>
        <w:t>）公司技术经理与业务总监、美国奥麒化工有限公司中国及亚太区总裁、美国阿</w:t>
      </w:r>
      <w:r>
        <w:rPr>
          <w:spacing w:val="-47"/>
        </w:rPr>
        <w:t> </w:t>
      </w:r>
      <w:r>
        <w:rPr>
          <w:spacing w:val="-47"/>
        </w:rPr>
      </w:r>
      <w:r>
        <w:rPr>
          <w:spacing w:val="-2"/>
        </w:rPr>
        <w:t>森纳资本合伙人，现任江苏以诺投资管理有限公司管理合伙人。目前担任句容宁武新材料股份有限公司独</w:t>
      </w:r>
      <w:r>
        <w:rPr>
          <w:spacing w:val="-44"/>
        </w:rPr>
        <w:t> </w:t>
      </w:r>
      <w:r>
        <w:rPr>
          <w:spacing w:val="-44"/>
        </w:rPr>
      </w:r>
      <w:r>
        <w:rPr/>
        <w:t>立董事。现任本公司独立董事。</w:t>
      </w:r>
    </w:p>
    <w:p>
      <w:pPr>
        <w:pStyle w:val="BodyText"/>
        <w:spacing w:line="240" w:lineRule="auto" w:before="138"/>
        <w:ind w:left="573" w:right="0"/>
        <w:jc w:val="left"/>
      </w:pPr>
      <w:r>
        <w:rPr>
          <w:rFonts w:ascii="Times New Roman" w:hAnsi="Times New Roman" w:cs="Times New Roman" w:eastAsia="Times New Roman" w:hint="default"/>
        </w:rPr>
        <w:t>2</w:t>
      </w:r>
      <w:r>
        <w:rPr/>
        <w:t>、监事</w:t>
      </w:r>
    </w:p>
    <w:p>
      <w:pPr>
        <w:pStyle w:val="BodyText"/>
        <w:spacing w:line="256"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）金叶：女，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w:t>
      </w:r>
      <w:r>
        <w:rPr>
          <w:spacing w:val="-2"/>
        </w:rPr>
        <w:t>月出生，中国籍，无永久境外居留权，本科学历。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w:t>
      </w:r>
      <w:r>
        <w:rPr>
          <w:w w:val="100"/>
        </w:rPr>
        <w:t> </w:t>
      </w:r>
      <w:r>
        <w:rPr/>
        <w:t>宿迁市彩塑包装有限公司员工。现任本公司监事会主席。</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2</w:t>
      </w:r>
      <w:r>
        <w:rPr>
          <w:spacing w:val="-2"/>
        </w:rPr>
        <w:t>）池卫，女，</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11</w:t>
      </w:r>
      <w:r>
        <w:rPr>
          <w:spacing w:val="-2"/>
        </w:rPr>
        <w:t>月出生，中国籍，无永久境外居留权，本科学历。</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月为宿</w:t>
      </w:r>
      <w:r>
        <w:rPr>
          <w:w w:val="100"/>
        </w:rPr>
        <w:t> </w:t>
      </w:r>
      <w:r>
        <w:rPr/>
        <w:t>迁市彩塑包装有限公司员工。现任本公司知识产权部部长、监事。</w:t>
      </w:r>
    </w:p>
    <w:p>
      <w:pPr>
        <w:pStyle w:val="BodyText"/>
        <w:spacing w:line="256" w:lineRule="auto" w:before="143"/>
        <w:ind w:right="0"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w w:val="100"/>
        </w:rPr>
        <w:t> </w:t>
      </w:r>
      <w:r>
        <w:rPr/>
        <w:t>为宿迁市彩塑包装有限公司员工。现任本公司监事。</w:t>
      </w:r>
    </w:p>
    <w:p>
      <w:pPr>
        <w:pStyle w:val="BodyText"/>
        <w:spacing w:line="240" w:lineRule="auto" w:before="142"/>
        <w:ind w:left="573" w:right="0"/>
        <w:jc w:val="left"/>
      </w:pPr>
      <w:r>
        <w:rPr>
          <w:rFonts w:ascii="Times New Roman" w:hAnsi="Times New Roman" w:cs="Times New Roman" w:eastAsia="Times New Roman" w:hint="default"/>
        </w:rPr>
        <w:t>3</w:t>
      </w:r>
      <w:r>
        <w:rPr/>
        <w:t>、高级管理人员</w:t>
      </w:r>
    </w:p>
    <w:p>
      <w:pPr>
        <w:pStyle w:val="BodyText"/>
        <w:spacing w:line="264" w:lineRule="auto" w:before="141"/>
        <w:ind w:right="0" w:firstLine="420"/>
        <w:jc w:val="left"/>
      </w:pPr>
      <w:r>
        <w:rPr>
          <w:spacing w:val="-2"/>
        </w:rPr>
        <w:t>（</w:t>
      </w:r>
      <w:r>
        <w:rPr>
          <w:rFonts w:ascii="Times New Roman" w:hAnsi="Times New Roman" w:cs="Times New Roman" w:eastAsia="Times New Roman" w:hint="default"/>
          <w:spacing w:val="-2"/>
        </w:rPr>
        <w:t>1</w:t>
      </w:r>
      <w:r>
        <w:rPr>
          <w:spacing w:val="-2"/>
        </w:rPr>
        <w:t>）吴培服：男，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10</w:t>
      </w:r>
      <w:r>
        <w:rPr>
          <w:spacing w:val="-2"/>
        </w:rPr>
        <w:t>月出生，中国籍，无永久境外居留权，大专学历。历任井头综合厂钳工、</w:t>
      </w:r>
      <w:r>
        <w:rPr>
          <w:w w:val="100"/>
        </w:rPr>
        <w:t> </w:t>
      </w:r>
      <w:r>
        <w:rPr>
          <w:spacing w:val="-2"/>
        </w:rPr>
        <w:t>井头乡井头村村长、宿迁市新型包装材料厂厂长、宿迁市铝型材厂厂长、宿迁市电池配件厂厂长、宿迁市</w:t>
      </w:r>
      <w:r>
        <w:rPr>
          <w:spacing w:val="-50"/>
        </w:rPr>
        <w:t> </w:t>
      </w:r>
      <w:r>
        <w:rPr>
          <w:spacing w:val="-50"/>
        </w:rPr>
      </w:r>
      <w:r>
        <w:rPr/>
        <w:t>彩塑包装有限公司执行董事，现任本公司董事长、总经理。</w:t>
      </w:r>
    </w:p>
    <w:p>
      <w:pPr>
        <w:pStyle w:val="BodyText"/>
        <w:spacing w:line="256" w:lineRule="auto" w:before="136"/>
        <w:ind w:right="0" w:firstLine="420"/>
        <w:jc w:val="left"/>
      </w:pPr>
      <w:r>
        <w:rPr>
          <w:spacing w:val="-2"/>
        </w:rPr>
        <w:t>（</w:t>
      </w:r>
      <w:r>
        <w:rPr>
          <w:rFonts w:ascii="Times New Roman" w:hAnsi="Times New Roman" w:cs="Times New Roman" w:eastAsia="Times New Roman" w:hint="default"/>
          <w:spacing w:val="-2"/>
        </w:rPr>
        <w:t>2</w:t>
      </w:r>
      <w:r>
        <w:rPr>
          <w:spacing w:val="-2"/>
        </w:rPr>
        <w:t>）吴迪：男，</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月出生，中国籍，无永久境外居留权，本科学历。历任宿迁市彩塑包装有限</w:t>
      </w:r>
      <w:r>
        <w:rPr>
          <w:w w:val="100"/>
        </w:rPr>
        <w:t> </w:t>
      </w:r>
      <w:r>
        <w:rPr/>
        <w:t>公司副总经理。现任本公司董事、董事会秘书、副总经理。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）周海燕：女，</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1</w:t>
      </w:r>
      <w:r>
        <w:rPr>
          <w:spacing w:val="-2"/>
        </w:rPr>
        <w:t>月出生，中国籍，无永久境外居留权，本科学历。历任宿迁市彩塑包装有</w:t>
      </w:r>
      <w:r>
        <w:rPr>
          <w:w w:val="100"/>
        </w:rPr>
        <w:t> </w:t>
      </w:r>
      <w:r>
        <w:rPr/>
        <w:t>限公司副总经理、财务经理。现任本公司董事、副总经理、财务总监。</w:t>
      </w:r>
    </w:p>
    <w:p>
      <w:pPr>
        <w:pStyle w:val="BodyText"/>
        <w:spacing w:line="256" w:lineRule="auto" w:before="143"/>
        <w:ind w:right="0" w:firstLine="420"/>
        <w:jc w:val="left"/>
      </w:pPr>
      <w:r>
        <w:rPr/>
        <w:t>（</w:t>
      </w:r>
      <w:r>
        <w:rPr>
          <w:rFonts w:ascii="Times New Roman" w:hAnsi="Times New Roman" w:cs="Times New Roman" w:eastAsia="Times New Roman" w:hint="default"/>
        </w:rPr>
        <w:t>4</w:t>
      </w:r>
      <w:r>
        <w:rPr/>
        <w:t>）潘建忠：男，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月出生，中国籍，无永久境外居留权，本科学历。历任宁波包装材料有</w:t>
      </w:r>
      <w:r>
        <w:rPr>
          <w:w w:val="100"/>
        </w:rPr>
        <w:t> </w:t>
      </w:r>
      <w:r>
        <w:rPr>
          <w:spacing w:val="-5"/>
        </w:rPr>
        <w:t>限公司技术部副经理、江苏琼花集团副总经理、宿迁市彩塑包装有限公司副总经理。现任本公司副总经理。</w:t>
      </w:r>
    </w:p>
    <w:p>
      <w:pPr>
        <w:pStyle w:val="BodyText"/>
        <w:spacing w:line="256" w:lineRule="auto" w:before="142"/>
        <w:ind w:right="0" w:firstLine="420"/>
        <w:jc w:val="left"/>
      </w:pPr>
      <w:r>
        <w:rPr>
          <w:spacing w:val="-4"/>
        </w:rPr>
        <w:t>（</w:t>
      </w:r>
      <w:r>
        <w:rPr>
          <w:rFonts w:ascii="Times New Roman" w:hAnsi="Times New Roman" w:cs="Times New Roman" w:eastAsia="Times New Roman" w:hint="default"/>
          <w:spacing w:val="-4"/>
        </w:rPr>
        <w:t>5</w:t>
      </w:r>
      <w:r>
        <w:rPr>
          <w:spacing w:val="-4"/>
        </w:rPr>
        <w:t>）邹兆云：男，</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4</w:t>
      </w:r>
      <w:r>
        <w:rPr>
          <w:spacing w:val="-4"/>
        </w:rPr>
        <w:t>月出生，中国籍，无永久境外居留权，高中学历。历任宿迁市卫生局员工、</w:t>
      </w:r>
      <w:r>
        <w:rPr>
          <w:w w:val="100"/>
        </w:rPr>
        <w:t> </w:t>
      </w:r>
      <w:r>
        <w:rPr/>
        <w:t>宿迁市彩塑包装有限公司副总经理、营销部主管。现任本公司副总经理。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6</w:t>
      </w:r>
      <w:r>
        <w:rPr>
          <w:spacing w:val="-2"/>
        </w:rPr>
        <w:t>）杨淑侠：女，</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w:t>
      </w:r>
      <w:r>
        <w:rPr>
          <w:spacing w:val="-2"/>
        </w:rPr>
        <w:t>月出生，中国籍，无永久境外居留权，高中学历。历任宿迁市彩塑包装有</w:t>
      </w:r>
      <w:r>
        <w:rPr>
          <w:w w:val="100"/>
        </w:rPr>
        <w:t> </w:t>
      </w:r>
      <w:r>
        <w:rPr/>
        <w:t>限公司副总经理。现任本公司副总经理。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月出生，中国籍，无永久境外居留权，专科学历。历任宿迁市制鞋总厂车</w:t>
      </w:r>
      <w:r>
        <w:rPr>
          <w:w w:val="100"/>
        </w:rPr>
        <w:t> </w:t>
      </w:r>
      <w:r>
        <w:rPr/>
        <w:t>间主任、宿迁市彩塑包装有限公司副总经理。现任本公司副总经理。</w:t>
      </w:r>
    </w:p>
    <w:p>
      <w:pPr>
        <w:pStyle w:val="BodyText"/>
        <w:spacing w:line="256" w:lineRule="auto" w:before="142"/>
        <w:ind w:right="0" w:firstLine="420"/>
        <w:jc w:val="left"/>
      </w:pPr>
      <w:r>
        <w:rPr>
          <w:spacing w:val="-2"/>
        </w:rPr>
        <w:t>（</w:t>
      </w:r>
      <w:r>
        <w:rPr>
          <w:rFonts w:ascii="Times New Roman" w:hAnsi="Times New Roman" w:cs="Times New Roman" w:eastAsia="Times New Roman" w:hint="default"/>
          <w:spacing w:val="-2"/>
        </w:rPr>
        <w:t>8</w:t>
      </w:r>
      <w:r>
        <w:rPr>
          <w:spacing w:val="-2"/>
        </w:rPr>
        <w:t>）葛俊生：男，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9</w:t>
      </w:r>
      <w:r>
        <w:rPr>
          <w:spacing w:val="-2"/>
        </w:rPr>
        <w:t>月出生，中国籍，无永久境外居留权，高中学历。历任井头乡副食品厂工</w:t>
      </w:r>
      <w:r>
        <w:rPr>
          <w:w w:val="100"/>
        </w:rPr>
        <w:t> </w:t>
      </w:r>
      <w:r>
        <w:rPr/>
        <w:t>人、宿迁市彩塑包装有限公司副总经理、技术部主管。现任本公司副总经理。</w:t>
      </w:r>
    </w:p>
    <w:p>
      <w:pPr>
        <w:pStyle w:val="BodyText"/>
        <w:spacing w:line="256" w:lineRule="auto" w:before="143"/>
        <w:ind w:right="0" w:firstLine="420"/>
        <w:jc w:val="left"/>
      </w:pPr>
      <w:r>
        <w:rPr/>
        <w:t>（</w:t>
      </w:r>
      <w:r>
        <w:rPr>
          <w:rFonts w:ascii="Times New Roman" w:hAnsi="Times New Roman" w:cs="Times New Roman" w:eastAsia="Times New Roman" w:hint="default"/>
        </w:rPr>
        <w:t>9</w:t>
      </w:r>
      <w:r>
        <w:rPr/>
        <w:t>）陆敬权：男，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10</w:t>
      </w:r>
      <w:r>
        <w:rPr/>
        <w:t>月出生，中国籍，无永久境外居留权，专科学历。历任宿迁市彩塑包装</w:t>
      </w:r>
      <w:r>
        <w:rPr>
          <w:w w:val="100"/>
        </w:rPr>
        <w:t> </w:t>
      </w:r>
      <w:r>
        <w:rPr/>
        <w:t>有限公司项目经理。现任本公司副总经理。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10</w:t>
      </w:r>
      <w:r>
        <w:rPr/>
        <w:t>）孙化斌：男，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9</w:t>
      </w:r>
      <w:r>
        <w:rPr/>
        <w:t>月出生，中国籍，无永久境外居留权，高中学历。历任宿迁市铝合金厂</w:t>
      </w:r>
      <w:r>
        <w:rPr>
          <w:w w:val="100"/>
        </w:rPr>
        <w:t> </w:t>
      </w:r>
      <w:r>
        <w:rPr/>
        <w:t>电工、宿迁市彩塑包装有限公司车间主任、项目经理。现任本公司副总经理。</w:t>
      </w:r>
    </w:p>
    <w:p>
      <w:pPr>
        <w:pStyle w:val="BodyText"/>
        <w:spacing w:line="256" w:lineRule="auto" w:before="142"/>
        <w:ind w:right="0" w:firstLine="420"/>
        <w:jc w:val="left"/>
      </w:pPr>
      <w:r>
        <w:rPr/>
        <w:t>（</w:t>
      </w:r>
      <w:r>
        <w:rPr>
          <w:rFonts w:ascii="Times New Roman" w:hAnsi="Times New Roman" w:cs="Times New Roman" w:eastAsia="Times New Roman" w:hint="default"/>
        </w:rPr>
        <w:t>11</w:t>
      </w:r>
      <w:r>
        <w:rPr/>
        <w:t>）李平：女，</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6</w:t>
      </w:r>
      <w:r>
        <w:rPr/>
        <w:t>月出生，中国籍，本科学历。历任宿迁市彩塑包装有限公司总经理助理，</w:t>
      </w:r>
      <w:r>
        <w:rPr>
          <w:w w:val="100"/>
        </w:rPr>
        <w:t> </w:t>
      </w:r>
      <w:r>
        <w:rPr/>
        <w:t>现任公司副总经理。</w:t>
      </w:r>
    </w:p>
    <w:p>
      <w:pPr>
        <w:spacing w:after="0" w:line="25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1479"/>
        <w:gridCol w:w="1982"/>
        <w:gridCol w:w="1560"/>
        <w:gridCol w:w="1846"/>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878"/>
        <w:gridCol w:w="1491"/>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0" w:right="10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华南理工大学工商管理学院</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广东天龙油墨集团股份有限公司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广东新宝电器股份有限公司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广东万家乐股份有限公司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副所长、合伙人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蒙娜丽莎集团股份有限公司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江苏以诺投资管理有限公司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句容宁武新材料股份有限公司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6"/>
        <w:ind w:right="0"/>
        <w:jc w:val="left"/>
      </w:pPr>
      <w:r>
        <w:rPr>
          <w:spacing w:val="-2"/>
        </w:rPr>
        <w:t>根据公司《公司董事、监事及高级管理人员薪酬考核办法》等相关规定，公司按不同的职务、不同的岗位</w:t>
      </w:r>
      <w:r>
        <w:rPr>
          <w:spacing w:val="-43"/>
        </w:rPr>
        <w:t> </w:t>
      </w:r>
      <w:r>
        <w:rPr>
          <w:spacing w:val="-43"/>
        </w:rPr>
      </w:r>
      <w:r>
        <w:rPr/>
        <w:t>职责，结合个人工作业绩以及完成任务的情况确认公司高管人员的报酬。</w:t>
      </w:r>
    </w:p>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177"/>
        <w:gridCol w:w="991"/>
        <w:gridCol w:w="934"/>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吴培服</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迪</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95" w:right="22" w:hanging="970"/>
              <w:jc w:val="left"/>
              <w:rPr>
                <w:rFonts w:ascii="宋体" w:hAnsi="宋体" w:cs="宋体" w:eastAsia="宋体" w:hint="default"/>
                <w:sz w:val="18"/>
                <w:szCs w:val="18"/>
              </w:rPr>
            </w:pPr>
            <w:r>
              <w:rPr>
                <w:rFonts w:ascii="宋体" w:hAnsi="宋体" w:cs="宋体" w:eastAsia="宋体" w:hint="default"/>
                <w:spacing w:val="-4"/>
                <w:sz w:val="18"/>
                <w:szCs w:val="18"/>
              </w:rPr>
              <w:t>董事、董事会秘书、副总经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周海燕</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pacing w:val="-4"/>
                <w:sz w:val="18"/>
                <w:szCs w:val="18"/>
              </w:rPr>
              <w:t>董事、财务总监、副总经理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177"/>
        <w:gridCol w:w="991"/>
        <w:gridCol w:w="934"/>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薇</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蓝海林</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2" w:right="0"/>
              <w:jc w:val="lef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程银春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李小虎</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叶</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池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卫</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潘建忠</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邹兆云</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杨淑侠</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葛俊生</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陆敬权</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孙化斌</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李平</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513.55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1,335</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根据公司薪酬与绩效考核管理的相应制度进行。</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围绕公司发展战略指导思想和经营目标，结合企业实际情况，为满足公司战略发展对人力资源的要求，为员工职业</w:t>
      </w:r>
      <w:r>
        <w:rPr>
          <w:rFonts w:ascii="宋体" w:hAnsi="宋体" w:cs="宋体" w:eastAsia="宋体" w:hint="default"/>
          <w:color w:val="212121"/>
          <w:spacing w:val="-2"/>
          <w:sz w:val="18"/>
          <w:szCs w:val="18"/>
        </w:rPr>
        <w:t>生涯</w:t>
      </w:r>
      <w:r>
        <w:rPr>
          <w:rFonts w:ascii="宋体" w:hAnsi="宋体" w:cs="宋体" w:eastAsia="宋体" w:hint="default"/>
          <w:color w:val="212121"/>
          <w:sz w:val="18"/>
          <w:szCs w:val="18"/>
        </w:rPr>
        <w:t> </w:t>
      </w:r>
      <w:r>
        <w:rPr>
          <w:rFonts w:ascii="宋体" w:hAnsi="宋体" w:cs="宋体" w:eastAsia="宋体" w:hint="default"/>
          <w:color w:val="212121"/>
          <w:spacing w:val="-2"/>
          <w:sz w:val="18"/>
          <w:szCs w:val="18"/>
        </w:rPr>
        <w:t>规划提供方向，为企业发展提供人才保证。公司</w:t>
      </w:r>
      <w:r>
        <w:rPr>
          <w:rFonts w:ascii="宋体" w:hAnsi="宋体" w:cs="宋体" w:eastAsia="宋体" w:hint="default"/>
          <w:spacing w:val="-2"/>
          <w:sz w:val="18"/>
          <w:szCs w:val="18"/>
        </w:rPr>
        <w:t>以入职培训、岗位技能培训、经营理念培训为重点，以素质和能力建设为核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心，逐步形成与企业发展相适应、符合员工成长规律的多层次、多类别、多形式、重实效的培训格局，建设一支学习型、实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干型、创新型的员工队伍。一是一线员工技术、技能掊训使其进一步提高；二是营销模式创新，加强营销售人员培训，激发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活力。三是管理人员业务技能培训，提升业务水平和技能。四是创新及精细化管理培训，提高执行力。四是开展全员培训， 确保安全生产。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879" w:right="185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0" w:firstLine="420"/>
        <w:jc w:val="left"/>
      </w:pPr>
      <w:r>
        <w:rPr/>
        <w:t>报告期内，公司严格按照《公司法》、《证券法》、《上市公司治理准则》、《深圳证券交易所股票</w:t>
      </w:r>
      <w:r>
        <w:rPr>
          <w:w w:val="100"/>
        </w:rPr>
        <w:t> </w:t>
      </w:r>
      <w:r>
        <w:rPr>
          <w:spacing w:val="-5"/>
        </w:rPr>
        <w:t>上市规则》、《深圳证券交易所中小企业板上市公司规范运作指引》和中国证监会有关法律法规等的要求，</w:t>
      </w:r>
      <w:r>
        <w:rPr>
          <w:spacing w:val="-9"/>
        </w:rPr>
        <w:t> </w:t>
      </w:r>
      <w:r>
        <w:rPr>
          <w:spacing w:val="-9"/>
        </w:rPr>
      </w:r>
      <w:r>
        <w:rPr>
          <w:spacing w:val="-2"/>
        </w:rPr>
        <w:t>不断完善公司治理结构，建立健全内部管理和控制制度，持续深入开展公司治理活动，以进一步规范公司</w:t>
      </w:r>
      <w:r>
        <w:rPr>
          <w:spacing w:val="-44"/>
        </w:rPr>
        <w:t> </w:t>
      </w:r>
      <w:r>
        <w:rPr>
          <w:spacing w:val="-44"/>
        </w:rPr>
      </w:r>
      <w:r>
        <w:rPr/>
        <w:t>运作，提高了公司治理水平。</w:t>
      </w:r>
    </w:p>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0" w:firstLine="420"/>
        <w:jc w:val="left"/>
      </w:pPr>
      <w:r>
        <w:rPr/>
        <w:t>公司自成立以来，严格按照《公司法》、《证券法》等有关法律、法规和《公司章程》的要求规范运</w:t>
      </w:r>
      <w:r>
        <w:rPr>
          <w:w w:val="100"/>
        </w:rPr>
        <w:t> </w:t>
      </w:r>
      <w:r>
        <w:rPr>
          <w:spacing w:val="-5"/>
        </w:rPr>
        <w:t>作，与控股股东在业务、人员、资产、机构、财务等方面完全分开，具有独立完整的业务及自主经营能力。</w:t>
      </w:r>
    </w:p>
    <w:p>
      <w:pPr>
        <w:pStyle w:val="BodyText"/>
        <w:spacing w:line="273" w:lineRule="auto"/>
        <w:ind w:right="0"/>
        <w:jc w:val="left"/>
      </w:pPr>
      <w:r>
        <w:rPr/>
        <w:t>（一）业务独立情况：公司业务独立于控股股东及其下属企业，拥有独立完整的供应、生产和销售系统，</w:t>
      </w:r>
      <w:r>
        <w:rPr>
          <w:w w:val="100"/>
        </w:rPr>
        <w:t> </w:t>
      </w:r>
      <w:r>
        <w:rPr>
          <w:spacing w:val="-2"/>
        </w:rPr>
        <w:t>独立开展业务，不依赖于股东或其它任何关联方。公司股东及其他关联方目前业务均与本公司不同，而且</w:t>
      </w:r>
      <w:r>
        <w:rPr>
          <w:spacing w:val="-43"/>
        </w:rPr>
        <w:t> </w:t>
      </w:r>
      <w:r>
        <w:rPr>
          <w:spacing w:val="-43"/>
        </w:rPr>
      </w:r>
      <w:r>
        <w:rPr>
          <w:spacing w:val="-2"/>
        </w:rPr>
        <w:t>向本公司出具了《避免同业竞争的承诺函》。（二）人员独立情况：公司人员、劳动、人事及工资完全独</w:t>
      </w:r>
      <w:r>
        <w:rPr>
          <w:spacing w:val="-49"/>
        </w:rPr>
        <w:t> </w:t>
      </w:r>
      <w:r>
        <w:rPr>
          <w:spacing w:val="-49"/>
        </w:rPr>
      </w:r>
      <w:r>
        <w:rPr>
          <w:spacing w:val="-2"/>
        </w:rPr>
        <w:t>立。公司总经理、副总经理、董事会秘书、财务负责人等高级管理人员均在公司工作并领取薪酬，未在控</w:t>
      </w:r>
      <w:r>
        <w:rPr>
          <w:spacing w:val="-43"/>
        </w:rPr>
        <w:t> </w:t>
      </w:r>
      <w:r>
        <w:rPr>
          <w:spacing w:val="-43"/>
        </w:rPr>
      </w:r>
      <w:r>
        <w:rPr>
          <w:spacing w:val="-2"/>
        </w:rPr>
        <w:t>股股东及其下属企业担任职务和领取报酬。（三）资产独立情况：公司拥有独立于控股股东的生产经营场</w:t>
      </w:r>
      <w:r>
        <w:rPr>
          <w:spacing w:val="-44"/>
        </w:rPr>
        <w:t> </w:t>
      </w:r>
      <w:r>
        <w:rPr>
          <w:spacing w:val="-44"/>
        </w:rPr>
      </w:r>
      <w:r>
        <w:rPr>
          <w:spacing w:val="-2"/>
        </w:rPr>
        <w:t>所，拥有独立完整的资产结构，拥有独立的生产系统、辅助生产系统和配套设施、土地使用权、房屋所有</w:t>
      </w:r>
      <w:r>
        <w:rPr>
          <w:spacing w:val="-43"/>
        </w:rPr>
        <w:t> </w:t>
      </w:r>
      <w:r>
        <w:rPr>
          <w:spacing w:val="-43"/>
        </w:rPr>
      </w:r>
      <w:r>
        <w:rPr>
          <w:spacing w:val="-2"/>
        </w:rPr>
        <w:t>权等资产，拥有独立的采购和销售系统。（四）机构独立情况：公司设立了健全的组织机构体系，独立运</w:t>
      </w:r>
      <w:r>
        <w:rPr>
          <w:spacing w:val="-45"/>
        </w:rPr>
        <w:t> </w:t>
      </w:r>
      <w:r>
        <w:rPr>
          <w:spacing w:val="-45"/>
        </w:rPr>
      </w:r>
      <w:r>
        <w:rPr>
          <w:spacing w:val="-5"/>
        </w:rPr>
        <w:t>作，不存在与控股股东或其职能部门之间的从属关系。（五）财务独立情况：公司有独立的财务会计部门，</w:t>
      </w:r>
      <w:r>
        <w:rPr>
          <w:spacing w:val="-3"/>
        </w:rPr>
        <w:t> </w:t>
      </w:r>
      <w:r>
        <w:rPr>
          <w:spacing w:val="-3"/>
        </w:rPr>
      </w:r>
      <w:r>
        <w:rPr/>
        <w:t>建立了独立的会计核算体系和财务管理制度，独立进行财务决策。公司独立开设银行账户，独立纳税。</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1560"/>
        <w:gridCol w:w="1560"/>
        <w:gridCol w:w="1558"/>
        <w:gridCol w:w="2269"/>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44.30%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14"/>
              <w:jc w:val="left"/>
              <w:rPr>
                <w:rFonts w:ascii="宋体" w:hAnsi="宋体" w:cs="宋体" w:eastAsia="宋体" w:hint="default"/>
                <w:sz w:val="18"/>
                <w:szCs w:val="18"/>
              </w:rPr>
            </w:pPr>
            <w:r>
              <w:rPr>
                <w:rFonts w:ascii="宋体" w:hAnsi="宋体" w:cs="宋体" w:eastAsia="宋体" w:hint="default"/>
                <w:spacing w:val="-10"/>
                <w:sz w:val="18"/>
                <w:szCs w:val="18"/>
              </w:rPr>
              <w:t>公告名称：《江苏双星彩塑新</w:t>
            </w:r>
            <w:r>
              <w:rPr>
                <w:rFonts w:ascii="宋体" w:hAnsi="宋体" w:cs="宋体" w:eastAsia="宋体" w:hint="default"/>
                <w:sz w:val="18"/>
                <w:szCs w:val="18"/>
              </w:rPr>
              <w:t> 材料股份有限公司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年年 度股东大会决议公告</w:t>
            </w:r>
            <w:r>
              <w:rPr>
                <w:rFonts w:ascii="宋体" w:hAnsi="宋体" w:cs="宋体" w:eastAsia="宋体" w:hint="default"/>
                <w:spacing w:val="1"/>
                <w:sz w:val="18"/>
                <w:szCs w:val="18"/>
              </w:rPr>
              <w:t> </w:t>
            </w:r>
            <w:r>
              <w:rPr>
                <w:rFonts w:ascii="宋体" w:hAnsi="宋体" w:cs="宋体" w:eastAsia="宋体" w:hint="default"/>
                <w:spacing w:val="-13"/>
                <w:sz w:val="18"/>
                <w:szCs w:val="18"/>
              </w:rPr>
              <w:t>》公告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2018-031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信息披露媒 </w:t>
            </w:r>
            <w:r>
              <w:rPr>
                <w:rFonts w:ascii="宋体" w:hAnsi="宋体" w:cs="宋体" w:eastAsia="宋体" w:hint="default"/>
                <w:spacing w:val="-21"/>
                <w:sz w:val="18"/>
                <w:szCs w:val="18"/>
              </w:rPr>
              <w:t>体：《证券时报》、《证券日</w:t>
            </w:r>
            <w:r>
              <w:rPr>
                <w:rFonts w:ascii="宋体" w:hAnsi="宋体" w:cs="宋体" w:eastAsia="宋体" w:hint="default"/>
                <w:sz w:val="18"/>
                <w:szCs w:val="18"/>
              </w:rPr>
              <w:t> </w:t>
            </w:r>
            <w:r>
              <w:rPr>
                <w:rFonts w:ascii="宋体" w:hAnsi="宋体" w:cs="宋体" w:eastAsia="宋体" w:hint="default"/>
                <w:spacing w:val="-11"/>
                <w:sz w:val="18"/>
                <w:szCs w:val="18"/>
              </w:rPr>
              <w:t>报》、巨潮资讯网。</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蓝海林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程银春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 无</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357" w:lineRule="auto" w:before="0"/>
        <w:ind w:left="573" w:right="0"/>
        <w:jc w:val="left"/>
      </w:pPr>
      <w:r>
        <w:rPr>
          <w:rFonts w:ascii="Times New Roman" w:hAnsi="Times New Roman" w:cs="Times New Roman" w:eastAsia="Times New Roman" w:hint="default"/>
        </w:rPr>
        <w:t>1</w:t>
      </w:r>
      <w:r>
        <w:rPr/>
        <w:t>、董事会审计委员会的履职情况</w:t>
      </w:r>
      <w:r>
        <w:rPr>
          <w:w w:val="100"/>
        </w:rPr>
        <w:t> </w:t>
      </w:r>
      <w:r>
        <w:rPr>
          <w:spacing w:val="-2"/>
        </w:rPr>
        <w:t>报告期内，审计委员会根据《董事会审计委员会实施细则》赋予的职责和权限，认真履行职责，切实</w:t>
      </w:r>
    </w:p>
    <w:p>
      <w:pPr>
        <w:pStyle w:val="BodyText"/>
        <w:spacing w:line="209" w:lineRule="exact" w:before="0"/>
        <w:ind w:right="0"/>
        <w:jc w:val="left"/>
      </w:pPr>
      <w:r>
        <w:rPr/>
        <w:t>发挥了审计委员会的专业职能。</w:t>
      </w:r>
    </w:p>
    <w:p>
      <w:pPr>
        <w:pStyle w:val="BodyText"/>
        <w:spacing w:line="273" w:lineRule="auto" w:before="157"/>
        <w:ind w:right="0" w:firstLine="420"/>
        <w:jc w:val="left"/>
      </w:pPr>
      <w:r>
        <w:rPr>
          <w:spacing w:val="-2"/>
        </w:rPr>
        <w:t>日常工作：审议公司审计部提交的审计计划和工作报告、审核公司的财务信息及其披露、监督公司的</w:t>
      </w:r>
      <w:r>
        <w:rPr>
          <w:w w:val="100"/>
        </w:rPr>
        <w:t> </w:t>
      </w:r>
      <w:r>
        <w:rPr/>
        <w:t>内部审计制度及实施、负责内部审计与外部审计沟通。</w:t>
      </w:r>
    </w:p>
    <w:p>
      <w:pPr>
        <w:pStyle w:val="BodyText"/>
        <w:spacing w:line="240" w:lineRule="auto" w:before="127"/>
        <w:ind w:left="573" w:right="0"/>
        <w:jc w:val="left"/>
      </w:pPr>
      <w:r>
        <w:rPr>
          <w:rFonts w:ascii="Times New Roman" w:hAnsi="Times New Roman" w:cs="Times New Roman" w:eastAsia="Times New Roman" w:hint="default"/>
        </w:rPr>
        <w:t>2018</w:t>
      </w:r>
      <w:r>
        <w:rPr/>
        <w:t>年年报审计工作：在与</w:t>
      </w:r>
      <w:r>
        <w:rPr>
          <w:rFonts w:ascii="Times New Roman" w:hAnsi="Times New Roman" w:cs="Times New Roman" w:eastAsia="Times New Roman" w:hint="default"/>
        </w:rPr>
        <w:t>2018</w:t>
      </w:r>
      <w:r>
        <w:rPr/>
        <w:t>年年度审计机构上海众华沪银会计师事务所充分沟通的基础上，确定</w:t>
      </w:r>
    </w:p>
    <w:p>
      <w:pPr>
        <w:pStyle w:val="BodyText"/>
        <w:spacing w:line="264" w:lineRule="auto" w:before="21"/>
        <w:ind w:right="1126"/>
        <w:jc w:val="both"/>
      </w:pPr>
      <w:r>
        <w:rPr>
          <w:rFonts w:ascii="Times New Roman" w:hAnsi="Times New Roman" w:cs="Times New Roman" w:eastAsia="Times New Roman" w:hint="default"/>
          <w:spacing w:val="-2"/>
        </w:rPr>
        <w:t>2018</w:t>
      </w:r>
      <w:r>
        <w:rPr>
          <w:spacing w:val="-2"/>
        </w:rPr>
        <w:t>年度财务报告审计工作的进度安排；审计委员会在年审注册会计师进场前审阅了公司编制的财务会计</w:t>
      </w:r>
      <w:r>
        <w:rPr>
          <w:spacing w:val="-39"/>
        </w:rPr>
        <w:t> </w:t>
      </w:r>
      <w:r>
        <w:rPr>
          <w:spacing w:val="-39"/>
        </w:rPr>
      </w:r>
      <w:r>
        <w:rPr>
          <w:spacing w:val="-2"/>
        </w:rPr>
        <w:t>报告后，同意将公司按照《企业会计准则》及有关补充规定编制的财务报告提交会计师事务所审计；审计</w:t>
      </w:r>
      <w:r>
        <w:rPr>
          <w:spacing w:val="-47"/>
        </w:rPr>
        <w:t> </w:t>
      </w:r>
      <w:r>
        <w:rPr>
          <w:spacing w:val="-47"/>
        </w:rPr>
      </w:r>
      <w:r>
        <w:rPr>
          <w:spacing w:val="-2"/>
        </w:rPr>
        <w:t>委员会审阅了注册会计师出具的初步审计意见后形成书面审核意见：经会计师事务所初步审计，同意审计</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结果，确保了审计的独立性和审计工作的如期完成。</w:t>
      </w:r>
    </w:p>
    <w:p>
      <w:pPr>
        <w:pStyle w:val="BodyText"/>
        <w:spacing w:line="430" w:lineRule="atLeast" w:before="18"/>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w:t>
      </w:r>
      <w:r>
        <w:rPr>
          <w:w w:val="100"/>
        </w:rPr>
        <w:t> </w:t>
      </w:r>
      <w:r>
        <w:rPr>
          <w:spacing w:val="-7"/>
        </w:rPr>
        <w:t>严格按照公司《董事会薪酬与考核委员会实施细则》开展工作，对公司董事、监事和高级管理人员</w:t>
      </w:r>
      <w:r>
        <w:rPr>
          <w:rFonts w:ascii="Times New Roman" w:hAnsi="Times New Roman" w:cs="Times New Roman" w:eastAsia="Times New Roman" w:hint="default"/>
          <w:spacing w:val="-7"/>
        </w:rPr>
        <w:t>2018</w:t>
      </w:r>
    </w:p>
    <w:p>
      <w:pPr>
        <w:pStyle w:val="BodyText"/>
        <w:spacing w:line="273" w:lineRule="auto" w:before="21"/>
        <w:ind w:right="0"/>
        <w:jc w:val="left"/>
      </w:pPr>
      <w:r>
        <w:rPr>
          <w:spacing w:val="-2"/>
        </w:rPr>
        <w:t>年度的薪酬进行了核查，认为：薪酬数据合理、真实，公司为董事、独立董事、监事、高级管理人员所发</w:t>
      </w:r>
      <w:r>
        <w:rPr>
          <w:spacing w:val="-47"/>
        </w:rPr>
        <w:t> </w:t>
      </w:r>
      <w:r>
        <w:rPr>
          <w:spacing w:val="-47"/>
        </w:rPr>
      </w:r>
      <w:r>
        <w:rPr/>
        <w:t>放的薪酬符合规定，与其履职尽责情况匹配。</w:t>
      </w:r>
    </w:p>
    <w:p>
      <w:pPr>
        <w:pStyle w:val="BodyText"/>
        <w:spacing w:line="357" w:lineRule="auto" w:before="127"/>
        <w:ind w:left="573" w:right="0"/>
        <w:jc w:val="left"/>
      </w:pPr>
      <w:r>
        <w:rPr>
          <w:rFonts w:ascii="Times New Roman" w:hAnsi="Times New Roman" w:cs="Times New Roman" w:eastAsia="Times New Roman" w:hint="default"/>
        </w:rPr>
        <w:t>3</w:t>
      </w:r>
      <w:r>
        <w:rPr/>
        <w:t>、提名委员会</w:t>
      </w:r>
      <w:r>
        <w:rPr>
          <w:w w:val="100"/>
        </w:rPr>
        <w:t> </w:t>
      </w:r>
      <w:r>
        <w:rPr>
          <w:spacing w:val="-3"/>
        </w:rPr>
        <w:t>严格按照公司《董事会提名委员会实施细则》开展工作，对公司管理层成员的选聘提交了方案，为公</w:t>
      </w:r>
    </w:p>
    <w:p>
      <w:pPr>
        <w:pStyle w:val="BodyText"/>
        <w:spacing w:line="209" w:lineRule="exact" w:before="0"/>
        <w:ind w:right="0"/>
        <w:jc w:val="left"/>
      </w:pPr>
      <w:r>
        <w:rPr/>
        <w:t>司提供了业务素质与职业道德高且任职资格合法合规的管理层人选。</w:t>
      </w:r>
    </w:p>
    <w:p>
      <w:pPr>
        <w:pStyle w:val="BodyText"/>
        <w:spacing w:line="357" w:lineRule="auto" w:before="157"/>
        <w:ind w:left="573" w:right="0"/>
        <w:jc w:val="left"/>
      </w:pPr>
      <w:r>
        <w:rPr>
          <w:rFonts w:ascii="Times New Roman" w:hAnsi="Times New Roman" w:cs="Times New Roman" w:eastAsia="Times New Roman" w:hint="default"/>
        </w:rPr>
        <w:t>4</w:t>
      </w:r>
      <w:r>
        <w:rPr/>
        <w:t>、战略委员会</w:t>
      </w:r>
      <w:r>
        <w:rPr>
          <w:w w:val="100"/>
        </w:rPr>
        <w:t> </w:t>
      </w:r>
      <w:r>
        <w:rPr>
          <w:spacing w:val="-3"/>
        </w:rPr>
        <w:t>严格按照公司《董事会战略委员会实施细则》开展工作，对公司的发展战略提交了方案，为公司提供</w:t>
      </w:r>
    </w:p>
    <w:p>
      <w:pPr>
        <w:pStyle w:val="BodyText"/>
        <w:spacing w:line="209" w:lineRule="exact" w:before="0"/>
        <w:ind w:right="0"/>
        <w:jc w:val="left"/>
      </w:pPr>
      <w:r>
        <w:rPr/>
        <w:t>了适应公司发展的有效战略。</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126" w:firstLine="420"/>
        <w:jc w:val="both"/>
      </w:pPr>
      <w:r>
        <w:rPr>
          <w:spacing w:val="-2"/>
        </w:rPr>
        <w:t>公司建立了高级管理人员的选择、考评、激励与约束机制并不断完善。公司高级管理人员全部由董事</w:t>
      </w:r>
      <w:r>
        <w:rPr>
          <w:w w:val="100"/>
        </w:rPr>
        <w:t> </w:t>
      </w:r>
      <w:r>
        <w:rPr>
          <w:spacing w:val="-2"/>
        </w:rPr>
        <w:t>会聘任，直接对董事会负责，承担董事会下达的经营指标。董事会下设的薪酬与考核委员会负责对高级管</w:t>
      </w:r>
      <w:r>
        <w:rPr>
          <w:spacing w:val="-42"/>
        </w:rPr>
        <w:t> </w:t>
      </w:r>
      <w:r>
        <w:rPr>
          <w:spacing w:val="-42"/>
        </w:rPr>
      </w:r>
      <w:r>
        <w:rPr>
          <w:spacing w:val="-2"/>
        </w:rPr>
        <w:t>理人员的工作能力、履职情况、责任目标完成情况，制定薪酬方案并报董事会审批。报告期内，高级管理</w:t>
      </w:r>
      <w:r>
        <w:rPr>
          <w:spacing w:val="-43"/>
        </w:rPr>
        <w:t> </w:t>
      </w:r>
      <w:r>
        <w:rPr>
          <w:spacing w:val="-43"/>
        </w:rPr>
      </w:r>
      <w:r>
        <w:rPr>
          <w:spacing w:val="-2"/>
        </w:rPr>
        <w:t>人员能够严格按照《公司法》、《公司章程》及国家有关法律法规认真履行职责，积极落实公司股东大会</w:t>
      </w:r>
      <w:r>
        <w:rPr>
          <w:spacing w:val="-45"/>
        </w:rPr>
        <w:t> </w:t>
      </w:r>
      <w:r>
        <w:rPr>
          <w:spacing w:val="-45"/>
        </w:rPr>
      </w:r>
      <w:r>
        <w:rPr>
          <w:spacing w:val="-2"/>
        </w:rPr>
        <w:t>和董事会相关决议，在董事会的正确指导下积极调整经营思路，优化产品结构，不断加强内部管理，较好</w:t>
      </w:r>
      <w:r>
        <w:rPr>
          <w:spacing w:val="-47"/>
        </w:rPr>
        <w:t> </w:t>
      </w:r>
      <w:r>
        <w:rPr>
          <w:spacing w:val="-47"/>
        </w:rPr>
      </w:r>
      <w:r>
        <w:rPr/>
        <w:t>地完成了本年度的各项任务。</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5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4"/>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上的《江苏双星彩塑新材料股份有限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年度内部控制评价报告》</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before="44"/>
        <w:ind w:left="0" w:right="1138" w:firstLine="0"/>
        <w:jc w:val="right"/>
        <w:rPr>
          <w:rFonts w:ascii="宋体" w:hAnsi="宋体" w:cs="宋体" w:eastAsia="宋体" w:hint="default"/>
          <w:sz w:val="18"/>
          <w:szCs w:val="18"/>
        </w:rPr>
      </w:pPr>
      <w:r>
        <w:rPr/>
        <w:pict>
          <v:shape style="position:absolute;margin-left:57pt;margin-top:-393.198273pt;width:478.7pt;height:633.9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27"/>
                    <w:gridCol w:w="3053"/>
                  </w:tblGrid>
                  <w:tr>
                    <w:trPr>
                      <w:trHeight w:val="7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公司董事、监事和高级管理人员的舞弊行 为；公司更正已公布的财务报告；注册会 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判定。如果缺陷发生的可能性较小，会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著降低工作效率或效果，或显著加大效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果的不确定性、或使之显著偏离预期目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标为重要缺陷；如果缺陷发生的可能性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高，会严重降低工作效率或效果，或严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离预期目标为重大缺陷。</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189"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17"/>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润相关的，以税前利润指标衡量：如果该 缺陷单独或连同其他缺陷可能导致的财务 报告错报金额小于税前利润的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为一般缺陷；如果超过税前利润</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，小于</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认定为重要缺陷；如果超过税前利润</w:t>
                        </w:r>
                      </w:p>
                      <w:p>
                        <w:pPr>
                          <w:pStyle w:val="TableParagraph"/>
                          <w:spacing w:line="307" w:lineRule="auto" w:before="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则认定为重大缺陷。内部控制缺陷可</w:t>
                        </w:r>
                        <w:r>
                          <w:rPr>
                            <w:rFonts w:ascii="宋体" w:hAnsi="宋体" w:cs="宋体" w:eastAsia="宋体" w:hint="default"/>
                            <w:w w:val="99"/>
                            <w:sz w:val="18"/>
                            <w:szCs w:val="18"/>
                          </w:rPr>
                          <w:t> </w:t>
                        </w:r>
                        <w:r>
                          <w:rPr>
                            <w:rFonts w:ascii="宋体" w:hAnsi="宋体" w:cs="宋体" w:eastAsia="宋体" w:hint="default"/>
                            <w:sz w:val="18"/>
                            <w:szCs w:val="18"/>
                          </w:rPr>
                          <w:t>能导致或导致的损失与资产管理相关的，</w:t>
                        </w:r>
                        <w:r>
                          <w:rPr>
                            <w:rFonts w:ascii="宋体" w:hAnsi="宋体" w:cs="宋体" w:eastAsia="宋体" w:hint="default"/>
                            <w:w w:val="99"/>
                            <w:sz w:val="18"/>
                            <w:szCs w:val="18"/>
                          </w:rPr>
                          <w:t> </w:t>
                        </w:r>
                        <w:r>
                          <w:rPr>
                            <w:rFonts w:ascii="宋体" w:hAnsi="宋体" w:cs="宋体" w:eastAsia="宋体" w:hint="default"/>
                            <w:sz w:val="18"/>
                            <w:szCs w:val="18"/>
                          </w:rPr>
                          <w:t>以资产总额指标衡量：如果该缺陷单独或</w:t>
                        </w:r>
                        <w:r>
                          <w:rPr>
                            <w:rFonts w:ascii="宋体" w:hAnsi="宋体" w:cs="宋体" w:eastAsia="宋体" w:hint="default"/>
                            <w:w w:val="99"/>
                            <w:sz w:val="18"/>
                            <w:szCs w:val="18"/>
                          </w:rPr>
                          <w:t> </w:t>
                        </w:r>
                        <w:r>
                          <w:rPr>
                            <w:rFonts w:ascii="宋体" w:hAnsi="宋体" w:cs="宋体" w:eastAsia="宋体" w:hint="default"/>
                            <w:sz w:val="18"/>
                            <w:szCs w:val="18"/>
                          </w:rPr>
                          <w:t>连同其他缺陷可能导致的财务报告错报金</w:t>
                        </w:r>
                        <w:r>
                          <w:rPr>
                            <w:rFonts w:ascii="宋体" w:hAnsi="宋体" w:cs="宋体" w:eastAsia="宋体" w:hint="default"/>
                            <w:w w:val="99"/>
                            <w:sz w:val="18"/>
                            <w:szCs w:val="18"/>
                          </w:rPr>
                          <w:t> </w:t>
                        </w:r>
                        <w:r>
                          <w:rPr>
                            <w:rFonts w:ascii="宋体" w:hAnsi="宋体" w:cs="宋体" w:eastAsia="宋体" w:hint="default"/>
                            <w:sz w:val="18"/>
                            <w:szCs w:val="18"/>
                          </w:rPr>
                          <w:t>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w:t>
                        </w:r>
                        <w:r>
                          <w:rPr>
                            <w:rFonts w:ascii="宋体" w:hAnsi="宋体" w:cs="宋体" w:eastAsia="宋体" w:hint="default"/>
                            <w:w w:val="99"/>
                            <w:sz w:val="18"/>
                            <w:szCs w:val="18"/>
                          </w:rPr>
                          <w:t> </w:t>
                        </w:r>
                        <w:r>
                          <w:rPr>
                            <w:rFonts w:ascii="宋体" w:hAnsi="宋体" w:cs="宋体" w:eastAsia="宋体" w:hint="default"/>
                            <w:sz w:val="18"/>
                            <w:szCs w:val="18"/>
                          </w:rPr>
                          <w:t>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w:t>
                        </w:r>
                        <w:r>
                          <w:rPr>
                            <w:rFonts w:ascii="宋体" w:hAnsi="宋体" w:cs="宋体" w:eastAsia="宋体" w:hint="default"/>
                            <w:w w:val="99"/>
                            <w:sz w:val="18"/>
                            <w:szCs w:val="18"/>
                          </w:rPr>
                          <w:t> </w:t>
                        </w:r>
                        <w:r>
                          <w:rPr>
                            <w:rFonts w:ascii="宋体" w:hAnsi="宋体" w:cs="宋体" w:eastAsia="宋体" w:hint="default"/>
                            <w:spacing w:val="-6"/>
                            <w:w w:val="99"/>
                            <w:sz w:val="18"/>
                            <w:szCs w:val="18"/>
                          </w:rPr>
                          <w:t>定为重要缺陷；如果超过资产总额</w:t>
                        </w:r>
                        <w:r>
                          <w:rPr>
                            <w:rFonts w:ascii="宋体" w:hAnsi="宋体" w:cs="宋体" w:eastAsia="宋体" w:hint="default"/>
                            <w:spacing w:val="-33"/>
                            <w:w w:val="99"/>
                            <w:sz w:val="18"/>
                            <w:szCs w:val="18"/>
                          </w:rPr>
                          <w:t> </w:t>
                        </w:r>
                        <w:r>
                          <w:rPr>
                            <w:rFonts w:ascii="Times New Roman" w:hAnsi="Times New Roman" w:cs="Times New Roman" w:eastAsia="Times New Roman" w:hint="default"/>
                            <w:spacing w:val="-1"/>
                            <w:w w:val="99"/>
                            <w:sz w:val="18"/>
                            <w:szCs w:val="18"/>
                          </w:rPr>
                          <w:t>1%</w:t>
                        </w:r>
                        <w:r>
                          <w:rPr>
                            <w:rFonts w:ascii="宋体" w:hAnsi="宋体" w:cs="宋体" w:eastAsia="宋体" w:hint="default"/>
                            <w:spacing w:val="-1"/>
                            <w:w w:val="99"/>
                            <w:sz w:val="18"/>
                            <w:szCs w:val="18"/>
                          </w:rPr>
                          <w:t>则认</w:t>
                        </w:r>
                        <w:r>
                          <w:rPr>
                            <w:rFonts w:ascii="宋体" w:hAnsi="宋体" w:cs="宋体" w:eastAsia="宋体" w:hint="default"/>
                            <w:spacing w:val="-86"/>
                            <w:w w:val="99"/>
                            <w:sz w:val="18"/>
                            <w:szCs w:val="18"/>
                          </w:rPr>
                          <w:t> </w:t>
                        </w:r>
                        <w:r>
                          <w:rPr>
                            <w:rFonts w:ascii="宋体" w:hAnsi="宋体" w:cs="宋体" w:eastAsia="宋体" w:hint="default"/>
                            <w:sz w:val="18"/>
                            <w:szCs w:val="18"/>
                          </w:rPr>
                          <w:t>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与利润相关的，以税前利润指标衡量： 如果该缺陷单独或连同其他缺陷可能 导致的直接财产损失小于税前利润的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，则认定为一般缺陷；如果超过税 前利润</w:t>
                        </w:r>
                        <w:r>
                          <w:rPr>
                            <w:rFonts w:ascii="宋体" w:hAnsi="宋体" w:cs="宋体" w:eastAsia="宋体" w:hint="default"/>
                            <w:spacing w:val="-46"/>
                            <w:sz w:val="18"/>
                            <w:szCs w:val="18"/>
                          </w:rPr>
                          <w:t> </w:t>
                        </w: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认定为重要缺陷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如果超过税前利润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 </w:t>
                        </w:r>
                        <w:r>
                          <w:rPr>
                            <w:rFonts w:ascii="宋体" w:hAnsi="宋体" w:cs="宋体" w:eastAsia="宋体" w:hint="default"/>
                            <w:spacing w:val="-4"/>
                            <w:sz w:val="18"/>
                            <w:szCs w:val="18"/>
                          </w:rPr>
                          <w:t>缺陷。内部控制缺陷可能导致或导致的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损失与资产管理相关的，以资产总额指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标衡量：如果该缺陷单独或连同其他缺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陷可能导致的直接财产损失小于资产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0.5%</w:t>
                        </w:r>
                        <w:r>
                          <w:rPr>
                            <w:rFonts w:ascii="宋体" w:hAnsi="宋体" w:cs="宋体" w:eastAsia="宋体" w:hint="default"/>
                            <w:spacing w:val="-8"/>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定为重大缺陷。</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通过全面的检查和评估，公司认为：截止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日，公司的内部控制机制和风险管理架构较为健全，公司的内 </w:t>
            </w:r>
            <w:r>
              <w:rPr>
                <w:rFonts w:ascii="宋体" w:hAnsi="宋体" w:cs="宋体" w:eastAsia="宋体" w:hint="default"/>
                <w:spacing w:val="-1"/>
                <w:sz w:val="18"/>
                <w:szCs w:val="18"/>
              </w:rPr>
              <w:t>部控制制度能够贯彻落实执行，在内部控制环境、风险评估、控制活动、信息与沟通、内部监督等方面发挥了较好的管理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控制作用。公司对纳入评价范围的业务与事项均已建立了内部控制，实际执行过程中亦不存在重大偏差，达到了公司内部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控制的目标，不存在重大缺陷和重要缺陷。公司的内部控制在总体上是有效的，能够为实现业务合法合规的开展、发现和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控制风险及提高经营效率和效果等目标提供合理的保证。内部控制应当与公司经营规模、业务范围、竞争状况和风险水平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等相适应，并且随着情况的变化及时加以调整。公司将继续完善内部控制体系的构建，规范内部控制制度的执行，强化内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部控制监督检查，促进公司健康、可持续发展。</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4"/>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上的《关于江苏双星彩塑新材料股份有限公 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日的内部控制鉴证报告 》</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030"/>
        <w:gridCol w:w="1363"/>
        <w:gridCol w:w="905"/>
        <w:gridCol w:w="148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债券余额（万元</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66" w:val="left" w:leader="none"/>
              </w:tabs>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tab/>
              <w:t>利率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5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2" w:lineRule="auto"/>
              <w:ind w:left="24"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年面向 合格投资者公 开发行公司债 券（第一期）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彩塑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80,000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按年计息，每年付 息一次，到期一次 还本，最后一期利 息随本金的兑付 一起支付。</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年面向合格投资者公开发行公司债券（第一期）已于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日期间的利息。</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67"/>
        <w:gridCol w:w="1226"/>
        <w:gridCol w:w="1196"/>
        <w:gridCol w:w="1195"/>
        <w:gridCol w:w="1196"/>
        <w:gridCol w:w="1198"/>
      </w:tblGrid>
      <w:tr>
        <w:trPr>
          <w:trHeight w:val="397"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316" w:lineRule="auto" w:before="54"/>
              <w:ind w:left="18" w:right="73"/>
              <w:jc w:val="left"/>
              <w:rPr>
                <w:rFonts w:ascii="宋体" w:hAnsi="宋体" w:cs="宋体" w:eastAsia="宋体" w:hint="default"/>
                <w:sz w:val="18"/>
                <w:szCs w:val="18"/>
              </w:rPr>
            </w:pPr>
            <w:r>
              <w:rPr>
                <w:rFonts w:ascii="宋体" w:hAnsi="宋体" w:cs="宋体" w:eastAsia="宋体" w:hint="default"/>
                <w:sz w:val="18"/>
                <w:szCs w:val="18"/>
              </w:rPr>
              <w:t>光大证券股份 有限公司</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vMerge w:val="restart"/>
            <w:tcBorders>
              <w:top w:val="single" w:sz="4" w:space="0" w:color="000000"/>
              <w:left w:val="single" w:sz="10" w:space="0" w:color="D2D2D2"/>
              <w:right w:val="single" w:sz="10" w:space="0" w:color="D2D2D2"/>
            </w:tcBorders>
          </w:tcPr>
          <w:p>
            <w:pPr>
              <w:pStyle w:val="TableParagraph"/>
              <w:spacing w:line="316" w:lineRule="auto" w:before="54"/>
              <w:ind w:left="48" w:right="11"/>
              <w:jc w:val="left"/>
              <w:rPr>
                <w:rFonts w:ascii="宋体" w:hAnsi="宋体" w:cs="宋体" w:eastAsia="宋体" w:hint="default"/>
                <w:sz w:val="18"/>
                <w:szCs w:val="18"/>
              </w:rPr>
            </w:pPr>
            <w:r>
              <w:rPr>
                <w:rFonts w:ascii="宋体" w:hAnsi="宋体" w:cs="宋体" w:eastAsia="宋体" w:hint="default"/>
                <w:sz w:val="18"/>
                <w:szCs w:val="18"/>
              </w:rPr>
              <w:t>上海市静安区 新闸路</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朱晓霞</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021-22169401</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9" w:space="0" w:color="D2D2D2"/>
              <w:right w:val="single" w:sz="9" w:space="0" w:color="D2D2D2"/>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26"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5"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16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1"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9" w:space="0" w:color="D2D2D2"/>
              <w:right w:val="single" w:sz="10" w:space="0" w:color="D2D2D2"/>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9" w:space="0" w:color="D2D2D2"/>
              <w:right w:val="single" w:sz="4" w:space="0" w:color="000000"/>
            </w:tcBorders>
          </w:tcPr>
          <w:p>
            <w:pPr>
              <w:pStyle w:val="TableParagraph"/>
              <w:spacing w:line="300" w:lineRule="auto" w:before="53"/>
              <w:ind w:left="18" w:right="38"/>
              <w:jc w:val="left"/>
              <w:rPr>
                <w:rFonts w:ascii="宋体" w:hAnsi="宋体" w:cs="宋体" w:eastAsia="宋体" w:hint="default"/>
                <w:sz w:val="18"/>
                <w:szCs w:val="18"/>
              </w:rPr>
            </w:pPr>
            <w:r>
              <w:rPr>
                <w:rFonts w:ascii="宋体" w:hAnsi="宋体" w:cs="宋体" w:eastAsia="宋体" w:hint="default"/>
                <w:sz w:val="18"/>
                <w:szCs w:val="18"/>
              </w:rPr>
              <w:t>上海市浦东新区东三里桥路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号上海数字 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9" w:type="dxa"/>
            <w:gridSpan w:val="3"/>
            <w:vMerge/>
            <w:tcBorders>
              <w:left w:val="single" w:sz="9"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vMerge/>
            <w:tcBorders>
              <w:left w:val="single" w:sz="9" w:space="0" w:color="D2D2D2"/>
              <w:right w:val="single" w:sz="4" w:space="0" w:color="000000"/>
            </w:tcBorders>
          </w:tcPr>
          <w:p>
            <w:pPr/>
          </w:p>
        </w:tc>
      </w:tr>
      <w:tr>
        <w:trPr>
          <w:trHeight w:val="161"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9" w:type="dxa"/>
            <w:gridSpan w:val="3"/>
            <w:vMerge/>
            <w:tcBorders>
              <w:left w:val="single" w:sz="9"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9" w:type="dxa"/>
            <w:gridSpan w:val="3"/>
            <w:vMerge/>
            <w:tcBorders>
              <w:left w:val="single" w:sz="9" w:space="0" w:color="D2D2D2"/>
              <w:bottom w:val="single" w:sz="4" w:space="0" w:color="000000"/>
              <w:right w:val="single" w:sz="4" w:space="0" w:color="000000"/>
            </w:tcBorders>
          </w:tcPr>
          <w:p>
            <w:pPr/>
          </w:p>
        </w:tc>
      </w:tr>
      <w:tr>
        <w:trPr>
          <w:trHeight w:val="1027" w:hRule="exact"/>
        </w:trPr>
        <w:tc>
          <w:tcPr>
            <w:tcW w:w="3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09"/>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报告期内公司聘请的债券受托管理人、资信 评级机构发生变更的，变更的原因、履行的 程序、对投资者利益的影响等（如适用）</w:t>
            </w:r>
          </w:p>
        </w:tc>
        <w:tc>
          <w:tcPr>
            <w:tcW w:w="601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3"/>
        <w:gridCol w:w="6167"/>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公司债券的募集资金扣除发行费用后，已全部用于补充公司营运资金。</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上述公司债券发行时，公司依照募集说明书的相关约定，指定专项账户归集募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集资金；至报告期末，已全部用于补充公司流动资金。</w:t>
            </w:r>
          </w:p>
        </w:tc>
      </w:tr>
      <w:tr>
        <w:trPr>
          <w:trHeight w:val="7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 途、使用计划及其他约定一致</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四、公司债券信息评级情况</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经鹏元资信评估有限公司综合评定，公司主体长期信用等级为</w:t>
      </w:r>
      <w:r>
        <w:rPr>
          <w:rFonts w:ascii="Times New Roman" w:hAnsi="Times New Roman" w:cs="Times New Roman" w:eastAsia="Times New Roman" w:hint="default"/>
          <w:sz w:val="18"/>
          <w:szCs w:val="18"/>
        </w:rPr>
        <w:t>AA</w:t>
      </w:r>
      <w:r>
        <w:rPr>
          <w:rFonts w:ascii="宋体" w:hAnsi="宋体" w:cs="宋体" w:eastAsia="宋体" w:hint="default"/>
          <w:sz w:val="18"/>
          <w:szCs w:val="18"/>
        </w:rPr>
        <w:t>，本期债券等级为</w:t>
      </w:r>
      <w:r>
        <w:rPr>
          <w:rFonts w:ascii="Times New Roman" w:hAnsi="Times New Roman" w:cs="Times New Roman" w:eastAsia="Times New Roman" w:hint="default"/>
          <w:sz w:val="18"/>
          <w:szCs w:val="18"/>
        </w:rPr>
        <w:t>AA</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w:t>
      </w:r>
      <w:r>
        <w:rPr>
          <w:spacing w:val="-4"/>
        </w:rPr>
        <w:t> </w:t>
      </w:r>
      <w:r>
        <w:rPr/>
        <w:t>公司债券增信机制、偿债计划及其他偿债保障措施</w:t>
      </w:r>
      <w:r>
        <w:rPr>
          <w:b w:val="0"/>
          <w:bCs w:val="0"/>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报告期内未采取增信机制，偿债计划及其他偿债保障措施无变化。</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报告期内未发生须召开债券持有人会议的事项，未召开债券持有人会议。</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z w:val="18"/>
          <w:szCs w:val="18"/>
        </w:rPr>
        <w:t>报告期内债券受托管理人光大证券股份有限公司。报告期内，光大证券股份有限公司严格按照《债券受托管理人协议》 约定履行受托管理人职责。</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61.13%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-15.06%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210.36%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61.19%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pStyle w:val="BodyText"/>
        <w:spacing w:line="300" w:lineRule="auto" w:before="101"/>
        <w:ind w:right="1124"/>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t>息税折旧摊销前利润本期较上年同期增加</w:t>
      </w:r>
      <w:r>
        <w:rPr>
          <w:rFonts w:ascii="Times New Roman" w:hAnsi="Times New Roman" w:cs="Times New Roman" w:eastAsia="Times New Roman" w:hint="default"/>
        </w:rPr>
        <w:t>61.13%</w:t>
      </w:r>
      <w:r>
        <w:rPr/>
        <w:t>，主要原因公司本期利润较上年同期大幅增加所致。</w:t>
      </w:r>
      <w:r>
        <w:rPr>
          <w:w w:val="100"/>
        </w:rPr>
        <w:t> </w:t>
      </w:r>
      <w:r>
        <w:rPr/>
        <w:t>流动比率本期较上年同期增加</w:t>
      </w:r>
      <w:r>
        <w:rPr>
          <w:rFonts w:ascii="Times New Roman" w:hAnsi="Times New Roman" w:cs="Times New Roman" w:eastAsia="Times New Roman" w:hint="default"/>
        </w:rPr>
        <w:t>38.62%</w:t>
      </w:r>
      <w:r>
        <w:rPr/>
        <w:t>，主要原因公司本期存货较上年同期增加所致。</w:t>
      </w:r>
      <w:r>
        <w:rPr>
          <w:w w:val="100"/>
        </w:rPr>
        <w:t> </w:t>
      </w:r>
      <w:r>
        <w:rPr/>
        <w:t>利息保障倍数本期较上年同期增加</w:t>
      </w:r>
      <w:r>
        <w:rPr>
          <w:rFonts w:ascii="Times New Roman" w:hAnsi="Times New Roman" w:cs="Times New Roman" w:eastAsia="Times New Roman" w:hint="default"/>
        </w:rPr>
        <w:t>210.36%</w:t>
      </w:r>
      <w:r>
        <w:rPr/>
        <w:t>，主要原因公司本期利润总额较上年同期增加所致。</w:t>
      </w:r>
    </w:p>
    <w:p>
      <w:pPr>
        <w:pStyle w:val="BodyText"/>
        <w:spacing w:line="256" w:lineRule="auto" w:before="4"/>
        <w:ind w:right="0"/>
        <w:jc w:val="left"/>
      </w:pPr>
      <w:r>
        <w:rPr>
          <w:spacing w:val="-2"/>
        </w:rPr>
        <w:t>现金利息保障倍数本期较上年同期增加</w:t>
      </w:r>
      <w:r>
        <w:rPr>
          <w:rFonts w:ascii="Times New Roman" w:hAnsi="Times New Roman" w:cs="Times New Roman" w:eastAsia="Times New Roman" w:hint="default"/>
          <w:spacing w:val="-2"/>
        </w:rPr>
        <w:t>620.65%</w:t>
      </w:r>
      <w:r>
        <w:rPr>
          <w:spacing w:val="-2"/>
        </w:rPr>
        <w:t>，主要原因公司本期经营活动产生的现金流量净额较上年</w:t>
      </w:r>
      <w:r>
        <w:rPr>
          <w:spacing w:val="-14"/>
        </w:rPr>
        <w:t> </w:t>
      </w:r>
      <w:r>
        <w:rPr>
          <w:spacing w:val="-14"/>
        </w:rPr>
      </w:r>
      <w:r>
        <w:rPr/>
        <w:t>同期增加所致。</w:t>
      </w:r>
    </w:p>
    <w:p>
      <w:pPr>
        <w:pStyle w:val="BodyText"/>
        <w:spacing w:line="256" w:lineRule="auto" w:before="63"/>
        <w:ind w:right="1124"/>
        <w:jc w:val="left"/>
      </w:pPr>
      <w:r>
        <w:rPr>
          <w:rFonts w:ascii="Times New Roman" w:hAnsi="Times New Roman" w:cs="Times New Roman" w:eastAsia="Times New Roman" w:hint="default"/>
          <w:spacing w:val="-2"/>
        </w:rPr>
        <w:t>EBITDA</w:t>
      </w:r>
      <w:r>
        <w:rPr>
          <w:spacing w:val="-2"/>
        </w:rPr>
        <w:t>利息保障倍数本期较上年同期增加</w:t>
      </w:r>
      <w:r>
        <w:rPr>
          <w:rFonts w:ascii="Times New Roman" w:hAnsi="Times New Roman" w:cs="Times New Roman" w:eastAsia="Times New Roman" w:hint="default"/>
          <w:spacing w:val="-2"/>
        </w:rPr>
        <w:t>61.19%</w:t>
      </w:r>
      <w:r>
        <w:rPr>
          <w:spacing w:val="-2"/>
        </w:rPr>
        <w:t>，主要原因公司本期息税折旧摊销前利润较上年同期增</w:t>
      </w:r>
      <w:r>
        <w:rPr>
          <w:spacing w:val="-11"/>
        </w:rPr>
        <w:t> </w:t>
      </w:r>
      <w:r>
        <w:rPr>
          <w:spacing w:val="-11"/>
        </w:rPr>
      </w:r>
      <w:r>
        <w:rPr/>
        <w:t>加所致。</w:t>
      </w:r>
    </w:p>
    <w:p>
      <w:pPr>
        <w:spacing w:after="0" w:line="25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报告期内，公司按时足额完成了对其他债券和债务融资工具的付息兑付工作。</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十、报告期内获得的银行授信情况、使用情况以及偿还银行贷款的情况</w:t>
      </w:r>
      <w:r>
        <w:rPr>
          <w:b w:val="0"/>
          <w:bCs w:val="0"/>
        </w:rPr>
      </w:r>
    </w:p>
    <w:p>
      <w:pPr>
        <w:spacing w:line="240" w:lineRule="auto" w:before="9"/>
        <w:rPr>
          <w:rFonts w:ascii="宋体" w:hAnsi="宋体" w:cs="宋体" w:eastAsia="宋体" w:hint="default"/>
          <w:b/>
          <w:bCs/>
          <w:sz w:val="24"/>
          <w:szCs w:val="24"/>
        </w:rPr>
      </w:pPr>
    </w:p>
    <w:p>
      <w:pPr>
        <w:pStyle w:val="BodyText"/>
        <w:spacing w:line="264" w:lineRule="auto" w:before="0"/>
        <w:ind w:right="1126" w:firstLine="420"/>
        <w:jc w:val="both"/>
      </w:pPr>
      <w:r>
        <w:rPr>
          <w:spacing w:val="-2"/>
        </w:rPr>
        <w:t>公司在各大银行等金融机构的资信状况很好，与国内主要商业银行一直保持长期合作伙伴关系并获得</w:t>
      </w:r>
      <w:r>
        <w:rPr>
          <w:w w:val="100"/>
        </w:rPr>
        <w:t> </w:t>
      </w:r>
      <w:r>
        <w:rPr>
          <w:spacing w:val="-2"/>
        </w:rPr>
        <w:t>了较高的授信额度，截至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日，公司已获得银行授信额度为</w:t>
      </w:r>
      <w:r>
        <w:rPr>
          <w:rFonts w:ascii="Times New Roman" w:hAnsi="Times New Roman" w:cs="Times New Roman" w:eastAsia="Times New Roman" w:hint="default"/>
          <w:spacing w:val="-2"/>
        </w:rPr>
        <w:t>390000</w:t>
      </w:r>
      <w:r>
        <w:rPr>
          <w:spacing w:val="-2"/>
        </w:rPr>
        <w:t>万元，其中，公司已使用授</w:t>
      </w:r>
      <w:r>
        <w:rPr>
          <w:spacing w:val="-34"/>
        </w:rPr>
        <w:t> </w:t>
      </w:r>
      <w:r>
        <w:rPr>
          <w:spacing w:val="-34"/>
        </w:rPr>
      </w:r>
      <w:r>
        <w:rPr/>
        <w:t>信额度</w:t>
      </w:r>
      <w:r>
        <w:rPr>
          <w:rFonts w:ascii="Times New Roman" w:hAnsi="Times New Roman" w:cs="Times New Roman" w:eastAsia="Times New Roman" w:hint="default"/>
        </w:rPr>
        <w:t>84000</w:t>
      </w:r>
      <w:r>
        <w:rPr/>
        <w:t>万元，公司可以在授信总额度内开展融资，以支持企业经营的发展。</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十一、报告期内执行公司债券募集说明书相关约定或承诺的情况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104" w:firstLine="420"/>
        <w:jc w:val="both"/>
      </w:pPr>
      <w:r>
        <w:rPr>
          <w:spacing w:val="-2"/>
        </w:rPr>
        <w:t>报告期内，公司均严格履行公司债券募集说明书相关内容，合理使有用募集资金补充公司流动资金，</w:t>
      </w:r>
      <w:r>
        <w:rPr>
          <w:w w:val="100"/>
        </w:rPr>
        <w:t> </w:t>
      </w:r>
      <w:r>
        <w:rPr/>
        <w:t>按时兑付债券利息。</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十二、报告期内发生的重大事项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3" w:right="0"/>
        <w:jc w:val="left"/>
      </w:pPr>
      <w:r>
        <w:rPr/>
        <w:t>报告期，公司未发生《公司债券发行与交易管理办法》第四十五条列示的重大事项。</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152" w:right="1840" w:firstLine="0"/>
        <w:jc w:val="left"/>
        <w:rPr>
          <w:rFonts w:ascii="宋体" w:hAnsi="宋体" w:cs="宋体" w:eastAsia="宋体" w:hint="default"/>
          <w:sz w:val="18"/>
          <w:szCs w:val="18"/>
        </w:rPr>
      </w:pPr>
      <w:r>
        <w:rPr>
          <w:rFonts w:ascii="宋体" w:hAnsi="宋体" w:cs="宋体" w:eastAsia="宋体" w:hint="default"/>
          <w:sz w:val="18"/>
          <w:szCs w:val="18"/>
        </w:rPr>
        <w:t>审 计 报</w:t>
      </w:r>
      <w:r>
        <w:rPr>
          <w:rFonts w:ascii="宋体" w:hAnsi="宋体" w:cs="宋体" w:eastAsia="宋体" w:hint="default"/>
          <w:spacing w:val="-54"/>
          <w:sz w:val="18"/>
          <w:szCs w:val="18"/>
        </w:rPr>
        <w:t> </w:t>
      </w:r>
      <w:r>
        <w:rPr>
          <w:rFonts w:ascii="宋体" w:hAnsi="宋体" w:cs="宋体" w:eastAsia="宋体" w:hint="default"/>
          <w:sz w:val="18"/>
          <w:szCs w:val="18"/>
        </w:rPr>
        <w:t>告</w:t>
      </w:r>
      <w:r>
        <w:rPr>
          <w:rFonts w:ascii="宋体" w:hAnsi="宋体" w:cs="宋体" w:eastAsia="宋体" w:hint="default"/>
          <w:sz w:val="18"/>
          <w:szCs w:val="18"/>
        </w:rPr>
        <w:t> 众会字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Times New Roman" w:hAnsi="Times New Roman" w:cs="Times New Roman" w:eastAsia="Times New Roman" w:hint="default"/>
          <w:sz w:val="18"/>
          <w:szCs w:val="18"/>
        </w:rPr>
        <w:t>1374</w:t>
      </w:r>
      <w:r>
        <w:rPr>
          <w:rFonts w:ascii="宋体" w:hAnsi="宋体" w:cs="宋体" w:eastAsia="宋体" w:hint="default"/>
          <w:sz w:val="18"/>
          <w:szCs w:val="18"/>
        </w:rPr>
        <w:t>号</w:t>
      </w:r>
    </w:p>
    <w:p>
      <w:pPr>
        <w:spacing w:line="316" w:lineRule="auto"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江苏双星彩塑新材料股份有限公司全体股东： 一、对财务报表出具的审计报告</w:t>
      </w:r>
    </w:p>
    <w:p>
      <w:pPr>
        <w:spacing w:before="19"/>
        <w:ind w:left="152" w:right="1840" w:firstLine="0"/>
        <w:jc w:val="left"/>
        <w:rPr>
          <w:rFonts w:ascii="宋体" w:hAnsi="宋体" w:cs="宋体" w:eastAsia="宋体" w:hint="default"/>
          <w:sz w:val="18"/>
          <w:szCs w:val="18"/>
        </w:rPr>
      </w:pPr>
      <w:r>
        <w:rPr>
          <w:rFonts w:ascii="宋体" w:hAnsi="宋体" w:cs="宋体" w:eastAsia="宋体" w:hint="default"/>
          <w:sz w:val="18"/>
          <w:szCs w:val="18"/>
        </w:rPr>
        <w:t>（一）审计意见</w:t>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53" w:space="527"/>
            <w:col w:w="6650"/>
          </w:cols>
        </w:sectPr>
      </w:pPr>
    </w:p>
    <w:p>
      <w:pPr>
        <w:spacing w:line="300" w:lineRule="auto" w:before="76"/>
        <w:ind w:left="152" w:right="1131" w:firstLine="0"/>
        <w:jc w:val="both"/>
        <w:rPr>
          <w:rFonts w:ascii="宋体" w:hAnsi="宋体" w:cs="宋体" w:eastAsia="宋体" w:hint="default"/>
          <w:sz w:val="18"/>
          <w:szCs w:val="18"/>
        </w:rPr>
      </w:pPr>
      <w:r>
        <w:rPr>
          <w:rFonts w:ascii="宋体" w:hAnsi="宋体" w:cs="宋体" w:eastAsia="宋体" w:hint="default"/>
          <w:sz w:val="18"/>
          <w:szCs w:val="18"/>
        </w:rPr>
        <w:t>我们审计了江苏双星彩塑新材料股份有限公司（以下简称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双星新材</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）财务报表，包括</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日的合并及公司资产 负债表，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年度的合并及公司利润表、合并及公司现金流量表、合并及公司所有者权益变动表以及相关财务报表附注。 </w:t>
      </w:r>
      <w:r>
        <w:rPr>
          <w:rFonts w:ascii="宋体" w:hAnsi="宋体" w:cs="宋体" w:eastAsia="宋体" w:hint="default"/>
          <w:spacing w:val="-2"/>
          <w:sz w:val="18"/>
          <w:szCs w:val="18"/>
        </w:rPr>
        <w:t>我们认为，后附的财务报表在所有重大方面按照企业会计准则的规定编制，公允反映了双星新材</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日的合并及公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司财务状况以及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年度的合并及公司经营成果和现金流量。</w:t>
      </w:r>
    </w:p>
    <w:p>
      <w:pPr>
        <w:spacing w:line="312" w:lineRule="auto"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（二）形成审计意见的基础 我们按照中国注册会计师审计准则的规定执行了审计工作。审计报告的</w:t>
      </w:r>
      <w:r>
        <w:rPr>
          <w:rFonts w:ascii="Times New Roman" w:hAnsi="Times New Roman" w:cs="Times New Roman" w:eastAsia="Times New Roman" w:hint="default"/>
          <w:sz w:val="18"/>
          <w:szCs w:val="18"/>
        </w:rPr>
        <w:t>“</w:t>
      </w:r>
      <w:r>
        <w:rPr>
          <w:rFonts w:ascii="宋体" w:hAnsi="宋体" w:cs="宋体" w:eastAsia="宋体" w:hint="default"/>
          <w:sz w:val="18"/>
          <w:szCs w:val="18"/>
        </w:rPr>
        <w:t>注册会计师对财务报表审计的责任</w:t>
      </w:r>
      <w:r>
        <w:rPr>
          <w:rFonts w:ascii="Times New Roman" w:hAnsi="Times New Roman" w:cs="Times New Roman" w:eastAsia="Times New Roman" w:hint="default"/>
          <w:sz w:val="18"/>
          <w:szCs w:val="18"/>
        </w:rPr>
        <w:t>”</w:t>
      </w:r>
      <w:r>
        <w:rPr>
          <w:rFonts w:ascii="宋体" w:hAnsi="宋体" w:cs="宋体" w:eastAsia="宋体" w:hint="default"/>
          <w:sz w:val="18"/>
          <w:szCs w:val="18"/>
        </w:rPr>
        <w:t>部分进一步阐述 </w:t>
      </w:r>
      <w:r>
        <w:rPr>
          <w:rFonts w:ascii="宋体" w:hAnsi="宋体" w:cs="宋体" w:eastAsia="宋体" w:hint="default"/>
          <w:spacing w:val="-4"/>
          <w:sz w:val="18"/>
          <w:szCs w:val="18"/>
        </w:rPr>
        <w:t>了我们在这些准则下的责任。按照中国注册会计师职业道德守则，我们独立于双星新材，并履行了职业道德方面的其他责任。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我们相信，我们获取的审计证据是充分、适当的，为发表审计意见提供了基础。</w:t>
      </w:r>
    </w:p>
    <w:p>
      <w:pPr>
        <w:spacing w:line="316" w:lineRule="auto" w:before="22"/>
        <w:ind w:left="152" w:right="0" w:firstLine="0"/>
        <w:jc w:val="left"/>
        <w:rPr>
          <w:rFonts w:ascii="宋体" w:hAnsi="宋体" w:cs="宋体" w:eastAsia="宋体" w:hint="default"/>
          <w:sz w:val="18"/>
          <w:szCs w:val="18"/>
        </w:rPr>
      </w:pPr>
      <w:r>
        <w:rPr>
          <w:rFonts w:ascii="宋体" w:hAnsi="宋体" w:cs="宋体" w:eastAsia="宋体" w:hint="default"/>
          <w:sz w:val="18"/>
          <w:szCs w:val="18"/>
        </w:rPr>
        <w:t>（三）关键审计事项 </w:t>
      </w:r>
      <w:r>
        <w:rPr>
          <w:rFonts w:ascii="宋体" w:hAnsi="宋体" w:cs="宋体" w:eastAsia="宋体" w:hint="default"/>
          <w:spacing w:val="-2"/>
          <w:sz w:val="18"/>
          <w:szCs w:val="18"/>
        </w:rPr>
        <w:t>关键审计事项是我们根据职业判断，认为对本期财务报表审计最为重要的事项。这些事项的应对以对财务报表整体进行审计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并形成审计意见为背景，我们不对这些事项单独发表意见。</w:t>
      </w:r>
    </w:p>
    <w:p>
      <w:pPr>
        <w:spacing w:line="314" w:lineRule="auto" w:before="19"/>
        <w:ind w:left="152" w:right="1034" w:firstLine="0"/>
        <w:jc w:val="left"/>
        <w:rPr>
          <w:rFonts w:ascii="宋体" w:hAnsi="宋体" w:cs="宋体" w:eastAsia="宋体" w:hint="default"/>
          <w:sz w:val="18"/>
          <w:szCs w:val="18"/>
        </w:rPr>
      </w:pPr>
      <w:r>
        <w:rPr>
          <w:rFonts w:ascii="宋体" w:hAnsi="宋体" w:cs="宋体" w:eastAsia="宋体" w:hint="default"/>
          <w:sz w:val="18"/>
          <w:szCs w:val="18"/>
        </w:rPr>
        <w:t>关键审计事项（一）： 双星新材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年度合并财务报表中营业收入为</w:t>
      </w:r>
      <w:r>
        <w:rPr>
          <w:rFonts w:ascii="Times New Roman" w:hAnsi="Times New Roman" w:cs="Times New Roman" w:eastAsia="Times New Roman" w:hint="default"/>
          <w:sz w:val="18"/>
          <w:szCs w:val="18"/>
        </w:rPr>
        <w:t>38.57</w:t>
      </w:r>
      <w:r>
        <w:rPr>
          <w:rFonts w:ascii="宋体" w:hAnsi="宋体" w:cs="宋体" w:eastAsia="宋体" w:hint="default"/>
          <w:sz w:val="18"/>
          <w:szCs w:val="18"/>
        </w:rPr>
        <w:t>亿元，较上年同期增长</w:t>
      </w:r>
      <w:r>
        <w:rPr>
          <w:rFonts w:ascii="Times New Roman" w:hAnsi="Times New Roman" w:cs="Times New Roman" w:eastAsia="Times New Roman" w:hint="default"/>
          <w:sz w:val="18"/>
          <w:szCs w:val="18"/>
        </w:rPr>
        <w:t>27.61%</w:t>
      </w:r>
      <w:r>
        <w:rPr>
          <w:rFonts w:ascii="宋体" w:hAnsi="宋体" w:cs="宋体" w:eastAsia="宋体" w:hint="default"/>
          <w:sz w:val="18"/>
          <w:szCs w:val="18"/>
        </w:rPr>
        <w:t>，主要为聚酯薄膜销售收入。公司对于国 </w:t>
      </w:r>
      <w:r>
        <w:rPr>
          <w:rFonts w:ascii="宋体" w:hAnsi="宋体" w:cs="宋体" w:eastAsia="宋体" w:hint="default"/>
          <w:spacing w:val="-2"/>
          <w:sz w:val="18"/>
          <w:szCs w:val="18"/>
        </w:rPr>
        <w:t>内销售收入是在商品所有权上的风险和报酬已转移至客户，公司不再对该商品实施继续管理权和实际控制权，与交易相关的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经济利益很可能流入企业，并且与销售该商品相关的收入和成本能够可靠地计量时，确认营业收入的实现。根据国内销售合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同约定，通常以聚脂薄膜在所有权和管理权发生转移时点作为销售收入的确认时点。根据出口销售合同约定，在所有权和管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理权发生转移时点确认产品销售收入，一般情况下在出口业务办妥出口手续时确认收入。由于收入是双星新材的关键业绩指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标之一，从而存在管理层为了达到特定目标或期望而操纵收入确认时点的固有风险，我们将收入确认识别为关键审计事项。 公司与营业收入相关的信息披露在财务报告的</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五、合并财务报表项目注释</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p>
      <w:pPr>
        <w:spacing w:before="1"/>
        <w:ind w:left="152" w:right="0" w:firstLine="0"/>
        <w:jc w:val="left"/>
        <w:rPr>
          <w:rFonts w:ascii="宋体" w:hAnsi="宋体" w:cs="宋体" w:eastAsia="宋体" w:hint="default"/>
          <w:sz w:val="18"/>
          <w:szCs w:val="18"/>
        </w:rPr>
      </w:pPr>
      <w:r>
        <w:rPr>
          <w:rFonts w:ascii="宋体" w:hAnsi="宋体" w:cs="宋体" w:eastAsia="宋体" w:hint="default"/>
          <w:sz w:val="18"/>
          <w:szCs w:val="18"/>
        </w:rPr>
        <w:t>该事项在审计中如何应对：</w:t>
      </w:r>
    </w:p>
    <w:p>
      <w:pPr>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了解和评价管理层与收入确认相关的关键内部控制的设计和运行有效性；</w:t>
      </w:r>
    </w:p>
    <w:p>
      <w:pPr>
        <w:spacing w:line="300" w:lineRule="auto" w:before="63"/>
        <w:ind w:left="152"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选取样本检查销售合同，识别与商品所有权上的风险和报酬转移相关的合同条款与条件，评价双星新材的收入确认时点是 否符合企业会计准则的要求；</w:t>
      </w:r>
    </w:p>
    <w:p>
      <w:pPr>
        <w:spacing w:line="300" w:lineRule="auto" w:before="31"/>
        <w:ind w:left="15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对本年记录的收入交易选取样本，核对发票、销售合同及出库单，评价相关收入确认是否符合双星新材收入确认的会计政 策；</w:t>
      </w:r>
    </w:p>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line="300" w:lineRule="auto" w:before="44"/>
        <w:ind w:left="152"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就资产负债表日前后记录的收入交易，选取样本，核对出库单及其他支持性文件，以评价收入是否被记录于恰当的会计期 间；</w:t>
      </w:r>
    </w:p>
    <w:p>
      <w:pPr>
        <w:spacing w:line="300" w:lineRule="auto" w:before="31"/>
        <w:ind w:left="152" w:right="30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检查本年度重大或满足其他特定风险标准的与收入确认相关的手工会计分录的相关支持性文件。 关键审计事项（二）：</w:t>
      </w:r>
    </w:p>
    <w:p>
      <w:pPr>
        <w:spacing w:line="307" w:lineRule="auto" w:before="31"/>
        <w:ind w:left="152" w:right="1124" w:firstLine="0"/>
        <w:jc w:val="left"/>
        <w:rPr>
          <w:rFonts w:ascii="宋体" w:hAnsi="宋体" w:cs="宋体" w:eastAsia="宋体" w:hint="default"/>
          <w:sz w:val="18"/>
          <w:szCs w:val="18"/>
        </w:rPr>
      </w:pPr>
      <w:r>
        <w:rPr>
          <w:rFonts w:ascii="宋体" w:hAnsi="宋体" w:cs="宋体" w:eastAsia="宋体" w:hint="default"/>
          <w:spacing w:val="-1"/>
          <w:sz w:val="18"/>
          <w:szCs w:val="18"/>
        </w:rPr>
        <w:t>双星新材截止于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日应收账款余额</w:t>
      </w:r>
      <w:r>
        <w:rPr>
          <w:rFonts w:ascii="Times New Roman" w:hAnsi="Times New Roman" w:cs="Times New Roman" w:eastAsia="Times New Roman" w:hint="default"/>
          <w:spacing w:val="-1"/>
          <w:sz w:val="18"/>
          <w:szCs w:val="18"/>
        </w:rPr>
        <w:t>10.11</w:t>
      </w:r>
      <w:r>
        <w:rPr>
          <w:rFonts w:ascii="宋体" w:hAnsi="宋体" w:cs="宋体" w:eastAsia="宋体" w:hint="default"/>
          <w:spacing w:val="-1"/>
          <w:sz w:val="18"/>
          <w:szCs w:val="18"/>
        </w:rPr>
        <w:t>亿元，坏账准备金额</w:t>
      </w:r>
      <w:r>
        <w:rPr>
          <w:rFonts w:ascii="Times New Roman" w:hAnsi="Times New Roman" w:cs="Times New Roman" w:eastAsia="Times New Roman" w:hint="default"/>
          <w:spacing w:val="-1"/>
          <w:sz w:val="18"/>
          <w:szCs w:val="18"/>
        </w:rPr>
        <w:t>0.89</w:t>
      </w:r>
      <w:r>
        <w:rPr>
          <w:rFonts w:ascii="宋体" w:hAnsi="宋体" w:cs="宋体" w:eastAsia="宋体" w:hint="default"/>
          <w:spacing w:val="-1"/>
          <w:sz w:val="18"/>
          <w:szCs w:val="18"/>
        </w:rPr>
        <w:t>亿元，占合并财务报表资产总额</w:t>
      </w:r>
      <w:r>
        <w:rPr>
          <w:rFonts w:ascii="Times New Roman" w:hAnsi="Times New Roman" w:cs="Times New Roman" w:eastAsia="Times New Roman" w:hint="default"/>
          <w:spacing w:val="-1"/>
          <w:sz w:val="18"/>
          <w:szCs w:val="18"/>
        </w:rPr>
        <w:t>9.91%</w:t>
      </w:r>
      <w:r>
        <w:rPr>
          <w:rFonts w:ascii="宋体" w:hAnsi="宋体" w:cs="宋体" w:eastAsia="宋体" w:hint="default"/>
          <w:spacing w:val="-1"/>
          <w:sz w:val="18"/>
          <w:szCs w:val="18"/>
        </w:rPr>
        <w:t>。若应收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账款不能按期收回或无法收回而发生坏账对财务报表影响较为重大，为此我们确定应收账款的坏账准备为关键审计事项。</w:t>
      </w:r>
      <w:r>
        <w:rPr>
          <w:rFonts w:ascii="宋体" w:hAnsi="宋体" w:cs="宋体" w:eastAsia="宋体" w:hint="default"/>
          <w:sz w:val="18"/>
          <w:szCs w:val="18"/>
        </w:rPr>
        <w:t> 公司与应收账款及坏账准备相关的信息披露在财务报告的</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五、合并财务报表项目注释</w:t>
      </w:r>
      <w:r>
        <w:rPr>
          <w:rFonts w:ascii="Times New Roman" w:hAnsi="Times New Roman" w:cs="Times New Roman" w:eastAsia="Times New Roman" w:hint="default"/>
          <w:sz w:val="18"/>
          <w:szCs w:val="18"/>
        </w:rPr>
        <w:t>/2”</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十三、母公司财务报表主要项 目注释</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7"/>
        <w:ind w:left="152" w:right="0" w:firstLine="0"/>
        <w:jc w:val="left"/>
        <w:rPr>
          <w:rFonts w:ascii="宋体" w:hAnsi="宋体" w:cs="宋体" w:eastAsia="宋体" w:hint="default"/>
          <w:sz w:val="18"/>
          <w:szCs w:val="18"/>
        </w:rPr>
      </w:pPr>
      <w:r>
        <w:rPr>
          <w:rFonts w:ascii="宋体" w:hAnsi="宋体" w:cs="宋体" w:eastAsia="宋体" w:hint="default"/>
          <w:sz w:val="18"/>
          <w:szCs w:val="18"/>
        </w:rPr>
        <w:t>该事项在审计中如何应对：</w:t>
      </w:r>
    </w:p>
    <w:p>
      <w:pPr>
        <w:tabs>
          <w:tab w:pos="573" w:val="left" w:leader="none"/>
        </w:tabs>
        <w:spacing w:before="7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对信用政策及应收账款管理相关内部控制的设计和运行有效性进行了评估和测试；</w:t>
      </w:r>
    </w:p>
    <w:p>
      <w:pPr>
        <w:tabs>
          <w:tab w:pos="573" w:val="left" w:leader="none"/>
        </w:tabs>
        <w:spacing w:line="300" w:lineRule="auto" w:before="63"/>
        <w:ind w:left="152" w:right="11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分析应收账款坏账准备会计估计的合理性，包括确定应收账款组合的依据、金额重大的判断、单独计提坏账准备的判 断等；</w:t>
      </w:r>
    </w:p>
    <w:p>
      <w:pPr>
        <w:tabs>
          <w:tab w:pos="573" w:val="left" w:leader="none"/>
        </w:tabs>
        <w:spacing w:line="300" w:lineRule="auto" w:before="31"/>
        <w:ind w:left="152" w:right="11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分析计算资产负债表日坏账准备金额与应收账款余额之间的比率，比较前期坏账准备计提数和实际发生数，分析应收 账款坏账准备计提是否充分；</w:t>
      </w:r>
    </w:p>
    <w:p>
      <w:pPr>
        <w:tabs>
          <w:tab w:pos="573" w:val="left" w:leader="none"/>
        </w:tabs>
        <w:spacing w:line="300" w:lineRule="auto" w:before="31"/>
        <w:ind w:left="152" w:right="11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通过分析应收账款的账龄和客户信誉情况，并执行应收账款函证程序及检查期后回款情况，评价应收账款坏账准备计 提的合理性；</w:t>
      </w:r>
    </w:p>
    <w:p>
      <w:pPr>
        <w:tabs>
          <w:tab w:pos="573" w:val="left" w:leader="none"/>
        </w:tabs>
        <w:spacing w:line="300" w:lineRule="auto" w:before="31"/>
        <w:ind w:left="152" w:right="27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z w:val="18"/>
          <w:szCs w:val="18"/>
        </w:rPr>
        <w:t>获取坏账准备计提表，检查计提方法是否按照坏账政策执行；重新计算坏账计提金额是否准确。 我们发现，根据所得凭证，管理层对应收账款的坏账准备及账面价值的计算是合理的。</w:t>
      </w:r>
    </w:p>
    <w:p>
      <w:pPr>
        <w:spacing w:line="314" w:lineRule="auto" w:before="31"/>
        <w:ind w:left="152" w:right="1124" w:firstLine="0"/>
        <w:jc w:val="left"/>
        <w:rPr>
          <w:rFonts w:ascii="宋体" w:hAnsi="宋体" w:cs="宋体" w:eastAsia="宋体" w:hint="default"/>
          <w:sz w:val="18"/>
          <w:szCs w:val="18"/>
        </w:rPr>
      </w:pPr>
      <w:r>
        <w:rPr>
          <w:rFonts w:ascii="宋体" w:hAnsi="宋体" w:cs="宋体" w:eastAsia="宋体" w:hint="default"/>
          <w:sz w:val="18"/>
          <w:szCs w:val="18"/>
        </w:rPr>
        <w:t>（四）其他信息 </w:t>
      </w:r>
      <w:r>
        <w:rPr>
          <w:rFonts w:ascii="宋体" w:hAnsi="宋体" w:cs="宋体" w:eastAsia="宋体" w:hint="default"/>
          <w:spacing w:val="-2"/>
          <w:sz w:val="18"/>
          <w:szCs w:val="18"/>
        </w:rPr>
        <w:t>双星新材管理层（以下简称管理层）对其他信息负责。其他信息包括双星新材</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年年度报告中涵盖的信息，但不包括财务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报表和我们的审计报告。 我们对财务报表发表的审计意见不涵盖其他信息，我们也不对其他信息发表任何形式的鉴证结论。 </w:t>
      </w:r>
      <w:r>
        <w:rPr>
          <w:rFonts w:ascii="宋体" w:hAnsi="宋体" w:cs="宋体" w:eastAsia="宋体" w:hint="default"/>
          <w:spacing w:val="-2"/>
          <w:sz w:val="18"/>
          <w:szCs w:val="18"/>
        </w:rPr>
        <w:t>结合我们对财务报表的审计，我们的责任是阅读其他信息，在此过程中，考虑其他信息是否与财务报表或我们在审计过程中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了解到的情况存在重大不一致或者似乎存在重大错报。</w:t>
      </w:r>
    </w:p>
    <w:p>
      <w:pPr>
        <w:spacing w:before="2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基于我们已执行的工作，如果我们确定其他信息存在重大错报，我们应当报告该事实。在这方面，我们无任何事项需要报告。</w:t>
      </w:r>
    </w:p>
    <w:p>
      <w:pPr>
        <w:spacing w:line="316" w:lineRule="auto"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（五）管理层和治理层对财务报表的责任 </w:t>
      </w:r>
      <w:r>
        <w:rPr>
          <w:rFonts w:ascii="宋体" w:hAnsi="宋体" w:cs="宋体" w:eastAsia="宋体" w:hint="default"/>
          <w:spacing w:val="-2"/>
          <w:sz w:val="18"/>
          <w:szCs w:val="18"/>
        </w:rPr>
        <w:t>双星新材管理层（以下简称管理层）负责按照企业会计准则的规定编制财务报表，使其实现公允反映，并设计、执行和维护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必要的内部控制，以使财务报表不存在由于舞弊或错误导致的重大错报。</w:t>
      </w:r>
      <w:r>
        <w:rPr>
          <w:rFonts w:ascii="宋体" w:hAnsi="宋体" w:cs="宋体" w:eastAsia="宋体" w:hint="default"/>
          <w:sz w:val="18"/>
          <w:szCs w:val="18"/>
        </w:rPr>
        <w:t> </w:t>
      </w:r>
      <w:r>
        <w:rPr>
          <w:rFonts w:ascii="宋体" w:hAnsi="宋体" w:cs="宋体" w:eastAsia="宋体" w:hint="default"/>
          <w:spacing w:val="-2"/>
          <w:sz w:val="18"/>
          <w:szCs w:val="18"/>
        </w:rPr>
        <w:t>在编制财务报表时，管理层负责评估双星新材的持续经营能力，披露与持续经营相关的事项，并运用持续经营假设，除非管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理层计划清算双星新材、终止运营或别无其他现实的选择。</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治理层负责监督双星新材的财务报告过程。</w:t>
      </w:r>
    </w:p>
    <w:p>
      <w:pPr>
        <w:spacing w:line="316" w:lineRule="auto" w:before="76"/>
        <w:ind w:left="152" w:right="1034" w:firstLine="0"/>
        <w:jc w:val="left"/>
        <w:rPr>
          <w:rFonts w:ascii="宋体" w:hAnsi="宋体" w:cs="宋体" w:eastAsia="宋体" w:hint="default"/>
          <w:sz w:val="18"/>
          <w:szCs w:val="18"/>
        </w:rPr>
      </w:pPr>
      <w:r>
        <w:rPr>
          <w:rFonts w:ascii="宋体" w:hAnsi="宋体" w:cs="宋体" w:eastAsia="宋体" w:hint="default"/>
          <w:sz w:val="18"/>
          <w:szCs w:val="18"/>
        </w:rPr>
        <w:t>（六）注册会计师对财务报表审计的责任 我们的目标是对财务报表整体是否不存在由于舞弊或错误导致的重大错报获取合理保证，并出具包含审计意见的审计报告。 </w:t>
      </w:r>
      <w:r>
        <w:rPr>
          <w:rFonts w:ascii="宋体" w:hAnsi="宋体" w:cs="宋体" w:eastAsia="宋体" w:hint="default"/>
          <w:spacing w:val="-2"/>
          <w:sz w:val="18"/>
          <w:szCs w:val="18"/>
        </w:rPr>
        <w:t>合理保证是高水平的保证，但并不能保证按照审计准则执行的审计在某一重大错报存在时总能发现。错报可能由于舞弊或错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误导致，如果合理预期错报单独或汇总起来可能影响财务报表使用者依据财务报表作出的经济决策，则通常认为错报是重大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在按照审计准则执行审计工作的过程中，我们运用职业判断，并保持职业怀疑。同时，我们也执行以下工作：</w:t>
      </w:r>
    </w:p>
    <w:p>
      <w:pPr>
        <w:spacing w:line="309" w:lineRule="auto" w:before="77"/>
        <w:ind w:left="152" w:right="1135"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）识别和评估由于舞弊或错误导致的财务报表重大错报风险，设计和实施审计程序以应对这些风险，并获取充分、适当 </w:t>
      </w:r>
      <w:r>
        <w:rPr>
          <w:rFonts w:ascii="宋体" w:hAnsi="宋体" w:cs="宋体" w:eastAsia="宋体" w:hint="default"/>
          <w:spacing w:val="-2"/>
          <w:sz w:val="18"/>
          <w:szCs w:val="18"/>
        </w:rPr>
        <w:t>的审计证据，作为发表审计意见的基础。由于舞弊可能涉及串通、伪造、故意遗漏、虚假陈述或凌驾于内部控制之上，未能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发现由于舞弊导致的重大错报的风险高于未能发现由于错误导致的重大错报的风险。</w:t>
      </w:r>
    </w:p>
    <w:p>
      <w:pPr>
        <w:spacing w:before="24"/>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）了解与审计相关的内部控制，以设计恰当的审计程序，但目的并非对内部控制的有效性发表意见。</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）评价管理层选用会计政策的恰当性和作出会计估计及相关披露的合理性。</w:t>
      </w:r>
    </w:p>
    <w:p>
      <w:pPr>
        <w:spacing w:line="300" w:lineRule="auto" w:before="63"/>
        <w:ind w:left="15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）对管理层使用持续经营假设的恰当性得出结论。同时，根据获取的审计证据，就可能导致对双星新材持续经营能力产 </w:t>
      </w:r>
      <w:r>
        <w:rPr>
          <w:rFonts w:ascii="宋体" w:hAnsi="宋体" w:cs="宋体" w:eastAsia="宋体" w:hint="default"/>
          <w:spacing w:val="-2"/>
          <w:sz w:val="18"/>
          <w:szCs w:val="18"/>
        </w:rPr>
        <w:t>生重大疑虑的事项或情况是否存在重大不确定性得出结论。如果我们得出结论认为存在重大不确定性，审计准则要求我们在</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审计报告中提请报表使用者注意财务报表中的相关披露；如果披露不充分，我们应当发表非无保留意见。我们的结论基于截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至审计报告日可获得的信息。然而，未来的事项或情况可能导致双星新材不能持续经营。</w:t>
      </w:r>
    </w:p>
    <w:p>
      <w:pPr>
        <w:spacing w:before="17"/>
        <w:ind w:left="15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）评价财务报表的总体列报、结构和内容（包括披露），并评价财务报表是否公允反映相关交易和事项。</w:t>
      </w:r>
    </w:p>
    <w:p>
      <w:pPr>
        <w:spacing w:line="316" w:lineRule="auto" w:before="63"/>
        <w:ind w:left="15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）就双星新材中实体或业务活动的财务信息获取充分、适当的审计证据，以对财务报表发表审计意见。我们负责指导、 监督和执行集团审计，并对审计意见承担全部责任。 </w:t>
      </w:r>
      <w:r>
        <w:rPr>
          <w:rFonts w:ascii="宋体" w:hAnsi="宋体" w:cs="宋体" w:eastAsia="宋体" w:hint="default"/>
          <w:spacing w:val="-2"/>
          <w:sz w:val="18"/>
          <w:szCs w:val="18"/>
        </w:rPr>
        <w:t>我们与治理层就计划的审计范围、时间安排和重大审计发现等事项进行沟通，包括沟通我们在审计中识别出的值得关注的内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部控制缺陷。 </w:t>
      </w:r>
      <w:r>
        <w:rPr>
          <w:rFonts w:ascii="宋体" w:hAnsi="宋体" w:cs="宋体" w:eastAsia="宋体" w:hint="default"/>
          <w:spacing w:val="-2"/>
          <w:sz w:val="18"/>
          <w:szCs w:val="18"/>
        </w:rPr>
        <w:t>我们还就已遵守与独立性相关的职业道德要求向治理层提供声明，并与治理层沟通可能被合理认为影响我们独立性的所有关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系和其他事项，以及相关的防范措施。 </w:t>
      </w:r>
      <w:r>
        <w:rPr>
          <w:rFonts w:ascii="宋体" w:hAnsi="宋体" w:cs="宋体" w:eastAsia="宋体" w:hint="default"/>
          <w:spacing w:val="-2"/>
          <w:sz w:val="18"/>
          <w:szCs w:val="18"/>
        </w:rPr>
        <w:t>从与治理层沟通过的事项中，我们确定哪些事项对本期财务报表审计最为重要，因而构成关键审计事项。我们在审计报告中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描述这些事项，除非法律法规禁止公开披露这些事项，或在极少数情形下，如果合理预期在审计报告中沟通某事项造成的负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面后果超过在公众利益方面产生的益处，我们确定不应在审计报告中沟通该事项。</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621,264,238.56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825,623,745.22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1,154,089,383.33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1,179,463,219.01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270,566,884.89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921,560,212.41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908,896,334.12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681,659,765.07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614,292,381.77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8,807,547.55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18,735,101.24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11,931,218.36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1,446,550,380.65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1,088,932,800.92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1,091,439,170.17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1,305,262,301.08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5,003,810,485.33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5,032,309,549.24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3,329,463,894.91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2,509,728,845.72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224,747,061.08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911,445,567.90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127,430,768.03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95,410,026.65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1,488,156.35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14,692,396.22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9,529,648.03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67,134,086.30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4,298,857,125.23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4,017,930,530.95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9,302,667,610.56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9,050,240,080.19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606,778,683.71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507,497,140.25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41,899,137.40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27,968,348.32</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12,877,637.86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13,324,241.78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9,897,990.07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118,583,361.97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302,186,692.43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5,737,205.53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802,562,566.84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860,427,808.93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797,680,847.65</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609,583.33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704,583.33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798,892,550.48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798,385,430.98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1,601,455,117.32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1,658,813,239.91</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5,185,545,435.71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167,340,850.69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135,410,759.90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1,192,048,121.84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914,192,559.67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7,701,212,493.24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7,391,426,840.28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7,701,212,493.24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7,391,426,840.28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9,302,667,610.56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9,050,240,080.19</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617,190,751.10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823,788,408.96</w:t>
            </w:r>
          </w:p>
        </w:tc>
      </w:tr>
      <w:tr>
        <w:trPr>
          <w:trHeight w:val="716"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1,173,948,044.79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1,188,868,838.99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270,566,884.89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941,418,873.87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918,301,954.10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672,847,386.75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607,289,195.53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8,464,317.27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18,155,409.76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11,931,218.36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1,364,383,351.67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1,017,302,102.19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1,090,603,040.35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1,305,262,301.08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4,927,436,891.93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4,960,666,256.51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115,100,955.61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115,100,955.61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3,277,087,682.47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2,452,006,627.52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223,694,026.67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909,440,071.89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124,706,773.75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92,605,628.77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1,488,156.35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12,939,709.97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8,452,883.33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67,134,086.30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4,336,052,153.46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4,049,422,609.77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9,263,489,045.39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9,010,088,866.28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601,222,280.01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500,143,992.92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36,098,765.88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21,677,980.17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12,877,637.86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12,803,963.11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8,572,064.62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118,286,314.08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302,056,856.88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790,388,465.06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845,328,532.45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797,680,847.65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797,680,847.65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1,588,671,432.21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1,643,009,380.10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1,156,278,085.00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5,185,545,435.71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167,340,850.69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135,410,759.90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1,165,653,241.78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889,845,205.57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7,674,817,613.18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7,367,079,486.18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9,263,489,045.39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9,010,088,866.28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3,857,565,344.01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3,022,955,177.10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3,857,565,344.01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3,022,955,177.10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3,559,337,634.22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3,013,276,793.01</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3,191,060,934.15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2,660,121,021.79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10,910,016.83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10,507,652.78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111,570,405.43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91,677,511.67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61,362,885.30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42,940,457.11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121,508,267.11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96,604,139.55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27,506,804.19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27,478,980.43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35,418,321.21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83,947,029.68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8,024,300.00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8,018,400.00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57,131,260.52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29,999,097.43</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-47,684.44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363,383,270.31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47,648,197.08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2,938,975.31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48,396,222.67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289,391.31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632,948.68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366,032,854.31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95,411,471.07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44,684,420.50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20,760,316.82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（一）持续经营净利润（净亏损</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74,651,154.25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321,348,433.81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0.0678</w:t>
            </w:r>
          </w:p>
        </w:tc>
      </w:tr>
    </w:tbl>
    <w:p>
      <w:pPr>
        <w:tabs>
          <w:tab w:pos="3578" w:val="left" w:leader="none"/>
          <w:tab w:pos="7721" w:val="left" w:leader="none"/>
        </w:tabs>
        <w:spacing w:line="621" w:lineRule="auto" w:before="49"/>
        <w:ind w:left="152" w:right="12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法定代表人：吴培服</w:t>
        <w:tab/>
      </w:r>
      <w:r>
        <w:rPr>
          <w:rFonts w:ascii="宋体" w:hAnsi="宋体" w:cs="宋体" w:eastAsia="宋体" w:hint="default"/>
          <w:spacing w:val="-1"/>
          <w:sz w:val="18"/>
          <w:szCs w:val="18"/>
        </w:rPr>
        <w:t>主管会计工作负责人：周海燕</w:t>
        <w:tab/>
      </w:r>
      <w:r>
        <w:rPr>
          <w:rFonts w:ascii="宋体" w:hAnsi="宋体" w:cs="宋体" w:eastAsia="宋体" w:hint="default"/>
          <w:sz w:val="18"/>
          <w:szCs w:val="18"/>
        </w:rPr>
        <w:t>会计机构负责人：邹雪梅</w:t>
      </w:r>
    </w:p>
    <w:p>
      <w:pPr>
        <w:spacing w:after="0" w:line="62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3,792,473,018.58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2,919,847,255.07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3,144,162,637.67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2,582,054,410.30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10,028,480.20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9,530,507.12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108,320,306.80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84,773,913.94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55,936,731.96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41,614,305.74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116,196,063.32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86,762,816.83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27,512,881.90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27,557,606.41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30,912,177.58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83,069,573.01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5,775,700.00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57,131,260.52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29,999,097.43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363,478,199.67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43,808,241.57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48,060,960.00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56,562.50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365,273,944.35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91,812,639.07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45,973,036.50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19,618,301.04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319,300,907.85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72,194,338.03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319,300,907.85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72,194,338.03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319,300,907.85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72,194,338.03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3,384,414,185.06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2,466,846,378.27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89,195,784.18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49,240,203.53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33,166,419.10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55,666,063.60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3,506,776,388.34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2,571,752,645.40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2,984,944,214.68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2,283,906,972.38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111,463,193.76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93,578,420.80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61,443,080.32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29,665,955.44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175,461,772.57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151,583,884.43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3,333,312,261.33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2,558,735,233.05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173,464,127.01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13,017,412.35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64,999,145.55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19,018,275.51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4,250,002,439.00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2,076,450,677.58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4,315,001,584.55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2,095,468,953.09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598,428,146.16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793,114,110.76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3,709,994,629.50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3,570,007,809.50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4,308,422,775.66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4,761,121,920.26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6,578,808.89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-2,665,652,967.17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1,969,306,649.81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1,969,306,649.81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50,513,319.96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50,513,319.96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1,918,793,329.85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3,590,074.84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-14,385,398.52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139,350,229.89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-748,227,623.49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385,383,615.90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1,133,611,239.39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524,733,845.79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385,383,615.90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3,268,198,236.80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2,367,179,216.90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89,195,784.18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49,240,203.53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30,651,284.71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52,486,030.46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3,388,045,305.69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2,468,905,450.89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2,894,428,878.36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2,215,032,414.36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101,159,909.97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80,903,852.01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56,186,826.04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28,675,297.30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168,419,697.30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137,828,424.09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3,220,195,311.67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2,462,439,987.76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167,849,994.02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6,465,463.13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64,999,145.55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22,567,597.93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4,250,002,439.00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2,076,450,677.58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4,315,001,584.55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2,099,018,275.51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595,049,591.97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790,325,480.84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3,709,994,629.50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3,570,007,809.50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4,305,044,221.47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4,758,333,290.34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9,957,363.08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-2,659,315,014.83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1,969,306,649.81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1,969,306,649.81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50,513,319.96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50,513,319.96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-44,282,780.85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1,918,793,329.85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3,587,502.44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-14,468,258.50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137,112,078.69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-748,524,480.35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383,548,279.64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1,132,072,759.99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520,660,358.33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383,548,279.64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,759.90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914,192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,559.67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,759.90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914,192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,559.67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090.79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277,855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,562.17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309,785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,652.96</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321,348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321,348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,433.81</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-43,492,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871.64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780.85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090.79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090.79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780.85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780.85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167,340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,850.69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48,121.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12,493.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50"/>
        <w:gridCol w:w="530"/>
        <w:gridCol w:w="531"/>
        <w:gridCol w:w="533"/>
        <w:gridCol w:w="662"/>
        <w:gridCol w:w="665"/>
        <w:gridCol w:w="668"/>
        <w:gridCol w:w="665"/>
        <w:gridCol w:w="662"/>
        <w:gridCol w:w="665"/>
        <w:gridCol w:w="680"/>
        <w:gridCol w:w="653"/>
        <w:gridCol w:w="658"/>
      </w:tblGrid>
      <w:tr>
        <w:trPr>
          <w:trHeight w:val="403"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50"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50"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3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128,191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,326.10</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864,549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,732.84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07,252.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r>
        <w:trPr>
          <w:trHeight w:val="394"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128,191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,326.10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864,549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,732.84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07,252.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438,95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0,443.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06,884.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49,642,</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826.83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19,588.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74,651,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154.25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74,651,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154.25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172,11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7,039.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172,11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7,039.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06,649.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677.58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18,450,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677.58</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-25,008,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327.42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893.62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33.80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893.62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893.62</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266,83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3,404.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-266,83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3,404.0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3,404.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278,08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135,410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914,192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,559.67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8,085.00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5,185,545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,435.71</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135,410,7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59.90</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889,845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,205.57</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7,367,079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,486.18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8,085.00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5,185,545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,435.71</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135,410,7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59.90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889,845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,205.57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7,367,079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,486.18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2" w:right="1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31,930,09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275,808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307,738,1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319,300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,907.85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319,300,9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07.85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31,930,09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-43,492,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871.64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80.85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31,930,09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-31,930,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090.79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-11,562,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780.85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80.85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8,085.00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5,185,545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167,340,8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50.69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1,165,6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7,674,817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,613.18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78</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642.00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128,191,3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26.10</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842,659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,194.96</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5,324,916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,714.38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642.00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,551.32</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128,191,3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26.10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842,659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,194.96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5,324,916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,714.38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438,950,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443.00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1,548,806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,884.39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47,186,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2,042,162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,771.80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338.03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72,194,33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172,117,</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1,815,640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,288.39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1,987,757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,327.39</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172,117,</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1,797,189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,610.81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1,969,306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,649.81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18,450,67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18,450,67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7.58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-25,008,</w:t>
            </w:r>
          </w:p>
          <w:p>
            <w:pPr>
              <w:pStyle w:val="TableParagraph"/>
              <w:spacing w:line="240" w:lineRule="auto" w:before="103"/>
              <w:ind w:left="125" w:right="0"/>
              <w:jc w:val="center"/>
              <w:rPr>
                <w:rFonts w:ascii="Times New Roman" w:hAnsi="Times New Roman" w:cs="Times New Roman" w:eastAsia="Times New Roman" w:hint="default"/>
                <w:sz w:val="18"/>
                <w:szCs w:val="18"/>
              </w:rPr>
            </w:pPr>
            <w:r>
              <w:rPr>
                <w:rFonts w:ascii="Times New Roman"/>
                <w:sz w:val="18"/>
              </w:rPr>
              <w:t>327.42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-17,788,8</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93.62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7,219,433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-7,219,4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33.80</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-17,788,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893.62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-17,788,8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93.62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404.00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-266,833,</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404.00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1,156,27</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8,085.00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5,185,545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135,410,7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889,845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7,367,079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,486.18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367" w:lineRule="auto" w:before="0"/>
        <w:ind w:left="909" w:right="2654" w:hanging="651"/>
        <w:jc w:val="left"/>
      </w:pPr>
      <w:r>
        <w:rPr/>
        <w:t>（一）公司注册地址、组织形式、总部地址及注册资本</w:t>
      </w:r>
      <w:r>
        <w:rPr>
          <w:w w:val="100"/>
        </w:rPr>
        <w:t> </w:t>
      </w:r>
      <w:r>
        <w:rPr>
          <w:spacing w:val="-2"/>
        </w:rPr>
        <w:t>注册地址：江苏省宿迁市宿豫区彩塑工业园区井头街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组织形式：股份有限公司（上市公司）</w:t>
      </w:r>
      <w:r>
        <w:rPr>
          <w:w w:val="100"/>
        </w:rPr>
        <w:t> </w:t>
      </w:r>
      <w:r>
        <w:rPr>
          <w:spacing w:val="-2"/>
        </w:rPr>
        <w:t>总部地址：江苏省宿迁市宿豫区彩塑工业园区井头街</w:t>
      </w:r>
      <w:r>
        <w:rPr>
          <w:rFonts w:ascii="Times New Roman" w:hAnsi="Times New Roman" w:cs="Times New Roman" w:eastAsia="Times New Roman" w:hint="default"/>
          <w:spacing w:val="-2"/>
        </w:rPr>
        <w:t>1</w:t>
      </w:r>
      <w:r>
        <w:rPr>
          <w:spacing w:val="-2"/>
        </w:rPr>
        <w:t>号</w:t>
      </w:r>
      <w:r>
        <w:rPr>
          <w:w w:val="100"/>
        </w:rPr>
        <w:t> </w:t>
      </w:r>
      <w:r>
        <w:rPr/>
        <w:t>注册资本：</w:t>
      </w:r>
      <w:r>
        <w:rPr>
          <w:rFonts w:ascii="Times New Roman" w:hAnsi="Times New Roman" w:cs="Times New Roman" w:eastAsia="Times New Roman" w:hint="default"/>
        </w:rPr>
        <w:t>1,156,278,085</w:t>
      </w:r>
      <w:r>
        <w:rPr/>
        <w:t>元</w:t>
      </w:r>
    </w:p>
    <w:p>
      <w:pPr>
        <w:pStyle w:val="BodyText"/>
        <w:spacing w:line="240" w:lineRule="auto" w:before="18"/>
        <w:ind w:right="0"/>
        <w:jc w:val="left"/>
      </w:pPr>
      <w:r>
        <w:rPr/>
        <w:t>（二）公司设立情况</w:t>
      </w:r>
    </w:p>
    <w:p>
      <w:pPr>
        <w:pStyle w:val="BodyText"/>
        <w:spacing w:line="256" w:lineRule="auto" w:before="157"/>
        <w:ind w:right="1126" w:firstLine="504"/>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月，根据</w:t>
      </w:r>
      <w:r>
        <w:rPr>
          <w:rFonts w:ascii="Times New Roman" w:hAnsi="Times New Roman" w:cs="Times New Roman" w:eastAsia="Times New Roman" w:hint="default"/>
          <w:spacing w:val="-2"/>
        </w:rPr>
        <w:t>2010</w:t>
      </w:r>
      <w:r>
        <w:rPr>
          <w:spacing w:val="-2"/>
        </w:rPr>
        <w:t>年度第三次临时股东大会决议和中国证券监督管理委员会《关于核准江苏双星</w:t>
      </w:r>
      <w:r>
        <w:rPr>
          <w:w w:val="100"/>
        </w:rPr>
        <w:t> </w:t>
      </w:r>
      <w:r>
        <w:rPr>
          <w:spacing w:val="-2"/>
        </w:rPr>
        <w:t>彩塑新材料股份有限公司首次公开发行股票的批复》（证监许可［</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713</w:t>
      </w:r>
      <w:r>
        <w:rPr>
          <w:spacing w:val="-2"/>
        </w:rPr>
        <w:t>号</w:t>
      </w:r>
      <w:r>
        <w:rPr>
          <w:rFonts w:ascii="Times New Roman" w:hAnsi="Times New Roman" w:cs="Times New Roman" w:eastAsia="Times New Roman" w:hint="default"/>
          <w:spacing w:val="-2"/>
        </w:rPr>
        <w:t>)</w:t>
      </w:r>
      <w:r>
        <w:rPr>
          <w:spacing w:val="-2"/>
        </w:rPr>
        <w:t>的核准，并经深圳证券交</w:t>
      </w:r>
      <w:r>
        <w:rPr>
          <w:spacing w:val="-13"/>
        </w:rPr>
        <w:t> </w:t>
      </w:r>
      <w:r>
        <w:rPr>
          <w:spacing w:val="-13"/>
        </w:rPr>
      </w:r>
      <w:r>
        <w:rPr>
          <w:spacing w:val="-3"/>
        </w:rPr>
        <w:t>易所同意，双星新材向社会公开发行人民币普通股股票</w:t>
      </w:r>
      <w:r>
        <w:rPr>
          <w:rFonts w:ascii="Times New Roman" w:hAnsi="Times New Roman" w:cs="Times New Roman" w:eastAsia="Times New Roman" w:hint="default"/>
          <w:spacing w:val="-3"/>
        </w:rPr>
        <w:t>5,200</w:t>
      </w:r>
      <w:r>
        <w:rPr>
          <w:spacing w:val="-3"/>
        </w:rPr>
        <w:t>万股，每股面值壹元（</w:t>
      </w:r>
      <w:r>
        <w:rPr>
          <w:rFonts w:ascii="Times New Roman" w:hAnsi="Times New Roman" w:cs="Times New Roman" w:eastAsia="Times New Roman" w:hint="default"/>
          <w:spacing w:val="-3"/>
        </w:rPr>
        <w:t>CNY </w:t>
      </w:r>
      <w:r>
        <w:rPr>
          <w:rFonts w:ascii="Times New Roman" w:hAnsi="Times New Roman" w:cs="Times New Roman" w:eastAsia="Times New Roman" w:hint="default"/>
          <w:spacing w:val="-5"/>
        </w:rPr>
        <w:t>1.00</w:t>
      </w:r>
      <w:r>
        <w:rPr>
          <w:spacing w:val="-5"/>
        </w:rPr>
        <w:t>），每股发行</w:t>
      </w:r>
      <w:r>
        <w:rPr>
          <w:spacing w:val="-86"/>
        </w:rPr>
        <w:t> </w:t>
      </w:r>
      <w:r>
        <w:rPr>
          <w:spacing w:val="-86"/>
        </w:rPr>
      </w:r>
      <w:r>
        <w:rPr>
          <w:spacing w:val="-10"/>
          <w:w w:val="100"/>
        </w:rPr>
        <w:t>价为人民币伍拾伍元（</w:t>
      </w:r>
      <w:r>
        <w:rPr>
          <w:rFonts w:ascii="Times New Roman" w:hAnsi="Times New Roman" w:cs="Times New Roman" w:eastAsia="Times New Roman" w:hint="default"/>
          <w:spacing w:val="-10"/>
          <w:w w:val="100"/>
        </w:rPr>
        <w:t>CNY</w:t>
      </w:r>
      <w:r>
        <w:rPr>
          <w:rFonts w:ascii="Times New Roman" w:hAnsi="Times New Roman" w:cs="Times New Roman" w:eastAsia="Times New Roman" w:hint="default"/>
          <w:w w:val="100"/>
        </w:rPr>
        <w:t> </w:t>
      </w:r>
      <w:r>
        <w:rPr>
          <w:rFonts w:ascii="Times New Roman" w:hAnsi="Times New Roman" w:cs="Times New Roman" w:eastAsia="Times New Roman" w:hint="default"/>
          <w:spacing w:val="-12"/>
          <w:w w:val="100"/>
        </w:rPr>
        <w:t>55.00</w:t>
      </w:r>
      <w:r>
        <w:rPr>
          <w:spacing w:val="-12"/>
          <w:w w:val="100"/>
        </w:rPr>
        <w:t>），可募集资金总额为人民币贰拾捌亿陆仟万元整（</w:t>
      </w:r>
      <w:r>
        <w:rPr>
          <w:rFonts w:ascii="Times New Roman" w:hAnsi="Times New Roman" w:cs="Times New Roman" w:eastAsia="Times New Roman" w:hint="default"/>
          <w:spacing w:val="-12"/>
          <w:w w:val="100"/>
        </w:rPr>
        <w:t>CNY</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spacing w:val="-13"/>
          <w:w w:val="100"/>
        </w:rPr>
        <w:t>2,860,000,000.00</w:t>
      </w:r>
      <w:r>
        <w:rPr>
          <w:spacing w:val="-13"/>
          <w:w w:val="100"/>
        </w:rPr>
        <w:t>）。</w:t>
      </w:r>
      <w:r>
        <w:rPr>
          <w:spacing w:val="-97"/>
          <w:w w:val="100"/>
        </w:rPr>
        <w:t> </w:t>
      </w: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25"/>
        <w:ind w:left="657"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1"/>
        <w:ind w:right="0"/>
        <w:jc w:val="left"/>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1"/>
        <w:ind w:right="0"/>
        <w:jc w:val="left"/>
      </w:pPr>
      <w:r>
        <w:rPr/>
        <w:t>元，共计</w:t>
      </w:r>
      <w:r>
        <w:rPr>
          <w:rFonts w:ascii="Times New Roman" w:hAnsi="Times New Roman" w:cs="Times New Roman" w:eastAsia="Times New Roman" w:hint="default"/>
        </w:rPr>
        <w:t>416,000,000</w:t>
      </w:r>
      <w:r>
        <w:rPr/>
        <w:t>元。双星新材于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日取得宿迁市工商行政管理局核发的</w:t>
      </w:r>
      <w:r>
        <w:rPr>
          <w:rFonts w:ascii="Times New Roman" w:hAnsi="Times New Roman" w:cs="Times New Roman" w:eastAsia="Times New Roman" w:hint="default"/>
        </w:rPr>
        <w:t>321300000005816</w:t>
      </w:r>
      <w:r>
        <w:rPr/>
        <w:t>号</w:t>
      </w:r>
    </w:p>
    <w:p>
      <w:pPr>
        <w:pStyle w:val="BodyText"/>
        <w:spacing w:line="376" w:lineRule="auto" w:before="21"/>
        <w:ind w:left="573" w:right="0" w:hanging="421"/>
        <w:jc w:val="left"/>
      </w:pPr>
      <w:r>
        <w:rPr/>
        <w:t>《企业法人营业执照》。</w:t>
      </w:r>
      <w:r>
        <w:rPr>
          <w:w w:val="100"/>
        </w:rPr>
        <w:t> </w:t>
      </w:r>
      <w:r>
        <w:rPr>
          <w:spacing w:val="-2"/>
        </w:rPr>
        <w:t>根据公司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2013</w:t>
      </w:r>
      <w:r>
        <w:rPr>
          <w:spacing w:val="-2"/>
        </w:rPr>
        <w:t>年度第二次临时股东大会决议和中国证券监督管理委员会核准（证监许</w:t>
      </w:r>
    </w:p>
    <w:p>
      <w:pPr>
        <w:spacing w:after="0" w:line="37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0"/>
        <w:jc w:val="left"/>
      </w:pPr>
      <w:r>
        <w:rPr/>
        <w:t>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612</w:t>
      </w:r>
      <w:r>
        <w:rPr/>
        <w:t>号），同意公司非公开发行人民币普通股，增加注册资本人民币</w:t>
      </w:r>
      <w:r>
        <w:rPr>
          <w:rFonts w:ascii="Times New Roman" w:hAnsi="Times New Roman" w:cs="Times New Roman" w:eastAsia="Times New Roman" w:hint="default"/>
        </w:rPr>
        <w:t>135,790,494.00</w:t>
      </w:r>
      <w:r>
        <w:rPr/>
        <w:t>元，变更后</w:t>
      </w:r>
      <w:r>
        <w:rPr>
          <w:w w:val="100"/>
        </w:rPr>
        <w:t> </w:t>
      </w:r>
      <w:r>
        <w:rPr>
          <w:spacing w:val="-4"/>
        </w:rPr>
        <w:t>的注册资本为人民币</w:t>
      </w:r>
      <w:r>
        <w:rPr>
          <w:rFonts w:ascii="Times New Roman" w:hAnsi="Times New Roman" w:cs="Times New Roman" w:eastAsia="Times New Roman" w:hint="default"/>
          <w:spacing w:val="-4"/>
        </w:rPr>
        <w:t>551,790,494</w:t>
      </w:r>
      <w:r>
        <w:rPr>
          <w:spacing w:val="-4"/>
        </w:rPr>
        <w:t>元。此次非公开发行股票募集资金净额为人民币</w:t>
      </w:r>
      <w:r>
        <w:rPr>
          <w:rFonts w:ascii="Times New Roman" w:hAnsi="Times New Roman" w:cs="Times New Roman" w:eastAsia="Times New Roman" w:hint="default"/>
          <w:spacing w:val="-4"/>
        </w:rPr>
        <w:t>1,367,939,377.08</w:t>
      </w:r>
      <w:r>
        <w:rPr>
          <w:spacing w:val="-4"/>
        </w:rPr>
        <w:t>元，其中：</w:t>
      </w:r>
      <w:r>
        <w:rPr>
          <w:spacing w:val="5"/>
        </w:rPr>
        <w:t> </w:t>
      </w:r>
      <w:r>
        <w:rPr>
          <w:spacing w:val="5"/>
        </w:rPr>
      </w:r>
      <w:r>
        <w:rPr>
          <w:spacing w:val="-3"/>
        </w:rPr>
        <w:t>新增股本人民币</w:t>
      </w:r>
      <w:r>
        <w:rPr>
          <w:rFonts w:ascii="Times New Roman" w:hAnsi="Times New Roman" w:cs="Times New Roman" w:eastAsia="Times New Roman" w:hint="default"/>
          <w:spacing w:val="-3"/>
        </w:rPr>
        <w:t>135,790,494.00</w:t>
      </w:r>
      <w:r>
        <w:rPr>
          <w:spacing w:val="-3"/>
        </w:rPr>
        <w:t>元；出资额溢价部分为人民币</w:t>
      </w:r>
      <w:r>
        <w:rPr>
          <w:rFonts w:ascii="Times New Roman" w:hAnsi="Times New Roman" w:cs="Times New Roman" w:eastAsia="Times New Roman" w:hint="default"/>
          <w:spacing w:val="-3"/>
        </w:rPr>
        <w:t>1,232,148,883.08</w:t>
      </w:r>
      <w:r>
        <w:rPr>
          <w:spacing w:val="-3"/>
        </w:rPr>
        <w:t>元，全部计入资本公积。此次</w:t>
      </w:r>
      <w:r>
        <w:rPr>
          <w:spacing w:val="-5"/>
        </w:rPr>
        <w:t> </w:t>
      </w:r>
      <w:r>
        <w:rPr>
          <w:spacing w:val="-5"/>
        </w:rPr>
      </w:r>
      <w:r>
        <w:rPr/>
        <w:t>发行新股业经众华会计师事务所（特殊普通合伙）出具的众会验字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号《验资报告》验证。双</w:t>
      </w:r>
      <w:r>
        <w:rPr>
          <w:w w:val="100"/>
        </w:rPr>
        <w:t> </w:t>
      </w:r>
      <w:r>
        <w:rPr>
          <w:spacing w:val="-4"/>
        </w:rPr>
        <w:t>星新材于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日取得江苏省宿迁工商行政管理局核发的</w:t>
      </w:r>
      <w:r>
        <w:rPr>
          <w:rFonts w:ascii="Times New Roman" w:hAnsi="Times New Roman" w:cs="Times New Roman" w:eastAsia="Times New Roman" w:hint="default"/>
          <w:spacing w:val="-4"/>
        </w:rPr>
        <w:t>321300000005816</w:t>
      </w:r>
      <w:r>
        <w:rPr>
          <w:spacing w:val="-4"/>
        </w:rPr>
        <w:t>号《企业法人营业执照》。</w:t>
      </w:r>
    </w:p>
    <w:p>
      <w:pPr>
        <w:pStyle w:val="BodyText"/>
        <w:spacing w:line="256" w:lineRule="auto" w:before="125"/>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2015</w:t>
      </w:r>
      <w:r>
        <w:rPr/>
        <w:t>年度股东大会决议和修改后章程的规定，公司申请新增的注册资本为人民</w:t>
      </w:r>
      <w:r>
        <w:rPr>
          <w:w w:val="100"/>
        </w:rPr>
        <w:t> </w:t>
      </w:r>
      <w:r>
        <w:rPr>
          <w:spacing w:val="-2"/>
        </w:rPr>
        <w:t>币</w:t>
      </w:r>
      <w:r>
        <w:rPr>
          <w:rFonts w:ascii="Times New Roman" w:hAnsi="Times New Roman" w:cs="Times New Roman" w:eastAsia="Times New Roman" w:hint="default"/>
          <w:spacing w:val="-2"/>
        </w:rPr>
        <w:t>165,537,148</w:t>
      </w:r>
      <w:r>
        <w:rPr>
          <w:spacing w:val="-2"/>
        </w:rPr>
        <w:t>元，公司以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日的总股本</w:t>
      </w:r>
      <w:r>
        <w:rPr>
          <w:rFonts w:ascii="Times New Roman" w:hAnsi="Times New Roman" w:cs="Times New Roman" w:eastAsia="Times New Roman" w:hint="default"/>
          <w:spacing w:val="-2"/>
        </w:rPr>
        <w:t>551,790,494</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spacing w:val="-18"/>
        </w:rPr>
        <w:t> </w:t>
      </w:r>
      <w:r>
        <w:rPr>
          <w:spacing w:val="-18"/>
        </w:rPr>
      </w:r>
      <w:r>
        <w:rPr>
          <w:rFonts w:ascii="Times New Roman" w:hAnsi="Times New Roman" w:cs="Times New Roman" w:eastAsia="Times New Roman" w:hint="default"/>
          <w:spacing w:val="-4"/>
        </w:rPr>
        <w:t>3</w:t>
      </w:r>
      <w:r>
        <w:rPr>
          <w:spacing w:val="-4"/>
        </w:rPr>
        <w:t>股，共计转增</w:t>
      </w:r>
      <w:r>
        <w:rPr>
          <w:rFonts w:ascii="Times New Roman" w:hAnsi="Times New Roman" w:cs="Times New Roman" w:eastAsia="Times New Roman" w:hint="default"/>
          <w:spacing w:val="-4"/>
        </w:rPr>
        <w:t>165,537,148</w:t>
      </w:r>
      <w:r>
        <w:rPr>
          <w:spacing w:val="-4"/>
        </w:rPr>
        <w:t>股。资本公积金转增股本实施后，公司股本总数为</w:t>
      </w:r>
      <w:r>
        <w:rPr>
          <w:rFonts w:ascii="Times New Roman" w:hAnsi="Times New Roman" w:cs="Times New Roman" w:eastAsia="Times New Roman" w:hint="default"/>
          <w:spacing w:val="-4"/>
        </w:rPr>
        <w:t>717,327,642</w:t>
      </w:r>
      <w:r>
        <w:rPr>
          <w:spacing w:val="-4"/>
        </w:rPr>
        <w:t>股，每股面值</w:t>
      </w:r>
      <w:r>
        <w:rPr>
          <w:rFonts w:ascii="Times New Roman" w:hAnsi="Times New Roman" w:cs="Times New Roman" w:eastAsia="Times New Roman" w:hint="default"/>
          <w:spacing w:val="-4"/>
        </w:rPr>
        <w:t>1</w:t>
      </w:r>
      <w:r>
        <w:rPr>
          <w:spacing w:val="-4"/>
        </w:rPr>
        <w:t>元， </w:t>
      </w:r>
      <w:r>
        <w:rPr>
          <w:spacing w:val="-2"/>
        </w:rPr>
        <w:t>共计</w:t>
      </w:r>
      <w:r>
        <w:rPr>
          <w:rFonts w:ascii="Times New Roman" w:hAnsi="Times New Roman" w:cs="Times New Roman" w:eastAsia="Times New Roman" w:hint="default"/>
          <w:spacing w:val="-2"/>
        </w:rPr>
        <w:t>717,327,642</w:t>
      </w:r>
      <w:r>
        <w:rPr>
          <w:spacing w:val="-2"/>
        </w:rPr>
        <w:t>元。双星新材于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日取得江苏省宿迁工商行政管理局核发的</w:t>
      </w:r>
      <w:r>
        <w:rPr>
          <w:rFonts w:ascii="Times New Roman" w:hAnsi="Times New Roman" w:cs="Times New Roman" w:eastAsia="Times New Roman" w:hint="default"/>
          <w:spacing w:val="-2"/>
        </w:rPr>
        <w:t>321300000005816</w:t>
      </w:r>
      <w:r>
        <w:rPr>
          <w:spacing w:val="-2"/>
        </w:rPr>
        <w:t>号</w:t>
      </w:r>
    </w:p>
    <w:p>
      <w:pPr>
        <w:pStyle w:val="BodyText"/>
        <w:spacing w:line="240" w:lineRule="auto" w:before="5"/>
        <w:ind w:right="0"/>
        <w:jc w:val="left"/>
      </w:pPr>
      <w:r>
        <w:rPr/>
        <w:t>《企业法人营业执照》。</w:t>
      </w:r>
    </w:p>
    <w:p>
      <w:pPr>
        <w:pStyle w:val="BodyText"/>
        <w:spacing w:line="256" w:lineRule="auto" w:before="157"/>
        <w:ind w:right="0" w:firstLine="588"/>
        <w:jc w:val="left"/>
      </w:pPr>
      <w:r>
        <w:rPr>
          <w:spacing w:val="-8"/>
        </w:rPr>
        <w:t>根据公司</w:t>
      </w:r>
      <w:r>
        <w:rPr>
          <w:rFonts w:ascii="Times New Roman" w:hAnsi="Times New Roman" w:cs="Times New Roman" w:eastAsia="Times New Roman" w:hint="default"/>
          <w:spacing w:val="-8"/>
        </w:rPr>
        <w:t>2015</w:t>
      </w:r>
      <w:r>
        <w:rPr>
          <w:spacing w:val="-8"/>
        </w:rPr>
        <w:t>年第二次临时股东大会决议和中国证券监督管理委员会核准（证监许可〔</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55</w:t>
      </w:r>
      <w:r>
        <w:rPr>
          <w:spacing w:val="-8"/>
        </w:rPr>
        <w:t>号），</w:t>
      </w:r>
      <w:r>
        <w:rPr>
          <w:w w:val="100"/>
        </w:rPr>
        <w:t> </w:t>
      </w:r>
      <w:r>
        <w:rPr>
          <w:spacing w:val="5"/>
        </w:rPr>
        <w:t>同意公司非公开发行人民币普通股，增加注册资本人民币</w:t>
      </w:r>
      <w:r>
        <w:rPr>
          <w:rFonts w:ascii="Times New Roman" w:hAnsi="Times New Roman" w:cs="Times New Roman" w:eastAsia="Times New Roman" w:hint="default"/>
          <w:spacing w:val="5"/>
        </w:rPr>
        <w:t>172,117,039</w:t>
      </w:r>
      <w:r>
        <w:rPr>
          <w:spacing w:val="5"/>
        </w:rPr>
        <w:t>元，变更后的注册资本为人民币</w:t>
      </w:r>
      <w:r>
        <w:rPr>
          <w:spacing w:val="22"/>
        </w:rPr>
        <w:t> </w:t>
      </w:r>
      <w:r>
        <w:rPr>
          <w:spacing w:val="22"/>
        </w:rPr>
      </w:r>
      <w:r>
        <w:rPr>
          <w:rFonts w:ascii="Times New Roman" w:hAnsi="Times New Roman" w:cs="Times New Roman" w:eastAsia="Times New Roman" w:hint="default"/>
          <w:spacing w:val="-2"/>
        </w:rPr>
        <w:t>889,444,681</w:t>
      </w:r>
      <w:r>
        <w:rPr>
          <w:spacing w:val="-2"/>
        </w:rPr>
        <w:t>元。此次非公开发行股票实际募集资金净额人民币</w:t>
      </w:r>
      <w:r>
        <w:rPr>
          <w:rFonts w:ascii="Times New Roman" w:hAnsi="Times New Roman" w:cs="Times New Roman" w:eastAsia="Times New Roman" w:hint="default"/>
          <w:spacing w:val="-2"/>
        </w:rPr>
        <w:t>1,967,572,876.23</w:t>
      </w:r>
      <w:r>
        <w:rPr>
          <w:spacing w:val="-2"/>
        </w:rPr>
        <w:t>元，其中：新增注册资本人</w:t>
      </w:r>
      <w:r>
        <w:rPr>
          <w:spacing w:val="-18"/>
        </w:rPr>
        <w:t> </w:t>
      </w:r>
      <w:r>
        <w:rPr>
          <w:spacing w:val="-18"/>
        </w:rPr>
      </w:r>
      <w:r>
        <w:rPr/>
        <w:t>民币</w:t>
      </w:r>
      <w:r>
        <w:rPr>
          <w:rFonts w:ascii="Times New Roman" w:hAnsi="Times New Roman" w:cs="Times New Roman" w:eastAsia="Times New Roman" w:hint="default"/>
        </w:rPr>
        <w:t>172,117,039.00</w:t>
      </w:r>
      <w:r>
        <w:rPr/>
        <w:t>元，增加其他流动资产（待抵扣进项税）人民币</w:t>
      </w:r>
      <w:r>
        <w:rPr>
          <w:rFonts w:ascii="Times New Roman" w:hAnsi="Times New Roman" w:cs="Times New Roman" w:eastAsia="Times New Roman" w:hint="default"/>
        </w:rPr>
        <w:t>1,733,773.58</w:t>
      </w:r>
      <w:r>
        <w:rPr/>
        <w:t>元，增加资本公积人民币</w:t>
      </w:r>
      <w:r>
        <w:rPr>
          <w:spacing w:val="-32"/>
        </w:rPr>
        <w:t> </w:t>
      </w:r>
      <w:r>
        <w:rPr>
          <w:spacing w:val="-32"/>
        </w:rPr>
      </w:r>
      <w:r>
        <w:rPr>
          <w:rFonts w:ascii="Times New Roman" w:hAnsi="Times New Roman" w:cs="Times New Roman" w:eastAsia="Times New Roman" w:hint="default"/>
        </w:rPr>
        <w:t>1,797,189,610.81</w:t>
      </w:r>
      <w:r>
        <w:rPr/>
        <w:t>元。众华会计师事务所（特殊普通合伙）出具了</w:t>
      </w:r>
      <w:r>
        <w:rPr>
          <w:rFonts w:ascii="Times New Roman" w:hAnsi="Times New Roman" w:cs="Times New Roman" w:eastAsia="Times New Roman" w:hint="default"/>
        </w:rPr>
        <w:t>“</w:t>
      </w:r>
      <w:r>
        <w:rPr/>
        <w:t>众会字（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2244</w:t>
      </w:r>
      <w:r>
        <w:rPr/>
        <w:t>号</w:t>
      </w:r>
      <w:r>
        <w:rPr>
          <w:rFonts w:ascii="Times New Roman" w:hAnsi="Times New Roman" w:cs="Times New Roman" w:eastAsia="Times New Roman" w:hint="default"/>
        </w:rPr>
        <w:t>”</w:t>
      </w:r>
      <w:r>
        <w:rPr/>
        <w:t>验资报告，确</w:t>
      </w:r>
      <w:r>
        <w:rPr>
          <w:w w:val="100"/>
        </w:rPr>
        <w:t> </w:t>
      </w:r>
      <w:r>
        <w:rPr/>
        <w:t>认本次发行的新增注册资本及股本情况。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2016</w:t>
      </w:r>
      <w:r>
        <w:rPr/>
        <w:t>年年度股东大会决议和修改后章程的</w:t>
      </w:r>
      <w:r>
        <w:rPr>
          <w:spacing w:val="-28"/>
        </w:rPr>
        <w:t> </w:t>
      </w:r>
      <w:r>
        <w:rPr>
          <w:spacing w:val="-28"/>
        </w:rPr>
      </w:r>
      <w:r>
        <w:rPr/>
        <w:t>规定，以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日总股本</w:t>
      </w:r>
      <w:r>
        <w:rPr>
          <w:rFonts w:ascii="Times New Roman" w:hAnsi="Times New Roman" w:cs="Times New Roman" w:eastAsia="Times New Roman" w:hint="default"/>
        </w:rPr>
        <w:t>889,444,681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w:t>
      </w:r>
      <w:r>
        <w:rPr/>
        <w:t>元（含税），共</w:t>
      </w:r>
      <w:r>
        <w:rPr>
          <w:spacing w:val="-79"/>
        </w:rPr>
        <w:t> </w:t>
      </w:r>
      <w:r>
        <w:rPr>
          <w:spacing w:val="-79"/>
        </w:rPr>
      </w:r>
      <w:r>
        <w:rPr/>
        <w:t>分配现金红利</w:t>
      </w:r>
      <w:r>
        <w:rPr>
          <w:rFonts w:ascii="Times New Roman" w:hAnsi="Times New Roman" w:cs="Times New Roman" w:eastAsia="Times New Roman" w:hint="default"/>
        </w:rPr>
        <w:t>17,788,893.62</w:t>
      </w:r>
      <w:r>
        <w:rPr/>
        <w:t>元；以公司总股本</w:t>
      </w:r>
      <w:r>
        <w:rPr>
          <w:rFonts w:ascii="Times New Roman" w:hAnsi="Times New Roman" w:cs="Times New Roman" w:eastAsia="Times New Roman" w:hint="default"/>
        </w:rPr>
        <w:t>889,444,681</w:t>
      </w:r>
      <w:r>
        <w:rPr/>
        <w:t>股为基数，以资本公积转增股本，每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股，共计转增</w:t>
      </w:r>
      <w:r>
        <w:rPr>
          <w:rFonts w:ascii="Times New Roman" w:hAnsi="Times New Roman" w:cs="Times New Roman" w:eastAsia="Times New Roman" w:hint="default"/>
        </w:rPr>
        <w:t>266,833,404</w:t>
      </w:r>
      <w:r>
        <w:rPr>
          <w:rFonts w:ascii="Times New Roman" w:hAnsi="Times New Roman" w:cs="Times New Roman" w:eastAsia="Times New Roman" w:hint="default"/>
          <w:spacing w:val="4"/>
        </w:rPr>
        <w:t> </w:t>
      </w:r>
      <w:r>
        <w:rPr/>
        <w:t>股，转增后公司总股本增至</w:t>
      </w:r>
      <w:r>
        <w:rPr>
          <w:rFonts w:ascii="Times New Roman" w:hAnsi="Times New Roman" w:cs="Times New Roman" w:eastAsia="Times New Roman" w:hint="default"/>
        </w:rPr>
        <w:t>1,156,278,085</w:t>
      </w:r>
      <w:r>
        <w:rPr/>
        <w:t>股。双星新材于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日取得江苏</w:t>
      </w:r>
      <w:r>
        <w:rPr>
          <w:w w:val="100"/>
        </w:rPr>
        <w:t> </w:t>
      </w:r>
      <w:r>
        <w:rPr/>
        <w:t>省宿迁工商行政管理局核发的</w:t>
      </w:r>
      <w:r>
        <w:rPr>
          <w:rFonts w:ascii="Times New Roman" w:hAnsi="Times New Roman" w:cs="Times New Roman" w:eastAsia="Times New Roman" w:hint="default"/>
        </w:rPr>
        <w:t>321300000005816</w:t>
      </w:r>
      <w:r>
        <w:rPr/>
        <w:t>号《企业法人营业执照》。</w:t>
      </w:r>
    </w:p>
    <w:p>
      <w:pPr>
        <w:pStyle w:val="BodyText"/>
        <w:spacing w:line="271" w:lineRule="auto" w:before="127"/>
        <w:ind w:right="0" w:firstLine="504"/>
        <w:jc w:val="left"/>
      </w:pPr>
      <w:r>
        <w:rPr>
          <w:spacing w:val="-2"/>
        </w:rPr>
        <w:t>业务性质：本公司从事高分子复合材料、新型塑料包装薄膜以及光学膜的研发、生产和销售，主要</w:t>
      </w:r>
      <w:r>
        <w:rPr>
          <w:w w:val="100"/>
        </w:rPr>
        <w:t> </w:t>
      </w:r>
      <w:r>
        <w:rPr/>
        <w:t>产品为聚酯薄膜等新型塑料薄膜。</w:t>
      </w:r>
    </w:p>
    <w:p>
      <w:pPr>
        <w:pStyle w:val="BodyText"/>
        <w:spacing w:line="273" w:lineRule="auto" w:before="130"/>
        <w:ind w:right="1126" w:firstLine="420"/>
        <w:jc w:val="both"/>
      </w:pPr>
      <w:r>
        <w:rPr>
          <w:spacing w:val="-2"/>
        </w:rPr>
        <w:t>本公司经营范围：光电新材料、光学膜、太阳能电池背材膜、聚酯电容膜、聚酯工业基材；高分子复</w:t>
      </w:r>
      <w:r>
        <w:rPr>
          <w:w w:val="100"/>
        </w:rPr>
        <w:t> </w:t>
      </w:r>
      <w:r>
        <w:rPr>
          <w:spacing w:val="-2"/>
        </w:rPr>
        <w:t>合材料技术研发；包装材料生产、化工材料（除化学危险品）销售；包装装潢印刷品印刷、其他印刷品印</w:t>
      </w:r>
      <w:r>
        <w:rPr>
          <w:spacing w:val="-42"/>
        </w:rPr>
        <w:t> </w:t>
      </w:r>
      <w:r>
        <w:rPr>
          <w:spacing w:val="-42"/>
        </w:rPr>
      </w:r>
      <w:r>
        <w:rPr>
          <w:spacing w:val="-2"/>
        </w:rPr>
        <w:t>刷；经营本企业自产产品及技术的出口业务；经营本企业生产、科研所需的原辅材料、仪器仪表、机械设</w:t>
      </w:r>
      <w:r>
        <w:rPr>
          <w:spacing w:val="-43"/>
        </w:rPr>
        <w:t> </w:t>
      </w:r>
      <w:r>
        <w:rPr>
          <w:spacing w:val="-43"/>
        </w:rPr>
      </w:r>
      <w:r>
        <w:rPr>
          <w:spacing w:val="-2"/>
        </w:rPr>
        <w:t>备、零配件及技术的进口业务（国家限定公司经营和国家禁止进出口的商品及技术除外）；经营进料加工</w:t>
      </w:r>
      <w:r>
        <w:rPr>
          <w:spacing w:val="-47"/>
        </w:rPr>
        <w:t> </w:t>
      </w:r>
      <w:r>
        <w:rPr>
          <w:spacing w:val="-47"/>
        </w:rPr>
      </w:r>
      <w:r>
        <w:rPr/>
        <w:t>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业务。道路普通货物运输。</w:t>
      </w:r>
    </w:p>
    <w:p>
      <w:pPr>
        <w:pStyle w:val="BodyText"/>
        <w:spacing w:line="357" w:lineRule="auto" w:before="108"/>
        <w:ind w:left="825" w:right="0" w:hanging="252"/>
        <w:jc w:val="left"/>
      </w:pPr>
      <w:r>
        <w:rPr/>
        <w:pict>
          <v:shape style="position:absolute;margin-left:56.279999pt;margin-top:45.26371pt;width:454.7pt;height:102.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5"/>
                    <w:gridCol w:w="2060"/>
                    <w:gridCol w:w="2057"/>
                  </w:tblGrid>
                  <w:tr>
                    <w:trPr>
                      <w:trHeight w:val="346" w:hRule="exact"/>
                    </w:trPr>
                    <w:tc>
                      <w:tcPr>
                        <w:tcW w:w="4955" w:type="dxa"/>
                        <w:vMerge w:val="restart"/>
                        <w:tcBorders>
                          <w:top w:val="single" w:sz="6" w:space="0" w:color="000000"/>
                          <w:left w:val="nil" w:sz="6" w:space="0" w:color="auto"/>
                          <w:right w:val="single" w:sz="6" w:space="0" w:color="000000"/>
                        </w:tcBorders>
                      </w:tcPr>
                      <w:p>
                        <w:pPr>
                          <w:pStyle w:val="TableParagraph"/>
                          <w:spacing w:line="272" w:lineRule="exact"/>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3" w:right="0"/>
                          <w:jc w:val="center"/>
                          <w:rPr>
                            <w:rFonts w:ascii="宋体" w:hAnsi="宋体" w:cs="宋体" w:eastAsia="宋体" w:hint="default"/>
                            <w:sz w:val="21"/>
                            <w:szCs w:val="21"/>
                          </w:rPr>
                        </w:pPr>
                        <w:r>
                          <w:rPr>
                            <w:rFonts w:ascii="宋体" w:hAnsi="宋体" w:cs="宋体" w:eastAsia="宋体" w:hint="default"/>
                            <w:sz w:val="21"/>
                            <w:szCs w:val="21"/>
                          </w:rPr>
                          <w:t>是否合并</w:t>
                        </w:r>
                      </w:p>
                    </w:tc>
                  </w:tr>
                  <w:tr>
                    <w:trPr>
                      <w:trHeight w:val="348" w:hRule="exact"/>
                    </w:trPr>
                    <w:tc>
                      <w:tcPr>
                        <w:tcW w:w="4955" w:type="dxa"/>
                        <w:vMerge/>
                        <w:tcBorders>
                          <w:left w:val="nil" w:sz="6" w:space="0" w:color="auto"/>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r>
                  <w:tr>
                    <w:trPr>
                      <w:trHeight w:val="346" w:hRule="exact"/>
                    </w:trPr>
                    <w:tc>
                      <w:tcPr>
                        <w:tcW w:w="4955"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sz w:val="21"/>
                            <w:szCs w:val="21"/>
                          </w:rPr>
                          <w:t>江西科为薄膜新型材料有限公司</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8" w:hRule="exact"/>
                    </w:trPr>
                    <w:tc>
                      <w:tcPr>
                        <w:tcW w:w="4955" w:type="dxa"/>
                        <w:tcBorders>
                          <w:top w:val="single" w:sz="6" w:space="0" w:color="000000"/>
                          <w:left w:val="nil" w:sz="6" w:space="0" w:color="auto"/>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
                    </w:tc>
                  </w:tr>
                  <w:tr>
                    <w:trPr>
                      <w:trHeight w:val="653" w:hRule="exact"/>
                    </w:trPr>
                    <w:tc>
                      <w:tcPr>
                        <w:tcW w:w="9072" w:type="dxa"/>
                        <w:gridSpan w:val="3"/>
                        <w:tcBorders>
                          <w:top w:val="single" w:sz="6" w:space="0" w:color="000000"/>
                          <w:left w:val="nil" w:sz="6" w:space="0" w:color="auto"/>
                          <w:bottom w:val="nil" w:sz="6" w:space="0" w:color="auto"/>
                          <w:right w:val="single" w:sz="6" w:space="0" w:color="000000"/>
                        </w:tcBorders>
                      </w:tcPr>
                      <w:p>
                        <w:pPr>
                          <w:pStyle w:val="TableParagraph"/>
                          <w:spacing w:line="259" w:lineRule="auto"/>
                          <w:ind w:left="12" w:right="-3"/>
                          <w:jc w:val="left"/>
                          <w:rPr>
                            <w:rFonts w:ascii="宋体" w:hAnsi="宋体" w:cs="宋体" w:eastAsia="宋体" w:hint="default"/>
                            <w:sz w:val="21"/>
                            <w:szCs w:val="21"/>
                          </w:rPr>
                        </w:pPr>
                        <w:r>
                          <w:rPr>
                            <w:rFonts w:ascii="宋体" w:hAnsi="宋体" w:cs="宋体" w:eastAsia="宋体" w:hint="default"/>
                            <w:spacing w:val="-3"/>
                            <w:sz w:val="21"/>
                            <w:szCs w:val="21"/>
                          </w:rPr>
                          <w:t>注：江西科为薄膜新型材料有限公司系公司于</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日完成收购的全资子公司，自</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月起</w:t>
                        </w:r>
                        <w:r>
                          <w:rPr>
                            <w:rFonts w:ascii="宋体" w:hAnsi="宋体" w:cs="宋体" w:eastAsia="宋体" w:hint="default"/>
                            <w:spacing w:val="-52"/>
                            <w:sz w:val="21"/>
                            <w:szCs w:val="21"/>
                          </w:rPr>
                          <w:t> </w:t>
                        </w:r>
                        <w:r>
                          <w:rPr>
                            <w:rFonts w:ascii="宋体" w:hAnsi="宋体" w:cs="宋体" w:eastAsia="宋体" w:hint="default"/>
                            <w:sz w:val="21"/>
                            <w:szCs w:val="21"/>
                          </w:rPr>
                          <w:t>纳入公司合并财务报表范围。</w:t>
                        </w:r>
                      </w:p>
                    </w:tc>
                  </w:tr>
                </w:tbl>
                <w:p>
                  <w:pPr/>
                </w:p>
              </w:txbxContent>
            </v:textbox>
            <w10:wrap type="none"/>
          </v:shape>
        </w:pict>
      </w:r>
      <w:r>
        <w:rPr>
          <w:spacing w:val="-2"/>
        </w:rPr>
        <w:t>本公司主要产品包括聚酯薄膜、真空镀铝膜、</w:t>
      </w:r>
      <w:r>
        <w:rPr>
          <w:rFonts w:ascii="Times New Roman" w:hAnsi="Times New Roman" w:cs="Times New Roman" w:eastAsia="Times New Roman" w:hint="default"/>
          <w:spacing w:val="-2"/>
        </w:rPr>
        <w:t>PVC</w:t>
      </w:r>
      <w:r>
        <w:rPr>
          <w:spacing w:val="-2"/>
        </w:rPr>
        <w:t>功能薄膜、光学膜等。</w:t>
      </w:r>
      <w:r>
        <w:rPr>
          <w:spacing w:val="-44"/>
        </w:rPr>
        <w:t> </w:t>
      </w:r>
      <w:r>
        <w:rPr>
          <w:spacing w:val="-44"/>
        </w:rPr>
      </w:r>
      <w:r>
        <w:rPr/>
        <w:t>本财务报告的批准报出日：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p>
    <w:p>
      <w:pPr>
        <w:spacing w:after="0" w:line="357"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firstLine="42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w:t>
      </w:r>
      <w:r>
        <w:rPr>
          <w:w w:val="100"/>
        </w:rPr>
        <w:t> </w:t>
      </w:r>
      <w:r>
        <w:rPr/>
        <w:t>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firstLine="42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w:t>
      </w:r>
      <w:r>
        <w:rPr>
          <w:w w:val="100"/>
        </w:rPr>
        <w:t> </w:t>
      </w:r>
      <w:r>
        <w:rPr/>
        <w:t>营能力产生重大怀疑的因素。</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60" w:lineRule="auto" w:before="25"/>
        <w:ind w:left="152" w:right="769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本年度无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jc w:val="left"/>
      </w:pPr>
      <w:r>
        <w:rPr>
          <w:spacing w:val="-2"/>
        </w:rPr>
        <w:t>本公司所编制的财务报表符合企业会计准则的要求，真实、完整地反映了本公司的财务状况、经营成果、</w:t>
      </w:r>
      <w:r>
        <w:rPr>
          <w:spacing w:val="-21"/>
        </w:rPr>
        <w:t> </w:t>
      </w:r>
      <w:r>
        <w:rPr>
          <w:spacing w:val="-21"/>
        </w:rPr>
      </w:r>
      <w:r>
        <w:rPr/>
        <w:t>所有者权益变动和现金流量等有关信息。</w:t>
      </w:r>
    </w:p>
    <w:p>
      <w:pPr>
        <w:spacing w:line="240" w:lineRule="auto" w:before="7"/>
        <w:rPr>
          <w:rFonts w:ascii="宋体" w:hAnsi="宋体" w:cs="宋体" w:eastAsia="宋体" w:hint="default"/>
          <w:sz w:val="23"/>
          <w:szCs w:val="23"/>
        </w:rPr>
      </w:pPr>
    </w:p>
    <w:p>
      <w:pPr>
        <w:spacing w:line="506"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会计期间为自公历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日起至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5"/>
        <w:ind w:left="152" w:right="7694" w:firstLine="0"/>
        <w:jc w:val="left"/>
        <w:rPr>
          <w:rFonts w:ascii="宋体" w:hAnsi="宋体" w:cs="宋体" w:eastAsia="宋体" w:hint="default"/>
          <w:sz w:val="21"/>
          <w:szCs w:val="21"/>
        </w:rPr>
      </w:pPr>
      <w:r>
        <w:rPr>
          <w:rFonts w:ascii="宋体" w:hAnsi="宋体" w:cs="宋体" w:eastAsia="宋体" w:hint="default"/>
          <w:sz w:val="21"/>
          <w:szCs w:val="21"/>
        </w:rPr>
        <w:t>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记账本位币为人民币。</w:t>
      </w:r>
    </w:p>
    <w:p>
      <w:pPr>
        <w:pStyle w:val="Heading4"/>
        <w:spacing w:line="240" w:lineRule="auto" w:before="104"/>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31"/>
        </w:rPr>
        <w:t> </w:t>
      </w:r>
      <w:r>
        <w:rPr/>
        <w:t>同一控制下的企业合并</w:t>
      </w:r>
      <w:r>
        <w:rPr>
          <w:w w:val="100"/>
        </w:rPr>
        <w:t> </w:t>
      </w:r>
      <w:r>
        <w:rPr>
          <w:spacing w:val="-2"/>
        </w:rPr>
        <w:t>参与合并的企业在合并前后均受同一方或相同的多方最终控制且该控制并非暂时性的，认定为同一控</w:t>
      </w:r>
    </w:p>
    <w:p>
      <w:pPr>
        <w:pStyle w:val="BodyText"/>
        <w:spacing w:line="273" w:lineRule="auto" w:before="22"/>
        <w:ind w:left="573" w:right="0" w:hanging="421"/>
        <w:jc w:val="left"/>
      </w:pPr>
      <w:r>
        <w:rPr/>
        <w:t>制下的企业合并。</w:t>
      </w:r>
      <w:r>
        <w:rPr>
          <w:w w:val="100"/>
        </w:rPr>
        <w:t> </w:t>
      </w:r>
      <w:r>
        <w:rPr>
          <w:spacing w:val="-2"/>
        </w:rPr>
        <w:t>合并方以支付现金、转让非现金资产或承担债务方式作为合并对价的，在合并日按照被合并方所有者</w:t>
      </w:r>
    </w:p>
    <w:p>
      <w:pPr>
        <w:pStyle w:val="BodyText"/>
        <w:spacing w:line="240" w:lineRule="auto"/>
        <w:ind w:right="0"/>
        <w:jc w:val="left"/>
      </w:pPr>
      <w:r>
        <w:rPr/>
        <w:t>权益在最终控制方合并财务报表中的账面价值的份额作为长期股权投资的初始投资成本。长期股权投资初</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始投资成本与支付的现金、转让的非现金资产以及所承担债务账面价值之间的差额，调整资本公积；资本</w:t>
      </w:r>
      <w:r>
        <w:rPr>
          <w:spacing w:val="-43"/>
        </w:rPr>
        <w:t> </w:t>
      </w:r>
      <w:r>
        <w:rPr>
          <w:spacing w:val="-43"/>
        </w:rPr>
      </w:r>
      <w:r>
        <w:rPr/>
        <w:t>公积不足冲减的，调整留存收益。</w:t>
      </w:r>
    </w:p>
    <w:p>
      <w:pPr>
        <w:pStyle w:val="BodyText"/>
        <w:spacing w:line="273" w:lineRule="auto"/>
        <w:ind w:right="1126" w:firstLine="420"/>
        <w:jc w:val="both"/>
      </w:pPr>
      <w:r>
        <w:rPr>
          <w:spacing w:val="-2"/>
        </w:rPr>
        <w:t>合并方以发行权益性证券作为合并对价的，在合并日按照被合并方所有者权益在最终控制方合并财务</w:t>
      </w:r>
      <w:r>
        <w:rPr>
          <w:w w:val="100"/>
        </w:rPr>
        <w:t> </w:t>
      </w:r>
      <w:r>
        <w:rPr>
          <w:spacing w:val="-2"/>
        </w:rPr>
        <w:t>报表中的账面价值的份额作为长期股权投资的初始投资成本。按照发行股份的面值总额作为股本，长期股</w:t>
      </w:r>
      <w:r>
        <w:rPr>
          <w:spacing w:val="-43"/>
        </w:rPr>
        <w:t> </w:t>
      </w:r>
      <w:r>
        <w:rPr>
          <w:spacing w:val="-43"/>
        </w:rPr>
      </w:r>
      <w:r>
        <w:rPr>
          <w:spacing w:val="-2"/>
        </w:rPr>
        <w:t>权投资初始投资成本与所发行股份面值总额之间的差额，调整资本公积；资本公积不足冲减的，调整留存</w:t>
      </w:r>
      <w:r>
        <w:rPr>
          <w:spacing w:val="-43"/>
        </w:rPr>
        <w:t> </w:t>
      </w:r>
      <w:r>
        <w:rPr>
          <w:spacing w:val="-43"/>
        </w:rPr>
      </w:r>
      <w:r>
        <w:rPr/>
        <w:t>收益。</w:t>
      </w:r>
    </w:p>
    <w:p>
      <w:pPr>
        <w:pStyle w:val="BodyText"/>
        <w:spacing w:line="273" w:lineRule="auto"/>
        <w:ind w:right="1126" w:firstLine="420"/>
        <w:jc w:val="both"/>
      </w:pPr>
      <w:r>
        <w:rPr>
          <w:spacing w:val="-2"/>
        </w:rPr>
        <w:t>合并方为企业合并发生的审计、法律服务、评估咨询等中介费用以及其他相关管理费用，于发生时计</w:t>
      </w:r>
      <w:r>
        <w:rPr>
          <w:w w:val="100"/>
        </w:rPr>
        <w:t> </w:t>
      </w:r>
      <w:r>
        <w:rPr/>
        <w:t>入当期损益。</w:t>
      </w:r>
    </w:p>
    <w:p>
      <w:pPr>
        <w:pStyle w:val="BodyText"/>
        <w:spacing w:line="264" w:lineRule="auto"/>
        <w:ind w:left="573" w:right="0"/>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31"/>
        </w:rPr>
        <w:t> </w:t>
      </w:r>
      <w:r>
        <w:rPr/>
        <w:t>非同一控制下的企业合并</w:t>
      </w:r>
      <w:r>
        <w:rPr>
          <w:w w:val="100"/>
        </w:rPr>
        <w:t> </w:t>
      </w:r>
      <w:r>
        <w:rPr>
          <w:spacing w:val="-2"/>
        </w:rPr>
        <w:t>参与合并的各方在合并前后不受同一方或相同的多方最终控制的，认定为非同一控制下的企业合并。</w:t>
      </w:r>
      <w:r>
        <w:rPr>
          <w:spacing w:val="-28"/>
        </w:rPr>
        <w:t> </w:t>
      </w:r>
      <w:r>
        <w:rPr>
          <w:spacing w:val="-28"/>
        </w:rPr>
      </w:r>
      <w:r>
        <w:rPr>
          <w:spacing w:val="-2"/>
        </w:rPr>
        <w:t>购买方通过一次交换交易实现的企业合并，合并成本为购买方在购买日为取得对被购买方的控制权而</w:t>
      </w:r>
    </w:p>
    <w:p>
      <w:pPr>
        <w:pStyle w:val="BodyText"/>
        <w:spacing w:line="273" w:lineRule="auto" w:before="16"/>
        <w:ind w:right="1126"/>
        <w:jc w:val="both"/>
      </w:pPr>
      <w:r>
        <w:rPr>
          <w:spacing w:val="-2"/>
        </w:rPr>
        <w:t>付出的资产、发生或承担的负债以及发行的权益性证券的公允价值。购买方为企业合并发生的审计、法律</w:t>
      </w:r>
      <w:r>
        <w:rPr>
          <w:spacing w:val="-43"/>
        </w:rPr>
        <w:t> </w:t>
      </w:r>
      <w:r>
        <w:rPr>
          <w:spacing w:val="-43"/>
        </w:rPr>
      </w:r>
      <w:r>
        <w:rPr>
          <w:spacing w:val="-2"/>
        </w:rPr>
        <w:t>服务、评估咨询等中介费用以及其他相关管理费用，于发生时计入当期损益；购买方作为合并对价发行的</w:t>
      </w:r>
      <w:r>
        <w:rPr>
          <w:spacing w:val="-45"/>
        </w:rPr>
        <w:t> </w:t>
      </w:r>
      <w:r>
        <w:rPr>
          <w:spacing w:val="-45"/>
        </w:rPr>
      </w:r>
      <w:r>
        <w:rPr/>
        <w:t>权益性证券或债务性证券的交易费用，计入权益性证券或债务性证券的初始确认金额。</w:t>
      </w:r>
    </w:p>
    <w:p>
      <w:pPr>
        <w:pStyle w:val="BodyText"/>
        <w:spacing w:line="273" w:lineRule="auto"/>
        <w:ind w:right="1126" w:firstLine="420"/>
        <w:jc w:val="both"/>
      </w:pPr>
      <w:r>
        <w:rPr>
          <w:spacing w:val="-2"/>
        </w:rPr>
        <w:t>购买方的合并成本和购买方在合并中取得的可辨认净资产按购买日的公允价值计量。合并成本大于合</w:t>
      </w:r>
      <w:r>
        <w:rPr>
          <w:w w:val="100"/>
        </w:rPr>
        <w:t> </w:t>
      </w:r>
      <w:r>
        <w:rPr>
          <w:spacing w:val="-2"/>
        </w:rPr>
        <w:t>并中取得的被购买方于购买日可辨认净资产公允价值份额的差额，确认为商誉；合并成本小于合并中取得</w:t>
      </w:r>
      <w:r>
        <w:rPr>
          <w:spacing w:val="-43"/>
        </w:rPr>
        <w:t> </w:t>
      </w:r>
      <w:r>
        <w:rPr>
          <w:spacing w:val="-43"/>
        </w:rPr>
      </w:r>
      <w:r>
        <w:rPr/>
        <w:t>的被购买方可辨认净资产公允价值份额的差额，计入当期损益。</w:t>
      </w:r>
    </w:p>
    <w:p>
      <w:pPr>
        <w:pStyle w:val="BodyText"/>
        <w:spacing w:line="256" w:lineRule="auto"/>
        <w:ind w:left="573" w:right="0"/>
        <w:jc w:val="left"/>
      </w:pPr>
      <w:r>
        <w:rPr>
          <w:rFonts w:ascii="Times New Roman" w:hAnsi="Times New Roman" w:cs="Times New Roman" w:eastAsia="Times New Roman" w:hint="default"/>
        </w:rPr>
        <w:t>5.3</w:t>
      </w:r>
      <w:r>
        <w:rPr>
          <w:rFonts w:ascii="Times New Roman" w:hAnsi="Times New Roman" w:cs="Times New Roman" w:eastAsia="Times New Roman" w:hint="default"/>
          <w:spacing w:val="31"/>
        </w:rPr>
        <w:t> </w:t>
      </w:r>
      <w:r>
        <w:rPr/>
        <w:t>因追加投资等原因能够对非同一控制下的被投资单位实施控制的</w:t>
      </w:r>
      <w:r>
        <w:rPr>
          <w:w w:val="100"/>
        </w:rPr>
        <w:t> </w:t>
      </w:r>
      <w:r>
        <w:rPr>
          <w:spacing w:val="-2"/>
        </w:rPr>
        <w:t>在编制个别财务报表时，按照原持有的股权投资账面价值加上新增投资成本之和，作为改按成本法核</w:t>
      </w:r>
    </w:p>
    <w:p>
      <w:pPr>
        <w:pStyle w:val="BodyText"/>
        <w:spacing w:line="266" w:lineRule="auto" w:before="22"/>
        <w:ind w:right="1126"/>
        <w:jc w:val="both"/>
      </w:pPr>
      <w:r>
        <w:rPr>
          <w:spacing w:val="-2"/>
        </w:rPr>
        <w:t>算的初始投资成本。购买日之前持有的股权投资因采用权益法核算而确认的其他综合收益，在处置该项投</w:t>
      </w:r>
      <w:r>
        <w:rPr>
          <w:spacing w:val="-42"/>
        </w:rPr>
        <w:t> </w:t>
      </w:r>
      <w:r>
        <w:rPr>
          <w:spacing w:val="-42"/>
        </w:rPr>
      </w:r>
      <w:r>
        <w:rPr>
          <w:spacing w:val="-2"/>
        </w:rPr>
        <w:t>资时采用与被投资单位直接处置相关资产或负债相同的基础进行会计处理。购买日之前持有的股权投资按</w:t>
      </w:r>
      <w:r>
        <w:rPr>
          <w:spacing w:val="-43"/>
        </w:rPr>
        <w:t> </w:t>
      </w:r>
      <w:r>
        <w:rPr>
          <w:spacing w:val="-43"/>
        </w:rPr>
      </w:r>
      <w:r>
        <w:rPr>
          <w:spacing w:val="-2"/>
        </w:rPr>
        <w:t>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金融工具确认和计量》的有关规定进行会计处理的，原计入其他综合收益的</w:t>
      </w:r>
      <w:r>
        <w:rPr>
          <w:spacing w:val="-43"/>
        </w:rPr>
        <w:t> </w:t>
      </w:r>
      <w:r>
        <w:rPr>
          <w:spacing w:val="-43"/>
        </w:rPr>
      </w:r>
      <w:r>
        <w:rPr/>
        <w:t>累计公允价值变动在改按成本法核算时转入当期损益。</w:t>
      </w:r>
    </w:p>
    <w:p>
      <w:pPr>
        <w:pStyle w:val="BodyText"/>
        <w:spacing w:line="273" w:lineRule="auto" w:before="14"/>
        <w:ind w:right="1126" w:firstLine="420"/>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新计量，公允价值与其账面价值的差额计入当期投资收益；购买日之前持有的被购买方的股权涉及权益法</w:t>
      </w:r>
      <w:r>
        <w:rPr>
          <w:spacing w:val="-44"/>
        </w:rPr>
        <w:t> </w:t>
      </w:r>
      <w:r>
        <w:rPr>
          <w:spacing w:val="-44"/>
        </w:rPr>
      </w:r>
      <w:r>
        <w:rPr/>
        <w:t>核算下的其他综合收益等的，与其相关的其他综合收益等应当转为购买日所属当期收益。</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before="0"/>
        <w:ind w:left="573" w:right="1124"/>
        <w:jc w:val="left"/>
      </w:pPr>
      <w:r>
        <w:rPr>
          <w:rFonts w:ascii="Times New Roman" w:hAnsi="Times New Roman" w:cs="Times New Roman" w:eastAsia="Times New Roman" w:hint="default"/>
        </w:rPr>
        <w:t>6.1</w:t>
      </w:r>
      <w:r>
        <w:rPr/>
        <w:t>合并范围</w:t>
      </w:r>
      <w:r>
        <w:rPr>
          <w:w w:val="100"/>
        </w:rPr>
        <w:t> </w:t>
      </w:r>
      <w:r>
        <w:rPr/>
        <w:t>合并财务报表的合并范围包括本公司及子公司。合并财务报表的合并范围以控制为基础予以确定。</w:t>
      </w:r>
      <w:r>
        <w:rPr>
          <w:w w:val="100"/>
        </w:rPr>
        <w:t> </w:t>
      </w:r>
      <w:r>
        <w:rPr>
          <w:rFonts w:ascii="Times New Roman" w:hAnsi="Times New Roman" w:cs="Times New Roman" w:eastAsia="Times New Roman" w:hint="default"/>
        </w:rPr>
        <w:t>6.2</w:t>
      </w:r>
      <w:r>
        <w:rPr>
          <w:rFonts w:ascii="Times New Roman" w:hAnsi="Times New Roman" w:cs="Times New Roman" w:eastAsia="Times New Roman" w:hint="default"/>
          <w:spacing w:val="31"/>
        </w:rPr>
        <w:t> </w:t>
      </w:r>
      <w:r>
        <w:rPr/>
        <w:t>控制的依据</w:t>
      </w:r>
      <w:r>
        <w:rPr>
          <w:w w:val="100"/>
        </w:rPr>
        <w:t> </w:t>
      </w:r>
      <w:r>
        <w:rPr>
          <w:spacing w:val="-2"/>
        </w:rPr>
        <w:t>投资方拥有对被投资方的权力，通过参与被投资方的相关活动而享有可变回报，并且有能力运用对被</w:t>
      </w:r>
    </w:p>
    <w:p>
      <w:pPr>
        <w:pStyle w:val="BodyText"/>
        <w:spacing w:line="273" w:lineRule="auto" w:before="18"/>
        <w:ind w:right="1126"/>
        <w:jc w:val="both"/>
      </w:pPr>
      <w:r>
        <w:rPr>
          <w:spacing w:val="-2"/>
        </w:rPr>
        <w:t>投资方的权力影响其回报金额，视为投资方控制被投资方。相关活动，系为对被投资方的回报产生重大影</w:t>
      </w:r>
      <w:r>
        <w:rPr>
          <w:spacing w:val="-43"/>
        </w:rPr>
        <w:t> </w:t>
      </w:r>
      <w:r>
        <w:rPr>
          <w:spacing w:val="-43"/>
        </w:rPr>
      </w:r>
      <w:r>
        <w:rPr/>
        <w:t>响的活动。</w:t>
      </w:r>
    </w:p>
    <w:p>
      <w:pPr>
        <w:pStyle w:val="BodyText"/>
        <w:spacing w:line="256" w:lineRule="auto"/>
        <w:ind w:left="573" w:right="0"/>
        <w:jc w:val="left"/>
      </w:pPr>
      <w:r>
        <w:rPr>
          <w:rFonts w:ascii="Times New Roman" w:hAnsi="Times New Roman" w:cs="Times New Roman" w:eastAsia="Times New Roman" w:hint="default"/>
        </w:rPr>
        <w:t>6.3</w:t>
      </w:r>
      <w:r>
        <w:rPr>
          <w:rFonts w:ascii="Times New Roman" w:hAnsi="Times New Roman" w:cs="Times New Roman" w:eastAsia="Times New Roman" w:hint="default"/>
          <w:spacing w:val="31"/>
        </w:rPr>
        <w:t> </w:t>
      </w:r>
      <w:r>
        <w:rPr/>
        <w:t>决策者和代理人</w:t>
      </w:r>
      <w:r>
        <w:rPr>
          <w:w w:val="100"/>
        </w:rPr>
        <w:t> </w:t>
      </w:r>
      <w:r>
        <w:rPr>
          <w:spacing w:val="-2"/>
        </w:rPr>
        <w:t>代理人仅代表主要责任人行使决策权，不控制被投资方。投资方将被投资方相关活动的决策权委托给</w:t>
      </w:r>
    </w:p>
    <w:p>
      <w:pPr>
        <w:pStyle w:val="BodyText"/>
        <w:spacing w:line="273" w:lineRule="auto" w:before="22"/>
        <w:ind w:left="573" w:right="0" w:hanging="421"/>
        <w:jc w:val="left"/>
      </w:pPr>
      <w:r>
        <w:rPr/>
        <w:t>代理人的，将该决策权视为自身直接持有。</w:t>
      </w:r>
      <w:r>
        <w:rPr>
          <w:w w:val="100"/>
        </w:rPr>
        <w:t> </w:t>
      </w:r>
      <w:r>
        <w:rPr>
          <w:spacing w:val="-2"/>
        </w:rPr>
        <w:t>在确定决策者是否为代理人时，公司综合考虑该决策者与被投资方以及其他投资方之间的关系。</w:t>
      </w:r>
      <w:r>
        <w:rPr>
          <w:w w:val="100"/>
        </w:rPr>
        <w:t>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256" w:lineRule="auto" w:before="0"/>
        <w:ind w:right="1126" w:firstLine="420"/>
        <w:jc w:val="both"/>
      </w:pPr>
      <w:r>
        <w:rPr>
          <w:rFonts w:ascii="Times New Roman" w:hAnsi="Times New Roman" w:cs="Times New Roman" w:eastAsia="Times New Roman" w:hint="default"/>
          <w:spacing w:val="-2"/>
        </w:rPr>
        <w:t>2</w:t>
      </w:r>
      <w:r>
        <w:rPr>
          <w:spacing w:val="-2"/>
        </w:rPr>
        <w:t>）除</w:t>
      </w:r>
      <w:r>
        <w:rPr>
          <w:rFonts w:ascii="Times New Roman" w:hAnsi="Times New Roman" w:cs="Times New Roman" w:eastAsia="Times New Roman" w:hint="default"/>
          <w:spacing w:val="-2"/>
        </w:rPr>
        <w:t>1</w:t>
      </w:r>
      <w:r>
        <w:rPr>
          <w:spacing w:val="-2"/>
        </w:rPr>
        <w:t>）以外的情况下，综合考虑决策者对被投资方的决策权范围、其他方享有的实质性权利、决策</w:t>
      </w:r>
      <w:r>
        <w:rPr>
          <w:w w:val="100"/>
        </w:rPr>
        <w:t> </w:t>
      </w:r>
      <w:r>
        <w:rPr/>
        <w:t>者的薪酬水平、决策者因持有被投资方中的其他权益所承担可变回报的风险等相关因素进行判断。</w:t>
      </w:r>
    </w:p>
    <w:p>
      <w:pPr>
        <w:pStyle w:val="BodyText"/>
        <w:spacing w:line="256" w:lineRule="auto" w:before="22"/>
        <w:ind w:left="573" w:right="6254"/>
        <w:jc w:val="left"/>
      </w:pPr>
      <w:r>
        <w:rPr>
          <w:rFonts w:ascii="Times New Roman" w:hAnsi="Times New Roman" w:cs="Times New Roman" w:eastAsia="Times New Roman" w:hint="default"/>
        </w:rPr>
        <w:t>6.4</w:t>
      </w:r>
      <w:r>
        <w:rPr>
          <w:rFonts w:ascii="Times New Roman" w:hAnsi="Times New Roman" w:cs="Times New Roman" w:eastAsia="Times New Roman" w:hint="default"/>
          <w:spacing w:val="31"/>
        </w:rPr>
        <w:t> </w:t>
      </w:r>
      <w:r>
        <w:rPr/>
        <w:t>投资性主体</w:t>
      </w:r>
      <w:r>
        <w:rPr>
          <w:w w:val="100"/>
        </w:rPr>
        <w:t> </w:t>
      </w:r>
      <w:r>
        <w:rPr>
          <w:spacing w:val="-2"/>
        </w:rPr>
        <w:t>当同时满足下列条件时，视为投资性主体：</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0"/>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21"/>
        <w:ind w:left="573" w:right="0"/>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264" w:lineRule="auto" w:before="21"/>
        <w:ind w:left="573" w:right="3554"/>
        <w:jc w:val="left"/>
      </w:pPr>
      <w:r>
        <w:rPr>
          <w:rFonts w:ascii="Times New Roman" w:hAnsi="Times New Roman" w:cs="Times New Roman" w:eastAsia="Times New Roman" w:hint="default"/>
          <w:spacing w:val="-2"/>
        </w:rPr>
        <w:t>3</w:t>
      </w:r>
      <w:r>
        <w:rPr>
          <w:spacing w:val="-2"/>
        </w:rPr>
        <w:t>）该公司按照公允价值对几乎所有投资的业绩进行考量和评价。</w:t>
      </w:r>
      <w:r>
        <w:rPr>
          <w:spacing w:val="-52"/>
        </w:rPr>
        <w:t> </w:t>
      </w:r>
      <w:r>
        <w:rPr>
          <w:spacing w:val="-52"/>
        </w:rPr>
      </w:r>
      <w:r>
        <w:rPr/>
        <w:t>属于投资性主体的，通常情况下符合下列所有特征：</w:t>
      </w:r>
      <w:r>
        <w:rPr>
          <w:w w:val="100"/>
        </w:rPr>
        <w:t> </w:t>
      </w:r>
      <w:r>
        <w:rPr>
          <w:rFonts w:ascii="Times New Roman" w:hAnsi="Times New Roman" w:cs="Times New Roman" w:eastAsia="Times New Roman" w:hint="default"/>
        </w:rPr>
        <w:t>1</w:t>
      </w:r>
      <w:r>
        <w:rPr/>
        <w:t>）拥有一个以上投资；</w:t>
      </w:r>
    </w:p>
    <w:p>
      <w:pPr>
        <w:pStyle w:val="BodyText"/>
        <w:spacing w:line="289" w:lineRule="exact" w:before="0"/>
        <w:ind w:left="573" w:right="0"/>
        <w:jc w:val="left"/>
      </w:pPr>
      <w:r>
        <w:rPr>
          <w:rFonts w:ascii="Times New Roman" w:hAnsi="Times New Roman" w:cs="Times New Roman" w:eastAsia="Times New Roman" w:hint="default"/>
        </w:rPr>
        <w:t>2</w:t>
      </w:r>
      <w:r>
        <w:rPr/>
        <w:t>）拥有一个以上投资者；</w:t>
      </w:r>
    </w:p>
    <w:p>
      <w:pPr>
        <w:pStyle w:val="BodyText"/>
        <w:spacing w:line="240" w:lineRule="auto" w:before="21"/>
        <w:ind w:left="573" w:right="0"/>
        <w:jc w:val="left"/>
      </w:pPr>
      <w:r>
        <w:rPr>
          <w:rFonts w:ascii="Times New Roman" w:hAnsi="Times New Roman" w:cs="Times New Roman" w:eastAsia="Times New Roman" w:hint="default"/>
        </w:rPr>
        <w:t>3</w:t>
      </w:r>
      <w:r>
        <w:rPr/>
        <w:t>）投资者不是该主体的关联方；</w:t>
      </w:r>
    </w:p>
    <w:p>
      <w:pPr>
        <w:pStyle w:val="BodyText"/>
        <w:spacing w:line="256" w:lineRule="auto" w:before="21"/>
        <w:ind w:left="573" w:right="0"/>
        <w:jc w:val="left"/>
      </w:pPr>
      <w:r>
        <w:rPr>
          <w:rFonts w:ascii="Times New Roman" w:hAnsi="Times New Roman" w:cs="Times New Roman" w:eastAsia="Times New Roman" w:hint="default"/>
        </w:rPr>
        <w:t>4</w:t>
      </w:r>
      <w:r>
        <w:rPr/>
        <w:t>）其所有者权益以股权或类似权益方式存在。</w:t>
      </w:r>
      <w:r>
        <w:rPr>
          <w:w w:val="100"/>
        </w:rPr>
        <w:t>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w:t>
      </w:r>
    </w:p>
    <w:p>
      <w:pPr>
        <w:pStyle w:val="BodyText"/>
        <w:spacing w:line="273" w:lineRule="auto" w:before="5"/>
        <w:ind w:right="1126"/>
        <w:jc w:val="both"/>
      </w:pPr>
      <w:r>
        <w:rPr>
          <w:spacing w:val="-2"/>
        </w:rPr>
        <w:t>编制合并财务报表；其他子公司不予以合并，母公司对其他子公司的投资按照公允价值计量且其变动计入</w:t>
      </w:r>
      <w:r>
        <w:rPr>
          <w:spacing w:val="-42"/>
        </w:rPr>
        <w:t> </w:t>
      </w:r>
      <w:r>
        <w:rPr>
          <w:spacing w:val="-42"/>
        </w:rPr>
      </w:r>
      <w:r>
        <w:rPr/>
        <w:t>当期损益。</w:t>
      </w:r>
    </w:p>
    <w:p>
      <w:pPr>
        <w:pStyle w:val="BodyText"/>
        <w:spacing w:line="273" w:lineRule="auto"/>
        <w:ind w:right="1126" w:firstLine="420"/>
        <w:jc w:val="both"/>
      </w:pPr>
      <w:r>
        <w:rPr>
          <w:spacing w:val="-2"/>
        </w:rPr>
        <w:t>投资性主体的母公司本身不是投资性主体，则将其控制的全部主体，包括那些通过投资性主体所间接</w:t>
      </w:r>
      <w:r>
        <w:rPr>
          <w:w w:val="100"/>
        </w:rPr>
        <w:t> </w:t>
      </w:r>
      <w:r>
        <w:rPr/>
        <w:t>控制的主体，纳入合并财务报表范围。</w:t>
      </w:r>
    </w:p>
    <w:p>
      <w:pPr>
        <w:pStyle w:val="BodyText"/>
        <w:spacing w:line="256" w:lineRule="auto" w:before="8"/>
        <w:ind w:left="573" w:right="1124"/>
        <w:jc w:val="left"/>
      </w:pPr>
      <w:r>
        <w:rPr>
          <w:rFonts w:ascii="Times New Roman" w:hAnsi="Times New Roman" w:cs="Times New Roman" w:eastAsia="Times New Roman" w:hint="default"/>
        </w:rPr>
        <w:t>6.5</w:t>
      </w:r>
      <w:r>
        <w:rPr>
          <w:rFonts w:ascii="Times New Roman" w:hAnsi="Times New Roman" w:cs="Times New Roman" w:eastAsia="Times New Roman" w:hint="default"/>
          <w:spacing w:val="31"/>
        </w:rPr>
        <w:t> </w:t>
      </w:r>
      <w:r>
        <w:rPr/>
        <w:t>合并程序</w:t>
      </w:r>
      <w:r>
        <w:rPr>
          <w:w w:val="100"/>
        </w:rPr>
        <w:t> </w:t>
      </w:r>
      <w:r>
        <w:rPr>
          <w:spacing w:val="-2"/>
        </w:rPr>
        <w:t>子公司所采用的会计政策或会计期间与本公司不一致的，按照本公司的会计政策或会计期间对子公司</w:t>
      </w:r>
    </w:p>
    <w:p>
      <w:pPr>
        <w:pStyle w:val="BodyText"/>
        <w:spacing w:line="273" w:lineRule="auto" w:before="22"/>
        <w:ind w:left="573" w:right="0" w:hanging="421"/>
        <w:jc w:val="left"/>
      </w:pPr>
      <w:r>
        <w:rPr/>
        <w:t>财务报表进行必要的调整；或者要求子公司按照本公司的会计政策或会计期间另行编报财务报表。</w:t>
      </w:r>
      <w:r>
        <w:rPr>
          <w:w w:val="100"/>
        </w:rPr>
        <w:t> </w:t>
      </w:r>
      <w:r>
        <w:rPr>
          <w:spacing w:val="-2"/>
        </w:rPr>
        <w:t>合并资产负债表、合并利润表、合并现金流量表及合并所有者（股东）权益变动表分别以本公司和子</w:t>
      </w:r>
    </w:p>
    <w:p>
      <w:pPr>
        <w:pStyle w:val="BodyText"/>
        <w:spacing w:line="273" w:lineRule="auto"/>
        <w:ind w:right="1105"/>
        <w:jc w:val="both"/>
      </w:pPr>
      <w:r>
        <w:rPr>
          <w:spacing w:val="-2"/>
        </w:rPr>
        <w:t>公司的资产负债表、利润表、现金流量表及所有者（股东）权益变动表为基础，在抵销本公司与子公司、</w:t>
      </w:r>
      <w:r>
        <w:rPr>
          <w:spacing w:val="-21"/>
        </w:rPr>
        <w:t> </w:t>
      </w:r>
      <w:r>
        <w:rPr>
          <w:spacing w:val="-21"/>
        </w:rPr>
      </w:r>
      <w:r>
        <w:rPr>
          <w:spacing w:val="-2"/>
        </w:rPr>
        <w:t>子公司相互之间发生的内部交易对合并资产负债表、合并利润表、合并现金流量表及合并所有者（股东）</w:t>
      </w:r>
      <w:r>
        <w:rPr>
          <w:spacing w:val="-21"/>
        </w:rPr>
        <w:t> </w:t>
      </w:r>
      <w:r>
        <w:rPr>
          <w:spacing w:val="-21"/>
        </w:rPr>
      </w:r>
      <w:r>
        <w:rPr/>
        <w:t>权益变动表的影响后，由本公司合并编制。</w:t>
      </w:r>
    </w:p>
    <w:p>
      <w:pPr>
        <w:pStyle w:val="BodyText"/>
        <w:spacing w:line="256" w:lineRule="auto"/>
        <w:ind w:right="1124" w:firstLine="420"/>
        <w:jc w:val="left"/>
      </w:pP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w:t>
      </w:r>
      <w:r>
        <w:rPr>
          <w:w w:val="100"/>
        </w:rPr>
        <w:t> </w:t>
      </w:r>
      <w:r>
        <w:rPr/>
        <w:t>子公司向本公司出售资产所发生的未实现内部交易损益，按照本公司对该子公司的分配比例在</w:t>
      </w:r>
      <w:r>
        <w:rPr>
          <w:rFonts w:ascii="Times New Roman" w:hAnsi="Times New Roman" w:cs="Times New Roman" w:eastAsia="Times New Roman" w:hint="default"/>
        </w:rPr>
        <w:t>“</w:t>
      </w:r>
      <w:r>
        <w:rPr/>
        <w:t>归属于母</w:t>
      </w:r>
      <w:r>
        <w:rPr>
          <w:w w:val="100"/>
        </w:rPr>
        <w:t> </w:t>
      </w:r>
      <w:r>
        <w:rPr/>
        <w:t>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之间分配抵销。子公司之间出售资产所发生的未实现内部交易损</w:t>
      </w:r>
      <w:r>
        <w:rPr>
          <w:w w:val="100"/>
        </w:rPr>
        <w:t> </w:t>
      </w:r>
      <w:r>
        <w:rPr>
          <w:spacing w:val="-2"/>
        </w:rPr>
        <w:t>益，应当按照本公司对出售方子公司的分配比例在</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w:t>
      </w:r>
      <w:r>
        <w:rPr>
          <w:spacing w:val="-23"/>
        </w:rPr>
        <w:t> </w:t>
      </w:r>
      <w:r>
        <w:rPr/>
        <w:t>分配抵销。</w:t>
      </w:r>
    </w:p>
    <w:p>
      <w:pPr>
        <w:pStyle w:val="BodyText"/>
        <w:spacing w:line="261" w:lineRule="auto" w:before="23"/>
        <w:ind w:right="1126" w:firstLine="420"/>
        <w:jc w:val="both"/>
      </w:pPr>
      <w:r>
        <w:rPr>
          <w:spacing w:val="-2"/>
        </w:rPr>
        <w:t>子公司所有者权益中不属于本公司的份额，作为少数股东权益，在合并资产负债表中所有者权益项目</w:t>
      </w:r>
      <w:r>
        <w:rPr>
          <w:w w:val="100"/>
        </w:rPr>
        <w:t> </w:t>
      </w:r>
      <w:r>
        <w:rPr>
          <w:spacing w:val="-2"/>
        </w:rPr>
        <w:t>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项目列示。子公司当期净损益中属于少数股东权益的份额，在合并利润表中净利润项</w:t>
      </w:r>
      <w:r>
        <w:rPr>
          <w:spacing w:val="-17"/>
        </w:rPr>
        <w:t> </w:t>
      </w:r>
      <w:r>
        <w:rPr>
          <w:spacing w:val="-17"/>
        </w:rPr>
      </w:r>
      <w:r>
        <w:rPr>
          <w:spacing w:val="-2"/>
        </w:rPr>
        <w:t>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项目列示。子公司当期综合收益中属于少数股东权益的份额，在合并利润表中综合</w:t>
      </w:r>
      <w:r>
        <w:rPr>
          <w:spacing w:val="-18"/>
        </w:rPr>
        <w:t> </w:t>
      </w:r>
      <w:r>
        <w:rPr>
          <w:spacing w:val="-18"/>
        </w:rPr>
      </w:r>
      <w:r>
        <w:rPr>
          <w:spacing w:val="-2"/>
        </w:rPr>
        <w:t>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spacing w:val="-2"/>
        </w:rPr>
        <w:t>项目列示。有少数股东的，在合并所有者权益变动表</w:t>
      </w:r>
      <w:r>
        <w:rPr>
          <w:spacing w:val="-22"/>
        </w:rPr>
        <w:t> </w:t>
      </w:r>
      <w:r>
        <w:rPr>
          <w:spacing w:val="-22"/>
        </w:rPr>
      </w:r>
      <w:r>
        <w:rPr>
          <w:spacing w:val="-2"/>
        </w:rPr>
        <w:t>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栏目，反映少数股东权益变动的情况。子公司少数股东分担的当期亏损超过了少数</w:t>
      </w:r>
      <w:r>
        <w:rPr>
          <w:spacing w:val="-18"/>
        </w:rPr>
        <w:t> </w:t>
      </w:r>
      <w:r>
        <w:rPr>
          <w:spacing w:val="-18"/>
        </w:rPr>
      </w:r>
      <w:r>
        <w:rPr/>
        <w:t>股东在该子公司期初所有者权益中所享有的份额的，其余额仍应当冲减少数股东权益。</w:t>
      </w:r>
    </w:p>
    <w:p>
      <w:pPr>
        <w:pStyle w:val="BodyText"/>
        <w:spacing w:line="273" w:lineRule="auto" w:before="18"/>
        <w:ind w:right="1105" w:firstLine="420"/>
        <w:jc w:val="both"/>
      </w:pPr>
      <w:r>
        <w:rPr>
          <w:spacing w:val="-2"/>
        </w:rPr>
        <w:t>本公司在报告期内因同一控制下企业合并增加的子公司以及业务，编制合并资产负债表时，调整合并</w:t>
      </w:r>
      <w:r>
        <w:rPr>
          <w:w w:val="100"/>
        </w:rPr>
        <w:t> </w:t>
      </w:r>
      <w:r>
        <w:rPr>
          <w:spacing w:val="-2"/>
        </w:rPr>
        <w:t>资产负债表的期初数；编制合并利润表时，将该子公司以及业务合并当期期初至报告期末的收入、费用、</w:t>
      </w:r>
      <w:r>
        <w:rPr>
          <w:spacing w:val="-21"/>
        </w:rPr>
        <w:t> </w:t>
      </w:r>
      <w:r>
        <w:rPr>
          <w:spacing w:val="-21"/>
        </w:rPr>
      </w:r>
      <w:r>
        <w:rPr>
          <w:spacing w:val="-2"/>
        </w:rPr>
        <w:t>利润纳入合并利润表；编制现金流量表时，将该子公司以及业务合并当期期初至报告期末的现金流量纳入</w:t>
      </w:r>
      <w:r>
        <w:rPr>
          <w:spacing w:val="-44"/>
        </w:rPr>
        <w:t> </w:t>
      </w:r>
      <w:r>
        <w:rPr>
          <w:spacing w:val="-44"/>
        </w:rPr>
      </w:r>
      <w:r>
        <w:rPr>
          <w:spacing w:val="-2"/>
        </w:rPr>
        <w:t>合并现金流量表；同时对比较报表的相关项目进行调整，视同合并后的报告主体自最终控制方开始控制时</w:t>
      </w:r>
      <w:r>
        <w:rPr>
          <w:spacing w:val="-42"/>
        </w:rPr>
        <w:t> </w:t>
      </w:r>
      <w:r>
        <w:rPr>
          <w:spacing w:val="-42"/>
        </w:rPr>
      </w:r>
      <w:r>
        <w:rPr/>
        <w:t>点起一直存在。</w:t>
      </w:r>
    </w:p>
    <w:p>
      <w:pPr>
        <w:pStyle w:val="BodyText"/>
        <w:spacing w:line="273" w:lineRule="auto"/>
        <w:ind w:right="1126" w:firstLine="420"/>
        <w:jc w:val="both"/>
      </w:pPr>
      <w:r>
        <w:rPr>
          <w:spacing w:val="-2"/>
        </w:rPr>
        <w:t>因非同一控制下企业合并或其他方式增加的子公司以及业务，编制合并资产负债表时，不调整合并资</w:t>
      </w:r>
      <w:r>
        <w:rPr>
          <w:w w:val="100"/>
        </w:rPr>
        <w:t> </w:t>
      </w:r>
      <w:r>
        <w:rPr>
          <w:spacing w:val="-2"/>
        </w:rPr>
        <w:t>产负债表的期初数；编制合并利润表时，将该子公司以及业务购买日至报告期末的收入、费用、利润纳入</w:t>
      </w:r>
      <w:r>
        <w:rPr>
          <w:spacing w:val="-47"/>
        </w:rPr>
        <w:t> </w:t>
      </w:r>
      <w:r>
        <w:rPr>
          <w:spacing w:val="-47"/>
        </w:rPr>
      </w:r>
      <w:r>
        <w:rPr/>
        <w:t>合并利润表；编制合并现金流量表时，将该子公司购买日至报告期末的现金流量纳入合并现金流量表。</w:t>
      </w:r>
    </w:p>
    <w:p>
      <w:pPr>
        <w:pStyle w:val="BodyText"/>
        <w:spacing w:line="273" w:lineRule="auto"/>
        <w:ind w:right="1104" w:firstLine="420"/>
        <w:jc w:val="both"/>
      </w:pPr>
      <w:r>
        <w:rPr>
          <w:spacing w:val="-2"/>
        </w:rPr>
        <w:t>本公司在报告期内处置子公司以及业务，编制合并资产负债表时，不调整合并资产负债表的期初数；</w:t>
      </w:r>
      <w:r>
        <w:rPr>
          <w:w w:val="100"/>
        </w:rPr>
        <w:t> </w:t>
      </w:r>
      <w:r>
        <w:rPr>
          <w:spacing w:val="-2"/>
        </w:rPr>
        <w:t>编制合并利润表时，将该子公司以及业务期初至处置日的收入、费用、利润纳入合并利润表；编制合并现</w:t>
      </w:r>
      <w:r>
        <w:rPr>
          <w:spacing w:val="-46"/>
        </w:rPr>
        <w:t> </w:t>
      </w:r>
      <w:r>
        <w:rPr>
          <w:spacing w:val="-46"/>
        </w:rPr>
      </w:r>
      <w:r>
        <w:rPr/>
        <w:t>金流量表时，将该子公司以及业务期初至处置日的现金流量纳入合并现金流量表。</w:t>
      </w:r>
    </w:p>
    <w:p>
      <w:pPr>
        <w:pStyle w:val="BodyText"/>
        <w:spacing w:line="240" w:lineRule="auto"/>
        <w:ind w:left="573" w:right="0"/>
        <w:jc w:val="left"/>
      </w:pPr>
      <w:r>
        <w:rPr>
          <w:rFonts w:ascii="Times New Roman" w:hAnsi="Times New Roman" w:cs="Times New Roman" w:eastAsia="Times New Roman" w:hint="default"/>
        </w:rPr>
        <w:t>6.6</w:t>
      </w:r>
      <w:r>
        <w:rPr>
          <w:rFonts w:ascii="Times New Roman" w:hAnsi="Times New Roman" w:cs="Times New Roman" w:eastAsia="Times New Roman" w:hint="default"/>
          <w:spacing w:val="33"/>
        </w:rPr>
        <w:t> </w:t>
      </w:r>
      <w:r>
        <w:rPr/>
        <w:t>特殊交易会计处理</w:t>
      </w:r>
    </w:p>
    <w:p>
      <w:pPr>
        <w:pStyle w:val="BodyText"/>
        <w:spacing w:line="240" w:lineRule="auto" w:before="21"/>
        <w:ind w:left="573" w:right="0"/>
        <w:jc w:val="left"/>
      </w:pPr>
      <w:r>
        <w:rPr>
          <w:rFonts w:ascii="Times New Roman" w:hAnsi="Times New Roman" w:cs="Times New Roman" w:eastAsia="Times New Roman" w:hint="default"/>
        </w:rPr>
        <w:t>1</w:t>
      </w:r>
      <w:r>
        <w:rPr/>
        <w:t>）购买子公司少数股东拥有的子公司股权</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6" w:firstLine="420"/>
        <w:jc w:val="both"/>
      </w:pPr>
      <w:r>
        <w:rPr>
          <w:spacing w:val="-2"/>
        </w:rPr>
        <w:t>在合并财务报表中，因购买少数股权新取得的长期股权投资与按照新增持股比例计算应享有子公司自</w:t>
      </w:r>
      <w:r>
        <w:rPr>
          <w:w w:val="100"/>
        </w:rPr>
        <w:t> </w:t>
      </w:r>
      <w:r>
        <w:rPr>
          <w:spacing w:val="-2"/>
        </w:rPr>
        <w:t>购买日或合并日开始持续计算的净资产份额之间的差额，调整资本公积</w:t>
      </w:r>
      <w:r>
        <w:rPr>
          <w:rFonts w:ascii="Times New Roman" w:hAnsi="Times New Roman" w:cs="Times New Roman" w:eastAsia="Times New Roman" w:hint="default"/>
          <w:spacing w:val="-2"/>
        </w:rPr>
        <w:t>(</w:t>
      </w:r>
      <w:r>
        <w:rPr>
          <w:spacing w:val="-2"/>
        </w:rPr>
        <w:t>资本溢价或股本溢价</w:t>
      </w:r>
      <w:r>
        <w:rPr>
          <w:rFonts w:ascii="Times New Roman" w:hAnsi="Times New Roman" w:cs="Times New Roman" w:eastAsia="Times New Roman" w:hint="default"/>
          <w:spacing w:val="-2"/>
        </w:rPr>
        <w:t>)</w:t>
      </w:r>
      <w:r>
        <w:rPr>
          <w:spacing w:val="-2"/>
        </w:rPr>
        <w:t>，资本公积</w:t>
      </w:r>
      <w:r>
        <w:rPr>
          <w:spacing w:val="-19"/>
        </w:rPr>
        <w:t> </w:t>
      </w:r>
      <w:r>
        <w:rPr>
          <w:spacing w:val="-19"/>
        </w:rPr>
      </w:r>
      <w:r>
        <w:rPr/>
        <w:t>不足冲减的，调整留存收益。</w:t>
      </w:r>
    </w:p>
    <w:p>
      <w:pPr>
        <w:pStyle w:val="BodyText"/>
        <w:spacing w:line="256" w:lineRule="auto" w:before="14"/>
        <w:ind w:left="573" w:right="0"/>
        <w:jc w:val="left"/>
      </w:pPr>
      <w:r>
        <w:rPr>
          <w:rFonts w:ascii="Times New Roman" w:hAnsi="Times New Roman" w:cs="Times New Roman" w:eastAsia="Times New Roman" w:hint="default"/>
        </w:rPr>
        <w:t>2</w:t>
      </w:r>
      <w:r>
        <w:rPr/>
        <w:t>）不丧失控制权的情况下处置对子公司长期股权投资</w:t>
      </w:r>
      <w:r>
        <w:rPr>
          <w:w w:val="100"/>
        </w:rPr>
        <w:t> </w:t>
      </w:r>
      <w:r>
        <w:rPr>
          <w:spacing w:val="-2"/>
        </w:rPr>
        <w:t>在不丧失控制权的情况下部分处置对子公司的长期股权投资，在合并财务报表中，处置价款与处置长</w:t>
      </w:r>
    </w:p>
    <w:p>
      <w:pPr>
        <w:pStyle w:val="BodyText"/>
        <w:spacing w:line="273" w:lineRule="auto" w:before="22"/>
        <w:ind w:right="1126"/>
        <w:jc w:val="both"/>
      </w:pPr>
      <w:r>
        <w:rPr>
          <w:spacing w:val="-2"/>
        </w:rPr>
        <w:t>期股权投资相对应享有子公司自购买日或合并日开始持续计算的净资产份额之间的差额，应当调整资本公</w:t>
      </w:r>
      <w:r>
        <w:rPr>
          <w:spacing w:val="-43"/>
        </w:rPr>
        <w:t> </w:t>
      </w:r>
      <w:r>
        <w:rPr>
          <w:spacing w:val="-43"/>
        </w:rPr>
      </w:r>
      <w:r>
        <w:rPr/>
        <w:t>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BodyText"/>
        <w:spacing w:line="256" w:lineRule="auto" w:before="0"/>
        <w:ind w:left="573" w:right="0"/>
        <w:jc w:val="left"/>
      </w:pPr>
      <w:r>
        <w:rPr>
          <w:rFonts w:ascii="Times New Roman" w:hAnsi="Times New Roman" w:cs="Times New Roman" w:eastAsia="Times New Roman" w:hint="default"/>
        </w:rPr>
        <w:t>3</w:t>
      </w:r>
      <w:r>
        <w:rPr/>
        <w:t>）处置部分股权投资等原因丧失了对被投资方的控制权时，对于剩余股权的处理</w:t>
      </w:r>
      <w:r>
        <w:rPr>
          <w:w w:val="100"/>
        </w:rPr>
        <w:t> </w:t>
      </w:r>
      <w:r>
        <w:rPr>
          <w:spacing w:val="-2"/>
        </w:rPr>
        <w:t>在编制合并财务报表时，对于剩余股权，按照其在丧失控制权日的公允价值进行重新计量。处置股权</w:t>
      </w:r>
    </w:p>
    <w:p>
      <w:pPr>
        <w:pStyle w:val="BodyText"/>
        <w:spacing w:line="273" w:lineRule="auto" w:before="22"/>
        <w:ind w:right="1126"/>
        <w:jc w:val="both"/>
      </w:pPr>
      <w:r>
        <w:rPr>
          <w:spacing w:val="-2"/>
        </w:rPr>
        <w:t>取得的对价与剩余股权公允价值之和，减去按原持股比例计算应享有原有子公司自购买日或合并日开始持</w:t>
      </w:r>
      <w:r>
        <w:rPr>
          <w:spacing w:val="-43"/>
        </w:rPr>
        <w:t> </w:t>
      </w:r>
      <w:r>
        <w:rPr>
          <w:spacing w:val="-43"/>
        </w:rPr>
      </w:r>
      <w:r>
        <w:rPr>
          <w:spacing w:val="-2"/>
        </w:rPr>
        <w:t>续计算的净资产的份额之间的差额，计入丧失控制权当期的投资收益，同时冲减商誉。与原有子公司股权</w:t>
      </w:r>
      <w:r>
        <w:rPr>
          <w:spacing w:val="-44"/>
        </w:rPr>
        <w:t> </w:t>
      </w:r>
      <w:r>
        <w:rPr>
          <w:spacing w:val="-44"/>
        </w:rPr>
      </w:r>
      <w:r>
        <w:rPr/>
        <w:t>投资相关的其他综合收益等，在丧失控制权时转为当期投资收益。</w:t>
      </w:r>
    </w:p>
    <w:p>
      <w:pPr>
        <w:pStyle w:val="BodyText"/>
        <w:spacing w:line="259" w:lineRule="auto"/>
        <w:ind w:right="1210" w:firstLine="420"/>
        <w:jc w:val="both"/>
      </w:pPr>
      <w:r>
        <w:rPr>
          <w:rFonts w:ascii="Times New Roman" w:hAnsi="Times New Roman" w:cs="Times New Roman" w:eastAsia="Times New Roman" w:hint="default"/>
          <w:spacing w:val="-2"/>
        </w:rPr>
        <w:t>4</w:t>
      </w:r>
      <w:r>
        <w:rPr>
          <w:spacing w:val="-2"/>
        </w:rPr>
        <w:t>）企业通过多次交易分步处置对子公司股权投资直至丧失控制权，且该多次交易属于一揽子交易的</w:t>
      </w:r>
      <w:r>
        <w:rPr>
          <w:w w:val="100"/>
        </w:rPr>
        <w:t> </w:t>
      </w:r>
      <w:r>
        <w:rPr/>
        <w:t>处理</w:t>
      </w:r>
    </w:p>
    <w:p>
      <w:pPr>
        <w:pStyle w:val="BodyText"/>
        <w:spacing w:line="273" w:lineRule="auto" w:before="20"/>
        <w:ind w:right="1126" w:firstLine="420"/>
        <w:jc w:val="both"/>
      </w:pPr>
      <w:r>
        <w:rPr>
          <w:spacing w:val="-2"/>
        </w:rPr>
        <w:t>处置对子公司股权投资直至丧失控制权的各项交易属于一揽子交易的，应当将各项交易作为一项处置</w:t>
      </w:r>
      <w:r>
        <w:rPr>
          <w:w w:val="100"/>
        </w:rPr>
        <w:t> </w:t>
      </w:r>
      <w:r>
        <w:rPr>
          <w:spacing w:val="-2"/>
        </w:rPr>
        <w:t>子公司并丧失控制权的交易进行会计处理；但是，在丧失控制权之前每一次处置价款与处置投资对应的享</w:t>
      </w:r>
      <w:r>
        <w:rPr>
          <w:spacing w:val="-43"/>
        </w:rPr>
        <w:t> </w:t>
      </w:r>
      <w:r>
        <w:rPr>
          <w:spacing w:val="-43"/>
        </w:rPr>
      </w:r>
      <w:r>
        <w:rPr>
          <w:spacing w:val="-2"/>
        </w:rPr>
        <w:t>有该子公司净资产份额的差额，在合并财务报表中确认为其他综合收益，在丧失控制权时一并转入丧失控</w:t>
      </w:r>
      <w:r>
        <w:rPr>
          <w:spacing w:val="-43"/>
        </w:rPr>
        <w:t> </w:t>
      </w:r>
      <w:r>
        <w:rPr>
          <w:spacing w:val="-43"/>
        </w:rPr>
      </w:r>
      <w:r>
        <w:rPr/>
        <w:t>制权当期的损益。</w:t>
      </w:r>
    </w:p>
    <w:p>
      <w:pPr>
        <w:pStyle w:val="BodyText"/>
        <w:spacing w:line="273" w:lineRule="auto"/>
        <w:ind w:left="573" w:right="0"/>
        <w:jc w:val="left"/>
      </w:pPr>
      <w:r>
        <w:rPr/>
        <w:t>判断分步处置股权至丧失控制权过程的各项交易是否属于一揽子交易的原则如下：</w:t>
      </w:r>
      <w:r>
        <w:rPr>
          <w:w w:val="100"/>
        </w:rPr>
        <w:t> </w:t>
      </w:r>
      <w:r>
        <w:rPr>
          <w:spacing w:val="-2"/>
        </w:rPr>
        <w:t>处置对子公司股权投资的各项交易的条款、条件以及经济影响符合以下一种或多种情况，通常表明多</w:t>
      </w:r>
    </w:p>
    <w:p>
      <w:pPr>
        <w:pStyle w:val="BodyText"/>
        <w:spacing w:line="240" w:lineRule="auto"/>
        <w:ind w:right="0"/>
        <w:jc w:val="both"/>
      </w:pPr>
      <w:r>
        <w:rPr/>
        <w:t>次交易事项属于一揽子交易：</w:t>
      </w:r>
    </w:p>
    <w:p>
      <w:pPr>
        <w:pStyle w:val="BodyText"/>
        <w:spacing w:line="240" w:lineRule="auto" w:before="37"/>
        <w:ind w:left="573"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7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7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21"/>
        <w:ind w:left="573" w:right="0"/>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left="573" w:right="6794"/>
        <w:jc w:val="left"/>
      </w:pPr>
      <w:r>
        <w:rPr>
          <w:rFonts w:ascii="Times New Roman" w:hAnsi="Times New Roman" w:cs="Times New Roman" w:eastAsia="Times New Roman" w:hint="default"/>
        </w:rPr>
        <w:t>7.1</w:t>
      </w:r>
      <w:r>
        <w:rPr>
          <w:rFonts w:ascii="Times New Roman" w:hAnsi="Times New Roman" w:cs="Times New Roman" w:eastAsia="Times New Roman" w:hint="default"/>
          <w:spacing w:val="31"/>
        </w:rPr>
        <w:t> </w:t>
      </w:r>
      <w:r>
        <w:rPr/>
        <w:t>合营安排的分类</w:t>
      </w:r>
      <w:r>
        <w:rPr>
          <w:w w:val="100"/>
        </w:rPr>
        <w:t> </w:t>
      </w:r>
      <w:r>
        <w:rPr>
          <w:spacing w:val="-2"/>
        </w:rPr>
        <w:t>合营安排分为共同经营和合营企业。</w:t>
      </w:r>
      <w:r>
        <w:rPr>
          <w:spacing w:val="-72"/>
        </w:rPr>
        <w:t> </w:t>
      </w:r>
      <w:r>
        <w:rPr>
          <w:spacing w:val="-72"/>
        </w:rPr>
      </w:r>
      <w:r>
        <w:rPr>
          <w:rFonts w:ascii="Times New Roman" w:hAnsi="Times New Roman" w:cs="Times New Roman" w:eastAsia="Times New Roman" w:hint="default"/>
        </w:rPr>
        <w:t>7.2</w:t>
      </w:r>
      <w:r>
        <w:rPr/>
        <w:t>共同经营参与方的会计处理</w:t>
      </w:r>
    </w:p>
    <w:p>
      <w:pPr>
        <w:pStyle w:val="BodyText"/>
        <w:spacing w:line="273" w:lineRule="auto" w:before="0"/>
        <w:ind w:right="1124" w:firstLine="420"/>
        <w:jc w:val="left"/>
      </w:pPr>
      <w:r>
        <w:rPr>
          <w:spacing w:val="-2"/>
        </w:rPr>
        <w:t>合营方确认其与共同经营中利益份额相关的下列项目，并按照相关企业会计准则的规定进行会计处</w:t>
      </w:r>
      <w:r>
        <w:rPr>
          <w:w w:val="100"/>
        </w:rPr>
        <w:t> </w:t>
      </w:r>
      <w:r>
        <w:rPr/>
        <w:t>理：</w:t>
      </w:r>
    </w:p>
    <w:p>
      <w:pPr>
        <w:pStyle w:val="BodyText"/>
        <w:spacing w:line="240" w:lineRule="auto"/>
        <w:ind w:left="573" w:right="0"/>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1"/>
        <w:ind w:left="573"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1"/>
        <w:ind w:left="573"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9"/>
        <w:ind w:left="573"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259" w:lineRule="auto" w:before="21"/>
        <w:ind w:left="573" w:right="0"/>
        <w:jc w:val="left"/>
      </w:pP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2"/>
        </w:rPr>
        <w:t>合营方向共同经营投出或出售资产等</w:t>
      </w:r>
      <w:r>
        <w:rPr>
          <w:rFonts w:ascii="Times New Roman" w:hAnsi="Times New Roman" w:cs="Times New Roman" w:eastAsia="Times New Roman" w:hint="default"/>
          <w:spacing w:val="-2"/>
        </w:rPr>
        <w:t>(</w:t>
      </w:r>
      <w:r>
        <w:rPr>
          <w:spacing w:val="-2"/>
        </w:rPr>
        <w:t>该资产构成业务的除外</w:t>
      </w:r>
      <w:r>
        <w:rPr>
          <w:rFonts w:ascii="Times New Roman" w:hAnsi="Times New Roman" w:cs="Times New Roman" w:eastAsia="Times New Roman" w:hint="default"/>
          <w:spacing w:val="-2"/>
        </w:rPr>
        <w:t>)</w:t>
      </w:r>
      <w:r>
        <w:rPr>
          <w:spacing w:val="-2"/>
        </w:rPr>
        <w:t>，在该资产等由共同经营出售给第三方</w:t>
      </w:r>
    </w:p>
    <w:p>
      <w:pPr>
        <w:pStyle w:val="BodyText"/>
        <w:spacing w:line="273" w:lineRule="auto" w:before="2"/>
        <w:ind w:right="1126"/>
        <w:jc w:val="both"/>
      </w:pPr>
      <w:r>
        <w:rPr>
          <w:spacing w:val="-2"/>
        </w:rPr>
        <w:t>之前，仅确认因该交易产生的损益中归属于共同经营其他参与方的部分。投出或出售的资产发生符合《企</w:t>
      </w:r>
      <w:r>
        <w:rPr>
          <w:spacing w:val="-44"/>
        </w:rPr>
        <w:t> </w:t>
      </w:r>
      <w:r>
        <w:rPr>
          <w:spacing w:val="-44"/>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资产减值》等规定的资产减值损失的，合营方全额确认该损失。</w:t>
      </w:r>
    </w:p>
    <w:p>
      <w:pPr>
        <w:pStyle w:val="BodyText"/>
        <w:spacing w:line="256" w:lineRule="auto" w:before="0"/>
        <w:ind w:right="1174" w:firstLine="420"/>
        <w:jc w:val="both"/>
      </w:pPr>
      <w:r>
        <w:rPr>
          <w:spacing w:val="-2"/>
        </w:rPr>
        <w:t>合营方自共同经营购买资产等</w:t>
      </w:r>
      <w:r>
        <w:rPr>
          <w:rFonts w:ascii="Times New Roman" w:hAnsi="Times New Roman" w:cs="Times New Roman" w:eastAsia="Times New Roman" w:hint="default"/>
          <w:spacing w:val="-2"/>
        </w:rPr>
        <w:t>(</w:t>
      </w:r>
      <w:r>
        <w:rPr>
          <w:spacing w:val="-2"/>
        </w:rPr>
        <w:t>该资产构成业务的除外</w:t>
      </w:r>
      <w:r>
        <w:rPr>
          <w:rFonts w:ascii="Times New Roman" w:hAnsi="Times New Roman" w:cs="Times New Roman" w:eastAsia="Times New Roman" w:hint="default"/>
          <w:spacing w:val="-2"/>
        </w:rPr>
        <w:t>)</w:t>
      </w:r>
      <w:r>
        <w:rPr>
          <w:spacing w:val="-2"/>
        </w:rPr>
        <w:t>，在将该资产等出售给第三方之前，仅确认因</w:t>
      </w:r>
      <w:r>
        <w:rPr>
          <w:w w:val="100"/>
        </w:rPr>
        <w:t> </w:t>
      </w:r>
      <w:r>
        <w:rPr>
          <w:spacing w:val="-2"/>
        </w:rPr>
        <w:t>该交易产生的损益中归属于共同经营其他参与方的部分。购入的资产发生符合《企业会计准则第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9"/>
        </w:rPr>
        <w:t> </w:t>
      </w:r>
      <w:r>
        <w:rPr/>
        <w:t>资产减值》等规定的资产减值损失的，合营方按其承担的份额确认该部分损失。</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对共同经营不享有共同控制的参与方，如果享有该共同经营相关资产且承担该共同经营相关负债的，按照</w:t>
      </w:r>
      <w:r>
        <w:rPr>
          <w:spacing w:val="-43"/>
        </w:rPr>
        <w:t> </w:t>
      </w:r>
      <w:r>
        <w:rPr>
          <w:spacing w:val="-43"/>
        </w:rPr>
      </w:r>
      <w:r>
        <w:rPr/>
        <w:t>上述方法进行会计处理；否则，按照相关企业会计准则的规定进行会计处理。</w:t>
      </w:r>
    </w:p>
    <w:p>
      <w:pPr>
        <w:spacing w:line="600" w:lineRule="atLeast"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列示于现金流量表中的现金是指库存现金及可随时用于支付的存款，现金等价物是指持有的期限短</w:t>
      </w:r>
    </w:p>
    <w:p>
      <w:pPr>
        <w:pStyle w:val="BodyText"/>
        <w:spacing w:line="240" w:lineRule="auto" w:before="37"/>
        <w:ind w:right="0"/>
        <w:jc w:val="both"/>
      </w:pPr>
      <w:r>
        <w:rPr/>
        <w:t>（一般指从购买日起三个月内到期）、流动性强、易于转换为已知金额现金及价值变动风险很小的投资。</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3554"/>
        <w:jc w:val="left"/>
      </w:pPr>
      <w:r>
        <w:rPr>
          <w:rFonts w:ascii="Times New Roman" w:hAnsi="Times New Roman" w:cs="Times New Roman" w:eastAsia="Times New Roman" w:hint="default"/>
        </w:rPr>
        <w:t>9.1</w:t>
      </w:r>
      <w:r>
        <w:rPr>
          <w:rFonts w:ascii="Times New Roman" w:hAnsi="Times New Roman" w:cs="Times New Roman" w:eastAsia="Times New Roman" w:hint="default"/>
          <w:spacing w:val="31"/>
        </w:rPr>
        <w:t> </w:t>
      </w:r>
      <w:r>
        <w:rPr/>
        <w:t>外币业务</w:t>
      </w:r>
      <w:r>
        <w:rPr>
          <w:w w:val="100"/>
        </w:rPr>
        <w:t> </w:t>
      </w:r>
      <w:r>
        <w:rPr>
          <w:spacing w:val="-2"/>
        </w:rPr>
        <w:t>外币业务按业务发生日的即期汇率将外币金额折算为人民币入账。</w:t>
      </w:r>
    </w:p>
    <w:p>
      <w:pPr>
        <w:pStyle w:val="BodyText"/>
        <w:spacing w:line="273" w:lineRule="auto" w:before="22"/>
        <w:ind w:right="1126" w:firstLine="420"/>
        <w:jc w:val="both"/>
      </w:pPr>
      <w:r>
        <w:rPr>
          <w:spacing w:val="-2"/>
        </w:rPr>
        <w:t>于资产负债表日，外币货币性项目采用资产负债表日的即期汇率折算为人民币，所产生的折算差额除</w:t>
      </w:r>
      <w:r>
        <w:rPr>
          <w:w w:val="100"/>
        </w:rPr>
        <w:t> </w:t>
      </w:r>
      <w:r>
        <w:rPr>
          <w:spacing w:val="-2"/>
        </w:rPr>
        <w:t>了为购建或生产符合资本化条件的资产而借入的外币借款产生的汇兑差额按资本化的原则处理外，直接计</w:t>
      </w:r>
      <w:r>
        <w:rPr>
          <w:spacing w:val="-43"/>
        </w:rPr>
        <w:t> </w:t>
      </w:r>
      <w:r>
        <w:rPr>
          <w:spacing w:val="-43"/>
        </w:rPr>
      </w:r>
      <w:r>
        <w:rPr/>
        <w:t>入当期损益。以历史成本计量的外币非货币性项目，于资产负债表日采用交易发生日的即期汇率折算。</w:t>
      </w:r>
    </w:p>
    <w:p>
      <w:pPr>
        <w:pStyle w:val="BodyText"/>
        <w:spacing w:line="256" w:lineRule="auto"/>
        <w:ind w:left="573" w:right="0"/>
        <w:jc w:val="left"/>
      </w:pPr>
      <w:r>
        <w:rPr>
          <w:rFonts w:ascii="Times New Roman" w:hAnsi="Times New Roman" w:cs="Times New Roman" w:eastAsia="Times New Roman" w:hint="default"/>
        </w:rPr>
        <w:t>9.2</w:t>
      </w:r>
      <w:r>
        <w:rPr>
          <w:rFonts w:ascii="Times New Roman" w:hAnsi="Times New Roman" w:cs="Times New Roman" w:eastAsia="Times New Roman" w:hint="default"/>
          <w:spacing w:val="31"/>
        </w:rPr>
        <w:t> </w:t>
      </w:r>
      <w:r>
        <w:rPr/>
        <w:t>外币财务报表的折算</w:t>
      </w:r>
      <w:r>
        <w:rPr>
          <w:w w:val="100"/>
        </w:rPr>
        <w:t> </w:t>
      </w:r>
      <w:r>
        <w:rPr>
          <w:spacing w:val="-2"/>
        </w:rPr>
        <w:t>以非记账本位币编制的资产负债表中的资产和负债项目，采用资产负债表日的即期汇率折算成记账本</w:t>
      </w:r>
    </w:p>
    <w:p>
      <w:pPr>
        <w:pStyle w:val="BodyText"/>
        <w:spacing w:line="273" w:lineRule="auto" w:before="22"/>
        <w:ind w:right="1126"/>
        <w:jc w:val="both"/>
      </w:pPr>
      <w:r>
        <w:rPr>
          <w:spacing w:val="-2"/>
        </w:rPr>
        <w:t>位币，所有者权益中除未分配利润项目外，其他项目采用发生时的即期汇率折算。以非记账本位币编制的</w:t>
      </w:r>
      <w:r>
        <w:rPr>
          <w:spacing w:val="-45"/>
        </w:rPr>
        <w:t> </w:t>
      </w:r>
      <w:r>
        <w:rPr>
          <w:spacing w:val="-45"/>
        </w:rPr>
      </w:r>
      <w:r>
        <w:rPr>
          <w:spacing w:val="-2"/>
        </w:rPr>
        <w:t>利润表中的收入与费用项目，采用交易发生日的即期汇率折算成记账本位币。上述折算产生的外币报表折</w:t>
      </w:r>
      <w:r>
        <w:rPr>
          <w:spacing w:val="-44"/>
        </w:rPr>
        <w:t> </w:t>
      </w:r>
      <w:r>
        <w:rPr>
          <w:spacing w:val="-44"/>
        </w:rPr>
      </w:r>
      <w:r>
        <w:rPr>
          <w:spacing w:val="-2"/>
        </w:rPr>
        <w:t>算差额，在其他综合收益中核算。以非记账本位币编制的现金流量表中各项目的现金流量采用现金流量发</w:t>
      </w:r>
      <w:r>
        <w:rPr>
          <w:spacing w:val="-44"/>
        </w:rPr>
        <w:t> </w:t>
      </w:r>
      <w:r>
        <w:rPr>
          <w:spacing w:val="-44"/>
        </w:rPr>
      </w:r>
      <w:r>
        <w:rPr/>
        <w:t>生日的即期汇率折算成记账本位币。汇率变动对现金的影响额，在现金流量表中单独列示。</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before="0"/>
        <w:ind w:left="573" w:right="2114"/>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30"/>
        </w:rPr>
        <w:t> </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r>
        <w:rPr>
          <w:w w:val="100"/>
        </w:rPr>
        <w:t> </w:t>
      </w:r>
      <w:r>
        <w:rPr>
          <w:rFonts w:ascii="Times New Roman" w:hAnsi="Times New Roman" w:cs="Times New Roman" w:eastAsia="Times New Roman" w:hint="default"/>
        </w:rPr>
        <w:t>1</w:t>
      </w:r>
      <w:r>
        <w:rPr/>
        <w:t>）收取该金融资产现金流量的合同权利终止；</w:t>
      </w:r>
    </w:p>
    <w:p>
      <w:pPr>
        <w:pStyle w:val="BodyText"/>
        <w:spacing w:line="256" w:lineRule="auto" w:before="0"/>
        <w:ind w:right="1210" w:firstLine="420"/>
        <w:jc w:val="both"/>
      </w:pPr>
      <w:r>
        <w:rPr>
          <w:rFonts w:ascii="Times New Roman" w:hAnsi="Times New Roman" w:cs="Times New Roman" w:eastAsia="Times New Roman" w:hint="default"/>
          <w:spacing w:val="-2"/>
        </w:rPr>
        <w:t>2</w:t>
      </w:r>
      <w:r>
        <w:rPr>
          <w:spacing w:val="-2"/>
        </w:rPr>
        <w:t>）该金融资产已转移，且符合《企业会计准则第</w:t>
      </w:r>
      <w:r>
        <w:rPr>
          <w:rFonts w:ascii="Times New Roman" w:hAnsi="Times New Roman" w:cs="Times New Roman" w:eastAsia="Times New Roman" w:hint="default"/>
          <w:spacing w:val="-2"/>
        </w:rPr>
        <w:t>23</w:t>
      </w:r>
      <w:r>
        <w:rPr>
          <w:spacing w:val="-2"/>
        </w:rPr>
        <w:t>号－金融资产转移》规定的金融资产终止确认条</w:t>
      </w:r>
      <w:r>
        <w:rPr>
          <w:w w:val="100"/>
        </w:rPr>
        <w:t> </w:t>
      </w:r>
      <w:r>
        <w:rPr/>
        <w:t>件。</w:t>
      </w:r>
    </w:p>
    <w:p>
      <w:pPr>
        <w:pStyle w:val="BodyText"/>
        <w:spacing w:line="240" w:lineRule="auto" w:before="22"/>
        <w:ind w:left="573" w:right="0"/>
        <w:jc w:val="left"/>
      </w:pPr>
      <w:r>
        <w:rPr/>
        <w:t>金融负债的现时义务全部或部分已经解除的，终止确认该金融负债或其一部分。</w:t>
      </w:r>
    </w:p>
    <w:p>
      <w:pPr>
        <w:pStyle w:val="BodyText"/>
        <w:spacing w:line="256" w:lineRule="auto" w:before="37"/>
        <w:ind w:left="573" w:right="0"/>
        <w:jc w:val="left"/>
      </w:pPr>
      <w:r>
        <w:rPr>
          <w:rFonts w:ascii="Times New Roman" w:hAnsi="Times New Roman" w:cs="Times New Roman" w:eastAsia="Times New Roman" w:hint="default"/>
        </w:rPr>
        <w:t>10.2</w:t>
      </w:r>
      <w:r>
        <w:rPr>
          <w:rFonts w:ascii="Times New Roman" w:hAnsi="Times New Roman" w:cs="Times New Roman" w:eastAsia="Times New Roman" w:hint="default"/>
          <w:spacing w:val="30"/>
        </w:rPr>
        <w:t> </w:t>
      </w:r>
      <w:r>
        <w:rPr/>
        <w:t>金融资产的分类</w:t>
      </w:r>
      <w:r>
        <w:rPr>
          <w:w w:val="100"/>
        </w:rPr>
        <w:t> </w:t>
      </w:r>
      <w:r>
        <w:rPr>
          <w:spacing w:val="-2"/>
        </w:rPr>
        <w:t>金融资产于初始确认时分类为：以公允价值计量且其变动计入当期损益的金融资产、应收款项、可供</w:t>
      </w:r>
    </w:p>
    <w:p>
      <w:pPr>
        <w:pStyle w:val="BodyText"/>
        <w:spacing w:line="240" w:lineRule="auto" w:before="22"/>
        <w:ind w:right="0"/>
        <w:jc w:val="both"/>
      </w:pPr>
      <w:r>
        <w:rPr/>
        <w:t>出售金融资产和持有至到期投资。金融资产的分类取决于本公司对金融资产的持有意图和持有能力。</w:t>
      </w:r>
    </w:p>
    <w:p>
      <w:pPr>
        <w:pStyle w:val="BodyText"/>
        <w:spacing w:line="256" w:lineRule="auto" w:before="3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以公允价值计量且其变动计入当期损益的金融资产</w:t>
      </w:r>
      <w:r>
        <w:rPr>
          <w:w w:val="100"/>
        </w:rPr>
        <w:t> </w:t>
      </w:r>
      <w:r>
        <w:rPr>
          <w:spacing w:val="-2"/>
        </w:rPr>
        <w:t>以公允价值计量且其变动计入当期损益的金融资产包括持有目的为短期内出售的金融资产，该资产在</w:t>
      </w:r>
    </w:p>
    <w:p>
      <w:pPr>
        <w:pStyle w:val="BodyText"/>
        <w:spacing w:line="240" w:lineRule="auto" w:before="22"/>
        <w:ind w:right="0"/>
        <w:jc w:val="both"/>
      </w:pPr>
      <w:r>
        <w:rPr/>
        <w:t>资产负债表中以交易性金融资产列示。</w:t>
      </w:r>
    </w:p>
    <w:p>
      <w:pPr>
        <w:pStyle w:val="BodyText"/>
        <w:spacing w:line="259" w:lineRule="auto" w:before="37"/>
        <w:ind w:left="573" w:right="11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spacing w:val="-103"/>
        </w:rPr>
        <w:t> </w:t>
      </w:r>
      <w:r>
        <w:rPr>
          <w:spacing w:val="-103"/>
        </w:rPr>
      </w:r>
      <w:r>
        <w:rPr>
          <w:spacing w:val="-2"/>
        </w:rPr>
        <w:t>应收款项是指在活跃市场中没有报价、回收金额固定或可确定的非衍生金融资产，包括应收账款、其</w:t>
      </w:r>
    </w:p>
    <w:p>
      <w:pPr>
        <w:pStyle w:val="BodyText"/>
        <w:spacing w:line="240" w:lineRule="auto" w:before="20"/>
        <w:ind w:right="0"/>
        <w:jc w:val="both"/>
      </w:pPr>
      <w:r>
        <w:rPr/>
        <w:t>他应收款和长期应收款等。</w:t>
      </w:r>
    </w:p>
    <w:p>
      <w:pPr>
        <w:pStyle w:val="BodyText"/>
        <w:spacing w:line="256" w:lineRule="auto" w:before="37"/>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可供出售金融资产</w:t>
      </w:r>
      <w:r>
        <w:rPr>
          <w:w w:val="100"/>
        </w:rPr>
        <w:t> </w:t>
      </w:r>
      <w:r>
        <w:rPr>
          <w:spacing w:val="-2"/>
        </w:rPr>
        <w:t>可供出售金融资产包括初始确认时即被指定为可供出售的非衍生金融资产及未被划分为其他类的金</w:t>
      </w:r>
    </w:p>
    <w:p>
      <w:pPr>
        <w:pStyle w:val="BodyText"/>
        <w:spacing w:line="256" w:lineRule="auto" w:before="22"/>
        <w:ind w:right="1124"/>
        <w:jc w:val="left"/>
      </w:pPr>
      <w:r>
        <w:rPr>
          <w:spacing w:val="-2"/>
        </w:rPr>
        <w:t>融资产。自资产负债表日起</w:t>
      </w:r>
      <w:r>
        <w:rPr>
          <w:rFonts w:ascii="Times New Roman" w:hAnsi="Times New Roman" w:cs="Times New Roman" w:eastAsia="Times New Roman" w:hint="default"/>
          <w:spacing w:val="-2"/>
        </w:rPr>
        <w:t>12</w:t>
      </w:r>
      <w:r>
        <w:rPr>
          <w:spacing w:val="-2"/>
        </w:rPr>
        <w:t>个月内将出售的可供出售金融资产在资产负债表中列示为一年内到期的非流</w:t>
      </w:r>
      <w:r>
        <w:rPr>
          <w:spacing w:val="-41"/>
        </w:rPr>
        <w:t> </w:t>
      </w:r>
      <w:r>
        <w:rPr>
          <w:spacing w:val="-41"/>
        </w:rPr>
      </w:r>
      <w:r>
        <w:rPr/>
        <w:t>动资产。</w:t>
      </w:r>
    </w:p>
    <w:p>
      <w:pPr>
        <w:pStyle w:val="BodyText"/>
        <w:spacing w:line="240" w:lineRule="auto" w:before="22"/>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持有至到期投资</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6" w:firstLine="420"/>
        <w:jc w:val="both"/>
      </w:pPr>
      <w:r>
        <w:rPr>
          <w:spacing w:val="-2"/>
        </w:rPr>
        <w:t>持有至到期投资是指到期日固定、回收金额固定或可确定，且管理层有明确意图和能力持有至到期的</w:t>
      </w:r>
      <w:r>
        <w:rPr>
          <w:w w:val="100"/>
        </w:rPr>
        <w:t> </w:t>
      </w:r>
      <w:r>
        <w:rPr>
          <w:spacing w:val="-2"/>
        </w:rPr>
        <w:t>非衍生金融资产。自资产负债表日起</w:t>
      </w:r>
      <w:r>
        <w:rPr>
          <w:rFonts w:ascii="Times New Roman" w:hAnsi="Times New Roman" w:cs="Times New Roman" w:eastAsia="Times New Roman" w:hint="default"/>
          <w:spacing w:val="-2"/>
        </w:rPr>
        <w:t>12</w:t>
      </w:r>
      <w:r>
        <w:rPr>
          <w:spacing w:val="-2"/>
        </w:rPr>
        <w:t>个月内到期的持有至到期投资在资产负债表中列示为一年内到期的</w:t>
      </w:r>
      <w:r>
        <w:rPr>
          <w:spacing w:val="-40"/>
        </w:rPr>
        <w:t> </w:t>
      </w:r>
      <w:r>
        <w:rPr>
          <w:spacing w:val="-40"/>
        </w:rPr>
      </w:r>
      <w:r>
        <w:rPr/>
        <w:t>非流动资产。</w:t>
      </w:r>
    </w:p>
    <w:p>
      <w:pPr>
        <w:pStyle w:val="BodyText"/>
        <w:spacing w:line="256" w:lineRule="auto" w:before="14"/>
        <w:ind w:left="573" w:right="0"/>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30"/>
        </w:rPr>
        <w:t> </w:t>
      </w:r>
      <w:r>
        <w:rPr/>
        <w:t>金融资产的计量</w:t>
      </w:r>
      <w:r>
        <w:rPr>
          <w:w w:val="100"/>
        </w:rPr>
        <w:t> </w:t>
      </w:r>
      <w:r>
        <w:rPr>
          <w:spacing w:val="-2"/>
        </w:rPr>
        <w:t>金融资产于本公司成为金融工具合同的一方时，按公允价值在资产负债表内确认。以公允价值计量且</w:t>
      </w:r>
    </w:p>
    <w:p>
      <w:pPr>
        <w:pStyle w:val="BodyText"/>
        <w:spacing w:line="273" w:lineRule="auto" w:before="22"/>
        <w:ind w:right="0"/>
        <w:jc w:val="left"/>
      </w:pPr>
      <w:r>
        <w:rPr>
          <w:spacing w:val="-2"/>
        </w:rPr>
        <w:t>其变动计入当期损益的金融资产，取得时发生的相关交易费用直接计入当期损益。其他金融资产的相关交</w:t>
      </w:r>
      <w:r>
        <w:rPr>
          <w:spacing w:val="-43"/>
        </w:rPr>
        <w:t> </w:t>
      </w:r>
      <w:r>
        <w:rPr>
          <w:spacing w:val="-43"/>
        </w:rPr>
      </w:r>
      <w:r>
        <w:rPr/>
        <w:t>易费用计入初始确认金额。</w:t>
      </w:r>
    </w:p>
    <w:p>
      <w:pPr>
        <w:pStyle w:val="BodyText"/>
        <w:spacing w:line="273" w:lineRule="auto"/>
        <w:ind w:right="1104" w:firstLine="420"/>
        <w:jc w:val="both"/>
      </w:pPr>
      <w:r>
        <w:rPr>
          <w:spacing w:val="-2"/>
        </w:rPr>
        <w:t>以公允价值计量且其变动计入当期损益的金融资产和可供出售金融资产按照公允价值进行后续计量，</w:t>
      </w:r>
      <w:r>
        <w:rPr>
          <w:w w:val="100"/>
        </w:rPr>
        <w:t> </w:t>
      </w:r>
      <w:r>
        <w:rPr>
          <w:spacing w:val="-2"/>
        </w:rPr>
        <w:t>但在活跃市场中没有报价且其公允价值不能可靠计量的权益工具投资，按照成本计量；应收款项以及持有</w:t>
      </w:r>
      <w:r>
        <w:rPr>
          <w:spacing w:val="-42"/>
        </w:rPr>
        <w:t> </w:t>
      </w:r>
      <w:r>
        <w:rPr>
          <w:spacing w:val="-42"/>
        </w:rPr>
      </w:r>
      <w:r>
        <w:rPr/>
        <w:t>至到期投资采用实际利率法，以摊余成本计量。</w:t>
      </w:r>
    </w:p>
    <w:p>
      <w:pPr>
        <w:pStyle w:val="BodyText"/>
        <w:spacing w:line="273" w:lineRule="auto"/>
        <w:ind w:right="1126" w:firstLine="420"/>
        <w:jc w:val="both"/>
      </w:pPr>
      <w:r>
        <w:rPr>
          <w:spacing w:val="-2"/>
        </w:rPr>
        <w:t>以公允价值计量且其变动计入当期损益的金融资产的公允价值变动计入公允价值变动损益；在资产持</w:t>
      </w:r>
      <w:r>
        <w:rPr>
          <w:w w:val="100"/>
        </w:rPr>
        <w:t> </w:t>
      </w:r>
      <w:r>
        <w:rPr/>
        <w:t>有期间所取得的利息或现金股利以及在处置时产生的处置损益，计入当期损益。</w:t>
      </w:r>
    </w:p>
    <w:p>
      <w:pPr>
        <w:pStyle w:val="BodyText"/>
        <w:spacing w:line="273" w:lineRule="auto"/>
        <w:ind w:right="0" w:firstLine="420"/>
        <w:jc w:val="left"/>
      </w:pPr>
      <w:r>
        <w:rPr/>
        <w:t>除减值损失及外币货币性金融资产形成的汇兑损益外，可供出售金融资产公允价值变动计入股东权</w:t>
      </w:r>
      <w:r>
        <w:rPr>
          <w:w w:val="100"/>
        </w:rPr>
        <w:t> </w:t>
      </w:r>
      <w:r>
        <w:rPr>
          <w:spacing w:val="-2"/>
        </w:rPr>
        <w:t>益，待该金融资产终止确认时，原直接计入权益的公允价值变动累计额转入当期损益。可供出售债务工具</w:t>
      </w:r>
      <w:r>
        <w:rPr>
          <w:spacing w:val="-44"/>
        </w:rPr>
        <w:t> </w:t>
      </w:r>
      <w:r>
        <w:rPr>
          <w:spacing w:val="-44"/>
        </w:rPr>
      </w:r>
      <w:r>
        <w:rPr>
          <w:spacing w:val="-2"/>
        </w:rPr>
        <w:t>投资在持有期间按实际利率法计算利息，计入投资收益；可供出售权益工具投资的现金股利，于被投资单</w:t>
      </w:r>
      <w:r>
        <w:rPr>
          <w:spacing w:val="-45"/>
        </w:rPr>
        <w:t> </w:t>
      </w:r>
      <w:r>
        <w:rPr>
          <w:spacing w:val="-45"/>
        </w:rPr>
      </w:r>
      <w:r>
        <w:rPr/>
        <w:t>位宣告发放股利时计入投资收益。</w:t>
      </w:r>
    </w:p>
    <w:p>
      <w:pPr>
        <w:pStyle w:val="BodyText"/>
        <w:spacing w:line="256" w:lineRule="auto"/>
        <w:ind w:left="573" w:right="0"/>
        <w:jc w:val="left"/>
      </w:pPr>
      <w:r>
        <w:rPr>
          <w:rFonts w:ascii="Times New Roman" w:hAnsi="Times New Roman" w:cs="Times New Roman" w:eastAsia="Times New Roman" w:hint="default"/>
        </w:rPr>
        <w:t>10.4</w:t>
      </w:r>
      <w:r>
        <w:rPr>
          <w:rFonts w:ascii="Times New Roman" w:hAnsi="Times New Roman" w:cs="Times New Roman" w:eastAsia="Times New Roman" w:hint="default"/>
          <w:spacing w:val="30"/>
        </w:rPr>
        <w:t> </w:t>
      </w:r>
      <w:r>
        <w:rPr/>
        <w:t>金融资产转移的确认依据和计量方法</w:t>
      </w:r>
      <w:r>
        <w:rPr>
          <w:w w:val="100"/>
        </w:rPr>
        <w:t> </w:t>
      </w:r>
      <w:r>
        <w:rPr>
          <w:spacing w:val="-2"/>
        </w:rPr>
        <w:t>公司已将金融资产所有权上几乎所有的风险和报酬转移给转入方的，终止确认该金融资产；保留了金</w:t>
      </w:r>
    </w:p>
    <w:p>
      <w:pPr>
        <w:pStyle w:val="BodyText"/>
        <w:spacing w:line="273" w:lineRule="auto" w:before="22"/>
        <w:ind w:left="573" w:right="1124" w:hanging="421"/>
        <w:jc w:val="left"/>
      </w:pPr>
      <w:r>
        <w:rPr/>
        <w:t>融资产所有权上几乎所有的风险和报酬的，不终止确认该金融资产。</w:t>
      </w:r>
      <w:r>
        <w:rPr>
          <w:w w:val="100"/>
        </w:rPr>
        <w:t> </w:t>
      </w:r>
      <w:r>
        <w:rPr>
          <w:spacing w:val="-2"/>
        </w:rPr>
        <w:t>金融资产整体转移满足终止确认条件的，将下列两项金额的差额计入当期损益：</w:t>
      </w:r>
      <w:r>
        <w:rPr>
          <w:w w:val="100"/>
        </w:rPr>
        <w:t> </w:t>
      </w:r>
      <w:r>
        <w:rPr>
          <w:rFonts w:ascii="Times New Roman" w:hAnsi="Times New Roman" w:cs="Times New Roman" w:eastAsia="Times New Roman" w:hint="default"/>
        </w:rPr>
        <w:t>1</w:t>
      </w:r>
      <w:r>
        <w:rPr/>
        <w:t>）所转移金融资产的账面价值；</w:t>
      </w:r>
    </w:p>
    <w:p>
      <w:pPr>
        <w:pStyle w:val="BodyText"/>
        <w:spacing w:line="256" w:lineRule="auto" w:before="0"/>
        <w:ind w:right="1210" w:firstLine="420"/>
        <w:jc w:val="both"/>
      </w:pP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w:t>
      </w:r>
      <w:r>
        <w:rPr>
          <w:w w:val="100"/>
        </w:rPr>
        <w:t> </w:t>
      </w:r>
      <w:r>
        <w:rPr/>
        <w:t>可供出售金融资产的情形）之和。</w:t>
      </w:r>
    </w:p>
    <w:p>
      <w:pPr>
        <w:pStyle w:val="BodyText"/>
        <w:spacing w:line="273" w:lineRule="auto" w:before="22"/>
        <w:ind w:right="1126" w:firstLine="420"/>
        <w:jc w:val="both"/>
      </w:pPr>
      <w:r>
        <w:rPr>
          <w:spacing w:val="-2"/>
        </w:rPr>
        <w:t>因金融资产转移获得了新金融资产或承担了新金融负债的，在转移日按照公允价值确认该金融资产或</w:t>
      </w:r>
      <w:r>
        <w:rPr>
          <w:w w:val="100"/>
        </w:rPr>
        <w:t> </w:t>
      </w:r>
      <w:r>
        <w:rPr>
          <w:spacing w:val="-2"/>
        </w:rPr>
        <w:t>金融负债（包括看涨期权、看跌期权、担保负债、远期合同、互换等），并将该金融资产扣除金融负债后</w:t>
      </w:r>
      <w:r>
        <w:rPr>
          <w:spacing w:val="-45"/>
        </w:rPr>
        <w:t> </w:t>
      </w:r>
      <w:r>
        <w:rPr>
          <w:spacing w:val="-45"/>
        </w:rPr>
      </w:r>
      <w:r>
        <w:rPr/>
        <w:t>的净额作为上述对价的组成部分。</w:t>
      </w:r>
    </w:p>
    <w:p>
      <w:pPr>
        <w:pStyle w:val="BodyText"/>
        <w:spacing w:line="273" w:lineRule="auto"/>
        <w:ind w:right="1126" w:firstLine="420"/>
        <w:jc w:val="both"/>
      </w:pPr>
      <w:r>
        <w:rPr>
          <w:spacing w:val="-2"/>
        </w:rPr>
        <w:t>公司与金融资产转入方签订服务合同提供相关服务的（包括收取该金融资产的现金流量，并将所收取</w:t>
      </w:r>
      <w:r>
        <w:rPr>
          <w:w w:val="100"/>
        </w:rPr>
        <w:t> </w:t>
      </w:r>
      <w:r>
        <w:rPr>
          <w:spacing w:val="-2"/>
        </w:rPr>
        <w:t>的现金流量交付给指定的资金保管机构等），就该服务合同确认一项服务资产或服务负债。服务负债应当</w:t>
      </w:r>
      <w:r>
        <w:rPr>
          <w:spacing w:val="-44"/>
        </w:rPr>
        <w:t> </w:t>
      </w:r>
      <w:r>
        <w:rPr>
          <w:spacing w:val="-44"/>
        </w:rPr>
      </w:r>
      <w:r>
        <w:rPr/>
        <w:t>按照公允价值进行初始计量，并作为上述对价的组成部分。</w:t>
      </w:r>
    </w:p>
    <w:p>
      <w:pPr>
        <w:pStyle w:val="BodyText"/>
        <w:spacing w:line="273" w:lineRule="auto"/>
        <w:ind w:right="1126" w:firstLine="420"/>
        <w:jc w:val="both"/>
      </w:pPr>
      <w:r>
        <w:rPr>
          <w:spacing w:val="-2"/>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47"/>
        </w:rPr>
        <w:t> </w:t>
      </w:r>
      <w:r>
        <w:rPr>
          <w:spacing w:val="-47"/>
        </w:rPr>
      </w:r>
      <w:r>
        <w:rPr/>
        <w:t>对公允价值进行分摊，并将下列两项金额的差额计入当期损益：</w:t>
      </w:r>
    </w:p>
    <w:p>
      <w:pPr>
        <w:pStyle w:val="BodyText"/>
        <w:spacing w:line="240" w:lineRule="auto"/>
        <w:ind w:left="573" w:right="0"/>
        <w:jc w:val="left"/>
      </w:pPr>
      <w:r>
        <w:rPr>
          <w:rFonts w:ascii="Times New Roman" w:hAnsi="Times New Roman" w:cs="Times New Roman" w:eastAsia="Times New Roman" w:hint="default"/>
        </w:rPr>
        <w:t>1</w:t>
      </w:r>
      <w:r>
        <w:rPr/>
        <w:t>）终止确认部分的账面价值；</w:t>
      </w:r>
    </w:p>
    <w:p>
      <w:pPr>
        <w:pStyle w:val="BodyText"/>
        <w:spacing w:line="256" w:lineRule="auto" w:before="21"/>
        <w:ind w:right="1210" w:firstLine="420"/>
        <w:jc w:val="both"/>
      </w:pPr>
      <w:r>
        <w:rPr>
          <w:rFonts w:ascii="Times New Roman" w:hAnsi="Times New Roman" w:cs="Times New Roman" w:eastAsia="Times New Roman" w:hint="default"/>
          <w:spacing w:val="-2"/>
        </w:rPr>
        <w:t>2</w:t>
      </w:r>
      <w:r>
        <w:rPr>
          <w:spacing w:val="-2"/>
        </w:rPr>
        <w:t>）终止确认部分的对价，与原直接计入所有者权益的公允价值变动累计额中对应终止确认部分的金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273" w:lineRule="auto" w:before="22"/>
        <w:ind w:right="1126" w:firstLine="420"/>
        <w:jc w:val="both"/>
      </w:pPr>
      <w:r>
        <w:rPr>
          <w:spacing w:val="-2"/>
        </w:rPr>
        <w:t>原直接计入所有者权益的公允价值变动累计额中对应终止确认部分的金额，按照金融资产终止确认部</w:t>
      </w:r>
      <w:r>
        <w:rPr>
          <w:w w:val="100"/>
        </w:rPr>
        <w:t> </w:t>
      </w:r>
      <w:r>
        <w:rPr/>
        <w:t>分和未终止确认部分的相对公允价值，对该累计额进行分摊后确定。</w:t>
      </w:r>
    </w:p>
    <w:p>
      <w:pPr>
        <w:pStyle w:val="BodyText"/>
        <w:spacing w:line="256" w:lineRule="auto" w:before="8"/>
        <w:ind w:left="573" w:right="0"/>
        <w:jc w:val="left"/>
      </w:pPr>
      <w:r>
        <w:rPr>
          <w:rFonts w:ascii="Times New Roman" w:hAnsi="Times New Roman" w:cs="Times New Roman" w:eastAsia="Times New Roman" w:hint="default"/>
        </w:rPr>
        <w:t>10.5</w:t>
      </w:r>
      <w:r>
        <w:rPr>
          <w:rFonts w:ascii="Times New Roman" w:hAnsi="Times New Roman" w:cs="Times New Roman" w:eastAsia="Times New Roman" w:hint="default"/>
          <w:spacing w:val="30"/>
        </w:rPr>
        <w:t> </w:t>
      </w:r>
      <w:r>
        <w:rPr/>
        <w:t>金融负债的分类</w:t>
      </w:r>
      <w:r>
        <w:rPr>
          <w:w w:val="100"/>
        </w:rPr>
        <w:t> </w:t>
      </w:r>
      <w:r>
        <w:rPr>
          <w:spacing w:val="-2"/>
        </w:rPr>
        <w:t>金融负债于初始确认时分类为：以公允价值计量且其变动计入当期损益的金融负债和其他金融负债。</w:t>
      </w:r>
    </w:p>
    <w:p>
      <w:pPr>
        <w:pStyle w:val="BodyText"/>
        <w:spacing w:line="273" w:lineRule="auto" w:before="22"/>
        <w:ind w:right="0"/>
        <w:jc w:val="left"/>
      </w:pPr>
      <w:r>
        <w:rPr>
          <w:spacing w:val="-2"/>
        </w:rPr>
        <w:t>以公允价值计量且其变动计入当期损益的金融负债，包括交易性金融负债和初始确认时指定为以公允价值</w:t>
      </w:r>
      <w:r>
        <w:rPr>
          <w:spacing w:val="-43"/>
        </w:rPr>
        <w:t> </w:t>
      </w:r>
      <w:r>
        <w:rPr>
          <w:spacing w:val="-43"/>
        </w:rPr>
      </w:r>
      <w:r>
        <w:rPr/>
        <w:t>计量且其变动计入当期损益的金融负债。</w:t>
      </w:r>
    </w:p>
    <w:p>
      <w:pPr>
        <w:pStyle w:val="BodyText"/>
        <w:spacing w:line="256" w:lineRule="auto"/>
        <w:ind w:left="573" w:right="0"/>
        <w:jc w:val="left"/>
      </w:pPr>
      <w:r>
        <w:rPr>
          <w:rFonts w:ascii="Times New Roman" w:hAnsi="Times New Roman" w:cs="Times New Roman" w:eastAsia="Times New Roman" w:hint="default"/>
        </w:rPr>
        <w:t>10.6</w:t>
      </w:r>
      <w:r>
        <w:rPr>
          <w:rFonts w:ascii="Times New Roman" w:hAnsi="Times New Roman" w:cs="Times New Roman" w:eastAsia="Times New Roman" w:hint="default"/>
          <w:spacing w:val="30"/>
        </w:rPr>
        <w:t> </w:t>
      </w:r>
      <w:r>
        <w:rPr/>
        <w:t>金融负债的计量</w:t>
      </w:r>
      <w:r>
        <w:rPr>
          <w:w w:val="100"/>
        </w:rPr>
        <w:t> </w:t>
      </w:r>
      <w:r>
        <w:rPr>
          <w:spacing w:val="-2"/>
        </w:rPr>
        <w:t>金融负债于本公司成为金融工具合同的一方时，按公允价值在资产负债表内确认。以公允价值计量且</w:t>
      </w:r>
    </w:p>
    <w:p>
      <w:pPr>
        <w:pStyle w:val="BodyText"/>
        <w:spacing w:line="240" w:lineRule="auto" w:before="22"/>
        <w:ind w:right="0"/>
        <w:jc w:val="left"/>
      </w:pPr>
      <w:r>
        <w:rPr/>
        <w:t>其变动计入当期损益的金融负债，取得时发生的相关交易费用直接计入当期损益；其他金融负债的相关交</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0" w:hanging="421"/>
        <w:jc w:val="left"/>
      </w:pPr>
      <w:r>
        <w:rPr/>
        <w:t>易费用计入初始确认金额。</w:t>
      </w:r>
      <w:r>
        <w:rPr>
          <w:w w:val="100"/>
        </w:rPr>
        <w:t> </w:t>
      </w:r>
      <w:r>
        <w:rPr>
          <w:spacing w:val="-2"/>
        </w:rPr>
        <w:t>以公允价值计量且其变动计入当期损益的金融负债，按照公允价值后续计量，且不扣除将来结清金融</w:t>
      </w:r>
    </w:p>
    <w:p>
      <w:pPr>
        <w:pStyle w:val="BodyText"/>
        <w:spacing w:line="240" w:lineRule="auto"/>
        <w:ind w:right="0"/>
        <w:jc w:val="left"/>
      </w:pPr>
      <w:r>
        <w:rPr/>
        <w:t>负债时可能发生的交易费用。其他金融负债，采用实际利率法，按照摊余成本进行后续计量。</w:t>
      </w:r>
    </w:p>
    <w:p>
      <w:pPr>
        <w:pStyle w:val="BodyText"/>
        <w:spacing w:line="256" w:lineRule="auto" w:before="37"/>
        <w:ind w:left="573" w:right="0"/>
        <w:jc w:val="left"/>
      </w:pPr>
      <w:r>
        <w:rPr>
          <w:rFonts w:ascii="Times New Roman" w:hAnsi="Times New Roman" w:cs="Times New Roman" w:eastAsia="Times New Roman" w:hint="default"/>
        </w:rPr>
        <w:t>10.7</w:t>
      </w:r>
      <w:r>
        <w:rPr>
          <w:rFonts w:ascii="Times New Roman" w:hAnsi="Times New Roman" w:cs="Times New Roman" w:eastAsia="Times New Roman" w:hint="default"/>
          <w:spacing w:val="30"/>
        </w:rPr>
        <w:t> </w:t>
      </w:r>
      <w:r>
        <w:rPr/>
        <w:t>金融资产和金融负债的公允价值的确定方法</w:t>
      </w:r>
      <w:r>
        <w:rPr>
          <w:w w:val="100"/>
        </w:rPr>
        <w:t> </w:t>
      </w:r>
      <w:r>
        <w:rPr>
          <w:spacing w:val="-2"/>
        </w:rPr>
        <w:t>存在活跃市场的金融资产或金融负债，采用活跃市场中的报价确定其公允价值。金融工具不存在活跃</w:t>
      </w:r>
    </w:p>
    <w:p>
      <w:pPr>
        <w:pStyle w:val="BodyText"/>
        <w:spacing w:line="273" w:lineRule="auto" w:before="22"/>
        <w:ind w:right="0"/>
        <w:jc w:val="left"/>
      </w:pPr>
      <w:r>
        <w:rPr>
          <w:spacing w:val="-2"/>
        </w:rPr>
        <w:t>市场的，采用估值技术确定其公允价值，估值技术包括参考熟悉情况并自愿交易的各方最近进行的市场交</w:t>
      </w:r>
      <w:r>
        <w:rPr>
          <w:spacing w:val="-43"/>
        </w:rPr>
        <w:t> </w:t>
      </w:r>
      <w:r>
        <w:rPr>
          <w:spacing w:val="-43"/>
        </w:rPr>
      </w:r>
      <w:r>
        <w:rPr>
          <w:spacing w:val="-2"/>
        </w:rPr>
        <w:t>易中使用的价格、参照实质上相同的其他金融工具的当前公允价值、现金流量折现法和期权定价模型等。</w:t>
      </w:r>
    </w:p>
    <w:p>
      <w:pPr>
        <w:pStyle w:val="BodyText"/>
        <w:spacing w:line="256" w:lineRule="auto"/>
        <w:ind w:left="573" w:right="0"/>
        <w:jc w:val="left"/>
      </w:pPr>
      <w:r>
        <w:rPr>
          <w:rFonts w:ascii="Times New Roman" w:hAnsi="Times New Roman" w:cs="Times New Roman" w:eastAsia="Times New Roman" w:hint="default"/>
        </w:rPr>
        <w:t>10.8</w:t>
      </w:r>
      <w:r>
        <w:rPr>
          <w:rFonts w:ascii="Times New Roman" w:hAnsi="Times New Roman" w:cs="Times New Roman" w:eastAsia="Times New Roman" w:hint="default"/>
          <w:spacing w:val="30"/>
        </w:rPr>
        <w:t> </w:t>
      </w:r>
      <w:r>
        <w:rPr/>
        <w:t>金融资产减值测试方法及会计处理方法</w:t>
      </w:r>
      <w:r>
        <w:rPr>
          <w:w w:val="100"/>
        </w:rPr>
        <w:t> </w:t>
      </w:r>
      <w:r>
        <w:rPr>
          <w:spacing w:val="-2"/>
        </w:rPr>
        <w:t>除以公允价值计量且其变动计入当期损益的金融资产外，本公司于资产负债表日对金融资产的账面价</w:t>
      </w:r>
    </w:p>
    <w:p>
      <w:pPr>
        <w:pStyle w:val="BodyText"/>
        <w:spacing w:line="273" w:lineRule="auto" w:before="22"/>
        <w:ind w:left="573" w:right="0" w:hanging="421"/>
        <w:jc w:val="left"/>
      </w:pPr>
      <w:r>
        <w:rPr/>
        <w:t>值进行检查，如果有客观证据表明某项金融资产发生减值的，计提减值准备。</w:t>
      </w:r>
      <w:r>
        <w:rPr>
          <w:w w:val="100"/>
        </w:rPr>
        <w:t>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w:t>
      </w:r>
      <w:r>
        <w:rPr/>
      </w:r>
    </w:p>
    <w:p>
      <w:pPr>
        <w:pStyle w:val="BodyText"/>
        <w:spacing w:line="290" w:lineRule="auto" w:before="0"/>
        <w:ind w:right="0"/>
        <w:jc w:val="left"/>
      </w:pPr>
      <w:r>
        <w:rPr>
          <w:spacing w:val="-2"/>
        </w:rPr>
        <w:t>低于账面价值的差额，计提减值准备。如果有客观证据表明该金融资产价值已恢复，且客观上与确认该损</w:t>
      </w:r>
      <w:r>
        <w:rPr>
          <w:spacing w:val="-43"/>
        </w:rPr>
        <w:t> </w:t>
      </w:r>
      <w:r>
        <w:rPr>
          <w:spacing w:val="-43"/>
        </w:rPr>
      </w:r>
      <w:r>
        <w:rPr/>
        <w:t>失后发生的事项有关，原确认的减值损失予以转回，计入当期损益。</w:t>
      </w:r>
      <w:r>
        <w:rPr>
          <w:w w:val="100"/>
        </w:rPr>
        <w:t> </w:t>
      </w:r>
      <w:r>
        <w:rPr>
          <w:spacing w:val="-2"/>
        </w:rPr>
        <w:t>当可供出售金融资产的公允价值发生较大幅度或非暂时性下降，原直接计入所有者权益的因公允价值下降</w:t>
      </w:r>
    </w:p>
    <w:p>
      <w:pPr>
        <w:pStyle w:val="BodyText"/>
        <w:spacing w:line="273" w:lineRule="auto" w:before="0"/>
        <w:ind w:right="1105"/>
        <w:jc w:val="both"/>
      </w:pPr>
      <w:r>
        <w:rPr>
          <w:spacing w:val="-2"/>
        </w:rPr>
        <w:t>形成的累计损失计入减值损失。对已确认减值损失的可供出售债务工具投资，在期后公允价值上升且客观</w:t>
      </w:r>
      <w:r>
        <w:rPr>
          <w:spacing w:val="-43"/>
        </w:rPr>
        <w:t> </w:t>
      </w:r>
      <w:r>
        <w:rPr>
          <w:spacing w:val="-43"/>
        </w:rPr>
      </w:r>
      <w:r>
        <w:rPr>
          <w:spacing w:val="-2"/>
        </w:rPr>
        <w:t>上与确认原减值损失确认后发生的事项有关的，原确认的减值损失予以转回，计入当期损益。对已确认减</w:t>
      </w:r>
      <w:r>
        <w:rPr>
          <w:spacing w:val="-44"/>
        </w:rPr>
        <w:t> </w:t>
      </w:r>
      <w:r>
        <w:rPr>
          <w:spacing w:val="-44"/>
        </w:rPr>
      </w:r>
      <w:r>
        <w:rPr>
          <w:spacing w:val="-2"/>
        </w:rPr>
        <w:t>值损失的可供出售权益工具投资，在期后公允价值上升且客观上与确认原减值损失后发生的事项有关的，</w:t>
      </w:r>
      <w:r>
        <w:rPr>
          <w:spacing w:val="-21"/>
        </w:rPr>
        <w:t> </w:t>
      </w:r>
      <w:r>
        <w:rPr>
          <w:spacing w:val="-21"/>
        </w:rPr>
      </w:r>
      <w:r>
        <w:rPr>
          <w:spacing w:val="-2"/>
        </w:rPr>
        <w:t>原确认的减值损失予以转回，直接计入所有者权益。在活跃市场中没有报价且其公允价值不能可靠计量的</w:t>
      </w:r>
      <w:r>
        <w:rPr>
          <w:spacing w:val="-44"/>
        </w:rPr>
        <w:t> </w:t>
      </w:r>
      <w:r>
        <w:rPr>
          <w:spacing w:val="-44"/>
        </w:rPr>
      </w:r>
      <w:r>
        <w:rPr/>
        <w:t>权益工具投资发生的减值损失，如果在以后期间价值得以恢复，也不予转回。</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0" w:lineRule="auto" w:before="44"/>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对于单项金额不重大但单项计提坏账准备的应收款项，当存 在客观证据表明本公司将无法按应收款项的原有条款收回所 有款项时，确认相应的坏账准备。</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64" w:lineRule="auto" w:before="8"/>
        <w:ind w:left="573" w:right="2114"/>
        <w:jc w:val="left"/>
      </w:pPr>
      <w:r>
        <w:rPr>
          <w:rFonts w:ascii="Times New Roman" w:hAnsi="Times New Roman" w:cs="Times New Roman" w:eastAsia="Times New Roman" w:hint="default"/>
        </w:rPr>
        <w:t>(1)</w:t>
      </w:r>
      <w:r>
        <w:rPr/>
        <w:t>存货的类别</w:t>
      </w:r>
      <w:r>
        <w:rPr>
          <w:spacing w:val="-103"/>
        </w:rPr>
        <w:t> </w:t>
      </w:r>
      <w:r>
        <w:rPr>
          <w:spacing w:val="-103"/>
        </w:rPr>
      </w:r>
      <w:r>
        <w:rPr>
          <w:spacing w:val="-2"/>
        </w:rPr>
        <w:t>存货包括原材料、在产品、产成品和周转材料等，按成本与可变现净值孰低列示。</w:t>
      </w:r>
      <w:r>
        <w:rPr>
          <w:spacing w:val="-35"/>
        </w:rPr>
        <w:t> </w:t>
      </w:r>
      <w:r>
        <w:rPr>
          <w:spacing w:val="-35"/>
        </w:rPr>
      </w:r>
      <w:r>
        <w:rPr>
          <w:rFonts w:ascii="Times New Roman" w:hAnsi="Times New Roman" w:cs="Times New Roman" w:eastAsia="Times New Roman" w:hint="default"/>
        </w:rPr>
        <w:t>(2)</w:t>
      </w:r>
      <w:r>
        <w:rPr/>
        <w:t>发出存货的计价方法</w:t>
      </w:r>
    </w:p>
    <w:p>
      <w:pPr>
        <w:pStyle w:val="BodyText"/>
        <w:spacing w:line="273" w:lineRule="auto" w:before="0"/>
        <w:ind w:right="0" w:firstLine="420"/>
        <w:jc w:val="left"/>
      </w:pPr>
      <w:r>
        <w:rPr>
          <w:spacing w:val="-2"/>
        </w:rPr>
        <w:t>存货发出时的成本按加权平均法核算，产成品和在产品成本包括原材料、直接人工以及在正常生产能</w:t>
      </w:r>
      <w:r>
        <w:rPr>
          <w:w w:val="100"/>
        </w:rPr>
        <w:t> </w:t>
      </w:r>
      <w:r>
        <w:rPr/>
        <w:t>力下按照一定方法分配的制造费用。周转材料包括低值易耗品和包装物等。</w:t>
      </w:r>
    </w:p>
    <w:p>
      <w:pPr>
        <w:pStyle w:val="BodyText"/>
        <w:spacing w:line="256" w:lineRule="auto"/>
        <w:ind w:left="573" w:right="0"/>
        <w:jc w:val="left"/>
      </w:pPr>
      <w:r>
        <w:rPr>
          <w:rFonts w:ascii="Times New Roman" w:hAnsi="Times New Roman" w:cs="Times New Roman" w:eastAsia="Times New Roman" w:hint="default"/>
        </w:rPr>
        <w:t>(3)</w:t>
      </w:r>
      <w:r>
        <w:rPr/>
        <w:t>确定不同类别存货可变现净值的依据</w:t>
      </w:r>
      <w:r>
        <w:rPr>
          <w:w w:val="100"/>
        </w:rPr>
        <w:t> </w:t>
      </w:r>
      <w:r>
        <w:rPr>
          <w:spacing w:val="-5"/>
        </w:rPr>
        <w:t>存货成本高于其可变现净值的，计提存货跌价准备，计入当期损益。可变现净值，是指在日常活动中，</w:t>
      </w:r>
    </w:p>
    <w:p>
      <w:pPr>
        <w:pStyle w:val="BodyText"/>
        <w:spacing w:line="273" w:lineRule="auto" w:before="22"/>
        <w:ind w:right="1126"/>
        <w:jc w:val="both"/>
      </w:pPr>
      <w:r>
        <w:rPr>
          <w:spacing w:val="-2"/>
        </w:rPr>
        <w:t>存货的估计售价减去至完工时估计将要发生的成本、估计的销售费用以及相关税费后的金额。公司确定存</w:t>
      </w:r>
      <w:r>
        <w:rPr>
          <w:spacing w:val="-44"/>
        </w:rPr>
        <w:t> </w:t>
      </w:r>
      <w:r>
        <w:rPr>
          <w:spacing w:val="-44"/>
        </w:rPr>
      </w:r>
      <w:r>
        <w:rPr>
          <w:spacing w:val="-2"/>
        </w:rPr>
        <w:t>货的可变现净值，以取得的确凿证据为基础，并且考虑持有存货的目的、资产负债表日后事项的影响等因</w:t>
      </w:r>
      <w:r>
        <w:rPr>
          <w:spacing w:val="-44"/>
        </w:rPr>
        <w:t> </w:t>
      </w:r>
      <w:r>
        <w:rPr>
          <w:spacing w:val="-44"/>
        </w:rPr>
      </w:r>
      <w:r>
        <w:rPr/>
        <w:t>素。</w:t>
      </w:r>
    </w:p>
    <w:p>
      <w:pPr>
        <w:pStyle w:val="BodyText"/>
        <w:spacing w:line="273" w:lineRule="auto"/>
        <w:ind w:right="0" w:firstLine="420"/>
        <w:jc w:val="left"/>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273" w:lineRule="auto"/>
        <w:ind w:right="0" w:firstLine="420"/>
        <w:jc w:val="left"/>
      </w:pPr>
      <w:r>
        <w:rPr>
          <w:spacing w:val="-2"/>
        </w:rPr>
        <w:t>为执行销售合同或者劳务合同而持有的存货，其可变现净值以合同价格为基础计算。持有存货的数量</w:t>
      </w:r>
      <w:r>
        <w:rPr>
          <w:w w:val="100"/>
        </w:rPr>
        <w:t> </w:t>
      </w:r>
      <w:r>
        <w:rPr/>
        <w:t>多于销售合同订购数量的，超出部分的存货的可变现净值以一般销售价格为基础计算。</w:t>
      </w:r>
    </w:p>
    <w:p>
      <w:pPr>
        <w:pStyle w:val="BodyText"/>
        <w:spacing w:line="256" w:lineRule="auto"/>
        <w:ind w:left="573" w:right="67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存货的盘存制度</w:t>
      </w:r>
      <w:r>
        <w:rPr>
          <w:spacing w:val="-103"/>
        </w:rPr>
        <w:t> </w:t>
      </w:r>
      <w:r>
        <w:rPr>
          <w:spacing w:val="-103"/>
        </w:rPr>
      </w:r>
      <w:r>
        <w:rPr>
          <w:spacing w:val="-2"/>
        </w:rPr>
        <w:t>存货盘存制度采用永续盘存制。</w:t>
      </w:r>
    </w:p>
    <w:p>
      <w:pPr>
        <w:pStyle w:val="BodyText"/>
        <w:spacing w:line="256" w:lineRule="auto" w:before="22"/>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r>
        <w:rPr>
          <w:w w:val="100"/>
        </w:rPr>
        <w:t> </w:t>
      </w:r>
      <w:r>
        <w:rPr>
          <w:spacing w:val="-2"/>
        </w:rPr>
        <w:t>低值易耗品在领用时采用一次摊销法核算成本。包装物在领用时采用一次转销法核算成本。</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14.1</w:t>
      </w:r>
      <w:r>
        <w:rPr>
          <w:rFonts w:ascii="Times New Roman" w:hAnsi="Times New Roman" w:cs="Times New Roman" w:eastAsia="Times New Roman" w:hint="default"/>
          <w:spacing w:val="30"/>
        </w:rPr>
        <w:t> </w:t>
      </w:r>
      <w:r>
        <w:rPr/>
        <w:t>共同控制、重大影响的判断标准</w:t>
      </w:r>
      <w:r>
        <w:rPr>
          <w:w w:val="100"/>
        </w:rPr>
        <w:t> </w:t>
      </w:r>
      <w:r>
        <w:rPr>
          <w:spacing w:val="-2"/>
        </w:rPr>
        <w:t>按照相关约定对某项安排所共有的控制，并且该安排的相关活动必须经过分享控制权的参与方一致同</w:t>
      </w:r>
    </w:p>
    <w:p>
      <w:pPr>
        <w:pStyle w:val="BodyText"/>
        <w:spacing w:line="273" w:lineRule="auto" w:before="22"/>
        <w:ind w:right="1126"/>
        <w:jc w:val="both"/>
      </w:pPr>
      <w:r>
        <w:rPr>
          <w:spacing w:val="-2"/>
        </w:rPr>
        <w:t>意后才能决策，则视为共同控制。如果存在两个或两个以上的参与方组合能够集体控制某项安排的，不视</w:t>
      </w:r>
      <w:r>
        <w:rPr>
          <w:spacing w:val="-43"/>
        </w:rPr>
        <w:t> </w:t>
      </w:r>
      <w:r>
        <w:rPr>
          <w:spacing w:val="-43"/>
        </w:rPr>
      </w:r>
      <w:r>
        <w:rPr/>
        <w:t>为共同控制。</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对被投资单位的财务和经营政策有参与决策的权力，但并不能够控制或者与其他方一起共同控制这些</w:t>
      </w:r>
      <w:r>
        <w:rPr>
          <w:w w:val="100"/>
        </w:rPr>
        <w:t> </w:t>
      </w:r>
      <w:r>
        <w:rPr/>
        <w:t>政策的制定，则视为对被投资单位实施重大影响。</w:t>
      </w:r>
    </w:p>
    <w:p>
      <w:pPr>
        <w:pStyle w:val="BodyText"/>
        <w:spacing w:line="256"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14.2</w:t>
      </w:r>
      <w:r>
        <w:rPr>
          <w:rFonts w:ascii="Times New Roman" w:hAnsi="Times New Roman" w:cs="Times New Roman" w:eastAsia="Times New Roman" w:hint="default"/>
          <w:spacing w:val="30"/>
        </w:rPr>
        <w:t> </w:t>
      </w:r>
      <w:r>
        <w:rPr/>
        <w:t>初始投资成本确定</w:t>
      </w:r>
      <w:r>
        <w:rPr>
          <w:w w:val="100"/>
        </w:rPr>
        <w:t> </w:t>
      </w:r>
      <w:r>
        <w:rPr>
          <w:spacing w:val="-3"/>
        </w:rPr>
        <w:t>企业合并形成的长期股权投资，按照本附注</w:t>
      </w:r>
      <w:r>
        <w:rPr>
          <w:rFonts w:ascii="Times New Roman" w:hAnsi="Times New Roman" w:cs="Times New Roman" w:eastAsia="Times New Roman" w:hint="default"/>
          <w:spacing w:val="-3"/>
        </w:rPr>
        <w:t>“3.5</w:t>
      </w:r>
      <w:r>
        <w:rPr>
          <w:spacing w:val="-3"/>
        </w:rPr>
        <w:t>同一控制下和非同一控制下企业合并的会计处理方法</w:t>
      </w:r>
      <w:r>
        <w:rPr>
          <w:rFonts w:ascii="Times New Roman" w:hAnsi="Times New Roman" w:cs="Times New Roman" w:eastAsia="Times New Roman" w:hint="default"/>
          <w:spacing w:val="-3"/>
        </w:rPr>
        <w:t>”</w:t>
      </w:r>
    </w:p>
    <w:p>
      <w:pPr>
        <w:pStyle w:val="BodyText"/>
        <w:spacing w:line="273" w:lineRule="auto" w:before="5"/>
        <w:ind w:right="1126"/>
        <w:jc w:val="both"/>
      </w:pPr>
      <w:r>
        <w:rPr>
          <w:spacing w:val="-2"/>
        </w:rPr>
        <w:t>的相关内容确认初始投资成本；除企业合并形成的长期股权投资以外，其他方式取得的长期股权投资，按</w:t>
      </w:r>
      <w:r>
        <w:rPr>
          <w:spacing w:val="-43"/>
        </w:rPr>
        <w:t> </w:t>
      </w:r>
      <w:r>
        <w:rPr>
          <w:spacing w:val="-43"/>
        </w:rPr>
      </w:r>
      <w:r>
        <w:rPr/>
        <w:t>照下述方法确认其初始投资成本：</w:t>
      </w:r>
    </w:p>
    <w:p>
      <w:pPr>
        <w:pStyle w:val="BodyText"/>
        <w:spacing w:line="256" w:lineRule="auto"/>
        <w:ind w:right="0" w:firstLine="420"/>
        <w:jc w:val="left"/>
      </w:pPr>
      <w:r>
        <w:rPr>
          <w:rFonts w:ascii="Times New Roman" w:hAnsi="Times New Roman" w:cs="Times New Roman" w:eastAsia="Times New Roman" w:hint="default"/>
          <w:spacing w:val="-2"/>
        </w:rPr>
        <w:t>1</w:t>
      </w:r>
      <w:r>
        <w:rPr>
          <w:spacing w:val="-2"/>
        </w:rPr>
        <w:t>）以支付现金取得的长期股权投资，应当按照实际支付的购买价款作为初始投资成本。初始投资成</w:t>
      </w:r>
      <w:r>
        <w:rPr>
          <w:w w:val="100"/>
        </w:rPr>
        <w:t> </w:t>
      </w:r>
      <w:r>
        <w:rPr/>
        <w:t>本包括与取得长期股权投资直接相关的费用、税金及其他必要支出。</w:t>
      </w:r>
    </w:p>
    <w:p>
      <w:pPr>
        <w:pStyle w:val="BodyText"/>
        <w:spacing w:line="256" w:lineRule="auto" w:before="22"/>
        <w:ind w:right="0" w:firstLine="420"/>
        <w:jc w:val="left"/>
      </w:pPr>
      <w:r>
        <w:rPr>
          <w:rFonts w:ascii="Times New Roman" w:hAnsi="Times New Roman" w:cs="Times New Roman" w:eastAsia="Times New Roman" w:hint="default"/>
          <w:spacing w:val="-2"/>
        </w:rPr>
        <w:t>2</w:t>
      </w:r>
      <w:r>
        <w:rPr>
          <w:spacing w:val="-2"/>
        </w:rPr>
        <w:t>）以发行权益性证券取得的长期股权投资，应当按照发行权益性证券的公允价值作为初始投资成本。</w:t>
      </w:r>
      <w:r>
        <w:rPr>
          <w:w w:val="100"/>
        </w:rPr>
        <w:t> </w:t>
      </w:r>
      <w:r>
        <w:rPr>
          <w:spacing w:val="-4"/>
        </w:rPr>
        <w:t>与发行权益行证券直接相关的费用，应当按照《企业会计准则第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金融工具列报》的有关规定确定。</w:t>
      </w:r>
    </w:p>
    <w:p>
      <w:pPr>
        <w:pStyle w:val="BodyText"/>
        <w:spacing w:line="268" w:lineRule="auto" w:before="5"/>
        <w:ind w:right="0" w:firstLine="420"/>
        <w:jc w:val="left"/>
      </w:pPr>
      <w:r>
        <w:rPr>
          <w:rFonts w:ascii="Times New Roman" w:hAnsi="Times New Roman" w:cs="Times New Roman" w:eastAsia="Times New Roman" w:hint="default"/>
        </w:rPr>
        <w:t>3</w:t>
      </w:r>
      <w:r>
        <w:rPr/>
        <w:t>）在非货币性资产交换具备商业实质和换入资产或换出资产的公允价值能够可靠计量的前提下，非</w:t>
      </w:r>
      <w:r>
        <w:rPr>
          <w:w w:val="100"/>
        </w:rPr>
        <w:t> </w:t>
      </w:r>
      <w:r>
        <w:rPr>
          <w:spacing w:val="-2"/>
        </w:rPr>
        <w:t>货币性资产交换换入的长期股权投资以换出资产的公允价值为基础确定其初始投资成本，除非有确凿证据</w:t>
      </w:r>
      <w:r>
        <w:rPr>
          <w:spacing w:val="-43"/>
        </w:rPr>
        <w:t> </w:t>
      </w:r>
      <w:r>
        <w:rPr>
          <w:spacing w:val="-43"/>
        </w:rPr>
      </w:r>
      <w:r>
        <w:rPr>
          <w:spacing w:val="-2"/>
        </w:rPr>
        <w:t>表明换入资产的公允价值更加可靠；不满足上述前提的非货币性资产交换，以换出资产的账面价值和应支</w:t>
      </w:r>
      <w:r>
        <w:rPr>
          <w:spacing w:val="-42"/>
        </w:rPr>
        <w:t> </w:t>
      </w:r>
      <w:r>
        <w:rPr>
          <w:spacing w:val="-42"/>
        </w:rPr>
      </w:r>
      <w:r>
        <w:rPr/>
        <w:t>付的相关税费作为换入长期股权投资的初始投资成本。</w:t>
      </w:r>
    </w:p>
    <w:p>
      <w:pPr>
        <w:pStyle w:val="BodyText"/>
        <w:spacing w:line="240" w:lineRule="auto" w:before="12"/>
        <w:ind w:left="573" w:right="0"/>
        <w:jc w:val="left"/>
      </w:pP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40" w:lineRule="auto" w:before="21"/>
        <w:ind w:left="573" w:right="0"/>
        <w:jc w:val="left"/>
      </w:pPr>
      <w:r>
        <w:rPr>
          <w:rFonts w:ascii="Times New Roman" w:hAnsi="Times New Roman" w:cs="Times New Roman" w:eastAsia="Times New Roman" w:hint="default"/>
        </w:rPr>
        <w:t>14.3</w:t>
      </w:r>
      <w:r>
        <w:rPr>
          <w:rFonts w:ascii="Times New Roman" w:hAnsi="Times New Roman" w:cs="Times New Roman" w:eastAsia="Times New Roman" w:hint="default"/>
          <w:spacing w:val="30"/>
        </w:rPr>
        <w:t> </w:t>
      </w:r>
      <w:r>
        <w:rPr/>
        <w:t>后续计量及损益确认方法</w:t>
      </w:r>
    </w:p>
    <w:p>
      <w:pPr>
        <w:pStyle w:val="BodyText"/>
        <w:spacing w:line="256" w:lineRule="auto" w:before="21"/>
        <w:ind w:left="573" w:right="0"/>
        <w:jc w:val="left"/>
      </w:pPr>
      <w:r>
        <w:rPr>
          <w:rFonts w:ascii="Times New Roman" w:hAnsi="Times New Roman" w:cs="Times New Roman" w:eastAsia="Times New Roman" w:hint="default"/>
        </w:rPr>
        <w:t>14.3.1</w:t>
      </w:r>
      <w:r>
        <w:rPr>
          <w:rFonts w:ascii="Times New Roman" w:hAnsi="Times New Roman" w:cs="Times New Roman" w:eastAsia="Times New Roman" w:hint="default"/>
          <w:spacing w:val="28"/>
        </w:rPr>
        <w:t> </w:t>
      </w:r>
      <w:r>
        <w:rPr/>
        <w:t>成本法后续计量</w:t>
      </w:r>
      <w:r>
        <w:rPr>
          <w:spacing w:val="-103"/>
        </w:rPr>
        <w:t> </w:t>
      </w:r>
      <w:r>
        <w:rPr>
          <w:spacing w:val="-103"/>
        </w:rPr>
      </w:r>
      <w:r>
        <w:rPr>
          <w:spacing w:val="-2"/>
        </w:rPr>
        <w:t>公司能够对被投资单位实施控制的长期股权投资采用成本法核算，长期股权投资按照初始投资成本计</w:t>
      </w:r>
    </w:p>
    <w:p>
      <w:pPr>
        <w:pStyle w:val="BodyText"/>
        <w:spacing w:line="273" w:lineRule="auto" w:before="22"/>
        <w:ind w:right="1126"/>
        <w:jc w:val="both"/>
      </w:pPr>
      <w:r>
        <w:rPr>
          <w:spacing w:val="-2"/>
        </w:rPr>
        <w:t>价。追加或收回投资调整长期股权投资的成本。被投资单位宣告分派的现金股利或利润，确认为当期投资</w:t>
      </w:r>
      <w:r>
        <w:rPr>
          <w:spacing w:val="-43"/>
        </w:rPr>
        <w:t> </w:t>
      </w:r>
      <w:r>
        <w:rPr>
          <w:spacing w:val="-43"/>
        </w:rPr>
      </w:r>
      <w:r>
        <w:rPr/>
        <w:t>收益。</w:t>
      </w:r>
    </w:p>
    <w:p>
      <w:pPr>
        <w:pStyle w:val="BodyText"/>
        <w:spacing w:line="256" w:lineRule="auto"/>
        <w:ind w:left="573" w:right="0"/>
        <w:jc w:val="left"/>
      </w:pPr>
      <w:r>
        <w:rPr>
          <w:rFonts w:ascii="Times New Roman" w:hAnsi="Times New Roman" w:cs="Times New Roman" w:eastAsia="Times New Roman" w:hint="default"/>
        </w:rPr>
        <w:t>14.3.2</w:t>
      </w:r>
      <w:r>
        <w:rPr>
          <w:rFonts w:ascii="Times New Roman" w:hAnsi="Times New Roman" w:cs="Times New Roman" w:eastAsia="Times New Roman" w:hint="default"/>
          <w:spacing w:val="28"/>
        </w:rPr>
        <w:t> </w:t>
      </w:r>
      <w:r>
        <w:rPr/>
        <w:t>权益法后续计量</w:t>
      </w:r>
      <w:r>
        <w:rPr>
          <w:spacing w:val="-103"/>
        </w:rPr>
        <w:t> </w:t>
      </w:r>
      <w:r>
        <w:rPr>
          <w:spacing w:val="-103"/>
        </w:rPr>
      </w:r>
      <w:r>
        <w:rPr>
          <w:spacing w:val="-2"/>
        </w:rPr>
        <w:t>公司对联营企业和合营企业的长期股权投资，采用权益法核算，长期股权投资的初始投资成本大于投</w:t>
      </w:r>
    </w:p>
    <w:p>
      <w:pPr>
        <w:pStyle w:val="BodyText"/>
        <w:spacing w:line="273" w:lineRule="auto" w:before="22"/>
        <w:ind w:right="1126"/>
        <w:jc w:val="both"/>
      </w:pPr>
      <w:r>
        <w:rPr>
          <w:spacing w:val="-2"/>
        </w:rPr>
        <w:t>资时应享有被投资单位可辨认净资产公允价值份额的，不调整长期股权投资的初始投资成本；长期股权投</w:t>
      </w:r>
      <w:r>
        <w:rPr>
          <w:spacing w:val="-43"/>
        </w:rPr>
        <w:t> </w:t>
      </w:r>
      <w:r>
        <w:rPr>
          <w:spacing w:val="-43"/>
        </w:rPr>
      </w:r>
      <w:r>
        <w:rPr>
          <w:spacing w:val="-2"/>
        </w:rPr>
        <w:t>资的初始投资成本小于投资时应享有被投资单位可辨认净资产公允价值份额的，其差额计入当期损益，同</w:t>
      </w:r>
      <w:r>
        <w:rPr>
          <w:spacing w:val="-44"/>
        </w:rPr>
        <w:t> </w:t>
      </w:r>
      <w:r>
        <w:rPr>
          <w:spacing w:val="-44"/>
        </w:rPr>
      </w:r>
      <w:r>
        <w:rPr/>
        <w:t>时调整长期股权投资的成本。</w:t>
      </w:r>
    </w:p>
    <w:p>
      <w:pPr>
        <w:pStyle w:val="BodyText"/>
        <w:spacing w:line="273" w:lineRule="auto" w:before="8"/>
        <w:ind w:right="1126" w:firstLine="420"/>
        <w:jc w:val="both"/>
      </w:pPr>
      <w:r>
        <w:rPr>
          <w:spacing w:val="-2"/>
        </w:rPr>
        <w:t>采用权益法核算时，投资方取得长期股权投资后，按照应享有或应分担的被投资单位实现的净损益和</w:t>
      </w:r>
      <w:r>
        <w:rPr>
          <w:w w:val="100"/>
        </w:rPr>
        <w:t> </w:t>
      </w:r>
      <w:r>
        <w:rPr>
          <w:spacing w:val="-2"/>
        </w:rPr>
        <w:t>其他综合收益的份额，分别确认投资收益和其他综合收益，同时调整长期股权投资的账面价值；投资方按</w:t>
      </w:r>
      <w:r>
        <w:rPr>
          <w:spacing w:val="-43"/>
        </w:rPr>
        <w:t> </w:t>
      </w:r>
      <w:r>
        <w:rPr>
          <w:spacing w:val="-43"/>
        </w:rPr>
      </w:r>
      <w:r>
        <w:rPr>
          <w:spacing w:val="-2"/>
        </w:rPr>
        <w:t>照被投资单位宣告分派的利润或现金股利计算应享有的部分，相应减少长期股权投资的账面价值；投资方</w:t>
      </w:r>
      <w:r>
        <w:rPr>
          <w:spacing w:val="-43"/>
        </w:rPr>
        <w:t> </w:t>
      </w:r>
      <w:r>
        <w:rPr>
          <w:spacing w:val="-43"/>
        </w:rPr>
      </w:r>
      <w:r>
        <w:rPr>
          <w:spacing w:val="-2"/>
        </w:rPr>
        <w:t>对于被投资单位除净损益、其他综合收益和利润分配以外所有者权益的其他变动，调整长期股权投资的账</w:t>
      </w:r>
      <w:r>
        <w:rPr>
          <w:spacing w:val="-43"/>
        </w:rPr>
        <w:t> </w:t>
      </w:r>
      <w:r>
        <w:rPr>
          <w:spacing w:val="-43"/>
        </w:rPr>
      </w:r>
      <w:r>
        <w:rPr>
          <w:spacing w:val="-2"/>
        </w:rPr>
        <w:t>面价值并计入所有者权益。投资方在确认应享有被投资单位净损益的份额时，以取得投资时被投资单位可</w:t>
      </w:r>
      <w:r>
        <w:rPr>
          <w:spacing w:val="-43"/>
        </w:rPr>
        <w:t> </w:t>
      </w:r>
      <w:r>
        <w:rPr>
          <w:spacing w:val="-43"/>
        </w:rPr>
      </w:r>
      <w:r>
        <w:rPr>
          <w:spacing w:val="-2"/>
        </w:rPr>
        <w:t>辨认净资产的公允价值为基础，对被投资单位的净利润进行调整后确认。被投资单位采用的会计政策及会</w:t>
      </w:r>
      <w:r>
        <w:rPr>
          <w:spacing w:val="-43"/>
        </w:rPr>
        <w:t> </w:t>
      </w:r>
      <w:r>
        <w:rPr>
          <w:spacing w:val="-43"/>
        </w:rPr>
      </w:r>
      <w:r>
        <w:rPr>
          <w:spacing w:val="-2"/>
        </w:rPr>
        <w:t>计期间与投资方不一致的，按照投资方的会计政策及会计期间对被投资单位的财务报表进行调整，并据以</w:t>
      </w:r>
      <w:r>
        <w:rPr>
          <w:spacing w:val="-44"/>
        </w:rPr>
        <w:t> </w:t>
      </w:r>
      <w:r>
        <w:rPr>
          <w:spacing w:val="-44"/>
        </w:rPr>
      </w:r>
      <w:r>
        <w:rPr/>
        <w:t>确认投资收益和其他综合收益等。</w:t>
      </w:r>
    </w:p>
    <w:p>
      <w:pPr>
        <w:pStyle w:val="BodyText"/>
        <w:spacing w:line="273" w:lineRule="auto"/>
        <w:ind w:right="1105" w:firstLine="420"/>
        <w:jc w:val="both"/>
      </w:pPr>
      <w:r>
        <w:rPr>
          <w:spacing w:val="-2"/>
        </w:rPr>
        <w:t>投资方确认被投资单位发生的净亏损，以长期股权投资的账面价值以及其他实质上构成对被投资单位</w:t>
      </w:r>
      <w:r>
        <w:rPr>
          <w:w w:val="100"/>
        </w:rPr>
        <w:t> </w:t>
      </w:r>
      <w:r>
        <w:rPr>
          <w:spacing w:val="-2"/>
        </w:rPr>
        <w:t>净投资的长期权益减记至零为限，投资方负有承担额外损失义务的除外。被投资单位以后实现净利润的，</w:t>
      </w:r>
      <w:r>
        <w:rPr>
          <w:spacing w:val="-21"/>
        </w:rPr>
        <w:t> </w:t>
      </w:r>
      <w:r>
        <w:rPr>
          <w:spacing w:val="-21"/>
        </w:rPr>
      </w:r>
      <w:r>
        <w:rPr/>
        <w:t>投资方在其收益分享额弥补未确认的亏损分担额后，恢复确认收益分享额。</w:t>
      </w:r>
    </w:p>
    <w:p>
      <w:pPr>
        <w:pStyle w:val="BodyText"/>
        <w:spacing w:line="268" w:lineRule="auto"/>
        <w:ind w:right="0" w:firstLine="420"/>
        <w:jc w:val="left"/>
      </w:pPr>
      <w:r>
        <w:rPr>
          <w:spacing w:val="-2"/>
        </w:rPr>
        <w:t>投资方计算确认应享有或应分担被投资单位的净损益时，与联营企业、合营企业之间发生的未实现内</w:t>
      </w:r>
      <w:r>
        <w:rPr>
          <w:w w:val="100"/>
        </w:rPr>
        <w:t> </w:t>
      </w:r>
      <w:r>
        <w:rPr>
          <w:spacing w:val="-2"/>
        </w:rPr>
        <w:t>部交易损益按照应享有的比例计算归属于投资方的部分，予以抵销，在此基础上确认投资收益。投资方与</w:t>
      </w:r>
      <w:r>
        <w:rPr>
          <w:spacing w:val="-43"/>
        </w:rPr>
        <w:t> </w:t>
      </w:r>
      <w:r>
        <w:rPr>
          <w:spacing w:val="-43"/>
        </w:rPr>
      </w:r>
      <w:r>
        <w:rPr/>
        <w:t>被投资单位发生的未实现内部交易损失，按照《企业会计准则第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w:t>
      </w:r>
      <w:r>
        <w:rPr>
          <w:w w:val="100"/>
        </w:rPr>
        <w:t> </w:t>
      </w:r>
      <w:r>
        <w:rPr/>
        <w:t>产减值损失的，全额确认。</w:t>
      </w:r>
    </w:p>
    <w:p>
      <w:pPr>
        <w:pStyle w:val="BodyText"/>
        <w:spacing w:line="273" w:lineRule="auto" w:before="12"/>
        <w:ind w:right="1126" w:firstLine="420"/>
        <w:jc w:val="both"/>
      </w:pPr>
      <w:r>
        <w:rPr>
          <w:spacing w:val="-2"/>
        </w:rPr>
        <w:t>投资方对联营企业的权益性投资，其中一部分通过风险投资机构、共同基金、信托公司或包括投连险</w:t>
      </w:r>
      <w:r>
        <w:rPr>
          <w:w w:val="100"/>
        </w:rPr>
        <w:t> </w:t>
      </w:r>
      <w:r>
        <w:rPr>
          <w:spacing w:val="-2"/>
        </w:rPr>
        <w:t>基金在内的类似主体间接持有的，无论以上主体是否对这部分投资具有重大影响，投资方都按照金融工具</w:t>
      </w:r>
      <w:r>
        <w:rPr>
          <w:spacing w:val="-43"/>
        </w:rPr>
        <w:t> </w:t>
      </w:r>
      <w:r>
        <w:rPr>
          <w:spacing w:val="-43"/>
        </w:rPr>
      </w:r>
      <w:r>
        <w:rPr>
          <w:spacing w:val="-2"/>
        </w:rPr>
        <w:t>政策的有关规定，对间接持有的该部分投资选择以公允价值计量且其变动计入损益，并对其余部分采用权</w:t>
      </w:r>
      <w:r>
        <w:rPr>
          <w:spacing w:val="-44"/>
        </w:rPr>
        <w:t> </w:t>
      </w:r>
      <w:r>
        <w:rPr>
          <w:spacing w:val="-44"/>
        </w:rPr>
      </w:r>
      <w:r>
        <w:rPr/>
        <w:t>益法核算。</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0"/>
        <w:jc w:val="left"/>
      </w:pPr>
      <w:r>
        <w:rPr>
          <w:rFonts w:ascii="Times New Roman" w:hAnsi="Times New Roman" w:cs="Times New Roman" w:eastAsia="Times New Roman" w:hint="default"/>
        </w:rPr>
        <w:t>14.3.3</w:t>
      </w:r>
      <w:r>
        <w:rPr>
          <w:rFonts w:ascii="Times New Roman" w:hAnsi="Times New Roman" w:cs="Times New Roman" w:eastAsia="Times New Roman" w:hint="default"/>
          <w:spacing w:val="28"/>
        </w:rPr>
        <w:t> </w:t>
      </w:r>
      <w:r>
        <w:rPr/>
        <w:t>因追加投资等原因能够对被投资单位施加重大影响或实施共同控制但不构成控制的处理</w:t>
      </w:r>
      <w:r>
        <w:rPr>
          <w:w w:val="100"/>
        </w:rPr>
        <w:t> </w:t>
      </w:r>
      <w:r>
        <w:rPr>
          <w:spacing w:val="-2"/>
        </w:rPr>
        <w:t>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p>
    <w:p>
      <w:pPr>
        <w:pStyle w:val="BodyText"/>
        <w:spacing w:line="273" w:lineRule="auto" w:before="5"/>
        <w:ind w:right="1126"/>
        <w:jc w:val="both"/>
      </w:pPr>
      <w:r>
        <w:rPr>
          <w:spacing w:val="-2"/>
        </w:rPr>
        <w:t>投资成本之和，作为改按权益法核算的初始投资成本。原持有的股权投资分类为可供出售金融资产的，其</w:t>
      </w:r>
      <w:r>
        <w:rPr>
          <w:spacing w:val="-43"/>
        </w:rPr>
        <w:t> </w:t>
      </w:r>
      <w:r>
        <w:rPr>
          <w:spacing w:val="-43"/>
        </w:rPr>
      </w:r>
      <w:r>
        <w:rPr>
          <w:spacing w:val="-2"/>
        </w:rPr>
        <w:t>公允价值与账面价值之间的差额，以及原计入其他综合收益的累计公允价值变动转入改按权益法核算的当</w:t>
      </w:r>
      <w:r>
        <w:rPr>
          <w:spacing w:val="-43"/>
        </w:rPr>
        <w:t> </w:t>
      </w:r>
      <w:r>
        <w:rPr>
          <w:spacing w:val="-43"/>
        </w:rPr>
      </w:r>
      <w:r>
        <w:rPr/>
        <w:t>期损益。</w:t>
      </w:r>
    </w:p>
    <w:p>
      <w:pPr>
        <w:pStyle w:val="BodyText"/>
        <w:spacing w:line="256" w:lineRule="auto"/>
        <w:ind w:left="573" w:right="0"/>
        <w:jc w:val="left"/>
      </w:pPr>
      <w:r>
        <w:rPr>
          <w:rFonts w:ascii="Times New Roman" w:hAnsi="Times New Roman" w:cs="Times New Roman" w:eastAsia="Times New Roman" w:hint="default"/>
        </w:rPr>
        <w:t>14.3.4</w:t>
      </w:r>
      <w:r>
        <w:rPr>
          <w:rFonts w:ascii="Times New Roman" w:hAnsi="Times New Roman" w:cs="Times New Roman" w:eastAsia="Times New Roman" w:hint="default"/>
          <w:spacing w:val="28"/>
        </w:rPr>
        <w:t> </w:t>
      </w:r>
      <w:r>
        <w:rPr/>
        <w:t>处置部分股权的处理</w:t>
      </w:r>
      <w:r>
        <w:rPr>
          <w:w w:val="100"/>
        </w:rPr>
        <w:t> </w:t>
      </w:r>
      <w:r>
        <w:rPr>
          <w:spacing w:val="-2"/>
        </w:rPr>
        <w:t>因处置部分股权投资等原因丧失了对被投资单位的共同控制或重大影响的，处置后的剩余股权改按本</w:t>
      </w:r>
    </w:p>
    <w:p>
      <w:pPr>
        <w:pStyle w:val="BodyText"/>
        <w:spacing w:line="264" w:lineRule="auto" w:before="22"/>
        <w:ind w:right="1126"/>
        <w:jc w:val="both"/>
      </w:pPr>
      <w:r>
        <w:rPr>
          <w:spacing w:val="-2"/>
        </w:rPr>
        <w:t>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的政策核算，其在丧失共同控制或重大影响之日的公允价值与账面价值之间的差额计入当</w:t>
      </w:r>
      <w:r>
        <w:rPr>
          <w:spacing w:val="-17"/>
        </w:rPr>
        <w:t> </w:t>
      </w:r>
      <w:r>
        <w:rPr>
          <w:spacing w:val="-17"/>
        </w:rPr>
      </w:r>
      <w:r>
        <w:rPr>
          <w:spacing w:val="-2"/>
        </w:rPr>
        <w:t>期损益。原股权投资因采用权益法核算而确认的其他综合收益，在终止采用权益法核算时采用与被投资单</w:t>
      </w:r>
      <w:r>
        <w:rPr>
          <w:spacing w:val="-44"/>
        </w:rPr>
        <w:t> </w:t>
      </w:r>
      <w:r>
        <w:rPr>
          <w:spacing w:val="-44"/>
        </w:rPr>
      </w:r>
      <w:r>
        <w:rPr/>
        <w:t>位直接处置相关资产或负债相同的基础进行会计处理。</w:t>
      </w:r>
    </w:p>
    <w:p>
      <w:pPr>
        <w:pStyle w:val="BodyText"/>
        <w:spacing w:line="268" w:lineRule="auto" w:before="16"/>
        <w:ind w:right="1126" w:firstLine="420"/>
        <w:jc w:val="both"/>
      </w:pPr>
      <w:r>
        <w:rPr>
          <w:spacing w:val="-2"/>
        </w:rPr>
        <w:t>因处置部分权益性投资等原因丧失了对被投资单位的控制的，在编制个别财务报表时，处置后的剩余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股权能够对被投资单位实施共同控制或施加重大影响的，改按权益法核算，并对该剩余股权视同自取得时</w:t>
      </w:r>
      <w:r>
        <w:rPr>
          <w:spacing w:val="-42"/>
        </w:rPr>
        <w:t> </w:t>
      </w:r>
      <w:r>
        <w:rPr>
          <w:spacing w:val="-42"/>
        </w:rPr>
      </w:r>
      <w:r>
        <w:rPr>
          <w:spacing w:val="-2"/>
        </w:rPr>
        <w:t>即采用权益法核算进行调整；处置后的剩余股权不能对被投资单位实施共同控制或施加重大影响的，改按</w:t>
      </w:r>
      <w:r>
        <w:rPr>
          <w:spacing w:val="-43"/>
        </w:rPr>
        <w:t> </w:t>
      </w:r>
      <w:r>
        <w:rPr>
          <w:spacing w:val="-43"/>
        </w:rPr>
      </w:r>
      <w:r>
        <w:rPr>
          <w:spacing w:val="-2"/>
        </w:rPr>
        <w:t>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的有关政策进行会计处理，其在丧失控制之日的公允价值与账面价值间的差额计入当期</w:t>
      </w:r>
      <w:r>
        <w:rPr>
          <w:spacing w:val="-18"/>
        </w:rPr>
        <w:t> </w:t>
      </w:r>
      <w:r>
        <w:rPr>
          <w:spacing w:val="-18"/>
        </w:rPr>
      </w:r>
      <w:r>
        <w:rPr/>
        <w:t>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w:t>
      </w:r>
    </w:p>
    <w:p>
      <w:pPr>
        <w:pStyle w:val="BodyText"/>
        <w:spacing w:line="256" w:lineRule="auto" w:before="0"/>
        <w:ind w:left="573" w:right="0"/>
        <w:jc w:val="left"/>
      </w:pPr>
      <w:r>
        <w:rPr>
          <w:rFonts w:ascii="Times New Roman" w:hAnsi="Times New Roman" w:cs="Times New Roman" w:eastAsia="Times New Roman" w:hint="default"/>
        </w:rPr>
        <w:t>14.3.5</w:t>
      </w:r>
      <w:r>
        <w:rPr/>
        <w:t>对联营企业或合营企业的权益性投资全部或部分分类为持有待售资产的处理</w:t>
      </w:r>
      <w:r>
        <w:rPr>
          <w:w w:val="100"/>
        </w:rPr>
        <w:t> </w:t>
      </w:r>
      <w:r>
        <w:rPr>
          <w:spacing w:val="-2"/>
        </w:rPr>
        <w:t>分类为持有待售资产的对联营企业或合营企业的权益性投资，以账面价值与公允价值减去处置费用孰</w:t>
      </w:r>
    </w:p>
    <w:p>
      <w:pPr>
        <w:pStyle w:val="BodyText"/>
        <w:spacing w:line="273" w:lineRule="auto" w:before="22"/>
        <w:ind w:right="0"/>
        <w:jc w:val="left"/>
      </w:pPr>
      <w:r>
        <w:rPr>
          <w:spacing w:val="-2"/>
        </w:rPr>
        <w:t>低的金额列示，公允价值减去处置费用低于原账面价值的金额，确认为资产减值损失。对于未划分为持有</w:t>
      </w:r>
      <w:r>
        <w:rPr>
          <w:spacing w:val="-44"/>
        </w:rPr>
        <w:t> </w:t>
      </w:r>
      <w:r>
        <w:rPr>
          <w:spacing w:val="-44"/>
        </w:rPr>
      </w:r>
      <w:r>
        <w:rPr>
          <w:spacing w:val="-2"/>
        </w:rPr>
        <w:t>待售资产的剩余权益性投资，采用权益法进行会计处理。已划分为持有待售的对联营企业或合营企业的权</w:t>
      </w:r>
      <w:r>
        <w:rPr>
          <w:spacing w:val="-43"/>
        </w:rPr>
        <w:t> </w:t>
      </w:r>
      <w:r>
        <w:rPr>
          <w:spacing w:val="-43"/>
        </w:rPr>
      </w:r>
      <w:r>
        <w:rPr>
          <w:spacing w:val="-5"/>
        </w:rPr>
        <w:t>益性投资，不再符合持有待售资产分类条件的，从被分类为持有待售资产之日起采用权益法进行追溯调整。 </w:t>
      </w:r>
      <w:r>
        <w:rPr>
          <w:spacing w:val="-5"/>
        </w:rPr>
      </w:r>
      <w:r>
        <w:rPr/>
        <w:t>分类为持有待售期间的财务报表作相应调整。</w:t>
      </w:r>
    </w:p>
    <w:p>
      <w:pPr>
        <w:pStyle w:val="BodyText"/>
        <w:spacing w:line="256" w:lineRule="auto"/>
        <w:ind w:left="573" w:right="0"/>
        <w:jc w:val="left"/>
      </w:pPr>
      <w:r>
        <w:rPr>
          <w:rFonts w:ascii="Times New Roman" w:hAnsi="Times New Roman" w:cs="Times New Roman" w:eastAsia="Times New Roman" w:hint="default"/>
        </w:rPr>
        <w:t>14.3.6</w:t>
      </w:r>
      <w:r>
        <w:rPr>
          <w:rFonts w:ascii="Times New Roman" w:hAnsi="Times New Roman" w:cs="Times New Roman" w:eastAsia="Times New Roman" w:hint="default"/>
          <w:spacing w:val="28"/>
        </w:rPr>
        <w:t> </w:t>
      </w:r>
      <w:r>
        <w:rPr/>
        <w:t>处置长期股权投资的处理</w:t>
      </w:r>
      <w:r>
        <w:rPr>
          <w:spacing w:val="-101"/>
        </w:rPr>
        <w:t> </w:t>
      </w:r>
      <w:r>
        <w:rPr>
          <w:spacing w:val="-101"/>
        </w:rPr>
      </w:r>
      <w:r>
        <w:rPr>
          <w:spacing w:val="-2"/>
        </w:rPr>
        <w:t>处置长期股权投资，其账面价值与实际取得价款之间的差额，计入当期损益。采用权益法核算的长期</w:t>
      </w:r>
    </w:p>
    <w:p>
      <w:pPr>
        <w:pStyle w:val="BodyText"/>
        <w:spacing w:line="273" w:lineRule="auto" w:before="22"/>
        <w:ind w:right="0"/>
        <w:jc w:val="left"/>
      </w:pPr>
      <w:r>
        <w:rPr>
          <w:spacing w:val="-2"/>
        </w:rPr>
        <w:t>股权投资，在处置该项投资时，采用与被投资单位直接处置相关资产或负债相同的基础，按相应比例对原</w:t>
      </w:r>
      <w:r>
        <w:rPr>
          <w:spacing w:val="-44"/>
        </w:rPr>
        <w:t> </w:t>
      </w:r>
      <w:r>
        <w:rPr>
          <w:spacing w:val="-44"/>
        </w:rPr>
      </w:r>
      <w:r>
        <w:rPr/>
        <w:t>计入其他综合收益的部分进行会计处理。</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固定资产是指为生产商品、提供劳务、出租或经营管理而持有的，使用寿命超过一个会计年度的有形资产。固定资产同时满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足下列条件的，才能予以确认：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6"/>
        <w:ind w:right="1126" w:firstLine="420"/>
        <w:jc w:val="both"/>
      </w:pPr>
      <w:r>
        <w:rPr>
          <w:spacing w:val="-2"/>
        </w:rPr>
        <w:t>在建工程按实际发生的成本计量。实际成本包括建筑费用、其他为使在建工程达到预定可使用状态所</w:t>
      </w:r>
      <w:r>
        <w:rPr>
          <w:w w:val="100"/>
        </w:rPr>
        <w:t> </w:t>
      </w:r>
      <w:r>
        <w:rPr>
          <w:spacing w:val="-2"/>
        </w:rPr>
        <w:t>发生的必要支出以及在资产达到预定可使用状态之前所发生的符合资本化条件的借款费用。在建工程在达</w:t>
      </w:r>
      <w:r>
        <w:rPr>
          <w:spacing w:val="-43"/>
        </w:rPr>
        <w:t> </w:t>
      </w:r>
      <w:r>
        <w:rPr>
          <w:spacing w:val="-43"/>
        </w:rPr>
      </w:r>
      <w:r>
        <w:rPr/>
        <w:t>到预定可使用状态时，转入固定资产并自次月起开始计提折旧。</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right="0" w:firstLine="420"/>
        <w:jc w:val="left"/>
      </w:pPr>
      <w:r>
        <w:rPr/>
        <w:t>发生的可直接归属于需要经过相当长时间的购建活动才能达到预定可使用状态之固定资产的购建的</w:t>
      </w:r>
      <w:r>
        <w:rPr>
          <w:w w:val="100"/>
        </w:rPr>
        <w:t> </w:t>
      </w:r>
      <w:r>
        <w:rPr>
          <w:spacing w:val="-5"/>
        </w:rPr>
        <w:t>借款费用，在资产支出及借款费用已经发生、为使资产达到预定可使用状态所必要的购建活动已经开始时，</w:t>
      </w:r>
      <w:r>
        <w:rPr>
          <w:spacing w:val="-6"/>
        </w:rPr>
        <w:t> </w:t>
      </w:r>
      <w:r>
        <w:rPr>
          <w:spacing w:val="-6"/>
        </w:rPr>
      </w:r>
      <w:r>
        <w:rPr>
          <w:spacing w:val="-2"/>
        </w:rPr>
        <w:t>开始资本化并计入该资产的成本。当购建的资产达到预定可使用状态时停止资本化，其后发生的借款费用</w:t>
      </w:r>
      <w:r>
        <w:rPr>
          <w:spacing w:val="-44"/>
        </w:rPr>
        <w:t> </w:t>
      </w:r>
      <w:r>
        <w:rPr>
          <w:spacing w:val="-44"/>
        </w:rPr>
      </w:r>
      <w:r>
        <w:rPr/>
        <w:t>计入当期损益。如果资产的购建活动发生非正常中断，并且中断时间连续超过</w:t>
      </w:r>
      <w:r>
        <w:rPr>
          <w:rFonts w:ascii="Times New Roman" w:hAnsi="Times New Roman" w:cs="Times New Roman" w:eastAsia="Times New Roman" w:hint="default"/>
        </w:rPr>
        <w:t>3</w:t>
      </w:r>
      <w:r>
        <w:rPr/>
        <w:t>个月，暂停借款费用的资</w:t>
      </w:r>
      <w:r>
        <w:rPr>
          <w:w w:val="100"/>
        </w:rPr>
        <w:t> </w:t>
      </w:r>
      <w:r>
        <w:rPr/>
        <w:t>本化，直至资产的购建活动重新开始。</w:t>
      </w:r>
    </w:p>
    <w:p>
      <w:pPr>
        <w:pStyle w:val="BodyText"/>
        <w:spacing w:line="273" w:lineRule="auto" w:before="12"/>
        <w:ind w:right="1126" w:firstLine="420"/>
        <w:jc w:val="both"/>
      </w:pPr>
      <w:r>
        <w:rPr>
          <w:spacing w:val="-2"/>
        </w:rPr>
        <w:t>在资本化期间内，专门借款（指为购建或者生产符合资本化条件的资产而专门借入的款项）以专门借</w:t>
      </w:r>
      <w:r>
        <w:rPr>
          <w:w w:val="100"/>
        </w:rPr>
        <w:t> </w:t>
      </w:r>
      <w:r>
        <w:rPr>
          <w:spacing w:val="-2"/>
        </w:rPr>
        <w:t>款当期实际发生的利息费用，减去将尚未动用的借款资金存入银行取得的利息收入或进行暂时性投资取得</w:t>
      </w:r>
      <w:r>
        <w:rPr>
          <w:spacing w:val="-43"/>
        </w:rPr>
        <w:t> </w:t>
      </w:r>
      <w:r>
        <w:rPr>
          <w:spacing w:val="-43"/>
        </w:rPr>
      </w:r>
      <w:r>
        <w:rPr>
          <w:spacing w:val="-2"/>
        </w:rPr>
        <w:t>的投资收益后确定应予资本化的利息金额；一般借款则根据累计资产支出超过专门借款部分的资产支出加</w:t>
      </w:r>
      <w:r>
        <w:rPr>
          <w:spacing w:val="-43"/>
        </w:rPr>
        <w:t> </w:t>
      </w:r>
      <w:r>
        <w:rPr>
          <w:spacing w:val="-43"/>
        </w:rPr>
      </w:r>
      <w:r>
        <w:rPr>
          <w:spacing w:val="-2"/>
        </w:rPr>
        <w:t>权平均数乘以所占用一般借款的资本化率，计算确定一般借款应予资本化的利息金额。资本化率根据一般</w:t>
      </w:r>
      <w:r>
        <w:rPr>
          <w:spacing w:val="-43"/>
        </w:rPr>
        <w:t> </w:t>
      </w:r>
      <w:r>
        <w:rPr>
          <w:spacing w:val="-43"/>
        </w:rPr>
      </w:r>
      <w:r>
        <w:rPr/>
        <w:t>借款加权平均利率计算确定。</w:t>
      </w:r>
    </w:p>
    <w:p>
      <w:pPr>
        <w:pStyle w:val="BodyText"/>
        <w:spacing w:line="273" w:lineRule="auto" w:before="8"/>
        <w:ind w:right="112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610" w:lineRule="atLeast" w:before="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无形资产包括土地使用权、专利权及非专利技术、通过建设经营移交方式</w:t>
      </w:r>
      <w:r>
        <w:rPr>
          <w:rFonts w:ascii="Times New Roman" w:hAnsi="Times New Roman" w:cs="Times New Roman" w:eastAsia="Times New Roman" w:hint="default"/>
          <w:spacing w:val="-2"/>
          <w:sz w:val="21"/>
          <w:szCs w:val="21"/>
        </w:rPr>
        <w:t>(BOT)</w:t>
      </w:r>
      <w:r>
        <w:rPr>
          <w:rFonts w:ascii="宋体" w:hAnsi="宋体" w:cs="宋体" w:eastAsia="宋体" w:hint="default"/>
          <w:spacing w:val="-2"/>
          <w:sz w:val="21"/>
          <w:szCs w:val="21"/>
        </w:rPr>
        <w:t>取得的资产等。无形</w:t>
      </w:r>
    </w:p>
    <w:p>
      <w:pPr>
        <w:pStyle w:val="BodyText"/>
        <w:spacing w:line="273" w:lineRule="auto" w:before="22"/>
        <w:ind w:right="1124"/>
        <w:jc w:val="left"/>
      </w:pPr>
      <w:r>
        <w:rPr>
          <w:spacing w:val="-2"/>
        </w:rPr>
        <w:t>资产以实际成本计量。公司制改建时国有股股东投入的无形资产，按国有资产管理部门确认的评估值作为</w:t>
      </w:r>
      <w:r>
        <w:rPr>
          <w:spacing w:val="-42"/>
        </w:rPr>
        <w:t> </w:t>
      </w:r>
      <w:r>
        <w:rPr>
          <w:spacing w:val="-42"/>
        </w:rPr>
      </w:r>
      <w:r>
        <w:rPr/>
        <w:t>入账价值。</w:t>
      </w:r>
    </w:p>
    <w:p>
      <w:pPr>
        <w:pStyle w:val="BodyText"/>
        <w:spacing w:line="264" w:lineRule="auto"/>
        <w:ind w:right="1126" w:firstLine="420"/>
        <w:jc w:val="both"/>
      </w:pPr>
      <w:r>
        <w:rPr>
          <w:spacing w:val="-2"/>
        </w:rPr>
        <w:t>土地使用权按使用年限年平均摊销。外购土地及建筑物的价款难以在土地使用权与建筑物之间合理分</w:t>
      </w:r>
      <w:r>
        <w:rPr>
          <w:w w:val="100"/>
        </w:rPr>
        <w:t> </w:t>
      </w:r>
      <w:r>
        <w:rPr>
          <w:spacing w:val="-2"/>
        </w:rPr>
        <w:t>配的，全部作为固定资产。专利权按法律规定的有效年限年平均摊销。通过</w:t>
      </w:r>
      <w:r>
        <w:rPr>
          <w:rFonts w:ascii="Times New Roman" w:hAnsi="Times New Roman" w:cs="Times New Roman" w:eastAsia="Times New Roman" w:hint="default"/>
          <w:spacing w:val="-2"/>
        </w:rPr>
        <w:t>BOT</w:t>
      </w:r>
      <w:r>
        <w:rPr>
          <w:spacing w:val="-2"/>
        </w:rPr>
        <w:t>方式取得的资产按基础设</w:t>
      </w:r>
      <w:r>
        <w:rPr>
          <w:spacing w:val="-46"/>
        </w:rPr>
        <w:t> </w:t>
      </w:r>
      <w:r>
        <w:rPr>
          <w:spacing w:val="-46"/>
        </w:rPr>
      </w:r>
      <w:r>
        <w:rPr/>
        <w:t>施经营权期限年平均摊销。</w:t>
      </w:r>
    </w:p>
    <w:p>
      <w:pPr>
        <w:pStyle w:val="BodyText"/>
        <w:spacing w:line="240" w:lineRule="auto" w:before="16"/>
        <w:ind w:left="573" w:right="0"/>
        <w:jc w:val="left"/>
      </w:pPr>
      <w:r>
        <w:rPr/>
        <w:t>对使用寿命有限的无形资产的预计使用寿命及摊销方法于每年年度终了进行复核并作适当调整。</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firstLine="420"/>
        <w:jc w:val="left"/>
      </w:pPr>
      <w:r>
        <w:rPr>
          <w:spacing w:val="-2"/>
        </w:rPr>
        <w:t>根据内部研究开发项目支出的性质以及研发活动最终形成无形资产是否具有较大不确定性，分为研究</w:t>
      </w:r>
      <w:r>
        <w:rPr>
          <w:w w:val="100"/>
        </w:rPr>
        <w:t> </w:t>
      </w:r>
      <w:r>
        <w:rPr/>
        <w:t>阶段支出和开发阶段支出。</w:t>
      </w:r>
    </w:p>
    <w:p>
      <w:pPr>
        <w:pStyle w:val="BodyText"/>
        <w:spacing w:line="240" w:lineRule="auto"/>
        <w:ind w:left="573" w:right="0"/>
        <w:jc w:val="left"/>
      </w:pPr>
      <w:r>
        <w:rPr>
          <w:spacing w:val="-5"/>
        </w:rPr>
        <w:t>研究阶段的支出，于发生时计入当期损益；开发阶段的支出，同时满足下列条件的，确认为无形资产：</w:t>
      </w:r>
    </w:p>
    <w:p>
      <w:pPr>
        <w:pStyle w:val="BodyText"/>
        <w:spacing w:line="240" w:lineRule="auto" w:before="37"/>
        <w:ind w:left="573"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0"/>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1"/>
        <w:ind w:left="573" w:right="0"/>
        <w:jc w:val="left"/>
      </w:pPr>
      <w:r>
        <w:rPr>
          <w:rFonts w:ascii="Times New Roman" w:hAnsi="Times New Roman" w:cs="Times New Roman" w:eastAsia="Times New Roman" w:hint="default"/>
        </w:rPr>
        <w:t>3</w:t>
      </w:r>
      <w:r>
        <w:rPr/>
        <w:t>）能够证明该无形资产将如何产生经济利益；</w:t>
      </w:r>
    </w:p>
    <w:p>
      <w:pPr>
        <w:pStyle w:val="BodyText"/>
        <w:spacing w:line="256" w:lineRule="auto" w:before="21"/>
        <w:ind w:right="1124" w:firstLine="420"/>
        <w:jc w:val="left"/>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256" w:lineRule="auto" w:before="22"/>
        <w:ind w:left="573"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273" w:lineRule="auto" w:before="22"/>
        <w:ind w:right="0"/>
        <w:jc w:val="left"/>
      </w:pPr>
      <w:r>
        <w:rPr>
          <w:spacing w:val="-2"/>
        </w:rPr>
        <w:t>间确认为资产。已资本化的开发阶段的支出在资产负债表上列示为开发支出，自该项目达到预定可使用状</w:t>
      </w:r>
      <w:r>
        <w:rPr>
          <w:spacing w:val="-43"/>
        </w:rPr>
        <w:t> </w:t>
      </w:r>
      <w:r>
        <w:rPr>
          <w:spacing w:val="-43"/>
        </w:rPr>
      </w:r>
      <w:r>
        <w:rPr/>
        <w:t>态之日起转为无形资产。</w:t>
      </w:r>
    </w:p>
    <w:p>
      <w:pPr>
        <w:pStyle w:val="BodyText"/>
        <w:spacing w:line="240" w:lineRule="auto"/>
        <w:ind w:left="573" w:right="0"/>
        <w:jc w:val="left"/>
      </w:pPr>
      <w:r>
        <w:rPr/>
        <w:t>当开发支出的可收回金额低于其账面价值时，账面价值减记至可收回金额。</w:t>
      </w:r>
    </w:p>
    <w:p>
      <w:pPr>
        <w:pStyle w:val="BodyText"/>
        <w:spacing w:line="590" w:lineRule="atLeast" w:before="38"/>
        <w:ind w:left="573" w:right="0" w:hanging="421"/>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spacing w:val="-2"/>
        </w:rPr>
        <w:t>在财务报表中单独列示的商誉和使用寿命不确定的无形资产，无论是否存在减值迹象，至少每年进行</w:t>
      </w:r>
    </w:p>
    <w:p>
      <w:pPr>
        <w:pStyle w:val="BodyText"/>
        <w:spacing w:line="273" w:lineRule="auto" w:before="37"/>
        <w:ind w:right="1126"/>
        <w:jc w:val="both"/>
      </w:pPr>
      <w:r>
        <w:rPr>
          <w:spacing w:val="-2"/>
        </w:rPr>
        <w:t>减值测试。固定资产、无形资产、以成本模式计量的投资性房地产及长期股权投资等，于资产负债表日存</w:t>
      </w:r>
      <w:r>
        <w:rPr>
          <w:spacing w:val="-47"/>
        </w:rPr>
        <w:t> </w:t>
      </w:r>
      <w:r>
        <w:rPr>
          <w:spacing w:val="-47"/>
        </w:rPr>
      </w:r>
      <w:r>
        <w:rPr>
          <w:spacing w:val="-2"/>
        </w:rPr>
        <w:t>在减值迹象的，进行减值测试。减值测试结果表明资产的可收回金额低于其账面价值的，按其差额计提减</w:t>
      </w:r>
      <w:r>
        <w:rPr>
          <w:spacing w:val="-44"/>
        </w:rPr>
        <w:t> </w:t>
      </w:r>
      <w:r>
        <w:rPr>
          <w:spacing w:val="-44"/>
        </w:rPr>
      </w:r>
      <w:r>
        <w:rPr>
          <w:spacing w:val="-2"/>
        </w:rPr>
        <w:t>值准备并计入减值损失。可收回金额为资产的公允价值减去处置费用后的净额与资产预计未来现金流量的</w:t>
      </w:r>
      <w:r>
        <w:rPr>
          <w:spacing w:val="-43"/>
        </w:rPr>
        <w:t> </w:t>
      </w:r>
      <w:r>
        <w:rPr>
          <w:spacing w:val="-43"/>
        </w:rPr>
      </w:r>
      <w:r>
        <w:rPr>
          <w:spacing w:val="-2"/>
        </w:rPr>
        <w:t>现值两者之间的较高者。资产减值准备按单项资产为基础计算并确认，如果难以对单项资产的可收回金额</w:t>
      </w:r>
      <w:r>
        <w:rPr>
          <w:spacing w:val="-42"/>
        </w:rPr>
        <w:t> </w:t>
      </w:r>
      <w:r>
        <w:rPr>
          <w:spacing w:val="-42"/>
        </w:rPr>
      </w:r>
      <w:r>
        <w:rPr>
          <w:spacing w:val="-2"/>
        </w:rPr>
        <w:t>进行估计的，以该资产所属的资产组确定资产组的可收回金额。资产组是能够独立产生现金流入的最小资</w:t>
      </w:r>
      <w:r>
        <w:rPr>
          <w:spacing w:val="-44"/>
        </w:rPr>
        <w:t> </w:t>
      </w:r>
      <w:r>
        <w:rPr>
          <w:spacing w:val="-44"/>
        </w:rPr>
      </w:r>
      <w:r>
        <w:rPr/>
        <w:t>产组合。前述资产减值损失一经确认，如果在以后期间价值得以恢复，也不予转回。</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jc w:val="left"/>
      </w:pPr>
      <w:r>
        <w:rPr>
          <w:spacing w:val="-2"/>
        </w:rPr>
        <w:t>长期待摊费用包括经营租入固定资产改良及其他已经发生但由本期和以后各期负担的分摊期限在一年以</w:t>
      </w:r>
      <w:r>
        <w:rPr>
          <w:spacing w:val="-21"/>
        </w:rPr>
        <w:t> </w:t>
      </w:r>
      <w:r>
        <w:rPr>
          <w:spacing w:val="-21"/>
        </w:rPr>
      </w:r>
      <w:r>
        <w:rPr/>
        <w:t>上的各项费用，按预计受益期间分期平均摊销，并以实际支出减去累计摊销后的净额列示。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273" w:lineRule="auto" w:before="37"/>
        <w:ind w:left="0" w:right="1107"/>
        <w:jc w:val="right"/>
      </w:pPr>
      <w:r>
        <w:rPr>
          <w:spacing w:val="-2"/>
        </w:rPr>
        <w:t>成本。发生的职工福利费，在实际发生时根据实际发生额计入当期损益或相关资产成本。职工福利费为非</w:t>
      </w:r>
      <w:r>
        <w:rPr>
          <w:spacing w:val="-86"/>
        </w:rPr>
        <w:t> </w:t>
      </w:r>
      <w:r>
        <w:rPr>
          <w:spacing w:val="-86"/>
        </w:rPr>
      </w:r>
      <w:r>
        <w:rPr>
          <w:spacing w:val="-2"/>
        </w:rPr>
        <w:t>货币性福利的，按照公允价值计量。为职工缴纳的医疗保险费、工伤保险费、生育保险费等社会保险费和</w:t>
      </w:r>
      <w:r>
        <w:rPr>
          <w:spacing w:val="-98"/>
        </w:rPr>
        <w:t> </w:t>
      </w:r>
      <w:r>
        <w:rPr>
          <w:spacing w:val="-98"/>
        </w:rPr>
      </w:r>
      <w:r>
        <w:rPr>
          <w:spacing w:val="-2"/>
        </w:rPr>
        <w:t>住房公积金，以及按规定提取的工会经费和职工教育经费，在职工为公司提供服务的会计期间，根据规定</w:t>
      </w:r>
      <w:r>
        <w:rPr>
          <w:spacing w:val="-82"/>
        </w:rPr>
        <w:t> </w:t>
      </w:r>
      <w:r>
        <w:rPr>
          <w:spacing w:val="-82"/>
        </w:rPr>
      </w:r>
      <w:r>
        <w:rPr>
          <w:spacing w:val="-2"/>
        </w:rPr>
        <w:t>的计提基础和计提比例计算确定相应的职工薪酬金额，并确认相应负债，计入当期损益或相关资产成本。</w:t>
      </w:r>
      <w:r>
        <w:rPr>
          <w:spacing w:val="-46"/>
        </w:rPr>
        <w:t> </w:t>
      </w:r>
      <w:r>
        <w:rPr>
          <w:spacing w:val="-46"/>
        </w:rPr>
      </w:r>
      <w:r>
        <w:rPr>
          <w:spacing w:val="-3"/>
        </w:rPr>
        <w:t>在职工提供服务从而增加了其未来享有的带薪缺勤权利时，确认与累积带薪缺勤相关的职工薪酬，并</w:t>
      </w:r>
      <w:r>
        <w:rPr>
          <w:spacing w:val="-12"/>
          <w:w w:val="100"/>
        </w:rPr>
        <w:t> </w:t>
      </w:r>
      <w:r>
        <w:rPr>
          <w:spacing w:val="-2"/>
        </w:rPr>
        <w:t>以累积未行使权利而增加的预期支付金额计量。在职工实际发生缺勤的会计期间确认与非累积带薪缺勤相</w:t>
      </w:r>
    </w:p>
    <w:p>
      <w:pPr>
        <w:pStyle w:val="BodyText"/>
        <w:spacing w:line="273" w:lineRule="auto"/>
        <w:ind w:left="573" w:right="3554" w:hanging="421"/>
        <w:jc w:val="left"/>
      </w:pPr>
      <w:r>
        <w:rPr/>
        <w:t>关的职工薪酬。</w:t>
      </w:r>
      <w:r>
        <w:rPr>
          <w:spacing w:val="-103"/>
        </w:rPr>
        <w:t> </w:t>
      </w:r>
      <w:r>
        <w:rPr>
          <w:spacing w:val="-103"/>
        </w:rPr>
      </w:r>
      <w:r>
        <w:rPr>
          <w:spacing w:val="-2"/>
        </w:rPr>
        <w:t>利润分享计划同时满足下列条件时，公司确认相关的应付职工薪酬：</w:t>
      </w:r>
      <w:r>
        <w:rPr>
          <w:w w:val="100"/>
        </w:rPr>
        <w:t> </w:t>
      </w:r>
      <w:r>
        <w:rPr>
          <w:rFonts w:ascii="Times New Roman" w:hAnsi="Times New Roman" w:cs="Times New Roman" w:eastAsia="Times New Roman" w:hint="default"/>
        </w:rPr>
        <w:t>1</w:t>
      </w:r>
      <w:r>
        <w:rPr/>
        <w:t>）因过去事项导致现在具有支付职工薪酬的法定义务或推定义务；</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0"/>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0"/>
        <w:jc w:val="left"/>
      </w:pPr>
      <w:r>
        <w:rPr>
          <w:rFonts w:ascii="Times New Roman" w:hAnsi="Times New Roman" w:cs="Times New Roman" w:eastAsia="Times New Roman" w:hint="default"/>
        </w:rPr>
        <w:t>1</w:t>
      </w:r>
      <w:r>
        <w:rPr/>
        <w:t>）设定提存计划</w:t>
      </w:r>
      <w:r>
        <w:rPr>
          <w:w w:val="100"/>
        </w:rPr>
        <w:t> </w:t>
      </w:r>
      <w:r>
        <w:rPr>
          <w:spacing w:val="-2"/>
        </w:rPr>
        <w:t>公司在职工为其提供服务的会计期间，将根据设定提存计划计算的应缴存金额确认为负债，并计入当</w:t>
      </w:r>
    </w:p>
    <w:p>
      <w:pPr>
        <w:pStyle w:val="BodyText"/>
        <w:spacing w:line="273" w:lineRule="auto" w:before="22"/>
        <w:ind w:right="1126"/>
        <w:jc w:val="both"/>
      </w:pPr>
      <w:r>
        <w:rPr>
          <w:spacing w:val="-2"/>
        </w:rPr>
        <w:t>期损益或相关资产成本。根据设定提存计划，预期不会在职工提供相关服务的年度报告期结束后十二个月</w:t>
      </w:r>
      <w:r>
        <w:rPr>
          <w:spacing w:val="-41"/>
        </w:rPr>
        <w:t> </w:t>
      </w:r>
      <w:r>
        <w:rPr>
          <w:spacing w:val="-41"/>
        </w:rPr>
      </w:r>
      <w:r>
        <w:rPr/>
        <w:t>内支付全部应缴存金额的，公司将全部应缴存金额以折现后的金额计量应付职工薪酬。</w:t>
      </w:r>
    </w:p>
    <w:p>
      <w:pPr>
        <w:pStyle w:val="BodyText"/>
        <w:spacing w:line="256" w:lineRule="auto"/>
        <w:ind w:left="573" w:right="4994"/>
        <w:jc w:val="left"/>
      </w:pPr>
      <w:r>
        <w:rPr>
          <w:rFonts w:ascii="Times New Roman" w:hAnsi="Times New Roman" w:cs="Times New Roman" w:eastAsia="Times New Roman" w:hint="default"/>
        </w:rPr>
        <w:t>2</w:t>
      </w:r>
      <w:r>
        <w:rPr/>
        <w:t>）设定受益计划</w:t>
      </w:r>
      <w:r>
        <w:rPr>
          <w:w w:val="100"/>
        </w:rPr>
        <w:t> </w:t>
      </w:r>
      <w:r>
        <w:rPr>
          <w:spacing w:val="-2"/>
        </w:rPr>
        <w:t>公司对设定受益计划的会计处理包括下列四个步骤：</w:t>
      </w:r>
    </w:p>
    <w:p>
      <w:pPr>
        <w:pStyle w:val="BodyText"/>
        <w:spacing w:line="273" w:lineRule="auto" w:before="22"/>
        <w:ind w:right="1126" w:firstLine="420"/>
        <w:jc w:val="both"/>
      </w:pPr>
      <w:r>
        <w:rPr>
          <w:spacing w:val="-2"/>
        </w:rPr>
        <w:t>①根据预期累计福利单位法，采用无偏且相互一致的精算假设对有关人口统计变量和财务变量等做出</w:t>
      </w:r>
      <w:r>
        <w:rPr>
          <w:w w:val="100"/>
        </w:rPr>
        <w:t> </w:t>
      </w:r>
      <w:r>
        <w:rPr>
          <w:spacing w:val="-2"/>
        </w:rPr>
        <w:t>估计，计量设定受益计划所产生的义务，并确定相关义务的归属期间。公司将设定受益计划所产生的义务</w:t>
      </w:r>
      <w:r>
        <w:rPr>
          <w:spacing w:val="-44"/>
        </w:rPr>
        <w:t> </w:t>
      </w:r>
      <w:r>
        <w:rPr>
          <w:spacing w:val="-44"/>
        </w:rPr>
      </w:r>
      <w:r>
        <w:rPr/>
        <w:t>予以折现，以确定设定受益计划义务的现值和当期服务成本。</w:t>
      </w:r>
    </w:p>
    <w:p>
      <w:pPr>
        <w:pStyle w:val="BodyText"/>
        <w:spacing w:line="273" w:lineRule="auto" w:before="8"/>
        <w:ind w:right="1126" w:firstLine="420"/>
        <w:jc w:val="both"/>
      </w:pPr>
      <w:r>
        <w:rPr>
          <w:spacing w:val="-2"/>
        </w:rPr>
        <w:t>②设定受益计划存在资产的，公司将设定受益计划义务现值减去设定受益计划资产公允价值所形成的</w:t>
      </w:r>
      <w:r>
        <w:rPr>
          <w:w w:val="100"/>
        </w:rPr>
        <w:t> </w:t>
      </w:r>
      <w:r>
        <w:rPr>
          <w:spacing w:val="-2"/>
        </w:rPr>
        <w:t>赤字或盈余确认为一项设定受益计划净负债或净资产。设定受益计划存在盈余的，公司以设定受益计划的</w:t>
      </w:r>
      <w:r>
        <w:rPr>
          <w:spacing w:val="-42"/>
        </w:rPr>
        <w:t> </w:t>
      </w:r>
      <w:r>
        <w:rPr>
          <w:spacing w:val="-42"/>
        </w:rPr>
      </w:r>
      <w:r>
        <w:rPr/>
        <w:t>盈余和资产上限两项的孰低者计量设定受益计划净资产。</w:t>
      </w:r>
    </w:p>
    <w:p>
      <w:pPr>
        <w:pStyle w:val="BodyText"/>
        <w:spacing w:line="240" w:lineRule="auto"/>
        <w:ind w:left="573" w:right="0"/>
        <w:jc w:val="left"/>
      </w:pPr>
      <w:r>
        <w:rPr/>
        <w:t>③确定应当计入当期损益的金额。</w:t>
      </w:r>
    </w:p>
    <w:p>
      <w:pPr>
        <w:pStyle w:val="BodyText"/>
        <w:spacing w:line="273" w:lineRule="auto" w:before="37"/>
        <w:ind w:left="573" w:right="0"/>
        <w:jc w:val="left"/>
      </w:pPr>
      <w:r>
        <w:rPr/>
        <w:t>④确定应当计入其他综合收益的金额。</w:t>
      </w:r>
      <w:r>
        <w:rPr>
          <w:w w:val="100"/>
        </w:rPr>
        <w:t> </w:t>
      </w:r>
      <w:r>
        <w:rPr>
          <w:spacing w:val="-2"/>
        </w:rPr>
        <w:t>公司根据预期累计福利单位法确定的公式将设定受益计划产生的福利义务归属于职工提供服务的期</w:t>
      </w:r>
    </w:p>
    <w:p>
      <w:pPr>
        <w:pStyle w:val="BodyText"/>
        <w:spacing w:line="273" w:lineRule="auto"/>
        <w:ind w:right="1126"/>
        <w:jc w:val="both"/>
      </w:pPr>
      <w:r>
        <w:rPr>
          <w:spacing w:val="-2"/>
        </w:rPr>
        <w:t>间，并计入当期损益或相关资产成本。当职工后续年度的服务将导致其享有的设定受益计划福利水平显著</w:t>
      </w:r>
      <w:r>
        <w:rPr>
          <w:spacing w:val="-44"/>
        </w:rPr>
        <w:t> </w:t>
      </w:r>
      <w:r>
        <w:rPr>
          <w:spacing w:val="-44"/>
        </w:rPr>
      </w:r>
      <w:r>
        <w:rPr>
          <w:spacing w:val="-2"/>
        </w:rPr>
        <w:t>高于以前年度时，按照直线法将累计设定受益计划义务分摊确认于职工提供服务而导致企业第一次产生设</w:t>
      </w:r>
      <w:r>
        <w:rPr>
          <w:spacing w:val="-43"/>
        </w:rPr>
        <w:t> </w:t>
      </w:r>
      <w:r>
        <w:rPr>
          <w:spacing w:val="-43"/>
        </w:rPr>
      </w:r>
      <w:r>
        <w:rPr/>
        <w:t>定受益计划福利义务至职工提供服务不再导致该福利义务显著增加的期间。</w:t>
      </w:r>
    </w:p>
    <w:p>
      <w:pPr>
        <w:pStyle w:val="BodyText"/>
        <w:spacing w:line="273" w:lineRule="auto"/>
        <w:ind w:right="0" w:firstLine="420"/>
        <w:jc w:val="left"/>
      </w:pPr>
      <w:r>
        <w:rPr>
          <w:spacing w:val="-2"/>
        </w:rPr>
        <w:t>报告期末，公司将设定受益计划产生的职工薪酬成本确认为：服务成本、设定受益计划净负债或净资</w:t>
      </w:r>
      <w:r>
        <w:rPr>
          <w:w w:val="100"/>
        </w:rPr>
        <w:t> </w:t>
      </w:r>
      <w:r>
        <w:rPr/>
        <w:t>产的利息净额，以及重新计量设定受益计划净负债或净资产所产生的变动。</w:t>
      </w:r>
      <w:r>
        <w:rPr>
          <w:w w:val="100"/>
        </w:rPr>
        <w:t> </w:t>
      </w:r>
      <w:r>
        <w:rPr/>
        <w:t>在设定受益计划下，公司在下列日期孰早日将过去服务成本确认为当期费用：</w:t>
      </w:r>
    </w:p>
    <w:p>
      <w:pPr>
        <w:pStyle w:val="BodyText"/>
        <w:spacing w:line="240" w:lineRule="auto" w:before="8"/>
        <w:ind w:left="825" w:right="0"/>
        <w:jc w:val="left"/>
      </w:pPr>
      <w:r>
        <w:rPr>
          <w:rFonts w:ascii="Times New Roman" w:hAnsi="Times New Roman" w:cs="Times New Roman" w:eastAsia="Times New Roman" w:hint="default"/>
        </w:rPr>
        <w:t>1</w:t>
      </w:r>
      <w:r>
        <w:rPr/>
        <w:t>）修改设定受益计划时。</w:t>
      </w:r>
    </w:p>
    <w:p>
      <w:pPr>
        <w:pStyle w:val="BodyText"/>
        <w:spacing w:line="256" w:lineRule="auto" w:before="21"/>
        <w:ind w:left="573" w:right="2114"/>
        <w:jc w:val="left"/>
      </w:pPr>
      <w:r>
        <w:rPr>
          <w:rFonts w:ascii="Times New Roman" w:hAnsi="Times New Roman" w:cs="Times New Roman" w:eastAsia="Times New Roman" w:hint="default"/>
        </w:rPr>
        <w:t>2</w:t>
      </w:r>
      <w:r>
        <w:rPr/>
        <w:t>）企业确认相关重组费用或辞退福利时。</w:t>
      </w:r>
      <w:r>
        <w:rPr>
          <w:w w:val="100"/>
        </w:rPr>
        <w:t> </w:t>
      </w:r>
      <w:r>
        <w:rPr>
          <w:spacing w:val="-2"/>
        </w:rPr>
        <w:t>公司在设定受益计划结算时，确认一项结算利得或损失。</w:t>
      </w:r>
    </w:p>
    <w:p>
      <w:pPr>
        <w:spacing w:line="590" w:lineRule="atLeast" w:before="2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公司向职工提供辞退福利的，在下列两者孰早日确认辞退福利产生的职工薪酬负债，并计入当期损益：</w:t>
      </w:r>
    </w:p>
    <w:p>
      <w:pPr>
        <w:pStyle w:val="BodyText"/>
        <w:spacing w:line="240" w:lineRule="auto" w:before="37"/>
        <w:ind w:left="573" w:right="0"/>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290" w:lineRule="auto" w:before="21"/>
        <w:ind w:left="489" w:right="0" w:firstLine="84"/>
        <w:jc w:val="left"/>
      </w:pPr>
      <w:r>
        <w:rPr>
          <w:rFonts w:ascii="Times New Roman" w:hAnsi="Times New Roman" w:cs="Times New Roman" w:eastAsia="Times New Roman" w:hint="default"/>
        </w:rPr>
        <w:t>2</w:t>
      </w:r>
      <w:r>
        <w:rPr/>
        <w:t>）公司确认与涉及支付辞退福利的重组相关的成本或费用时。</w:t>
      </w:r>
      <w:r>
        <w:rPr>
          <w:w w:val="100"/>
        </w:rPr>
        <w:t> </w:t>
      </w:r>
      <w:r>
        <w:rPr>
          <w:spacing w:val="-2"/>
        </w:rPr>
        <w:t>公司按照辞退计划条款的规定，合理预计并确认辞退福利产生的应付职工薪酬。</w:t>
      </w:r>
    </w:p>
    <w:p>
      <w:pPr>
        <w:spacing w:line="616" w:lineRule="exact" w:before="4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公司向职工提供的其他长期职工福利，符合设定提存计划条件的，按照关于设定提存计划的有关政策</w:t>
      </w:r>
    </w:p>
    <w:p>
      <w:pPr>
        <w:pStyle w:val="BodyText"/>
        <w:spacing w:line="218" w:lineRule="exact" w:before="0"/>
        <w:ind w:right="0"/>
        <w:jc w:val="left"/>
      </w:pPr>
      <w:r>
        <w:rPr/>
        <w:t>进行处理。</w:t>
      </w:r>
    </w:p>
    <w:p>
      <w:pPr>
        <w:pStyle w:val="BodyText"/>
        <w:spacing w:line="273" w:lineRule="auto" w:before="37"/>
        <w:ind w:right="1126" w:firstLine="420"/>
        <w:jc w:val="both"/>
      </w:pPr>
      <w:r>
        <w:rPr>
          <w:spacing w:val="-2"/>
        </w:rPr>
        <w:t>除上述情形外，公司按照关于设定受益计划的有关政策，确认和计量其他长期职工福利净负债或净资</w:t>
      </w:r>
      <w:r>
        <w:rPr>
          <w:w w:val="100"/>
        </w:rPr>
        <w:t> </w:t>
      </w:r>
      <w:r>
        <w:rPr/>
        <w:t>产。在报告期末，将其他长期职工福利产生的职工薪酬成本确认为下列组成部分：</w:t>
      </w:r>
    </w:p>
    <w:p>
      <w:pPr>
        <w:pStyle w:val="BodyText"/>
        <w:spacing w:line="256" w:lineRule="auto"/>
        <w:ind w:left="573" w:right="4994"/>
        <w:jc w:val="left"/>
      </w:pPr>
      <w:r>
        <w:rPr>
          <w:rFonts w:ascii="Times New Roman" w:hAnsi="Times New Roman" w:cs="Times New Roman" w:eastAsia="Times New Roman" w:hint="default"/>
        </w:rPr>
        <w:t>(1)</w:t>
      </w:r>
      <w:r>
        <w:rPr/>
        <w:t>服务成本。</w:t>
      </w:r>
      <w:r>
        <w:rPr>
          <w:spacing w:val="-103"/>
        </w:rPr>
        <w:t> </w:t>
      </w:r>
      <w:r>
        <w:rPr>
          <w:spacing w:val="-103"/>
        </w:rPr>
      </w:r>
      <w:r>
        <w:rPr>
          <w:rFonts w:ascii="Times New Roman" w:hAnsi="Times New Roman" w:cs="Times New Roman" w:eastAsia="Times New Roman" w:hint="default"/>
          <w:spacing w:val="-2"/>
        </w:rPr>
        <w:t>(2)</w:t>
      </w:r>
      <w:r>
        <w:rPr>
          <w:spacing w:val="-2"/>
        </w:rPr>
        <w:t>其他长期职工福利净负债或净资产的利息净额。</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0"/>
        <w:jc w:val="left"/>
      </w:pPr>
      <w:r>
        <w:rPr>
          <w:rFonts w:ascii="Times New Roman" w:hAnsi="Times New Roman" w:cs="Times New Roman" w:eastAsia="Times New Roman" w:hint="default"/>
        </w:rPr>
        <w:t>(3)</w:t>
      </w:r>
      <w:r>
        <w:rPr/>
        <w:t>重新计量其他长期职工福利净负债或净资产所产生的变动。</w:t>
      </w:r>
      <w:r>
        <w:rPr>
          <w:w w:val="100"/>
        </w:rPr>
        <w:t> </w:t>
      </w:r>
      <w:r>
        <w:rPr>
          <w:spacing w:val="-2"/>
        </w:rPr>
        <w:t>为简化相关会计处理，上述项目的总净额应计入当期损益或相关资产成本。</w:t>
      </w:r>
    </w:p>
    <w:p>
      <w:pPr>
        <w:pStyle w:val="BodyText"/>
        <w:spacing w:line="273" w:lineRule="auto" w:before="63"/>
        <w:ind w:right="1126"/>
        <w:jc w:val="both"/>
      </w:pPr>
      <w:r>
        <w:rPr>
          <w:spacing w:val="-2"/>
        </w:rPr>
        <w:t>长期残疾福利水平取决于职工提供服务期间长短的，公司在职工提供服务的期间确认应付长期残疾福利义</w:t>
      </w:r>
      <w:r>
        <w:rPr>
          <w:spacing w:val="-43"/>
        </w:rPr>
        <w:t> </w:t>
      </w:r>
      <w:r>
        <w:rPr>
          <w:spacing w:val="-43"/>
        </w:rPr>
      </w:r>
      <w:r>
        <w:rPr>
          <w:spacing w:val="-2"/>
        </w:rPr>
        <w:t>务；长期残疾福利与职工提供服务期间长短无关的，公司在导致职工长期残疾的事件发生的当期确认应付</w:t>
      </w:r>
      <w:r>
        <w:rPr>
          <w:spacing w:val="-44"/>
        </w:rPr>
        <w:t> </w:t>
      </w:r>
      <w:r>
        <w:rPr>
          <w:spacing w:val="-44"/>
        </w:rPr>
      </w:r>
      <w:r>
        <w:rPr/>
        <w:t>长期残疾福利义务。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4"/>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对因产品质量保证、亏损合同等形成的现时义务，其履行很可能导致经济利益的流出，在该义务的金</w:t>
      </w:r>
      <w:r>
        <w:rPr>
          <w:w w:val="100"/>
        </w:rPr>
        <w:t> </w:t>
      </w:r>
      <w:r>
        <w:rPr/>
        <w:t>额能够可靠计量时，确认为预计负债。对于未来经营亏损，不确认预计负债。</w:t>
      </w:r>
    </w:p>
    <w:p>
      <w:pPr>
        <w:pStyle w:val="BodyText"/>
        <w:spacing w:line="273" w:lineRule="auto"/>
        <w:ind w:right="1126" w:firstLine="420"/>
        <w:jc w:val="both"/>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45"/>
        </w:rPr>
        <w:t> </w:t>
      </w:r>
      <w:r>
        <w:rPr>
          <w:spacing w:val="-45"/>
        </w:rPr>
      </w:r>
      <w:r>
        <w:rPr>
          <w:spacing w:val="-2"/>
        </w:rPr>
        <w:t>确定最佳估计数；因随着时间推移所进行的折现还原而导致的预计负债账面价值的增加金额，确认为利息</w:t>
      </w:r>
      <w:r>
        <w:rPr>
          <w:spacing w:val="-44"/>
        </w:rPr>
        <w:t> </w:t>
      </w:r>
      <w:r>
        <w:rPr>
          <w:spacing w:val="-44"/>
        </w:rPr>
      </w:r>
      <w:r>
        <w:rPr/>
        <w:t>费用。</w:t>
      </w:r>
    </w:p>
    <w:p>
      <w:pPr>
        <w:pStyle w:val="BodyText"/>
        <w:spacing w:line="240" w:lineRule="auto"/>
        <w:ind w:left="573" w:right="0"/>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本报告期无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本报告期无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6"/>
        <w:ind w:left="573" w:right="1124"/>
        <w:jc w:val="left"/>
      </w:pPr>
      <w:r>
        <w:rPr/>
        <w:t>收入确认：</w:t>
      </w:r>
      <w:r>
        <w:rPr>
          <w:spacing w:val="-102"/>
        </w:rPr>
        <w:t> </w:t>
      </w:r>
      <w:r>
        <w:rPr>
          <w:spacing w:val="-102"/>
        </w:rPr>
      </w:r>
      <w:r>
        <w:rPr>
          <w:spacing w:val="-2"/>
        </w:rPr>
        <w:t>收入的金额按照本公司在日常经营活动中销售商品和提供劳务时，已收或应收合同或协议价款的公允</w:t>
      </w:r>
    </w:p>
    <w:p>
      <w:pPr>
        <w:pStyle w:val="BodyText"/>
        <w:spacing w:line="273" w:lineRule="auto"/>
        <w:ind w:left="573" w:right="0" w:hanging="421"/>
        <w:jc w:val="left"/>
      </w:pPr>
      <w:r>
        <w:rPr/>
        <w:t>价值确定。收入按扣除增值税、商业折扣、销售折让及销售退回的净额列示。</w:t>
      </w:r>
      <w:r>
        <w:rPr>
          <w:w w:val="100"/>
        </w:rPr>
        <w:t> </w:t>
      </w:r>
      <w:r>
        <w:rPr>
          <w:spacing w:val="-2"/>
        </w:rPr>
        <w:t>与交易相关的经济利益能够流入本公司，相关的收入能够可靠计量且满足下列各项经营活动的特定收</w:t>
      </w:r>
    </w:p>
    <w:p>
      <w:pPr>
        <w:pStyle w:val="BodyText"/>
        <w:spacing w:line="240" w:lineRule="auto"/>
        <w:ind w:right="0"/>
        <w:jc w:val="left"/>
      </w:pPr>
      <w:r>
        <w:rPr/>
        <w:t>入确认标准时，确认相关的收入</w:t>
      </w:r>
    </w:p>
    <w:p>
      <w:pPr>
        <w:pStyle w:val="BodyText"/>
        <w:spacing w:line="256" w:lineRule="auto" w:before="37"/>
        <w:ind w:left="573" w:right="0"/>
        <w:jc w:val="left"/>
      </w:pPr>
      <w:r>
        <w:rPr/>
        <w:t>（</w:t>
      </w:r>
      <w:r>
        <w:rPr>
          <w:rFonts w:ascii="Times New Roman" w:hAnsi="Times New Roman" w:cs="Times New Roman" w:eastAsia="Times New Roman" w:hint="default"/>
        </w:rPr>
        <w:t>1</w:t>
      </w:r>
      <w:r>
        <w:rPr/>
        <w:t>）销售商品</w:t>
      </w:r>
      <w:r>
        <w:rPr>
          <w:w w:val="100"/>
        </w:rPr>
        <w:t> </w:t>
      </w:r>
      <w:r>
        <w:rPr>
          <w:spacing w:val="-2"/>
        </w:rPr>
        <w:t>商品销售在商品所有权上的主要风险和报酬已转移给买方，本公司不再对该商品实施继续管理权和实</w:t>
      </w:r>
    </w:p>
    <w:p>
      <w:pPr>
        <w:pStyle w:val="BodyText"/>
        <w:spacing w:line="273" w:lineRule="auto" w:before="23"/>
        <w:ind w:right="0"/>
        <w:jc w:val="left"/>
      </w:pPr>
      <w:r>
        <w:rPr>
          <w:spacing w:val="-2"/>
        </w:rPr>
        <w:t>际控制权，与交易相关的经济利益很可能流入企业，并且与销售该商品相关的收入和成本能够可靠地计量</w:t>
      </w:r>
      <w:r>
        <w:rPr>
          <w:spacing w:val="-43"/>
        </w:rPr>
        <w:t> </w:t>
      </w:r>
      <w:r>
        <w:rPr>
          <w:spacing w:val="-43"/>
        </w:rPr>
      </w:r>
      <w:r>
        <w:rPr/>
        <w:t>时，确认营业收入的实现。</w:t>
      </w:r>
    </w:p>
    <w:p>
      <w:pPr>
        <w:pStyle w:val="BodyText"/>
        <w:spacing w:line="240" w:lineRule="auto"/>
        <w:ind w:left="573" w:right="0"/>
        <w:jc w:val="left"/>
      </w:pPr>
      <w:r>
        <w:rPr/>
        <w:t>收入确认具体政策：</w:t>
      </w:r>
    </w:p>
    <w:p>
      <w:pPr>
        <w:pStyle w:val="BodyText"/>
        <w:spacing w:line="240" w:lineRule="auto" w:before="37"/>
        <w:ind w:left="573" w:right="0"/>
        <w:jc w:val="left"/>
      </w:pPr>
      <w:r>
        <w:rPr>
          <w:rFonts w:ascii="Times New Roman" w:hAnsi="Times New Roman" w:cs="Times New Roman" w:eastAsia="Times New Roman" w:hint="default"/>
        </w:rPr>
        <w:t>1</w:t>
      </w:r>
      <w:r>
        <w:rPr/>
        <w:t>）根据国内销售合同约定在所有权和管理权发生转移时点确认产品收入。</w:t>
      </w:r>
    </w:p>
    <w:p>
      <w:pPr>
        <w:pStyle w:val="BodyText"/>
        <w:spacing w:line="256" w:lineRule="auto" w:before="21"/>
        <w:ind w:right="0" w:firstLine="420"/>
        <w:jc w:val="left"/>
      </w:pPr>
      <w:r>
        <w:rPr>
          <w:rFonts w:ascii="Times New Roman" w:hAnsi="Times New Roman" w:cs="Times New Roman" w:eastAsia="Times New Roman" w:hint="default"/>
          <w:spacing w:val="-2"/>
        </w:rPr>
        <w:t>2</w:t>
      </w:r>
      <w:r>
        <w:rPr>
          <w:spacing w:val="-2"/>
        </w:rPr>
        <w:t>）根据出口销售合同约定，在所有权和管理权发生转移时点确认产品销售收入，一般情况下在出口</w:t>
      </w:r>
      <w:r>
        <w:rPr>
          <w:w w:val="100"/>
        </w:rPr>
        <w:t> </w:t>
      </w:r>
      <w:r>
        <w:rPr/>
        <w:t>业务办妥出口手续时确认收入。</w:t>
      </w:r>
    </w:p>
    <w:p>
      <w:pPr>
        <w:pStyle w:val="BodyText"/>
        <w:spacing w:line="240" w:lineRule="auto" w:before="22"/>
        <w:ind w:left="573" w:right="0"/>
        <w:jc w:val="left"/>
      </w:pPr>
      <w:r>
        <w:rPr/>
        <w:t>（</w:t>
      </w:r>
      <w:r>
        <w:rPr>
          <w:rFonts w:ascii="Times New Roman" w:hAnsi="Times New Roman" w:cs="Times New Roman" w:eastAsia="Times New Roman" w:hint="default"/>
        </w:rPr>
        <w:t>2</w:t>
      </w:r>
      <w:r>
        <w:rPr/>
        <w:t>）提供劳务</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提供的劳务在同一会计年度开始并完成的，在劳务已经提供，收到价款或取得收取价款的证据时，确</w:t>
      </w:r>
      <w:r>
        <w:rPr>
          <w:w w:val="100"/>
        </w:rPr>
        <w:t> </w:t>
      </w:r>
      <w:r>
        <w:rPr>
          <w:spacing w:val="-2"/>
        </w:rPr>
        <w:t>认营业收入的实现；劳务的开始和完成分属不同会计年度的，在劳务合同的总收入、劳务的完成程度能够</w:t>
      </w:r>
      <w:r>
        <w:rPr>
          <w:spacing w:val="-43"/>
        </w:rPr>
        <w:t> </w:t>
      </w:r>
      <w:r>
        <w:rPr>
          <w:spacing w:val="-43"/>
        </w:rPr>
      </w:r>
      <w:r>
        <w:rPr>
          <w:spacing w:val="-2"/>
        </w:rPr>
        <w:t>可靠地确定，与交易相关的价款能够流入，已经发生的成本和为完成劳务将要发生的成本能够可靠地计量</w:t>
      </w:r>
      <w:r>
        <w:rPr>
          <w:spacing w:val="-43"/>
        </w:rPr>
        <w:t> </w:t>
      </w:r>
      <w:r>
        <w:rPr>
          <w:spacing w:val="-43"/>
        </w:rPr>
      </w:r>
      <w:r>
        <w:rPr>
          <w:spacing w:val="-2"/>
        </w:rPr>
        <w:t>时，按完工百分比法确认营业收入的实现；长期合同工程在合同结果已经能够合理地预见时，按结账时已</w:t>
      </w:r>
      <w:r>
        <w:rPr>
          <w:spacing w:val="-44"/>
        </w:rPr>
        <w:t> </w:t>
      </w:r>
      <w:r>
        <w:rPr>
          <w:spacing w:val="-44"/>
        </w:rPr>
      </w:r>
      <w:r>
        <w:rPr/>
        <w:t>完成工程进度的百分比法确认营业收入的实现。</w:t>
      </w:r>
    </w:p>
    <w:p>
      <w:pPr>
        <w:pStyle w:val="BodyText"/>
        <w:spacing w:line="256" w:lineRule="auto"/>
        <w:ind w:left="573" w:right="0"/>
        <w:jc w:val="left"/>
      </w:pPr>
      <w:r>
        <w:rPr/>
        <w:t>（</w:t>
      </w:r>
      <w:r>
        <w:rPr>
          <w:rFonts w:ascii="Times New Roman" w:hAnsi="Times New Roman" w:cs="Times New Roman" w:eastAsia="Times New Roman" w:hint="default"/>
        </w:rPr>
        <w:t>3</w:t>
      </w:r>
      <w:r>
        <w:rPr/>
        <w:t>）让渡资产使用权</w:t>
      </w:r>
      <w:r>
        <w:rPr>
          <w:w w:val="100"/>
        </w:rPr>
        <w:t> </w:t>
      </w:r>
      <w:r>
        <w:rPr>
          <w:spacing w:val="-2"/>
        </w:rPr>
        <w:t>让渡资产使用权取得的利息收入和使用费收入，在与交易相关的经济利益能够流入企业，且收入的金</w:t>
      </w:r>
    </w:p>
    <w:p>
      <w:pPr>
        <w:pStyle w:val="BodyText"/>
        <w:spacing w:line="240" w:lineRule="auto" w:before="22"/>
        <w:ind w:right="0"/>
        <w:jc w:val="left"/>
      </w:pPr>
      <w:r>
        <w:rPr/>
        <w:t>额能够可靠地计量时，确认收入的实现。</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与资产相关的政府补助，冲减相关资产的账面价值或确认为递延收益。与资产相关的政府补助确认为</w:t>
      </w:r>
    </w:p>
    <w:p>
      <w:pPr>
        <w:pStyle w:val="BodyText"/>
        <w:spacing w:line="273" w:lineRule="auto" w:before="37"/>
        <w:ind w:right="0"/>
        <w:jc w:val="left"/>
      </w:pPr>
      <w:r>
        <w:rPr>
          <w:spacing w:val="-5"/>
        </w:rPr>
        <w:t>递延收益的，在相关资产使用寿命内按照合理、系统的方法分期计入损益。按照名义金额计量的政府补助， </w:t>
      </w:r>
      <w:r>
        <w:rPr/>
        <w:t>直接计入当期损益。</w:t>
      </w:r>
    </w:p>
    <w:p>
      <w:pPr>
        <w:pStyle w:val="BodyText"/>
        <w:spacing w:line="273" w:lineRule="auto"/>
        <w:ind w:right="1126" w:firstLine="420"/>
        <w:jc w:val="both"/>
      </w:pPr>
      <w:r>
        <w:rPr>
          <w:spacing w:val="-2"/>
        </w:rPr>
        <w:t>相关资产在使用寿命结束前被出售、转让、报废或发生毁损的，应当将尚未分配的相关递延收益余额</w:t>
      </w:r>
      <w:r>
        <w:rPr>
          <w:w w:val="100"/>
        </w:rPr>
        <w:t> </w:t>
      </w:r>
      <w:r>
        <w:rPr/>
        <w:t>转入资产处置当期的损益。</w:t>
      </w:r>
    </w:p>
    <w:p>
      <w:pPr>
        <w:spacing w:line="590" w:lineRule="atLeast" w:before="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用于补偿企业以后期间的相关成本费用或损失的，确认为递延收益，并在确认相关成本费用或损失的</w:t>
      </w:r>
    </w:p>
    <w:p>
      <w:pPr>
        <w:pStyle w:val="BodyText"/>
        <w:spacing w:line="273" w:lineRule="auto" w:before="37"/>
        <w:ind w:right="0"/>
        <w:jc w:val="left"/>
      </w:pPr>
      <w:r>
        <w:rPr>
          <w:spacing w:val="-2"/>
        </w:rPr>
        <w:t>期间，计入当期损益或冲减相关成本；用于补偿企业已发生的相关成本费用或损失的，直接计入当期损益</w:t>
      </w:r>
      <w:r>
        <w:rPr>
          <w:spacing w:val="-44"/>
        </w:rPr>
        <w:t> </w:t>
      </w:r>
      <w:r>
        <w:rPr>
          <w:spacing w:val="-44"/>
        </w:rPr>
      </w:r>
      <w:r>
        <w:rPr/>
        <w:t>或冲减相关成本。</w:t>
      </w:r>
    </w:p>
    <w:p>
      <w:pPr>
        <w:spacing w:line="612" w:lineRule="exact" w:before="6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）同时包含与资产相关部分和与收益相关部分的政府补助</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对于同时包含与资产相关部分和与收益相关部分的政府补助，区分不同部分分别进行会计处理；难以</w:t>
      </w:r>
    </w:p>
    <w:p>
      <w:pPr>
        <w:pStyle w:val="BodyText"/>
        <w:spacing w:line="219" w:lineRule="exact" w:before="0"/>
        <w:ind w:right="0"/>
        <w:jc w:val="left"/>
      </w:pPr>
      <w:r>
        <w:rPr/>
        <w:t>区分的，应当整体归类为与收益相关的政府补助。</w:t>
      </w:r>
    </w:p>
    <w:p>
      <w:pPr>
        <w:spacing w:line="610" w:lineRule="atLeast" w:before="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）政府补助在利润表中的核算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与企业日常活动相关的政府补助，应当按照经济业务实质，计入其他收益或冲减相关成本费用。与企</w:t>
      </w:r>
    </w:p>
    <w:p>
      <w:pPr>
        <w:pStyle w:val="BodyText"/>
        <w:spacing w:line="240" w:lineRule="auto" w:before="37"/>
        <w:ind w:right="0"/>
        <w:jc w:val="left"/>
      </w:pPr>
      <w:r>
        <w:rPr/>
        <w:t>业日常活动无关的政府补助，应当计入营业外收支。</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）政府补助退回的处理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spacing w:val="-2"/>
        </w:rPr>
        <w:t>已确认的政府补助需要退回的，在需要退回的当期分情况按照以下规定进行会计处理：</w:t>
      </w:r>
      <w:r>
        <w:rPr>
          <w:spacing w:val="-32"/>
        </w:rPr>
        <w:t> </w:t>
      </w:r>
      <w:r>
        <w:rPr>
          <w:spacing w:val="-32"/>
        </w:rPr>
      </w:r>
      <w:r>
        <w:rPr/>
        <w:t>初始确认时冲减相关资产账面价值的，调整资产账面价值；</w:t>
      </w:r>
      <w:r>
        <w:rPr>
          <w:w w:val="100"/>
        </w:rPr>
        <w:t> </w:t>
      </w:r>
      <w:r>
        <w:rPr/>
        <w:t>存在相关递延收益的，冲减相关递延收益账面余额，超出部分计入当期损益；</w:t>
      </w:r>
      <w:r>
        <w:rPr>
          <w:w w:val="100"/>
        </w:rPr>
        <w:t> </w:t>
      </w:r>
      <w:r>
        <w:rPr/>
        <w:t>属于其他情况的，直接计入当期损益。</w:t>
      </w:r>
    </w:p>
    <w:p>
      <w:pPr>
        <w:spacing w:line="240" w:lineRule="auto" w:before="7"/>
        <w:rPr>
          <w:rFonts w:ascii="宋体" w:hAnsi="宋体" w:cs="宋体" w:eastAsia="宋体" w:hint="default"/>
          <w:sz w:val="23"/>
          <w:szCs w:val="23"/>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）政策性优惠贷款贴息的处理</w:t>
      </w:r>
      <w:r>
        <w:rPr>
          <w:rFonts w:ascii="宋体" w:hAnsi="宋体" w:cs="宋体" w:eastAsia="宋体" w:hint="default"/>
          <w:b/>
          <w:bCs/>
          <w:w w:val="100"/>
          <w:sz w:val="21"/>
          <w:szCs w:val="21"/>
        </w:rPr>
        <w:t> </w:t>
      </w:r>
      <w:r>
        <w:rPr>
          <w:rFonts w:ascii="宋体" w:hAnsi="宋体" w:cs="宋体" w:eastAsia="宋体" w:hint="default"/>
          <w:spacing w:val="-2"/>
          <w:sz w:val="21"/>
          <w:szCs w:val="21"/>
        </w:rPr>
        <w:t>财政将贴息资金拨付给贷款银行，由贷款银行以政策性优惠利率向企业提供贷款的，按以下方法进行</w:t>
      </w:r>
    </w:p>
    <w:p>
      <w:pPr>
        <w:spacing w:after="0" w:line="50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会计处理：</w:t>
      </w:r>
    </w:p>
    <w:p>
      <w:pPr>
        <w:pStyle w:val="BodyText"/>
        <w:spacing w:line="307" w:lineRule="auto" w:before="37"/>
        <w:ind w:right="1107" w:firstLine="420"/>
        <w:jc w:val="both"/>
      </w:pPr>
      <w:r>
        <w:rPr>
          <w:spacing w:val="-2"/>
        </w:rPr>
        <w:t>以实际收到的借款金额作为借款的入账价值，按照借款本金和该政策性优惠利率计算相关借款费用。</w:t>
      </w:r>
      <w:r>
        <w:rPr>
          <w:w w:val="100"/>
        </w:rPr>
        <w:t> </w:t>
      </w:r>
      <w:r>
        <w:rPr/>
        <w:t>财政将贴息资金直接拨付给企业，企业应当将对应的贴息冲减相关借款费用。</w:t>
      </w:r>
    </w:p>
    <w:p>
      <w:pPr>
        <w:spacing w:line="614" w:lineRule="exact" w:before="3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递延所得税资产和递延所得税负债根据资产和负债的计税基础与其账面价值的差额（包括应纳税暂时</w:t>
      </w:r>
    </w:p>
    <w:p>
      <w:pPr>
        <w:pStyle w:val="BodyText"/>
        <w:spacing w:line="219" w:lineRule="exact" w:before="0"/>
        <w:ind w:right="0"/>
        <w:jc w:val="both"/>
      </w:pPr>
      <w:r>
        <w:rPr/>
        <w:t>性差异和可抵扣暂时性差异）计算确认。对于按照税法规定能够于以后年度抵减应纳税所得额的可抵扣亏</w:t>
      </w:r>
    </w:p>
    <w:p>
      <w:pPr>
        <w:pStyle w:val="BodyText"/>
        <w:spacing w:line="273" w:lineRule="auto" w:before="37"/>
        <w:ind w:right="1126"/>
        <w:jc w:val="both"/>
      </w:pPr>
      <w:r>
        <w:rPr>
          <w:spacing w:val="-2"/>
        </w:rPr>
        <w:t>损，视同可抵扣暂时性差异。对于商誉的初始确认产生的暂时性差异，不确认相应的递延所得税负债。对</w:t>
      </w:r>
      <w:r>
        <w:rPr>
          <w:spacing w:val="-47"/>
        </w:rPr>
        <w:t> </w:t>
      </w:r>
      <w:r>
        <w:rPr>
          <w:spacing w:val="-47"/>
        </w:rPr>
      </w:r>
      <w:r>
        <w:rPr>
          <w:spacing w:val="-2"/>
        </w:rPr>
        <w:t>于既不影响会计利润也不影响应纳税所得额（或可抵扣亏损）的非企业合并的交易中产生的资产或负债的</w:t>
      </w:r>
      <w:r>
        <w:rPr>
          <w:spacing w:val="-43"/>
        </w:rPr>
        <w:t> </w:t>
      </w:r>
      <w:r>
        <w:rPr>
          <w:spacing w:val="-43"/>
        </w:rPr>
      </w:r>
      <w:r>
        <w:rPr>
          <w:spacing w:val="-2"/>
        </w:rPr>
        <w:t>初始确认形成的暂时性差异，不确认相应的递延所得税资产和递延所得税负债。于资产负债表日，递延所</w:t>
      </w:r>
      <w:r>
        <w:rPr>
          <w:spacing w:val="-42"/>
        </w:rPr>
        <w:t> </w:t>
      </w:r>
      <w:r>
        <w:rPr>
          <w:spacing w:val="-42"/>
        </w:rPr>
      </w:r>
      <w:r>
        <w:rPr/>
        <w:t>得税资产和递延所得税负债，按照预期收回该资产或清偿该负债期间的适用税率计量。</w:t>
      </w:r>
    </w:p>
    <w:p>
      <w:pPr>
        <w:pStyle w:val="BodyText"/>
        <w:spacing w:line="273" w:lineRule="auto"/>
        <w:ind w:right="1126" w:firstLine="420"/>
        <w:jc w:val="both"/>
      </w:pPr>
      <w:r>
        <w:rPr>
          <w:spacing w:val="-2"/>
        </w:rPr>
        <w:t>递延所得税资产的确认以本公司很可能取得用来抵扣可抵扣暂时性差异、可抵扣亏损和税款抵减的应</w:t>
      </w:r>
      <w:r>
        <w:rPr>
          <w:w w:val="100"/>
        </w:rPr>
        <w:t> </w:t>
      </w:r>
      <w:r>
        <w:rPr/>
        <w:t>纳税所得额为限。</w:t>
      </w:r>
    </w:p>
    <w:p>
      <w:pPr>
        <w:pStyle w:val="BodyText"/>
        <w:spacing w:line="273" w:lineRule="auto"/>
        <w:ind w:right="1126" w:firstLine="420"/>
        <w:jc w:val="both"/>
      </w:pPr>
      <w:r>
        <w:rPr>
          <w:spacing w:val="-2"/>
        </w:rPr>
        <w:t>对子公司、联营企业及合营企业投资相关的暂时性差异产生的递延所得税资产和递延所得税负债，予</w:t>
      </w:r>
      <w:r>
        <w:rPr>
          <w:w w:val="100"/>
        </w:rPr>
        <w:t> </w:t>
      </w:r>
      <w:r>
        <w:rPr>
          <w:spacing w:val="-2"/>
        </w:rPr>
        <w:t>以确认。但本公司能够控制暂时性差异转回的时间且该暂时性差异在可预见的未来很可能不会转回的，不</w:t>
      </w:r>
      <w:r>
        <w:rPr>
          <w:spacing w:val="-44"/>
        </w:rPr>
        <w:t> </w:t>
      </w:r>
      <w:r>
        <w:rPr>
          <w:spacing w:val="-44"/>
        </w:rPr>
      </w:r>
      <w:r>
        <w:rPr/>
        <w:t>予确认。</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112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pStyle w:val="Heading4"/>
        <w:spacing w:line="240" w:lineRule="auto" w:before="104"/>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按租赁资产的公允价值与最低租赁付款额的现值两者中较低者作为租入资产的入账价值，租入资产的</w:t>
      </w:r>
      <w:r>
        <w:rPr>
          <w:w w:val="100"/>
        </w:rPr>
        <w:t> </w:t>
      </w:r>
      <w:r>
        <w:rPr>
          <w:spacing w:val="-2"/>
        </w:rPr>
        <w:t>入账价值与最低租赁付款额之间的差额为未确认融资费用，在租赁期内按实际利率法摊销。最低租赁付款</w:t>
      </w:r>
      <w:r>
        <w:rPr>
          <w:spacing w:val="-43"/>
        </w:rPr>
        <w:t> </w:t>
      </w:r>
      <w:r>
        <w:rPr>
          <w:spacing w:val="-43"/>
        </w:rPr>
      </w:r>
      <w:r>
        <w:rPr/>
        <w:t>额扣除未确认融资费用后的余额以长期应付款列示。</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2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p>
          <w:p>
            <w:pPr>
              <w:pStyle w:val="TableParagraph"/>
              <w:spacing w:line="300" w:lineRule="auto" w:before="31"/>
              <w:ind w:left="24"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pacing w:val="-10"/>
                <w:sz w:val="18"/>
                <w:szCs w:val="18"/>
              </w:rPr>
              <w:t>号），本公司对财务报表格式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进行了相应调整。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 </w:t>
            </w:r>
            <w:r>
              <w:rPr>
                <w:rFonts w:ascii="Times New Roman" w:hAnsi="Times New Roman" w:cs="Times New Roman" w:eastAsia="Times New Roman" w:hint="default"/>
                <w:sz w:val="18"/>
                <w:szCs w:val="18"/>
              </w:rPr>
              <w:t>1,154,089,383.33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元，上期余额</w:t>
            </w:r>
          </w:p>
          <w:p>
            <w:pPr>
              <w:pStyle w:val="TableParagraph"/>
              <w:spacing w:line="300" w:lineRule="auto" w:before="1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1,179,463,219.01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w:t>
            </w:r>
            <w:r>
              <w:rPr>
                <w:rFonts w:ascii="宋体" w:hAnsi="宋体" w:cs="宋体" w:eastAsia="宋体" w:hint="default"/>
                <w:sz w:val="18"/>
                <w:szCs w:val="18"/>
              </w:rPr>
              <w:t> 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 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606,778,683.71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sz w:val="28"/>
          <w:szCs w:val="28"/>
        </w:rPr>
      </w:pPr>
    </w:p>
    <w:p>
      <w:pPr>
        <w:spacing w:line="4438" w:lineRule="exact"/>
        <w:ind w:left="148"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482.05pt;height:221.95pt;mso-position-horizontal-relative:char;mso-position-vertical-relative:line" coordorigin="0,0" coordsize="9641,4439">
            <v:group style="position:absolute;left:10;top:10;width:3184;height:2" coordorigin="10,10" coordsize="3184,2">
              <v:shape style="position:absolute;left:10;top:10;width:3184;height:2" coordorigin="10,10" coordsize="3184,0" path="m10,10l3193,10e" filled="false" stroked="true" strokeweight=".48pt" strokecolor="#000000">
                <v:path arrowok="t"/>
              </v:shape>
            </v:group>
            <v:group style="position:absolute;left:3203;top:10;width:3178;height:2" coordorigin="3203,10" coordsize="3178,2">
              <v:shape style="position:absolute;left:3203;top:10;width:3178;height:2" coordorigin="3203,10" coordsize="3178,0" path="m3203,10l6381,10e" filled="false" stroked="true" strokeweight=".48pt" strokecolor="#000000">
                <v:path arrowok="t"/>
              </v:shape>
            </v:group>
            <v:group style="position:absolute;left:6390;top:10;width:3181;height:2" coordorigin="6390,10" coordsize="3181,2">
              <v:shape style="position:absolute;left:6390;top:10;width:3181;height:2" coordorigin="6390,10" coordsize="3181,0" path="m6390,10l9571,10e" filled="false" stroked="true" strokeweight=".48pt" strokecolor="#000000">
                <v:path arrowok="t"/>
              </v:shape>
            </v:group>
            <v:group style="position:absolute;left:5;top:5;width:2;height:4429" coordorigin="5,5" coordsize="2,4429">
              <v:shape style="position:absolute;left:5;top:5;width:2;height:4429" coordorigin="5,5" coordsize="0,4429" path="m5,5l5,4434e" filled="false" stroked="true" strokeweight=".48pt" strokecolor="#000000">
                <v:path arrowok="t"/>
              </v:shape>
            </v:group>
            <v:group style="position:absolute;left:10;top:4429;width:3184;height:2" coordorigin="10,4429" coordsize="3184,2">
              <v:shape style="position:absolute;left:10;top:4429;width:3184;height:2" coordorigin="10,4429" coordsize="3184,0" path="m10,4429l3193,4429e" filled="false" stroked="true" strokeweight=".47998pt" strokecolor="#000000">
                <v:path arrowok="t"/>
              </v:shape>
            </v:group>
            <v:group style="position:absolute;left:3198;top:5;width:2;height:4429" coordorigin="3198,5" coordsize="2,4429">
              <v:shape style="position:absolute;left:3198;top:5;width:2;height:4429" coordorigin="3198,5" coordsize="0,4429" path="m3198,5l3198,4434e" filled="false" stroked="true" strokeweight=".48pt" strokecolor="#000000">
                <v:path arrowok="t"/>
              </v:shape>
            </v:group>
            <v:group style="position:absolute;left:3203;top:4429;width:3178;height:2" coordorigin="3203,4429" coordsize="3178,2">
              <v:shape style="position:absolute;left:3203;top:4429;width:3178;height:2" coordorigin="3203,4429" coordsize="3178,0" path="m3203,4429l6381,4429e" filled="false" stroked="true" strokeweight=".47998pt" strokecolor="#000000">
                <v:path arrowok="t"/>
              </v:shape>
            </v:group>
            <v:group style="position:absolute;left:6385;top:5;width:2;height:4429" coordorigin="6385,5" coordsize="2,4429">
              <v:shape style="position:absolute;left:6385;top:5;width:2;height:4429" coordorigin="6385,5" coordsize="0,4429" path="m6385,5l6385,4434e" filled="false" stroked="true" strokeweight=".48001pt" strokecolor="#000000">
                <v:path arrowok="t"/>
              </v:shape>
            </v:group>
            <v:group style="position:absolute;left:6390;top:4429;width:3181;height:2" coordorigin="6390,4429" coordsize="3181,2">
              <v:shape style="position:absolute;left:6390;top:4429;width:3181;height:2" coordorigin="6390,4429" coordsize="3181,0" path="m6390,4429l9571,4429e" filled="false" stroked="true" strokeweight=".47998pt" strokecolor="#000000">
                <v:path arrowok="t"/>
              </v:shape>
            </v:group>
            <v:group style="position:absolute;left:9576;top:5;width:2;height:4429" coordorigin="9576,5" coordsize="2,4429">
              <v:shape style="position:absolute;left:9576;top:5;width:2;height:4429" coordorigin="9576,5" coordsize="0,4429" path="m9576,5l9576,4434e" filled="false" stroked="true" strokeweight=".47998pt" strokecolor="#000000">
                <v:path arrowok="t"/>
              </v:shape>
              <v:shape style="position:absolute;left:0;top:0;width:9641;height:4439" type="#_x0000_t202" filled="false" stroked="false">
                <v:textbox inset="0,0,0,0">
                  <w:txbxContent>
                    <w:p>
                      <w:pPr>
                        <w:spacing w:line="300" w:lineRule="auto" w:before="22"/>
                        <w:ind w:left="6414" w:right="127" w:firstLine="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507,497,140.25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 并入固定资产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 </w:t>
                      </w:r>
                      <w:r>
                        <w:rPr>
                          <w:rFonts w:ascii="Times New Roman" w:hAnsi="Times New Roman" w:cs="Times New Roman" w:eastAsia="Times New Roman" w:hint="default"/>
                          <w:sz w:val="18"/>
                          <w:szCs w:val="18"/>
                        </w:rPr>
                        <w:t>3,329,463,894.91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元，上期余额</w:t>
                      </w:r>
                    </w:p>
                    <w:p>
                      <w:pPr>
                        <w:spacing w:before="13"/>
                        <w:ind w:left="64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2,509,728,845.72</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工程物资并入在建</w:t>
                      </w:r>
                    </w:p>
                    <w:p>
                      <w:pPr>
                        <w:spacing w:before="63"/>
                        <w:ind w:left="6414" w:right="0" w:firstLine="0"/>
                        <w:jc w:val="left"/>
                        <w:rPr>
                          <w:rFonts w:ascii="宋体" w:hAnsi="宋体" w:cs="宋体" w:eastAsia="宋体" w:hint="default"/>
                          <w:sz w:val="18"/>
                          <w:szCs w:val="18"/>
                        </w:rPr>
                      </w:pP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224,747,061.08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w:t>
                      </w:r>
                    </w:p>
                    <w:p>
                      <w:pPr>
                        <w:spacing w:line="300" w:lineRule="auto" w:before="63"/>
                        <w:ind w:left="6414" w:right="9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期余额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911,445,567.90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应收利息及 应收股利并入其他应收款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 </w:t>
                      </w:r>
                      <w:r>
                        <w:rPr>
                          <w:rFonts w:ascii="Times New Roman" w:hAnsi="Times New Roman" w:cs="Times New Roman" w:eastAsia="Times New Roman" w:hint="default"/>
                          <w:sz w:val="18"/>
                          <w:szCs w:val="18"/>
                        </w:rPr>
                        <w:t>8,807,547.55 </w:t>
                      </w:r>
                      <w:r>
                        <w:rPr>
                          <w:rFonts w:ascii="宋体" w:hAnsi="宋体" w:cs="宋体" w:eastAsia="宋体" w:hint="default"/>
                          <w:spacing w:val="-4"/>
                          <w:sz w:val="18"/>
                          <w:szCs w:val="18"/>
                        </w:rPr>
                        <w:t>元，上期余额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18,735,101.24</w:t>
                      </w:r>
                    </w:p>
                    <w:p>
                      <w:pPr>
                        <w:spacing w:line="300" w:lineRule="auto" w:before="13"/>
                        <w:ind w:left="6414" w:right="92" w:firstLine="0"/>
                        <w:jc w:val="left"/>
                        <w:rPr>
                          <w:rFonts w:ascii="宋体" w:hAnsi="宋体" w:cs="宋体" w:eastAsia="宋体" w:hint="default"/>
                          <w:sz w:val="18"/>
                          <w:szCs w:val="18"/>
                        </w:rPr>
                      </w:pP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应付利息及应付股利并入其他应付</w:t>
                      </w:r>
                      <w:r>
                        <w:rPr>
                          <w:rFonts w:ascii="宋体" w:hAnsi="宋体" w:cs="宋体" w:eastAsia="宋体" w:hint="default"/>
                          <w:spacing w:val="-81"/>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，本期余额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118,583,361.97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元，上期</w:t>
                      </w:r>
                    </w:p>
                    <w:p>
                      <w:pPr>
                        <w:spacing w:before="13"/>
                        <w:ind w:left="6414" w:right="0" w:firstLine="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p>
                      <w:pPr>
                        <w:spacing w:before="63"/>
                        <w:ind w:left="6414" w:right="0" w:firstLine="0"/>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121,508,267.11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w:t>
                      </w:r>
                    </w:p>
                    <w:p>
                      <w:pPr>
                        <w:spacing w:before="63"/>
                        <w:ind w:left="64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96,604,139.55</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元；单列</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研发费用</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，本期</w:t>
                      </w:r>
                    </w:p>
                    <w:p>
                      <w:pPr>
                        <w:spacing w:before="63"/>
                        <w:ind w:left="6414"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上期</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88"/>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55"/>
        <w:ind w:left="152" w:right="9134"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江西科为江西科为薄膜新型材料有限公司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firstLine="420"/>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日通过高新技术企业复评并取得认定证书，按照《中华人民共和国企业所得税</w:t>
      </w:r>
      <w:r>
        <w:rPr>
          <w:w w:val="100"/>
        </w:rPr>
        <w:t> </w:t>
      </w:r>
      <w:r>
        <w:rPr/>
        <w:t>法》的规定，</w:t>
      </w:r>
      <w:r>
        <w:rPr>
          <w:rFonts w:ascii="Times New Roman" w:hAnsi="Times New Roman" w:cs="Times New Roman" w:eastAsia="Times New Roman" w:hint="default"/>
        </w:rPr>
        <w:t>2018</w:t>
      </w:r>
      <w:r>
        <w:rPr/>
        <w:t>年度执行</w:t>
      </w:r>
      <w:r>
        <w:rPr>
          <w:rFonts w:ascii="Times New Roman" w:hAnsi="Times New Roman" w:cs="Times New Roman" w:eastAsia="Times New Roman" w:hint="default"/>
        </w:rPr>
        <w:t>15%</w:t>
      </w:r>
      <w:r>
        <w:rPr/>
        <w:t>的所得税税率。</w:t>
      </w:r>
    </w:p>
    <w:p>
      <w:pPr>
        <w:pStyle w:val="BodyText"/>
        <w:spacing w:line="256" w:lineRule="auto" w:before="43"/>
        <w:ind w:right="0" w:firstLine="420"/>
        <w:jc w:val="left"/>
      </w:pPr>
      <w:r>
        <w:rPr/>
        <w:t>本公司子公司江西科为江西科为薄膜新型材料有限公司于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日通过高新技术企业复评并取</w:t>
      </w:r>
      <w:r>
        <w:rPr>
          <w:w w:val="100"/>
        </w:rPr>
        <w:t> </w:t>
      </w:r>
      <w:r>
        <w:rPr/>
        <w:t>得认定证书，按照《中华人民共和国企业所得税法》的规定，</w:t>
      </w:r>
      <w:r>
        <w:rPr>
          <w:rFonts w:ascii="Times New Roman" w:hAnsi="Times New Roman" w:cs="Times New Roman" w:eastAsia="Times New Roman" w:hint="default"/>
        </w:rPr>
        <w:t>2018</w:t>
      </w:r>
      <w:r>
        <w:rPr/>
        <w:t>年度执行</w:t>
      </w:r>
      <w:r>
        <w:rPr>
          <w:rFonts w:ascii="Times New Roman" w:hAnsi="Times New Roman" w:cs="Times New Roman" w:eastAsia="Times New Roman" w:hint="default"/>
        </w:rPr>
        <w:t>15%</w:t>
      </w:r>
      <w:r>
        <w:rPr/>
        <w:t>的所得税税率。</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227" w:firstLine="420"/>
        <w:jc w:val="left"/>
      </w:pPr>
      <w:r>
        <w:rPr/>
        <w:t>根据《财政部</w:t>
      </w:r>
      <w:r>
        <w:rPr>
          <w:spacing w:val="-28"/>
        </w:rPr>
        <w:t> </w:t>
      </w:r>
      <w:r>
        <w:rPr/>
        <w:t>税务总局关于调整增值税税率的通知》（财税〔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日前</w:t>
      </w:r>
      <w:r>
        <w:rPr>
          <w:spacing w:val="-3"/>
          <w:w w:val="100"/>
        </w:rPr>
        <w:t> </w:t>
      </w:r>
      <w:r>
        <w:rPr/>
        <w:t>适用增值税税率</w:t>
      </w:r>
      <w:r>
        <w:rPr>
          <w:rFonts w:ascii="Times New Roman" w:hAnsi="Times New Roman" w:cs="Times New Roman" w:eastAsia="Times New Roman" w:hint="default"/>
        </w:rPr>
        <w:t>17%</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日后适用增值税税率</w:t>
      </w:r>
      <w:r>
        <w:rPr>
          <w:rFonts w:ascii="Times New Roman" w:hAnsi="Times New Roman" w:cs="Times New Roman" w:eastAsia="Times New Roman" w:hint="default"/>
        </w:rPr>
        <w:t>16%</w:t>
      </w:r>
      <w:r>
        <w:rPr/>
        <w:t>。</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128,744.76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87,662.66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524,605,101.03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725,303,762.74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96,530,392.77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100,232,319.82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621,264,238.56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825,623,745.22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0" w:firstLine="420"/>
        <w:jc w:val="left"/>
      </w:pPr>
      <w:r>
        <w:rPr>
          <w:spacing w:val="-3"/>
        </w:rPr>
        <w:t>货币资金期末数比年初数减少</w:t>
      </w:r>
      <w:r>
        <w:rPr>
          <w:rFonts w:ascii="Times New Roman" w:hAnsi="Times New Roman" w:cs="Times New Roman" w:eastAsia="Times New Roman" w:hint="default"/>
          <w:spacing w:val="-3"/>
        </w:rPr>
        <w:t>204,359,506.66</w:t>
      </w:r>
      <w:r>
        <w:rPr>
          <w:spacing w:val="-3"/>
        </w:rPr>
        <w:t>元，减少比例为</w:t>
      </w:r>
      <w:r>
        <w:rPr>
          <w:rFonts w:ascii="Times New Roman" w:hAnsi="Times New Roman" w:cs="Times New Roman" w:eastAsia="Times New Roman" w:hint="default"/>
          <w:spacing w:val="-3"/>
        </w:rPr>
        <w:t>24.75%</w:t>
      </w:r>
      <w:r>
        <w:rPr>
          <w:spacing w:val="-3"/>
        </w:rPr>
        <w:t>，减少原因系本期支付募投项目采</w:t>
      </w:r>
      <w:r>
        <w:rPr>
          <w:w w:val="100"/>
        </w:rPr>
        <w:t> </w:t>
      </w:r>
      <w:r>
        <w:rPr/>
        <w:t>购款和支付宿迁市彩缘置业有限公司双星大厦及公寓的购买款。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2"/>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270,566,884.89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921,560,212.41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908,896,334.12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1,154,089,383.33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1,179,463,219.01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161,834,754.85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226,066,884.89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74,415,174.81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减：资产减值准备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270,566,884.89</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332,890,007.48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335,890,007.48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1"/>
        <w:gridCol w:w="761"/>
        <w:gridCol w:w="763"/>
        <w:gridCol w:w="752"/>
        <w:gridCol w:w="801"/>
        <w:gridCol w:w="653"/>
        <w:gridCol w:w="761"/>
        <w:gridCol w:w="814"/>
        <w:gridCol w:w="934"/>
        <w:gridCol w:w="931"/>
      </w:tblGrid>
      <w:tr>
        <w:trPr>
          <w:trHeight w:val="399"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1,010,58</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9,134.13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89,028,9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21.72</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8.81%</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921,560,2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12.41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967,213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,768.76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58,317,43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908,896,33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1,010,58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9,134.13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89,028,9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921,560,2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967,213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,768.76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58,317,43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908,896,33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842,994,462.39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42,135,403.92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136,765,937.39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27,353,187.48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22,576,808.07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11,288,404.04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8,251,926.28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8,251,926.28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1,010,589,134.13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89,028,921.72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49"/>
        <w:ind w:left="152" w:right="5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 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3" w:space="38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665,715,951.16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591,392,168.47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4,615,101.22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4,287,403.97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2,798,660.97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10,515,609.87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8,530,051.72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8,097,199.46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681,659,765.07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614,292,381.77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304"/>
        <w:gridCol w:w="1829"/>
        <w:gridCol w:w="1325"/>
        <w:gridCol w:w="1805"/>
      </w:tblGrid>
      <w:tr>
        <w:trPr>
          <w:trHeight w:val="55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3"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供应商一</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5,192,924.92</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供应商二</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1,280,000.00</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尚未结算验收</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供应商三</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981,094.44</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尚未结算验收</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供应商四</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866,559.81</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供应商五</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500,000.00</w:t>
            </w:r>
          </w:p>
        </w:tc>
        <w:tc>
          <w:tcPr>
            <w:tcW w:w="13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432" w:hRule="exact"/>
        </w:trPr>
        <w:tc>
          <w:tcPr>
            <w:tcW w:w="43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8,820,579.17</w:t>
            </w:r>
          </w:p>
        </w:tc>
        <w:tc>
          <w:tcPr>
            <w:tcW w:w="1325" w:type="dxa"/>
            <w:tcBorders>
              <w:top w:val="single" w:sz="8" w:space="0" w:color="000000"/>
              <w:left w:val="single" w:sz="8" w:space="0" w:color="000000"/>
              <w:bottom w:val="single" w:sz="8" w:space="0" w:color="000000"/>
              <w:right w:val="single" w:sz="8" w:space="0" w:color="000000"/>
            </w:tcBorders>
          </w:tcPr>
          <w:p>
            <w:pPr/>
          </w:p>
        </w:tc>
        <w:tc>
          <w:tcPr>
            <w:tcW w:w="180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jc w:val="left"/>
      </w:pPr>
      <w:r>
        <w:rPr>
          <w:spacing w:val="-3"/>
        </w:rPr>
        <w:t>本公司按预付对象归集的期末余额前五名的预付款汇总金额为</w:t>
      </w:r>
      <w:r>
        <w:rPr>
          <w:rFonts w:ascii="Times New Roman" w:hAnsi="Times New Roman" w:cs="Times New Roman" w:eastAsia="Times New Roman" w:hint="default"/>
          <w:spacing w:val="-3"/>
        </w:rPr>
        <w:t>522,058,533.58</w:t>
      </w:r>
      <w:r>
        <w:rPr>
          <w:spacing w:val="-3"/>
        </w:rPr>
        <w:t>元，占预付账款期末余额合计</w:t>
      </w:r>
      <w:r>
        <w:rPr>
          <w:spacing w:val="-27"/>
        </w:rPr>
        <w:t> </w:t>
      </w:r>
      <w:r>
        <w:rPr>
          <w:spacing w:val="-27"/>
        </w:rPr>
      </w:r>
      <w:r>
        <w:rPr/>
        <w:t>数的比例为</w:t>
      </w:r>
      <w:r>
        <w:rPr>
          <w:rFonts w:ascii="Times New Roman" w:hAnsi="Times New Roman" w:cs="Times New Roman" w:eastAsia="Times New Roman" w:hint="default"/>
        </w:rPr>
        <w:t>76.59%</w:t>
      </w:r>
      <w:r>
        <w:rPr/>
        <w:t>。</w:t>
      </w:r>
    </w:p>
    <w:p>
      <w:pPr>
        <w:spacing w:before="6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11,931,218.36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4,744,214.22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6,803,882.88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8,807,547.55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18,735,101.24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950,396.44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募集资金理财产品利息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10,980,821.92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11,931,218.36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0"/>
        <w:jc w:val="left"/>
      </w:pPr>
      <w:r>
        <w:rPr>
          <w:spacing w:val="-3"/>
        </w:rPr>
        <w:t>公司应收利息期末数比期初数减少</w:t>
      </w:r>
      <w:r>
        <w:rPr>
          <w:rFonts w:ascii="Times New Roman" w:hAnsi="Times New Roman" w:cs="Times New Roman" w:eastAsia="Times New Roman" w:hint="default"/>
          <w:spacing w:val="-3"/>
        </w:rPr>
        <w:t>7,867,885.03</w:t>
      </w:r>
      <w:r>
        <w:rPr>
          <w:spacing w:val="-3"/>
        </w:rPr>
        <w:t>元，减少比例为</w:t>
      </w:r>
      <w:r>
        <w:rPr>
          <w:rFonts w:ascii="Times New Roman" w:hAnsi="Times New Roman" w:cs="Times New Roman" w:eastAsia="Times New Roman" w:hint="default"/>
          <w:spacing w:val="-3"/>
        </w:rPr>
        <w:t>65.94%</w:t>
      </w:r>
      <w:r>
        <w:rPr>
          <w:spacing w:val="-3"/>
        </w:rPr>
        <w:t>，减少原因系本期公司用于购买理财</w:t>
      </w:r>
      <w:r>
        <w:rPr>
          <w:spacing w:val="-37"/>
        </w:rPr>
        <w:t> </w:t>
      </w:r>
      <w:r>
        <w:rPr>
          <w:spacing w:val="-37"/>
        </w:rPr>
      </w:r>
      <w:r>
        <w:rPr/>
        <w:t>产品的闲职募集资金投入项目，本期计提利息减少。</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8"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6,070,68</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1,326,46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4,744,214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8,144,2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75.14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1,340,392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6,803,882.8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6,070,68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1,326,46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4,744,214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8"/>
                <w:szCs w:val="18"/>
              </w:rPr>
            </w:pPr>
            <w:r>
              <w:rPr>
                <w:rFonts w:ascii="Times New Roman"/>
                <w:sz w:val="18"/>
              </w:rPr>
              <w:t>8,144,2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1,340,392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6,803,882.8</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1.87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7.65</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Times New Roman" w:hAnsi="Times New Roman" w:cs="Times New Roman" w:eastAsia="Times New Roman" w:hint="default"/>
                <w:sz w:val="18"/>
                <w:szCs w:val="18"/>
              </w:rPr>
            </w:pPr>
            <w:r>
              <w:rPr>
                <w:rFonts w:ascii="Times New Roman"/>
                <w:sz w:val="18"/>
              </w:rPr>
              <w:t>75.14</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.26</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0" w:header="745" w:top="1060" w:bottom="1160" w:left="980" w:right="0"/>
          <w:pgNumType w:start="101"/>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4,301,191.15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215,059.56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687,896.24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137,579.25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215,531.29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107,765.65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866,063.19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866,063.19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6,070,681.87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1,326,467.65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49"/>
        <w:ind w:left="152" w:right="34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7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8" w:lineRule="auto" w:before="10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z w:val="18"/>
          <w:szCs w:val="18"/>
        </w:rPr>
        <w:t>本期计提坏账准备金额元；本期收回或转回坏账准备金额元。</w:t>
      </w:r>
      <w:r>
        <w:rPr>
          <w:rFonts w:ascii="宋体" w:hAnsi="宋体" w:cs="宋体" w:eastAsia="宋体" w:hint="default"/>
          <w:w w:val="99"/>
          <w:sz w:val="18"/>
          <w:szCs w:val="18"/>
        </w:rPr>
        <w:t> </w:t>
      </w: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3" w:space="38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4"/>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5,706,622.27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6,932,857.66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189,113.60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891,271.48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320,146.00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6,070,681.87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8,144,275.14</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542,865,827.44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542,865,827.44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453,138,782.91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453,138,782.91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893,867,432.20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893,867,432.20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627,502,151.33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627,502,151.33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6,773,089.88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6,773,089.88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6,760,529.57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6,760,529.57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3,044,031.13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3,044,031.13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1,531,337.11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1,531,337.11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1,446,550,380.65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1,446,550,380.65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1,088,932,800.92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1,088,932,800.92</w:t>
            </w:r>
          </w:p>
        </w:tc>
      </w:tr>
    </w:tbl>
    <w:p>
      <w:pPr>
        <w:spacing w:line="338" w:lineRule="auto" w:before="49"/>
        <w:ind w:left="152" w:right="24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3"/>
        <w:ind w:left="152" w:right="275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90,603,040.35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105,262,301.08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836,129.82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1,091,439,170.17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1,305,262,301.08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403,194,200.00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403,194,200.00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403,194,200.00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403,194,200.00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403,194,200.00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left="76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403,194,200.00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3,329,463,894.91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2,509,728,845.72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3,329,463,894.91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2,509,728,845.72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607,074,242.07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3,430,121,081.17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8,331,344.01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8,105,483.99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4,053,632,151.24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580,078,577.53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593,446,789.52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284,362.65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3,010,493.83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1,176,820,223.53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102,548,386.22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69,602,144.23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284,362.65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3,010,493.83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175,445,386.93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477,530,191.31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523,844,645.29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1,001,374,836.60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1,187,152,819.60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4,023,567,870.69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8,615,706.66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11,115,977.82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5,230,452,374.77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147,406,920.58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1,385,425,360.67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5,851,136.32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5,219,887.95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1,543,903,305.52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28,434,574.62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327,128,718.13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517,717.35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1,004,164.24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357,085,174.34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28,434,574.62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327,128,718.13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517,717.35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1,004,164.24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357,085,174.34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175,841,495.20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1,712,554,078.80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6,368,853.67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6,224,052.19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1,900,988,479.86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1,011,311,324.40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2,311,013,791.89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4,891,925.63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3,329,463,894.91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459,667,321.49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2,044,695,720.50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2,480,207.69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2,885,596.04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2,509,728,845.72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911,445,567.90</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911,445,567.90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911,445,567.90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911,445,567.90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224,747,061.08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911,445,567.90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911,445,567.90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职工服 务中心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972,788.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972,788.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房光学 膜二期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28,706,0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61,795,4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77,792,2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12,709,2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燃气工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327,576.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光学膜 二期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436,376,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054.75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194,031,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991.21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495,780,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896.88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134,627,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149.08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6"/>
              <w:jc w:val="left"/>
              <w:rPr>
                <w:rFonts w:ascii="宋体" w:hAnsi="宋体" w:cs="宋体" w:eastAsia="宋体" w:hint="default"/>
                <w:sz w:val="18"/>
                <w:szCs w:val="18"/>
              </w:rPr>
            </w:pPr>
            <w:r>
              <w:rPr>
                <w:rFonts w:ascii="宋体" w:hAnsi="宋体" w:cs="宋体" w:eastAsia="宋体" w:hint="default"/>
                <w:sz w:val="18"/>
                <w:szCs w:val="18"/>
              </w:rPr>
              <w:t>背材二 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3,641,90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11,688,5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15,330,4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84.52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光学薄 膜生产 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47,138,5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18,852,6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28,063,7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48.41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37,927,4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双星大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391,995,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3,726,02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395,721,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厦</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396.40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3.30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419.70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科为研 发楼</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2,005,49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2,158,19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4,016,55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147,135.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c </w:t>
            </w:r>
            <w:r>
              <w:rPr>
                <w:rFonts w:ascii="宋体" w:hAnsi="宋体" w:cs="宋体" w:eastAsia="宋体" w:hint="default"/>
                <w:sz w:val="18"/>
                <w:szCs w:val="18"/>
              </w:rPr>
              <w:t>厂区房 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7,825,00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7,825,00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4,013,43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4,013,43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PET </w:t>
            </w:r>
            <w:r>
              <w:rPr>
                <w:rFonts w:ascii="宋体" w:hAnsi="宋体" w:cs="宋体" w:eastAsia="宋体" w:hint="default"/>
                <w:sz w:val="18"/>
                <w:szCs w:val="18"/>
              </w:rPr>
              <w:t>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1,197,96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1,197,96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安全网 络设备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253,307.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253,307.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包材车 间</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1,062,16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1,062,16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分切机 改造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2,746,34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2,746,34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附属工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371,865.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固废仓 库</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消防改 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4,106,50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4,106,50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原料码 头</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智能窗 膜线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911,445,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567.90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314,958,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093.83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1,001,37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4,836.60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281,764.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224,747,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061.08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111,856,999.42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120,044,875.57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35,009,754.30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35,009,754.30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35,009,754.30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35,009,754.30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146,866,753.72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155,054,629.87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16,592,903.83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23,789,015.58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2,970,084.09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18,928.83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2,989,012.92</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80" w:header="745" w:top="1060" w:bottom="1160" w:left="980" w:right="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2,970,084.09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18,928.83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2,989,012.92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19,562,987.92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60,873.92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7,154,166.66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26,778,028.50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845,833.34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127,303,765.80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127,002.23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127,430,768.03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95,264,095.59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145,931.06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95,410,026.65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9"/>
        <w:gridCol w:w="1062"/>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84,899,044.39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84,899,044.39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64,899,044.39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64,899,044.39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64,899,044.39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96"/>
        <w:ind w:right="0"/>
        <w:jc w:val="left"/>
      </w:pPr>
      <w:r>
        <w:rPr>
          <w:rFonts w:ascii="Times New Roman" w:hAnsi="Times New Roman" w:cs="Times New Roman" w:eastAsia="Times New Roman" w:hint="default"/>
        </w:rPr>
        <w:t>1</w:t>
      </w:r>
      <w:r>
        <w:rPr/>
        <w:t>）商誉的形成</w:t>
      </w:r>
    </w:p>
    <w:p>
      <w:pPr>
        <w:pStyle w:val="BodyText"/>
        <w:spacing w:line="259" w:lineRule="auto" w:before="60"/>
        <w:ind w:right="1126"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日根据签订的《江苏双星彩塑新材料股份有限公司与江西科为薄膜新型材料有限公司、柯</w:t>
      </w:r>
      <w:r>
        <w:rPr>
          <w:w w:val="100"/>
        </w:rPr>
        <w:t> </w:t>
      </w:r>
      <w:r>
        <w:rPr>
          <w:spacing w:val="-2"/>
        </w:rPr>
        <w:t>秋平、时招军关于江西科为薄膜新型材料有限公司股权转让与增资入股之协议》，公司以募集资金收购柯</w:t>
      </w:r>
      <w:r>
        <w:rPr>
          <w:spacing w:val="-44"/>
        </w:rPr>
        <w:t> </w:t>
      </w:r>
      <w:r>
        <w:rPr>
          <w:spacing w:val="-44"/>
        </w:rPr>
      </w:r>
      <w:r>
        <w:rPr/>
        <w:t>秋平持有的江西科为</w:t>
      </w:r>
      <w:r>
        <w:rPr>
          <w:rFonts w:ascii="Times New Roman" w:hAnsi="Times New Roman" w:cs="Times New Roman" w:eastAsia="Times New Roman" w:hint="default"/>
        </w:rPr>
        <w:t>99%</w:t>
      </w:r>
      <w:r>
        <w:rPr/>
        <w:t>股权及时招军持有的江西科为</w:t>
      </w:r>
      <w:r>
        <w:rPr>
          <w:rFonts w:ascii="Times New Roman" w:hAnsi="Times New Roman" w:cs="Times New Roman" w:eastAsia="Times New Roman" w:hint="default"/>
        </w:rPr>
        <w:t>1%</w:t>
      </w:r>
      <w:r>
        <w:rPr/>
        <w:t>股权的价格合计为</w:t>
      </w:r>
      <w:r>
        <w:rPr>
          <w:rFonts w:ascii="Times New Roman" w:hAnsi="Times New Roman" w:cs="Times New Roman" w:eastAsia="Times New Roman" w:hint="default"/>
        </w:rPr>
        <w:t>8,000</w:t>
      </w:r>
      <w:r>
        <w:rPr/>
        <w:t>万元。同时，双星新材</w:t>
      </w:r>
      <w:r>
        <w:rPr>
          <w:spacing w:val="-5"/>
        </w:rPr>
        <w:t> </w:t>
      </w:r>
      <w:r>
        <w:rPr>
          <w:spacing w:val="-5"/>
        </w:rPr>
      </w:r>
      <w:r>
        <w:rPr>
          <w:spacing w:val="-3"/>
        </w:rPr>
        <w:t>以募集资金向江西科为增加注册资本</w:t>
      </w:r>
      <w:r>
        <w:rPr>
          <w:rFonts w:ascii="Times New Roman" w:hAnsi="Times New Roman" w:cs="Times New Roman" w:eastAsia="Times New Roman" w:hint="default"/>
          <w:spacing w:val="-3"/>
        </w:rPr>
        <w:t>8,000</w:t>
      </w:r>
      <w:r>
        <w:rPr>
          <w:spacing w:val="-3"/>
        </w:rPr>
        <w:t>万元，增资后，江西科为注册资本为</w:t>
      </w:r>
      <w:r>
        <w:rPr>
          <w:rFonts w:ascii="Times New Roman" w:hAnsi="Times New Roman" w:cs="Times New Roman" w:eastAsia="Times New Roman" w:hint="default"/>
          <w:spacing w:val="-3"/>
        </w:rPr>
        <w:t>10,000</w:t>
      </w:r>
      <w:r>
        <w:rPr>
          <w:spacing w:val="-3"/>
        </w:rPr>
        <w:t>万元。本次增资</w:t>
      </w:r>
      <w:r>
        <w:rPr>
          <w:rFonts w:ascii="Times New Roman" w:hAnsi="Times New Roman" w:cs="Times New Roman" w:eastAsia="Times New Roman" w:hint="default"/>
          <w:spacing w:val="-3"/>
        </w:rPr>
        <w:t>8,000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2"/>
        </w:rPr>
        <w:t>万元的价格为人民币</w:t>
      </w:r>
      <w:r>
        <w:rPr>
          <w:rFonts w:ascii="Times New Roman" w:hAnsi="Times New Roman" w:cs="Times New Roman" w:eastAsia="Times New Roman" w:hint="default"/>
          <w:spacing w:val="-2"/>
        </w:rPr>
        <w:t>10,000</w:t>
      </w:r>
      <w:r>
        <w:rPr>
          <w:spacing w:val="-2"/>
        </w:rPr>
        <w:t>万元，上述股权转让及增资金额合计为</w:t>
      </w:r>
      <w:r>
        <w:rPr>
          <w:rFonts w:ascii="Times New Roman" w:hAnsi="Times New Roman" w:cs="Times New Roman" w:eastAsia="Times New Roman" w:hint="default"/>
          <w:spacing w:val="-2"/>
        </w:rPr>
        <w:t>1.8</w:t>
      </w:r>
      <w:r>
        <w:rPr>
          <w:spacing w:val="-2"/>
        </w:rPr>
        <w:t>亿元。交易完成后，双星新材将直接</w:t>
      </w:r>
      <w:r>
        <w:rPr>
          <w:spacing w:val="-42"/>
        </w:rPr>
        <w:t> </w:t>
      </w:r>
      <w:r>
        <w:rPr>
          <w:spacing w:val="-42"/>
        </w:rPr>
      </w:r>
      <w:r>
        <w:rPr/>
        <w:t>持有江西科为</w:t>
      </w:r>
      <w:r>
        <w:rPr>
          <w:rFonts w:ascii="Times New Roman" w:hAnsi="Times New Roman" w:cs="Times New Roman" w:eastAsia="Times New Roman" w:hint="default"/>
        </w:rPr>
        <w:t>100%</w:t>
      </w:r>
      <w:r>
        <w:rPr/>
        <w:t>股份。双星新材在购并日取得的被购买方可辨认净资产公允价值份额为</w:t>
      </w:r>
      <w:r>
        <w:rPr>
          <w:rFonts w:ascii="Times New Roman" w:hAnsi="Times New Roman" w:cs="Times New Roman" w:eastAsia="Times New Roman" w:hint="default"/>
        </w:rPr>
        <w:t>-4,899,044.39</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1"/>
        </w:rPr>
        <w:t>元，双星新材收购成本与购并中取得的被购买方可辨认净资产公允价值份额之间差额为</w:t>
      </w:r>
      <w:r>
        <w:rPr>
          <w:rFonts w:ascii="Times New Roman" w:hAnsi="Times New Roman" w:cs="Times New Roman" w:eastAsia="Times New Roman" w:hint="default"/>
          <w:spacing w:val="-1"/>
        </w:rPr>
        <w:t>84,899,044.39</w:t>
      </w:r>
      <w:r>
        <w:rPr>
          <w:spacing w:val="-1"/>
        </w:rPr>
        <w:t>元，</w:t>
      </w:r>
      <w:r>
        <w:rPr>
          <w:spacing w:val="-23"/>
        </w:rPr>
        <w:t> </w:t>
      </w:r>
      <w:r>
        <w:rPr/>
        <w:t>作为商誉确认。</w:t>
      </w:r>
    </w:p>
    <w:p>
      <w:pPr>
        <w:spacing w:line="240" w:lineRule="auto" w:before="0"/>
        <w:rPr>
          <w:rFonts w:ascii="宋体" w:hAnsi="宋体" w:cs="宋体" w:eastAsia="宋体" w:hint="default"/>
          <w:sz w:val="20"/>
          <w:szCs w:val="20"/>
        </w:rPr>
      </w:pPr>
    </w:p>
    <w:p>
      <w:pPr>
        <w:pStyle w:val="BodyText"/>
        <w:spacing w:line="240" w:lineRule="auto" w:before="152"/>
        <w:ind w:right="0"/>
        <w:jc w:val="left"/>
      </w:pPr>
      <w:r>
        <w:rPr>
          <w:rFonts w:ascii="Times New Roman" w:hAnsi="Times New Roman" w:cs="Times New Roman" w:eastAsia="Times New Roman" w:hint="default"/>
        </w:rPr>
        <w:t>2</w:t>
      </w:r>
      <w:r>
        <w:rPr/>
        <w:t>）资产组的认定</w:t>
      </w:r>
    </w:p>
    <w:p>
      <w:pPr>
        <w:pStyle w:val="BodyText"/>
        <w:spacing w:line="256" w:lineRule="auto" w:before="59"/>
        <w:ind w:right="0" w:firstLine="168"/>
        <w:jc w:val="left"/>
      </w:pPr>
      <w:r>
        <w:rPr/>
        <w:t>收购日公司认定</w:t>
      </w:r>
      <w:r>
        <w:rPr>
          <w:spacing w:val="29"/>
        </w:rPr>
        <w:t> </w:t>
      </w:r>
      <w:r>
        <w:rPr>
          <w:rFonts w:ascii="Times New Roman" w:hAnsi="Times New Roman" w:cs="Times New Roman" w:eastAsia="Times New Roman" w:hint="default"/>
          <w:spacing w:val="-3"/>
        </w:rPr>
        <w:t>“</w:t>
      </w:r>
      <w:r>
        <w:rPr>
          <w:spacing w:val="-3"/>
        </w:rPr>
        <w:t>太阳膜窗膜业务资产组</w:t>
      </w:r>
      <w:r>
        <w:rPr>
          <w:rFonts w:ascii="Times New Roman" w:hAnsi="Times New Roman" w:cs="Times New Roman" w:eastAsia="Times New Roman" w:hint="default"/>
          <w:spacing w:val="-3"/>
        </w:rPr>
        <w:t>”</w:t>
      </w:r>
      <w:r>
        <w:rPr>
          <w:spacing w:val="-3"/>
        </w:rPr>
        <w:t>为唯一资产组，确定依据为其构成独立资产组专营生产并销售</w:t>
      </w:r>
      <w:r>
        <w:rPr>
          <w:w w:val="100"/>
        </w:rPr>
        <w:t> </w:t>
      </w:r>
      <w:r>
        <w:rPr/>
        <w:t>窗膜产品。本年末商誉所在资产组与购买日、以前年度商誉减值测试时所确定的资产组一致。</w:t>
      </w:r>
    </w:p>
    <w:p>
      <w:pPr>
        <w:spacing w:line="240" w:lineRule="auto" w:before="0"/>
        <w:rPr>
          <w:rFonts w:ascii="宋体" w:hAnsi="宋体" w:cs="宋体" w:eastAsia="宋体" w:hint="default"/>
          <w:sz w:val="20"/>
          <w:szCs w:val="20"/>
        </w:rPr>
      </w:pPr>
    </w:p>
    <w:p>
      <w:pPr>
        <w:spacing w:line="316" w:lineRule="auto" w:before="175"/>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56" w:lineRule="auto" w:before="36"/>
        <w:ind w:right="1126" w:firstLine="420"/>
        <w:jc w:val="both"/>
      </w:pPr>
      <w:r>
        <w:rPr/>
        <w:t>①本公司在对商誉进行减值测试时，利用了福建联合中和资产评估土地房地产估价有限公司</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spacing w:val="-3"/>
        </w:rPr>
        <w:t>月</w:t>
      </w:r>
      <w:r>
        <w:rPr>
          <w:rFonts w:ascii="Times New Roman" w:hAnsi="Times New Roman" w:cs="Times New Roman" w:eastAsia="Times New Roman" w:hint="default"/>
          <w:spacing w:val="-3"/>
        </w:rPr>
        <w:t>6</w:t>
      </w:r>
      <w:r>
        <w:rPr>
          <w:spacing w:val="-3"/>
        </w:rPr>
        <w:t>日闽联合中和评报字</w:t>
      </w:r>
      <w:r>
        <w:rPr>
          <w:rFonts w:ascii="Times New Roman" w:hAnsi="Times New Roman" w:cs="Times New Roman" w:eastAsia="Times New Roman" w:hint="default"/>
          <w:spacing w:val="-3"/>
        </w:rPr>
        <w:t>(2019)</w:t>
      </w:r>
      <w:r>
        <w:rPr>
          <w:spacing w:val="-3"/>
        </w:rPr>
        <w:t>第</w:t>
      </w:r>
      <w:r>
        <w:rPr>
          <w:rFonts w:ascii="Times New Roman" w:hAnsi="Times New Roman" w:cs="Times New Roman" w:eastAsia="Times New Roman" w:hint="default"/>
          <w:spacing w:val="-3"/>
        </w:rPr>
        <w:t>6017</w:t>
      </w:r>
      <w:r>
        <w:rPr>
          <w:spacing w:val="-3"/>
        </w:rPr>
        <w:t>号《江苏双星彩塑新材料股份有限公司拟进行商誉减值测试涉及的江</w:t>
      </w:r>
      <w:r>
        <w:rPr>
          <w:spacing w:val="-18"/>
        </w:rPr>
        <w:t> </w:t>
      </w:r>
      <w:r>
        <w:rPr>
          <w:spacing w:val="-18"/>
        </w:rPr>
      </w:r>
      <w:r>
        <w:rPr>
          <w:spacing w:val="-2"/>
        </w:rPr>
        <w:t>西科为薄膜新型材料有限公司资产组可回收价值》的评估结果。截至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日，与商誉相关的资产</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组的账面价值为</w:t>
      </w:r>
      <w:r>
        <w:rPr>
          <w:rFonts w:ascii="Times New Roman" w:hAnsi="Times New Roman" w:cs="Times New Roman" w:eastAsia="Times New Roman" w:hint="default"/>
        </w:rPr>
        <w:t>1.44</w:t>
      </w:r>
      <w:r>
        <w:rPr/>
        <w:t>亿元，商誉资产组可收回金额为</w:t>
      </w:r>
      <w:r>
        <w:rPr>
          <w:rFonts w:ascii="Times New Roman" w:hAnsi="Times New Roman" w:cs="Times New Roman" w:eastAsia="Times New Roman" w:hint="default"/>
        </w:rPr>
        <w:t>1.47</w:t>
      </w:r>
      <w:r>
        <w:rPr/>
        <w:t>亿元。经测试，本期无需计提减值准备。</w:t>
      </w:r>
    </w:p>
    <w:p>
      <w:pPr>
        <w:pStyle w:val="BodyText"/>
        <w:spacing w:line="307" w:lineRule="auto" w:before="62"/>
        <w:ind w:left="573" w:right="0"/>
        <w:jc w:val="left"/>
      </w:pPr>
      <w:r>
        <w:rPr/>
        <w:t>②测试方法及关键参数</w:t>
      </w:r>
      <w:r>
        <w:rPr>
          <w:w w:val="100"/>
        </w:rPr>
        <w:t> </w:t>
      </w:r>
      <w:r>
        <w:rPr>
          <w:spacing w:val="-2"/>
        </w:rPr>
        <w:t>资产组的可收回金额：按照资产组的预计未来现金流量的现值确定。根据本公司管理层批准的前述资</w:t>
      </w:r>
    </w:p>
    <w:p>
      <w:pPr>
        <w:pStyle w:val="BodyText"/>
        <w:spacing w:line="269" w:lineRule="exact" w:before="0"/>
        <w:ind w:right="0"/>
        <w:jc w:val="both"/>
      </w:pPr>
      <w:r>
        <w:rPr>
          <w:spacing w:val="-3"/>
        </w:rPr>
        <w:t>产组五年期的财务预算为基础预计未来现金流量，未来五年营业收入的年化增长率为</w:t>
      </w:r>
      <w:r>
        <w:rPr>
          <w:rFonts w:ascii="Times New Roman" w:hAnsi="Times New Roman" w:cs="Times New Roman" w:eastAsia="Times New Roman" w:hint="default"/>
          <w:spacing w:val="-3"/>
        </w:rPr>
        <w:t>0%-2.04%</w:t>
      </w:r>
      <w:r>
        <w:rPr>
          <w:spacing w:val="-3"/>
        </w:rPr>
        <w:t>不等，利润</w:t>
      </w:r>
    </w:p>
    <w:p>
      <w:pPr>
        <w:pStyle w:val="BodyText"/>
        <w:spacing w:line="261" w:lineRule="auto" w:before="21"/>
        <w:ind w:right="1105"/>
        <w:jc w:val="both"/>
      </w:pPr>
      <w:r>
        <w:rPr/>
        <w:t>率为</w:t>
      </w:r>
      <w:r>
        <w:rPr>
          <w:rFonts w:ascii="Times New Roman" w:hAnsi="Times New Roman" w:cs="Times New Roman" w:eastAsia="Times New Roman" w:hint="default"/>
        </w:rPr>
        <w:t>3.13%-8.24%</w:t>
      </w:r>
      <w:r>
        <w:rPr/>
        <w:t>。五年后的永续现金流量按照详细预测期最后一年的水平，并结合行业发展趋势等因素</w:t>
      </w:r>
      <w:r>
        <w:rPr>
          <w:spacing w:val="-30"/>
        </w:rPr>
        <w:t> </w:t>
      </w:r>
      <w:r>
        <w:rPr>
          <w:spacing w:val="-30"/>
        </w:rPr>
      </w:r>
      <w:r>
        <w:rPr>
          <w:spacing w:val="-3"/>
        </w:rPr>
        <w:t>后确定。计算现值的折现率为</w:t>
      </w:r>
      <w:r>
        <w:rPr>
          <w:rFonts w:ascii="Times New Roman" w:hAnsi="Times New Roman" w:cs="Times New Roman" w:eastAsia="Times New Roman" w:hint="default"/>
          <w:spacing w:val="-3"/>
        </w:rPr>
        <w:t>15.87%</w:t>
      </w:r>
      <w:r>
        <w:rPr>
          <w:spacing w:val="-3"/>
        </w:rPr>
        <w:t>，为反映相关资产组特定风险的税前折现率，本次采用税前全部资本</w:t>
      </w:r>
      <w:r>
        <w:rPr>
          <w:spacing w:val="-10"/>
        </w:rPr>
        <w:t> </w:t>
      </w:r>
      <w:r>
        <w:rPr>
          <w:spacing w:val="-10"/>
        </w:rPr>
      </w:r>
      <w:r>
        <w:rPr>
          <w:spacing w:val="-4"/>
        </w:rPr>
        <w:t>加权平均资本成本</w:t>
      </w:r>
      <w:r>
        <w:rPr>
          <w:rFonts w:ascii="Times New Roman" w:hAnsi="Times New Roman" w:cs="Times New Roman" w:eastAsia="Times New Roman" w:hint="default"/>
          <w:spacing w:val="-4"/>
        </w:rPr>
        <w:t>BTWACC</w:t>
      </w:r>
      <w:r>
        <w:rPr>
          <w:spacing w:val="-4"/>
        </w:rPr>
        <w:t>倒算法的方式、估算评估对象的折现率。本次采用假设包括公平交易假设、公</w:t>
      </w:r>
      <w:r>
        <w:rPr>
          <w:spacing w:val="-8"/>
        </w:rPr>
        <w:t> </w:t>
      </w:r>
      <w:r>
        <w:rPr>
          <w:spacing w:val="-8"/>
        </w:rPr>
      </w:r>
      <w:r>
        <w:rPr>
          <w:spacing w:val="-2"/>
        </w:rPr>
        <w:t>开市场假设、持续经营假设，以及基于国家、地区的宏观经济政策影响一般假设和产权持有人诚信负责、</w:t>
      </w:r>
      <w:r>
        <w:rPr>
          <w:spacing w:val="-21"/>
        </w:rPr>
        <w:t> </w:t>
      </w:r>
      <w:r>
        <w:rPr>
          <w:spacing w:val="-21"/>
        </w:rPr>
      </w:r>
      <w:r>
        <w:rPr/>
        <w:t>经营政策稳定、收益均衡等特殊假设。</w:t>
      </w:r>
    </w:p>
    <w:p>
      <w:pPr>
        <w:spacing w:line="240" w:lineRule="auto" w:before="0"/>
        <w:rPr>
          <w:rFonts w:ascii="宋体" w:hAnsi="宋体" w:cs="宋体" w:eastAsia="宋体" w:hint="default"/>
          <w:sz w:val="20"/>
          <w:szCs w:val="20"/>
        </w:rPr>
      </w:pPr>
    </w:p>
    <w:p>
      <w:pPr>
        <w:spacing w:before="171"/>
        <w:ind w:left="152" w:right="0" w:firstLine="0"/>
        <w:jc w:val="both"/>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264" w:lineRule="auto" w:before="94"/>
        <w:ind w:right="1126" w:firstLine="420"/>
        <w:jc w:val="both"/>
      </w:pPr>
      <w:r>
        <w:rPr>
          <w:spacing w:val="-2"/>
        </w:rPr>
        <w:t>江西科为在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年三年承诺期内未能完成业绩承诺。本公司本期在进行商誉减值测</w:t>
      </w:r>
      <w:r>
        <w:rPr>
          <w:w w:val="100"/>
        </w:rPr>
        <w:t> </w:t>
      </w:r>
      <w:r>
        <w:rPr>
          <w:spacing w:val="-2"/>
        </w:rPr>
        <w:t>试时，根据最新的市场情况及公司业务的发展特点对相关假设及参数进行了一定的修正，具体为《江苏双</w:t>
      </w:r>
      <w:r>
        <w:rPr>
          <w:spacing w:val="-43"/>
        </w:rPr>
        <w:t> </w:t>
      </w:r>
      <w:r>
        <w:rPr>
          <w:spacing w:val="-43"/>
        </w:rPr>
      </w:r>
      <w:r>
        <w:rPr>
          <w:spacing w:val="-2"/>
        </w:rPr>
        <w:t>星彩塑新材料股份有限公司商誉测算预期现金流及现金净流入测算说明》。根据福建联合中和资产评估土</w:t>
      </w:r>
      <w:r>
        <w:rPr>
          <w:spacing w:val="-43"/>
        </w:rPr>
        <w:t> </w:t>
      </w:r>
      <w:r>
        <w:rPr>
          <w:spacing w:val="-43"/>
        </w:rPr>
      </w:r>
      <w:r>
        <w:rPr>
          <w:spacing w:val="4"/>
        </w:rPr>
        <w:t>地房地产估价有限公司</w:t>
      </w:r>
      <w:r>
        <w:rPr>
          <w:rFonts w:ascii="Times New Roman" w:hAnsi="Times New Roman" w:cs="Times New Roman" w:eastAsia="Times New Roman" w:hint="default"/>
          <w:spacing w:val="4"/>
        </w:rPr>
        <w:t>2019 </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6</w:t>
      </w:r>
      <w:r>
        <w:rPr>
          <w:spacing w:val="4"/>
        </w:rPr>
        <w:t>日出具的以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日为基准日的闽联合中和评报字</w:t>
      </w:r>
      <w:r>
        <w:rPr>
          <w:rFonts w:ascii="Times New Roman" w:hAnsi="Times New Roman" w:cs="Times New Roman" w:eastAsia="Times New Roman" w:hint="default"/>
          <w:spacing w:val="4"/>
        </w:rPr>
        <w:t>(2019)</w:t>
      </w:r>
      <w:r>
        <w:rPr>
          <w:spacing w:val="4"/>
        </w:rPr>
        <w:t>第</w:t>
      </w:r>
      <w:r>
        <w:rPr>
          <w:spacing w:val="-43"/>
        </w:rPr>
        <w:t> </w:t>
      </w:r>
      <w:r>
        <w:rPr>
          <w:rFonts w:ascii="Times New Roman" w:hAnsi="Times New Roman" w:cs="Times New Roman" w:eastAsia="Times New Roman" w:hint="default"/>
          <w:spacing w:val="-1"/>
        </w:rPr>
        <w:t>6017</w:t>
      </w:r>
      <w:r>
        <w:rPr>
          <w:spacing w:val="-1"/>
        </w:rPr>
        <w:t>号评估报告评估结果。截至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日，与商誉相关的资产组的账面价值为</w:t>
      </w:r>
      <w:r>
        <w:rPr>
          <w:rFonts w:ascii="Times New Roman" w:hAnsi="Times New Roman" w:cs="Times New Roman" w:eastAsia="Times New Roman" w:hint="default"/>
          <w:spacing w:val="-1"/>
        </w:rPr>
        <w:t>1.44</w:t>
      </w:r>
      <w:r>
        <w:rPr>
          <w:spacing w:val="-1"/>
        </w:rPr>
        <w:t>亿元，商誉资产</w:t>
      </w:r>
      <w:r>
        <w:rPr>
          <w:spacing w:val="-20"/>
        </w:rPr>
        <w:t> </w:t>
      </w:r>
      <w:r>
        <w:rPr>
          <w:spacing w:val="-20"/>
        </w:rPr>
      </w:r>
      <w:r>
        <w:rPr/>
        <w:t>组可收回金额为</w:t>
      </w:r>
      <w:r>
        <w:rPr>
          <w:rFonts w:ascii="Times New Roman" w:hAnsi="Times New Roman" w:cs="Times New Roman" w:eastAsia="Times New Roman" w:hint="default"/>
        </w:rPr>
        <w:t>1.47</w:t>
      </w:r>
      <w:r>
        <w:rPr/>
        <w:t>亿元。经测试，本期无需计提减值准备。</w:t>
      </w:r>
    </w:p>
    <w:p>
      <w:pPr>
        <w:spacing w:before="5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聚合年度维保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313,028.51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313,028.51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1,192,659.20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2,856,068.64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1,488,156.35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1,505,687.71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2,856,068.64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24"/>
        <w:jc w:val="left"/>
      </w:pPr>
      <w:r>
        <w:rPr>
          <w:spacing w:val="-3"/>
        </w:rPr>
        <w:t>公司期末长期待摊费用余额较上年增加</w:t>
      </w:r>
      <w:r>
        <w:rPr>
          <w:rFonts w:ascii="Times New Roman" w:hAnsi="Times New Roman" w:cs="Times New Roman" w:eastAsia="Times New Roman" w:hint="default"/>
          <w:spacing w:val="-3"/>
        </w:rPr>
        <w:t>1,367,912.29</w:t>
      </w:r>
      <w:r>
        <w:rPr>
          <w:spacing w:val="-3"/>
        </w:rPr>
        <w:t>元，增加</w:t>
      </w:r>
      <w:r>
        <w:rPr>
          <w:rFonts w:ascii="Times New Roman" w:hAnsi="Times New Roman" w:cs="Times New Roman" w:eastAsia="Times New Roman" w:hint="default"/>
          <w:spacing w:val="-3"/>
        </w:rPr>
        <w:t>91.92%</w:t>
      </w:r>
      <w:r>
        <w:rPr>
          <w:spacing w:val="-3"/>
        </w:rPr>
        <w:t>，主要系公司本期新增苗木绿化资产所</w:t>
      </w:r>
      <w:r>
        <w:rPr>
          <w:spacing w:val="-40"/>
        </w:rPr>
        <w:t> </w:t>
      </w:r>
      <w:r>
        <w:rPr>
          <w:spacing w:val="-40"/>
        </w:rPr>
      </w:r>
      <w:r>
        <w:rPr/>
        <w:t>致。</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94,076,148.11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14,111,422.22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59,657,826.87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8,948,674.03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580,974.00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580,974.00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97,949,308.11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14,692,396.22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63,530,986.87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9,529,648.03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03"/>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14,692,396.22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9,529,648.03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7"/>
        <w:ind w:right="0"/>
        <w:jc w:val="left"/>
      </w:pPr>
      <w:r>
        <w:rPr>
          <w:spacing w:val="-3"/>
        </w:rPr>
        <w:t>公司期末递延所得税资产余额较上年增加</w:t>
      </w:r>
      <w:r>
        <w:rPr>
          <w:rFonts w:ascii="Times New Roman" w:hAnsi="Times New Roman" w:cs="Times New Roman" w:eastAsia="Times New Roman" w:hint="default"/>
          <w:spacing w:val="-3"/>
        </w:rPr>
        <w:t>5,162,748.19</w:t>
      </w:r>
      <w:r>
        <w:rPr>
          <w:spacing w:val="-3"/>
        </w:rPr>
        <w:t>元，增加</w:t>
      </w:r>
      <w:r>
        <w:rPr>
          <w:rFonts w:ascii="Times New Roman" w:hAnsi="Times New Roman" w:cs="Times New Roman" w:eastAsia="Times New Roman" w:hint="default"/>
          <w:spacing w:val="-3"/>
        </w:rPr>
        <w:t>54.18%</w:t>
      </w:r>
      <w:r>
        <w:rPr>
          <w:spacing w:val="-3"/>
        </w:rPr>
        <w:t>，主要系根据账龄政策计提坏账准备</w:t>
      </w:r>
      <w:r>
        <w:rPr>
          <w:spacing w:val="-40"/>
        </w:rPr>
        <w:t> </w:t>
      </w:r>
      <w:r>
        <w:rPr>
          <w:spacing w:val="-40"/>
        </w:rPr>
      </w:r>
      <w:r>
        <w:rPr/>
        <w:t>余值增加所致。</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33,319,047.60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33,815,038.70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67,134,086.30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7"/>
        <w:ind w:right="1124"/>
        <w:jc w:val="left"/>
      </w:pPr>
      <w:r>
        <w:rPr>
          <w:spacing w:val="-2"/>
        </w:rPr>
        <w:t>公司期末其他非流动资产余额较上年增加</w:t>
      </w:r>
      <w:r>
        <w:rPr>
          <w:rFonts w:ascii="Times New Roman" w:hAnsi="Times New Roman" w:cs="Times New Roman" w:eastAsia="Times New Roman" w:hint="default"/>
          <w:spacing w:val="-2"/>
        </w:rPr>
        <w:t>109,338,650.05</w:t>
      </w:r>
      <w:r>
        <w:rPr>
          <w:spacing w:val="-2"/>
        </w:rPr>
        <w:t>元，增加</w:t>
      </w:r>
      <w:r>
        <w:rPr>
          <w:rFonts w:ascii="Times New Roman" w:hAnsi="Times New Roman" w:cs="Times New Roman" w:eastAsia="Times New Roman" w:hint="default"/>
          <w:spacing w:val="-2"/>
        </w:rPr>
        <w:t>162.87%</w:t>
      </w:r>
      <w:r>
        <w:rPr>
          <w:spacing w:val="-2"/>
        </w:rPr>
        <w:t>，主要系本期预付光二工程项目</w:t>
      </w:r>
      <w:r>
        <w:rPr/>
        <w:t> </w:t>
      </w:r>
      <w:r>
        <w:rPr/>
        <w:t>资金。</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422,264,680.00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63,316,743.71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85,232,460.25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606,778,683.71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507,497,140.25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422,264,680.00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543,461,940.00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422,264,680.00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52,198,603.66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76,161,249.57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7,873,210.83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6,217,584.10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1,743,652.53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2,294,660.69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1,501,276.69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558,965.89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63,316,743.71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85,232,460.25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33,810,719.80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20,587,509.90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1,866,755.18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4,999,645.13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3,262,887.79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1,322,980.98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2,958,774.63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1,058,212.31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41,899,137.40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27,968,348.32</w:t>
            </w:r>
          </w:p>
        </w:tc>
      </w:tr>
    </w:tbl>
    <w:p>
      <w:pPr>
        <w:spacing w:line="240" w:lineRule="auto" w:before="8"/>
        <w:rPr>
          <w:rFonts w:ascii="宋体" w:hAnsi="宋体" w:cs="宋体" w:eastAsia="宋体" w:hint="default"/>
          <w:sz w:val="14"/>
          <w:szCs w:val="1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2"/>
        <w:rPr>
          <w:rFonts w:ascii="宋体" w:hAnsi="宋体" w:cs="宋体" w:eastAsia="宋体" w:hint="default"/>
          <w:b/>
          <w:bCs/>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24"/>
        <w:jc w:val="left"/>
      </w:pPr>
      <w:r>
        <w:rPr>
          <w:spacing w:val="-2"/>
        </w:rPr>
        <w:t>预收款项期末数比期初数增加</w:t>
      </w:r>
      <w:r>
        <w:rPr>
          <w:rFonts w:ascii="Times New Roman" w:hAnsi="Times New Roman" w:cs="Times New Roman" w:eastAsia="Times New Roman" w:hint="default"/>
          <w:spacing w:val="-2"/>
        </w:rPr>
        <w:t>13,930,789.08</w:t>
      </w:r>
      <w:r>
        <w:rPr>
          <w:spacing w:val="-2"/>
        </w:rPr>
        <w:t>元，增加比例为</w:t>
      </w:r>
      <w:r>
        <w:rPr>
          <w:rFonts w:ascii="Times New Roman" w:hAnsi="Times New Roman" w:cs="Times New Roman" w:eastAsia="Times New Roman" w:hint="default"/>
          <w:spacing w:val="-2"/>
        </w:rPr>
        <w:t>49.81%</w:t>
      </w:r>
      <w:r>
        <w:rPr>
          <w:spacing w:val="-2"/>
        </w:rPr>
        <w:t>，增加原因系本期公司销售订单增加所</w:t>
      </w:r>
      <w:r>
        <w:rPr/>
        <w:t> </w:t>
      </w:r>
      <w:r>
        <w:rPr/>
        <w:t>致。</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12,877,637.86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112,415,630.35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103,316,126.23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8,147,067.53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8,147,067.53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12,877,637.86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120,562,697.88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111,463,193.76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12,634,889.16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103,313,378.46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94,112,329.24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21,835,938.38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3,963,464.62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3,978,464.62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165,853.72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3,619,141.41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3,545,036.51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-22,318.69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3,012,445.51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3,012,445.51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216,819.09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216,819.09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389,876.81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315,771.91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-22,318.69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158,318.57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1,105,560.00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1,266,210.00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-2,331.43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414,085.86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414,085.86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12,877,637.86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112,415,630.35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103,316,126.23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7,938,168.36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7,938,168.36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208,899.17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208,899.17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8,147,067.53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8,147,067.53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0"/>
        <w:jc w:val="left"/>
      </w:pPr>
      <w:r>
        <w:rPr>
          <w:spacing w:val="-3"/>
        </w:rPr>
        <w:t>应付职工薪酬期末数比期初数增加</w:t>
      </w:r>
      <w:r>
        <w:rPr>
          <w:rFonts w:ascii="Times New Roman" w:hAnsi="Times New Roman" w:cs="Times New Roman" w:eastAsia="Times New Roman" w:hint="default"/>
          <w:spacing w:val="-3"/>
        </w:rPr>
        <w:t>9,099,504.12</w:t>
      </w:r>
      <w:r>
        <w:rPr>
          <w:spacing w:val="-3"/>
        </w:rPr>
        <w:t>元，增加比例为</w:t>
      </w:r>
      <w:r>
        <w:rPr>
          <w:rFonts w:ascii="Times New Roman" w:hAnsi="Times New Roman" w:cs="Times New Roman" w:eastAsia="Times New Roman" w:hint="default"/>
          <w:spacing w:val="-3"/>
        </w:rPr>
        <w:t>70.66%</w:t>
      </w:r>
      <w:r>
        <w:rPr>
          <w:spacing w:val="-3"/>
        </w:rPr>
        <w:t>，增加原因系本期公司业绩良好，期</w:t>
      </w:r>
      <w:r>
        <w:rPr>
          <w:spacing w:val="-39"/>
        </w:rPr>
        <w:t> </w:t>
      </w:r>
      <w:r>
        <w:rPr>
          <w:spacing w:val="-39"/>
        </w:rPr>
      </w:r>
      <w:r>
        <w:rPr/>
        <w:t>末计提当期尚未发放的奖金增加所致。</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256,030.69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10,483,830.86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7,161,248.14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183,496.82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328,931.51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922,159.48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899,814.73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1,356,672.27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1,356,434.75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-31,935.88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13,324,241.78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9,897,990.07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0"/>
        <w:jc w:val="left"/>
      </w:pPr>
      <w:r>
        <w:rPr>
          <w:spacing w:val="-3"/>
        </w:rPr>
        <w:t>应交税费期末数比期初数增加</w:t>
      </w:r>
      <w:r>
        <w:rPr>
          <w:rFonts w:ascii="Times New Roman" w:hAnsi="Times New Roman" w:cs="Times New Roman" w:eastAsia="Times New Roman" w:hint="default"/>
          <w:spacing w:val="-3"/>
        </w:rPr>
        <w:t>3,426,251.71</w:t>
      </w:r>
      <w:r>
        <w:rPr>
          <w:spacing w:val="-3"/>
        </w:rPr>
        <w:t>元，增加比例为</w:t>
      </w:r>
      <w:r>
        <w:rPr>
          <w:rFonts w:ascii="Times New Roman" w:hAnsi="Times New Roman" w:cs="Times New Roman" w:eastAsia="Times New Roman" w:hint="default"/>
          <w:spacing w:val="-3"/>
        </w:rPr>
        <w:t>34.62%</w:t>
      </w:r>
      <w:r>
        <w:rPr>
          <w:spacing w:val="-3"/>
        </w:rPr>
        <w:t>，增加原因系本期公司利润总额增加，计</w:t>
      </w:r>
      <w:r>
        <w:rPr>
          <w:spacing w:val="-39"/>
        </w:rPr>
        <w:t> </w:t>
      </w:r>
      <w:r>
        <w:rPr>
          <w:spacing w:val="-39"/>
        </w:rPr>
      </w:r>
      <w:r>
        <w:rPr/>
        <w:t>提应缴纳的所得税费用增加。</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7"/>
        <w:rPr>
          <w:rFonts w:ascii="宋体" w:hAnsi="宋体" w:cs="宋体" w:eastAsia="宋体" w:hint="default"/>
          <w:b/>
          <w:bCs/>
          <w:sz w:val="21"/>
          <w:szCs w:val="21"/>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5,737,205.51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5,737,205.53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112,846,156.46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296,449,486.90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118,583,361.97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302,186,692.43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5,737,205.51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5,737,205.53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106,654,574.42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290,238,719.25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1,097,540.82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2,410,083.38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5,094,041.22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3,800,684.27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112,846,156.46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296,449,486.90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年的重要其他应付款</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15,546,000.00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15,546,000.00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1124"/>
        <w:jc w:val="left"/>
      </w:pPr>
      <w:r>
        <w:rPr>
          <w:spacing w:val="-3"/>
        </w:rPr>
        <w:t>其他应付款期末数较期初数减少</w:t>
      </w:r>
      <w:r>
        <w:rPr>
          <w:rFonts w:ascii="Times New Roman" w:hAnsi="Times New Roman" w:cs="Times New Roman" w:eastAsia="Times New Roman" w:hint="default"/>
          <w:spacing w:val="-3"/>
        </w:rPr>
        <w:t>183,603,330.44</w:t>
      </w:r>
      <w:r>
        <w:rPr>
          <w:spacing w:val="-3"/>
        </w:rPr>
        <w:t>元，减少比例为</w:t>
      </w:r>
      <w:r>
        <w:rPr>
          <w:rFonts w:ascii="Times New Roman" w:hAnsi="Times New Roman" w:cs="Times New Roman" w:eastAsia="Times New Roman" w:hint="default"/>
          <w:spacing w:val="-3"/>
        </w:rPr>
        <w:t>61.93%</w:t>
      </w:r>
      <w:r>
        <w:rPr>
          <w:spacing w:val="-3"/>
        </w:rPr>
        <w:t>，主要系本期集中支付光二项目资金</w:t>
      </w:r>
      <w:r>
        <w:rPr>
          <w:spacing w:val="-33"/>
        </w:rPr>
        <w:t> </w:t>
      </w:r>
      <w:r>
        <w:rPr>
          <w:spacing w:val="-33"/>
        </w:rPr>
      </w:r>
      <w:r>
        <w:rPr/>
        <w:t>所致。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-2,319,152.35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797,680,847.65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948" w:hRule="exact"/>
        </w:trPr>
        <w:tc>
          <w:tcPr>
            <w:tcW w:w="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彩塑</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797,680,8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47.65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602,119.5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798,282,9</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67.15</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797,680,8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47.65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602,119.5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798,282,9</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67.15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254"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after="0" w:line="360" w:lineRule="auto"/>
        <w:jc w:val="left"/>
        <w:rPr>
          <w:rFonts w:ascii="宋体" w:hAnsi="宋体" w:cs="宋体" w:eastAsia="宋体" w:hint="default"/>
          <w:sz w:val="18"/>
          <w:szCs w:val="18"/>
        </w:rPr>
        <w:sectPr>
          <w:footerReference w:type="default" r:id="rId17"/>
          <w:pgSz w:w="11910" w:h="16840"/>
          <w:pgMar w:footer="980" w:header="745" w:top="1060" w:bottom="1160" w:left="980" w:right="0"/>
          <w:pgNumType w:start="12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0"/>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704,583.33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704,583.33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1,156,278,085.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5,167,094,758.13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5,167,094,758.13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18,450,677.58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18,450,677.58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5,185,545,435.71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127,694,935.98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31,930,090.79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159,625,026.77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7,715,823.92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7,715,823.92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135,410,759.90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31,930,090.79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167,340,850.69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914,192,559.67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864,549,732.84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914,192,559.67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864,549,732.84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321,348,433.81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31,930,090.79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7,219,433.80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11,562,780.85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17,788,893.62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1,192,048,121.84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914,192,559.67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3,820,250,943.79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3,185,784,644.60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2,998,499,647.75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2,659,409,214.28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37,314,400.22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5,276,289.55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24,455,529.35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711,807.51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3,857,565,344.01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3,191,060,934.15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3,022,955,177.10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2,660,121,021.79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39" w:space="0" w:color="D2D2D2"/>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163,023.73</w:t>
            </w:r>
          </w:p>
        </w:tc>
        <w:tc>
          <w:tcPr>
            <w:tcW w:w="3190" w:type="dxa"/>
            <w:tcBorders>
              <w:top w:val="single" w:sz="39" w:space="0" w:color="D2D2D2"/>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122,838.71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163,023.75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102,544.35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5,151,825.17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5,423,888.97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3,681,205.54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3,643,709.80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2,092.80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1,370,806.04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883,990.00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7,797.60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330,680.95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10,910,016.83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10,507,652.78</w:t>
            </w:r>
          </w:p>
        </w:tc>
      </w:tr>
    </w:tbl>
    <w:p>
      <w:pPr>
        <w:spacing w:line="240" w:lineRule="auto" w:before="7"/>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56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89,674,444.04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73,723,278.33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7,699,603.95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5,079,547.68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6,193,027.89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3,588,508.30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3,524,943.45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4,438,110.66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1,038,448.97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1,012,867.61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1,011,857.90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747,959.28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954,828.48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475,238.53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468,100.74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179,658.84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宣传展销费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449,802.99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1,981,447.51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334,450.90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324,768.61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220,896.12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126,126.32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111,570,405.43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91,677,511.67</w:t>
            </w:r>
          </w:p>
        </w:tc>
      </w:tr>
    </w:tbl>
    <w:p>
      <w:pPr>
        <w:spacing w:line="240" w:lineRule="auto" w:before="7"/>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管理工资、奖金、福利及社保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28,239,546.61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16,039,446.44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9,047,682.84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8,828,542.81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2,966,004.44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3,007,464.90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3,861,804.46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5,037,194.27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3,293,637.58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704,589.50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绿化环保费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3,043,109.26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605,143.11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2,989,012.92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2,287,611.84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2,767,035.28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2,219,628.46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1,669,374.20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555,902.57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1,256,863.35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738,828.94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931,770.00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职工教育经费等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414,085.86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389,875.76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1,010,960.82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244,890.22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156,744.57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426,753.12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61,362,885.30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42,940,457.11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直接消耗的材料、燃料和动力费用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47,937,383.47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40,246,958.38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42,970,743.82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40,199,334.27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与研发活动直接相关的其它费用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14,131,658.28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3,626,777.32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12,893,476.04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11,948,507.47</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中间试验和产品试制的模具、工艺装备 开发及制造费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3,337,917.62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423,528.11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专利及非专利技术相关费用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205,454.81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147,455.00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11,579.00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121,508,267.11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96,604,139.55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33,322,119.48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33,318,274.82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21,373,150.66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29,756,277.23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11,945,124.16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-3,590,074.84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14,385,398.52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1,148,457.75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27,506,804.19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27,478,980.43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35,418,321.21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19,047,985.29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35,418,321.21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83,947,029.68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8,018,400.00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56,465,861.72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29,333,698.63</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57,131,260.52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29,999,097.43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0"/>
        <w:jc w:val="left"/>
      </w:pPr>
      <w:r>
        <w:rPr>
          <w:spacing w:val="-2"/>
        </w:rPr>
        <w:t>投资收益本期发生额较去年增加</w:t>
      </w:r>
      <w:r>
        <w:rPr>
          <w:rFonts w:ascii="Times New Roman" w:hAnsi="Times New Roman" w:cs="Times New Roman" w:eastAsia="Times New Roman" w:hint="default"/>
          <w:spacing w:val="-2"/>
        </w:rPr>
        <w:t>27,132,163.09</w:t>
      </w:r>
      <w:r>
        <w:rPr>
          <w:spacing w:val="-2"/>
        </w:rPr>
        <w:t>元，增加比例</w:t>
      </w:r>
      <w:r>
        <w:rPr>
          <w:rFonts w:ascii="Times New Roman" w:hAnsi="Times New Roman" w:cs="Times New Roman" w:eastAsia="Times New Roman" w:hint="default"/>
          <w:spacing w:val="-2"/>
        </w:rPr>
        <w:t>90.44%</w:t>
      </w:r>
      <w:r>
        <w:rPr>
          <w:spacing w:val="-2"/>
        </w:rPr>
        <w:t>，主要系本期理财产品投资发生额较去</w:t>
      </w:r>
      <w:r>
        <w:rPr>
          <w:spacing w:val="2"/>
        </w:rPr>
        <w:t> </w:t>
      </w:r>
      <w:r>
        <w:rPr>
          <w:spacing w:val="2"/>
        </w:rPr>
      </w:r>
      <w:r>
        <w:rPr/>
        <w:t>年同期增加，导致本期收到理财产品利息较去年增加。</w:t>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-47,684.44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1,977,600.00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961,375.31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28,246,222.67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961,375.31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2,938,975.31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48,396,222.67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289,391.31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632,948.68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289,391.31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632,948.68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49,847,168.69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23,617,514.61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-5,162,748.19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-2,857,197.79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44,684,420.50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20,760,316.82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366,032,854.31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54,904,928.15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-1,442,724.49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338,547.69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-9,116,330.85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44,684,420.50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3,565,842.25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21,841,104.90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28,073,400.00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961,375.31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246,222.67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18,637,301.54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5,505,336.03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33,166,419.10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55,666,063.60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152,328,185.84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148,000,120.44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22,844,195.42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3,007,377.81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287,391.31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576,386.18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175,461,772.57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151,583,884.43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46,450,677.58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650,002,439.00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4,250,002,439.00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2,076,450,677.58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309,994,629.50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340,007,809.50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3,709,994,629.50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3,570,007,809.50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r>
        <w:rPr/>
        <w:pict>
          <v:group style="position:absolute;margin-left:223.369995pt;margin-top:403.189972pt;width:151.25pt;height:20.8pt;mso-position-horizontal-relative:page;mso-position-vertical-relative:page;z-index:-781816" coordorigin="4467,8064" coordsize="3025,416">
            <v:group style="position:absolute;left:4478;top:8075;width:2;height:394" coordorigin="4478,8075" coordsize="2,394">
              <v:shape style="position:absolute;left:4478;top:8075;width:2;height:394" coordorigin="4478,8075" coordsize="0,394" path="m4478,8075l4478,8468e" filled="false" stroked="true" strokeweight="1.08pt" strokecolor="#ffffff">
                <v:path arrowok="t"/>
              </v:shape>
            </v:group>
            <v:group style="position:absolute;left:4489;top:8075;width:3003;height:394" coordorigin="4489,8075" coordsize="3003,394">
              <v:shape style="position:absolute;left:4489;top:8075;width:3003;height:394" coordorigin="4489,8075" coordsize="3003,394" path="m4489,8468l7492,8468,7492,8075,4489,8075,4489,8468xe" filled="true" fillcolor="#ffffff" stroked="false">
                <v:path arrowok="t"/>
                <v:fill type="solid"/>
              </v:shape>
            </v:group>
            <w10:wrap type="none"/>
          </v:group>
        </w:pict>
      </w:r>
    </w:p>
    <w:p>
      <w:pPr>
        <w:pStyle w:val="Heading4"/>
        <w:spacing w:line="240" w:lineRule="auto" w:before="36"/>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321,348,433.81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74,651,154.25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35,418,321.21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83,947,029.68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357,085,174.34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339,819,803.50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2,989,012.92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2,287,611.84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1,505,687.71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1,404,212.57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47,684.44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56,562.50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29,732,044.64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47,703,673.34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-57,131,260.52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-29,999,097.43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-5,162,748.19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-2,857,197.79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-357,617,579.73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-241,364,896.89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-278,603,158.25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-447,775,326.97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123,900,199.07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213,096,199.31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173,464,127.01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13,017,412.35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524,733,845.79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385,383,615.90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385,383,615.90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1,133,611,239.39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139,350,229.89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-748,227,623.49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979;top:14;width:2;height:394" coordorigin="4979,14" coordsize="2,394">
              <v:shape style="position:absolute;left:4979;top:14;width:2;height:394" coordorigin="4979,14" coordsize="0,394" path="m4979,14l4979,408e" filled="false" stroked="true" strokeweight="1.2pt" strokecolor="#d2d2d2">
                <v:path arrowok="t"/>
              </v:shape>
            </v:group>
            <v:group style="position:absolute;left:34;top:14;width:4933;height:394" coordorigin="34,14" coordsize="4933,394">
              <v:shape style="position:absolute;left:34;top:14;width:4933;height:394" coordorigin="34,14" coordsize="4933,394" path="m34,408l4967,408,4967,14,34,14,34,408xe" filled="true" fillcolor="#d2d2d2" stroked="false">
                <v:path arrowok="t"/>
                <v:fill type="solid"/>
              </v:shape>
            </v:group>
            <v:group style="position:absolute;left:5011;top:14;width:2;height:394" coordorigin="5011,14" coordsize="2,394">
              <v:shape style="position:absolute;left:5011;top:14;width:2;height:394" coordorigin="5011,14" coordsize="0,394" path="m5011,14l5011,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5022;top:14;width:4525;height:394" coordorigin="5022,14" coordsize="4525,394">
              <v:shape style="position:absolute;left:5022;top:14;width:4525;height:394" coordorigin="5022,14" coordsize="4525,394" path="m5022,408l9547,408,9547,14,5022,14,5022,408xe" filled="true" fillcolor="#d2d2d2" stroked="false">
                <v:path arrowok="t"/>
                <v:fill type="solid"/>
              </v:shape>
            </v:group>
            <v:group style="position:absolute;left:10;top:10;width:4979;height:2" coordorigin="10,10" coordsize="4979,2">
              <v:shape style="position:absolute;left:10;top:10;width:4979;height:2" coordorigin="10,10" coordsize="4979,0" path="m10,10l4988,10e" filled="false" stroked="true" strokeweight=".47998pt" strokecolor="#000000">
                <v:path arrowok="t"/>
              </v:shape>
            </v:group>
            <v:group style="position:absolute;left:4998;top:10;width:4573;height:2" coordorigin="4998,10" coordsize="4573,2">
              <v:shape style="position:absolute;left:4998;top:10;width:4573;height:2" coordorigin="4998,10" coordsize="4573,0" path="m4998,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9;height:2" coordorigin="10,413" coordsize="4979,2">
              <v:shape style="position:absolute;left:10;top:413;width:4979;height:2" coordorigin="10,413" coordsize="4979,0" path="m10,413l4988,413e" filled="false" stroked="true" strokeweight=".48004pt" strokecolor="#000000">
                <v:path arrowok="t"/>
              </v:shape>
            </v:group>
            <v:group style="position:absolute;left:4993;top:5;width:2;height:413" coordorigin="4993,5" coordsize="2,413">
              <v:shape style="position:absolute;left:4993;top:5;width:2;height:413" coordorigin="4993,5" coordsize="0,413" path="m4993,5l4993,418e" filled="false" stroked="true" strokeweight=".47998pt" strokecolor="#000000">
                <v:path arrowok="t"/>
              </v:shape>
            </v:group>
            <v:group style="position:absolute;left:4998;top:413;width:4573;height:2" coordorigin="4998,413" coordsize="4573,2">
              <v:shape style="position:absolute;left:4998;top:413;width:4573;height:2" coordorigin="4998,413" coordsize="4573,0" path="m4998,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7103;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524,733,845.79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385,383,615.90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128,744.76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87,662.66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524,605,101.03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285,063,633.42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524,733,845.79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385,383,615.90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96,530,392.77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440,240,129.32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96,530,392.77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96,530,392.77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19,827,527.46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136,077,192.65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4,127,217.32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32,387,512.47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7,098,239.86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48,675,336.00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1,043,892.82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8,191,740.13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3,031,994.10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20,771,536.21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127,299.11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4,479,873.89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35,154,914.38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470,288.23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3,201,764.17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1,567,632.15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10,547,286.93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870,335.82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5,973,288.80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22,757.17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年市级引导资金（金融专</w:t>
            </w:r>
            <w:r>
              <w:rPr>
                <w:rFonts w:ascii="宋体" w:hAnsi="宋体" w:cs="宋体" w:eastAsia="宋体" w:hint="default"/>
                <w:sz w:val="18"/>
                <w:szCs w:val="18"/>
              </w:rPr>
              <w:t> 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1,967,600.00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定山镇人民政府关于表彰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年度经济社会发展考评 先进单位、先进个人的决定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1,977,600.00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1,977,600.00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91"/>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1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before="45"/>
        <w:ind w:left="152" w:right="0"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e0ffff">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e0ffff">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3;width:3202;height:401"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80;height:401"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2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太阳膜生产销售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1.15pt;mso-position-horizontal-relative:char;mso-position-vertical-relative:line" coordorigin="0,0" coordsize="9586,423">
            <v:group style="position:absolute;left:23;top:15;width:2;height:392" coordorigin="23,15" coordsize="2,392">
              <v:shape style="position:absolute;left:23;top:15;width:2;height:392" coordorigin="23,15" coordsize="0,392" path="m23,15l23,406e" filled="false" stroked="true" strokeweight="1.08pt" strokecolor="#d2d2d2">
                <v:path arrowok="t"/>
              </v:shape>
            </v:group>
            <v:group style="position:absolute;left:4775;top:15;width:2;height:392" coordorigin="4775,15" coordsize="2,392">
              <v:shape style="position:absolute;left:4775;top:15;width:2;height:392" coordorigin="4775,15" coordsize="0,392" path="m4775,15l4775,406e" filled="false" stroked="true" strokeweight="1.2pt" strokecolor="#d2d2d2">
                <v:path arrowok="t"/>
              </v:shape>
            </v:group>
            <v:group style="position:absolute;left:34;top:15;width:4729;height:392" coordorigin="34,15" coordsize="4729,392">
              <v:shape style="position:absolute;left:34;top:15;width:4729;height:392" coordorigin="34,15" coordsize="4729,392" path="m34,406l4763,406,4763,15,34,15,34,406xe" filled="true" fillcolor="#d2d2d2" stroked="false">
                <v:path arrowok="t"/>
                <v:fill type="solid"/>
              </v:shape>
            </v:group>
            <v:group style="position:absolute;left:4807;top:15;width:2;height:392" coordorigin="4807,15" coordsize="2,392">
              <v:shape style="position:absolute;left:4807;top:15;width:2;height:392" coordorigin="4807,15" coordsize="0,392" path="m4807,15l4807,406e" filled="false" stroked="true" strokeweight="1.08pt" strokecolor="#e0ffff">
                <v:path arrowok="t"/>
              </v:shape>
            </v:group>
            <v:group style="position:absolute;left:9559;top:15;width:2;height:392" coordorigin="9559,15" coordsize="2,392">
              <v:shape style="position:absolute;left:9559;top:15;width:2;height:392" coordorigin="9559,15" coordsize="0,392" path="m9559,15l9559,406e" filled="false" stroked="true" strokeweight="1.2pt" strokecolor="#e0ffff">
                <v:path arrowok="t"/>
              </v:shape>
            </v:group>
            <v:group style="position:absolute;left:4818;top:15;width:4729;height:392" coordorigin="4818,15" coordsize="4729,392">
              <v:shape style="position:absolute;left:4818;top:15;width:4729;height:392" coordorigin="4818,15" coordsize="4729,392" path="m4818,406l9547,406,9547,15,4818,15,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9571;top:10;width:10;height:2" coordorigin="9571,10" coordsize="10,2">
              <v:shape style="position:absolute;left:9571;top:10;width:10;height:2" coordorigin="9571,10" coordsize="10,0" path="m9571,10l9580,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15;width:2;height:404" coordorigin="9576,15" coordsize="2,404">
              <v:shape style="position:absolute;left:9576;top:15;width:2;height:404" coordorigin="9576,15" coordsize="0,404" path="m9576,1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2"/>
        <w:gridCol w:w="2392"/>
        <w:gridCol w:w="2382"/>
      </w:tblGrid>
      <w:tr>
        <w:trPr>
          <w:trHeight w:val="38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0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68" w:lineRule="auto" w:before="0"/>
        <w:ind w:right="0" w:firstLine="425"/>
        <w:jc w:val="left"/>
      </w:pPr>
      <w:r>
        <w:rPr>
          <w:spacing w:val="-2"/>
        </w:rPr>
        <w:t>本公司的金融资产包括应收票据、应收账款、可供出售金融资产和其他应收款，本公司的金融负债包</w:t>
      </w:r>
      <w:r>
        <w:rPr>
          <w:w w:val="100"/>
        </w:rPr>
        <w:t> </w:t>
      </w:r>
      <w:r>
        <w:rPr/>
        <w:t>括短期借款、应付票据、应付账款和其他应付款，各项金融工具的详细情况说明见本附注</w:t>
      </w:r>
      <w:r>
        <w:rPr>
          <w:rFonts w:ascii="Times New Roman" w:hAnsi="Times New Roman" w:cs="Times New Roman" w:eastAsia="Times New Roman" w:hint="default"/>
        </w:rPr>
        <w:t>5</w:t>
      </w:r>
      <w:r>
        <w:rPr/>
        <w:t>相关项目。本</w:t>
      </w:r>
      <w:r>
        <w:rPr>
          <w:w w:val="100"/>
        </w:rPr>
        <w:t> </w:t>
      </w:r>
      <w:r>
        <w:rPr>
          <w:spacing w:val="-2"/>
        </w:rPr>
        <w:t>公司在日常活动中面临各种金融工具的风险，主要包括信用风险、流动性风险、市场风险，董事会全权负</w:t>
      </w:r>
      <w:r>
        <w:rPr>
          <w:spacing w:val="-47"/>
        </w:rPr>
        <w:t> </w:t>
      </w:r>
      <w:r>
        <w:rPr>
          <w:spacing w:val="-47"/>
        </w:rPr>
      </w:r>
      <w:r>
        <w:rPr/>
        <w:t>责建立并监督本公司的风险管理架构，以及制定和监察本公司的风险管理政策。</w:t>
      </w:r>
    </w:p>
    <w:p>
      <w:pPr>
        <w:pStyle w:val="BodyText"/>
        <w:spacing w:line="290" w:lineRule="auto" w:before="12"/>
        <w:ind w:left="453" w:right="1124" w:hanging="301"/>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spacing w:val="-104"/>
        </w:rPr>
        <w:t> </w:t>
      </w:r>
      <w:r>
        <w:rPr/>
        <w:t>信用风险，是指金融工具的一方不履行义务，造成另一方发生财务损失的风险。如果金融工具涉及的</w:t>
      </w:r>
    </w:p>
    <w:p>
      <w:pPr>
        <w:pStyle w:val="BodyText"/>
        <w:spacing w:line="290" w:lineRule="auto" w:before="0"/>
        <w:ind w:right="1124"/>
        <w:jc w:val="left"/>
        <w:rPr>
          <w:rFonts w:ascii="宋体" w:hAnsi="宋体" w:cs="宋体" w:eastAsia="宋体" w:hint="default"/>
        </w:rPr>
      </w:pPr>
      <w:r>
        <w:rPr>
          <w:spacing w:val="-2"/>
        </w:rPr>
        <w:t>顾客或对方无法履行合同项下的义务对本公司造成的财务损失，即为信用风险。信用风险主要来自应收客</w:t>
      </w:r>
      <w:r>
        <w:rPr>
          <w:spacing w:val="-44"/>
        </w:rPr>
        <w:t> </w:t>
      </w:r>
      <w:r>
        <w:rPr>
          <w:spacing w:val="-44"/>
        </w:rPr>
      </w:r>
      <w:r>
        <w:rPr/>
        <w:t>户款项。应收账款和应收票据及其他应收款的账面值为本公司对于金融资产的最大信用风险。</w:t>
      </w:r>
      <w:r>
        <w:rPr>
          <w:w w:val="100"/>
        </w:rPr>
        <w:t> </w:t>
      </w: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rPr>
      </w:r>
    </w:p>
    <w:p>
      <w:pPr>
        <w:pStyle w:val="BodyText"/>
        <w:spacing w:line="273" w:lineRule="auto" w:before="13"/>
        <w:ind w:right="1126" w:firstLine="300"/>
        <w:jc w:val="both"/>
      </w:pPr>
      <w:r>
        <w:rPr/>
        <w:t>流动性风险为本公司在履行与金融负债有关的义务时遇到资金短缺的风险。本公司在资金正常和紧张</w:t>
      </w:r>
      <w:r>
        <w:rPr>
          <w:w w:val="100"/>
        </w:rPr>
        <w:t> </w:t>
      </w:r>
      <w:r>
        <w:rPr>
          <w:spacing w:val="-2"/>
        </w:rPr>
        <w:t>的情况下，确保有足够的流动性来履行到期债务，且与金融机构进行融资磋商，保持一定水平的备用授信</w:t>
      </w:r>
      <w:r>
        <w:rPr>
          <w:spacing w:val="-43"/>
        </w:rPr>
        <w:t> </w:t>
      </w:r>
      <w:r>
        <w:rPr>
          <w:spacing w:val="-43"/>
        </w:rPr>
      </w:r>
      <w:r>
        <w:rPr/>
        <w:t>额度以降低流动性风险。</w:t>
      </w:r>
    </w:p>
    <w:p>
      <w:pPr>
        <w:pStyle w:val="BodyText"/>
        <w:spacing w:line="292" w:lineRule="auto" w:before="48"/>
        <w:ind w:left="453" w:right="1124" w:hanging="301"/>
        <w:jc w:val="left"/>
      </w:pPr>
      <w:r>
        <w:rPr>
          <w:rFonts w:ascii="Times New Roman" w:hAnsi="Times New Roman" w:cs="Times New Roman" w:eastAsia="Times New Roman" w:hint="default"/>
          <w:b/>
          <w:bCs/>
        </w:rPr>
        <w:t>3</w:t>
      </w:r>
      <w:r>
        <w:rPr>
          <w:rFonts w:ascii="宋体" w:hAnsi="宋体" w:cs="宋体" w:eastAsia="宋体" w:hint="default"/>
          <w:b/>
          <w:bCs/>
        </w:rPr>
        <w:t>、市场风险</w:t>
      </w:r>
      <w:r>
        <w:rPr>
          <w:rFonts w:ascii="宋体" w:hAnsi="宋体" w:cs="宋体" w:eastAsia="宋体" w:hint="default"/>
          <w:b/>
          <w:bCs/>
          <w:spacing w:val="-104"/>
        </w:rPr>
        <w:t> </w:t>
      </w:r>
      <w:r>
        <w:rPr/>
        <w:t>金融工具的市场风险，是指金融工具的公允价值或未来现金流量因市场价格变动而发生波动的风险，</w:t>
      </w:r>
    </w:p>
    <w:p>
      <w:pPr>
        <w:pStyle w:val="BodyText"/>
        <w:spacing w:line="263" w:lineRule="exact" w:before="0"/>
        <w:ind w:right="0"/>
        <w:jc w:val="left"/>
      </w:pPr>
      <w:r>
        <w:rPr/>
        <w:t>包括汇率风险、利率风险和其他价格风险。</w:t>
      </w:r>
    </w:p>
    <w:p>
      <w:pPr>
        <w:pStyle w:val="BodyText"/>
        <w:spacing w:line="240" w:lineRule="auto" w:before="78"/>
        <w:ind w:right="0"/>
        <w:jc w:val="left"/>
      </w:pPr>
      <w:r>
        <w:rPr/>
        <w:t>（</w:t>
      </w:r>
      <w:r>
        <w:rPr>
          <w:rFonts w:ascii="Times New Roman" w:hAnsi="Times New Roman" w:cs="Times New Roman" w:eastAsia="Times New Roman" w:hint="default"/>
        </w:rPr>
        <w:t>1</w:t>
      </w:r>
      <w:r>
        <w:rPr/>
        <w:t>）汇率风险</w:t>
      </w:r>
    </w:p>
    <w:p>
      <w:pPr>
        <w:pStyle w:val="BodyText"/>
        <w:spacing w:line="273" w:lineRule="auto" w:before="62"/>
        <w:ind w:right="0" w:firstLine="425"/>
        <w:jc w:val="left"/>
      </w:pPr>
      <w:r>
        <w:rPr>
          <w:spacing w:val="-2"/>
        </w:rPr>
        <w:t>汇率风险，是指金融工具的公允价值或未来现金流量因外汇汇率变动而发生波动的风险。汇率风险可</w:t>
      </w:r>
      <w:r>
        <w:rPr>
          <w:w w:val="100"/>
        </w:rPr>
        <w:t> </w:t>
      </w:r>
      <w:r>
        <w:rPr/>
        <w:t>源于以记账本位币之外的外币进行计价的金融工具。</w:t>
      </w:r>
    </w:p>
    <w:p>
      <w:pPr>
        <w:pStyle w:val="BodyText"/>
        <w:spacing w:line="240" w:lineRule="auto" w:before="46"/>
        <w:ind w:left="578" w:right="0"/>
        <w:jc w:val="left"/>
      </w:pPr>
      <w:r>
        <w:rPr/>
        <w:t>公司外币以欧元、美元和日元为主，公司目前主要是通过合理安排结购汇周期、出口收汇直接支付购</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买原料、进口设备部分采用人民币结算以及远期锁汇来避免汇率变动所产生的风险。</w:t>
      </w:r>
    </w:p>
    <w:p>
      <w:pPr>
        <w:pStyle w:val="BodyText"/>
        <w:spacing w:line="240" w:lineRule="auto" w:before="78"/>
        <w:ind w:right="0"/>
        <w:jc w:val="left"/>
      </w:pPr>
      <w:r>
        <w:rPr/>
        <w:t>（</w:t>
      </w:r>
      <w:r>
        <w:rPr>
          <w:rFonts w:ascii="Times New Roman" w:hAnsi="Times New Roman" w:cs="Times New Roman" w:eastAsia="Times New Roman" w:hint="default"/>
        </w:rPr>
        <w:t>2</w:t>
      </w:r>
      <w:r>
        <w:rPr/>
        <w:t>）利率风险</w:t>
      </w:r>
    </w:p>
    <w:p>
      <w:pPr>
        <w:pStyle w:val="BodyText"/>
        <w:spacing w:line="264" w:lineRule="auto" w:before="59"/>
        <w:ind w:right="1126" w:firstLine="425"/>
        <w:jc w:val="both"/>
      </w:pPr>
      <w:r>
        <w:rPr>
          <w:spacing w:val="-2"/>
        </w:rPr>
        <w:t>利率风险，是指金融工具的公允价值或未来现金流量因市场利率变动而发生波动的风险。利率风险可</w:t>
      </w:r>
      <w:r>
        <w:rPr>
          <w:w w:val="100"/>
        </w:rPr>
        <w:t> </w:t>
      </w:r>
      <w:r>
        <w:rPr/>
        <w:t>源于已确认的计息金融工具和未确认的金融工具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。本公司对利率波动敏感性不强，不存</w:t>
      </w:r>
      <w:r>
        <w:rPr>
          <w:spacing w:val="-59"/>
        </w:rPr>
        <w:t> </w:t>
      </w:r>
      <w:r>
        <w:rPr>
          <w:spacing w:val="-59"/>
        </w:rPr>
      </w:r>
      <w:r>
        <w:rPr/>
        <w:t>在重大利率风险。</w:t>
      </w:r>
    </w:p>
    <w:p>
      <w:pPr>
        <w:pStyle w:val="BodyText"/>
        <w:spacing w:line="278" w:lineRule="auto" w:before="57"/>
        <w:ind w:right="0"/>
        <w:jc w:val="left"/>
      </w:pPr>
      <w:r>
        <w:rPr/>
        <w:t>（</w:t>
      </w:r>
      <w:r>
        <w:rPr>
          <w:rFonts w:ascii="Times New Roman" w:hAnsi="Times New Roman" w:cs="Times New Roman" w:eastAsia="Times New Roman" w:hint="default"/>
        </w:rPr>
        <w:t>3</w:t>
      </w:r>
      <w:r>
        <w:rPr/>
        <w:t>）其他价格风险</w:t>
      </w:r>
      <w:r>
        <w:rPr>
          <w:w w:val="100"/>
        </w:rPr>
        <w:t> </w:t>
      </w:r>
      <w:r>
        <w:rPr>
          <w:spacing w:val="-2"/>
        </w:rPr>
        <w:t>其他价格风险，是指汇率风险和利率风险以外的市场价格变动而发生波动的风险，无论这些变动是由于与</w:t>
      </w:r>
      <w:r>
        <w:rPr>
          <w:spacing w:val="-42"/>
        </w:rPr>
        <w:t> </w:t>
      </w:r>
      <w:r>
        <w:rPr>
          <w:spacing w:val="-42"/>
        </w:rPr>
      </w:r>
      <w:r>
        <w:rPr>
          <w:spacing w:val="-2"/>
        </w:rPr>
        <w:t>单项金融工具或其发行方有关的因素而引起的，还是由于与市场内交易的所有类似金融工具有关的因素而</w:t>
      </w:r>
      <w:r>
        <w:rPr>
          <w:spacing w:val="-43"/>
        </w:rPr>
        <w:t> </w:t>
      </w:r>
      <w:r>
        <w:rPr>
          <w:spacing w:val="-43"/>
        </w:rPr>
      </w:r>
      <w:r>
        <w:rPr/>
        <w:t>引起的。其他价格风险可源于商品价格或权益工具价格等的变化。</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9"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403,194,200.00</w:t>
            </w:r>
          </w:p>
        </w:tc>
      </w:tr>
      <w:tr>
        <w:trPr>
          <w:trHeight w:val="162"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4376"/>
        <w:gridCol w:w="4379"/>
      </w:tblGrid>
      <w:tr>
        <w:trPr>
          <w:trHeight w:val="353" w:hRule="exact"/>
        </w:trPr>
        <w:tc>
          <w:tcPr>
            <w:tcW w:w="437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437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32" w:hRule="exact"/>
        </w:trPr>
        <w:tc>
          <w:tcPr>
            <w:tcW w:w="4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吴培服</w:t>
            </w:r>
          </w:p>
        </w:tc>
        <w:tc>
          <w:tcPr>
            <w:tcW w:w="43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控股股东</w:t>
            </w:r>
          </w:p>
        </w:tc>
      </w:tr>
    </w:tbl>
    <w:p>
      <w:pPr>
        <w:pStyle w:val="BodyText"/>
        <w:spacing w:line="256" w:lineRule="auto" w:before="0"/>
        <w:ind w:right="1112"/>
        <w:jc w:val="both"/>
      </w:pPr>
      <w:r>
        <w:rPr>
          <w:spacing w:val="-2"/>
        </w:rPr>
        <w:t>截止于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日，本公司总股本为</w:t>
      </w:r>
      <w:r>
        <w:rPr>
          <w:rFonts w:ascii="Times New Roman" w:hAnsi="Times New Roman" w:cs="Times New Roman" w:eastAsia="Times New Roman" w:hint="default"/>
          <w:spacing w:val="-2"/>
        </w:rPr>
        <w:t>1,156,278,085</w:t>
      </w:r>
      <w:r>
        <w:rPr>
          <w:spacing w:val="-2"/>
        </w:rPr>
        <w:t>股，实际控制人吴培服直接持有本公司</w:t>
      </w:r>
      <w:r>
        <w:rPr>
          <w:rFonts w:ascii="Times New Roman" w:hAnsi="Times New Roman" w:cs="Times New Roman" w:eastAsia="Times New Roman" w:hint="default"/>
          <w:spacing w:val="-2"/>
        </w:rPr>
        <w:t>315,946,969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股，其中有限售条件的股份</w:t>
      </w:r>
      <w:r>
        <w:rPr>
          <w:rFonts w:ascii="Times New Roman" w:hAnsi="Times New Roman" w:cs="Times New Roman" w:eastAsia="Times New Roman" w:hint="default"/>
        </w:rPr>
        <w:t>236,960,227</w:t>
      </w:r>
      <w:r>
        <w:rPr/>
        <w:t>股，无限售条件的股份</w:t>
      </w:r>
      <w:r>
        <w:rPr>
          <w:rFonts w:ascii="Times New Roman" w:hAnsi="Times New Roman" w:cs="Times New Roman" w:eastAsia="Times New Roman" w:hint="default"/>
        </w:rPr>
        <w:t>78,986,742</w:t>
      </w:r>
      <w:r>
        <w:rPr/>
        <w:t>股，占总股本</w:t>
      </w:r>
      <w:r>
        <w:rPr>
          <w:rFonts w:ascii="Times New Roman" w:hAnsi="Times New Roman" w:cs="Times New Roman" w:eastAsia="Times New Roman" w:hint="default"/>
        </w:rPr>
        <w:t>27.32%</w:t>
      </w:r>
      <w:r>
        <w:rPr/>
        <w:t>。另外，实</w:t>
      </w:r>
      <w:r>
        <w:rPr>
          <w:w w:val="100"/>
        </w:rPr>
        <w:t> </w:t>
      </w:r>
      <w:r>
        <w:rPr/>
        <w:t>际控制人吴培服通过宿迁市迪智成投资咨询有限公司间接持有本公司</w:t>
      </w:r>
      <w:r>
        <w:rPr>
          <w:rFonts w:ascii="Times New Roman" w:hAnsi="Times New Roman" w:cs="Times New Roman" w:eastAsia="Times New Roman" w:hint="default"/>
        </w:rPr>
        <w:t>37,264,500</w:t>
      </w:r>
      <w:r>
        <w:rPr/>
        <w:t>股，通过宿迁市启恒投资</w:t>
      </w:r>
      <w:r>
        <w:rPr>
          <w:w w:val="100"/>
        </w:rPr>
        <w:t> </w:t>
      </w:r>
      <w:r>
        <w:rPr>
          <w:spacing w:val="-2"/>
        </w:rPr>
        <w:t>有限公司间接持有本公司</w:t>
      </w:r>
      <w:r>
        <w:rPr>
          <w:rFonts w:ascii="Times New Roman" w:hAnsi="Times New Roman" w:cs="Times New Roman" w:eastAsia="Times New Roman" w:hint="default"/>
          <w:spacing w:val="-2"/>
        </w:rPr>
        <w:t>39,013,650</w:t>
      </w:r>
      <w:r>
        <w:rPr>
          <w:spacing w:val="-2"/>
        </w:rPr>
        <w:t>股，直接和间接合计持有本公司</w:t>
      </w:r>
      <w:r>
        <w:rPr>
          <w:rFonts w:ascii="Times New Roman" w:hAnsi="Times New Roman" w:cs="Times New Roman" w:eastAsia="Times New Roman" w:hint="default"/>
          <w:spacing w:val="-2"/>
        </w:rPr>
        <w:t>392,225,119</w:t>
      </w:r>
      <w:r>
        <w:rPr>
          <w:spacing w:val="-2"/>
        </w:rPr>
        <w:t>股，占总股本的</w:t>
      </w:r>
      <w:r>
        <w:rPr>
          <w:rFonts w:ascii="Times New Roman" w:hAnsi="Times New Roman" w:cs="Times New Roman" w:eastAsia="Times New Roman" w:hint="default"/>
          <w:spacing w:val="-2"/>
        </w:rPr>
        <w:t>33.92%</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t>。</w:t>
      </w:r>
    </w:p>
    <w:p>
      <w:pPr>
        <w:spacing w:line="360" w:lineRule="auto" w:before="66"/>
        <w:ind w:left="152" w:right="8054" w:firstLine="0"/>
        <w:jc w:val="left"/>
        <w:rPr>
          <w:rFonts w:ascii="宋体" w:hAnsi="宋体" w:cs="宋体" w:eastAsia="宋体" w:hint="default"/>
          <w:sz w:val="18"/>
          <w:szCs w:val="18"/>
        </w:rPr>
      </w:pPr>
      <w:r>
        <w:rPr>
          <w:rFonts w:ascii="宋体" w:hAnsi="宋体" w:cs="宋体" w:eastAsia="宋体" w:hint="default"/>
          <w:sz w:val="18"/>
          <w:szCs w:val="18"/>
        </w:rPr>
        <w:t>本企业最终控制方是吴培服先生。 其他说明：</w:t>
      </w:r>
    </w:p>
    <w:p>
      <w:pPr>
        <w:pStyle w:val="BodyText"/>
        <w:spacing w:line="240" w:lineRule="auto" w:before="4"/>
        <w:ind w:left="513" w:right="0"/>
        <w:jc w:val="left"/>
      </w:pPr>
      <w:r>
        <w:rPr/>
        <w:t>截止于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日，吴培服先生累计质押本公司股票</w:t>
      </w:r>
      <w:r>
        <w:rPr>
          <w:rFonts w:ascii="Times New Roman" w:hAnsi="Times New Roman" w:cs="Times New Roman" w:eastAsia="Times New Roman" w:hint="default"/>
        </w:rPr>
        <w:t>17,650</w:t>
      </w:r>
      <w:r>
        <w:rPr/>
        <w:t>万股，占公司股份总数的</w:t>
      </w:r>
      <w:r>
        <w:rPr>
          <w:rFonts w:ascii="Times New Roman" w:hAnsi="Times New Roman" w:cs="Times New Roman" w:eastAsia="Times New Roman" w:hint="default"/>
        </w:rPr>
        <w:t>15.26%</w:t>
      </w:r>
      <w:r>
        <w:rPr/>
        <w:t>。</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宿迁市双星国际酒店有限公司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同受一方控制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潘建忠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宿迁市彩缘置业有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双星大厦及公寓</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185,546,000.00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宿迁市双星国际酒店有限公司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窗膜</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line="338" w:lineRule="auto" w:before="49"/>
        <w:ind w:left="152" w:right="8364"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宿迁市双星国际酒 店有限公司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2,550.00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95,788.33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83,853.48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4,192.67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68,041.60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3,402.08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池卫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26,998.24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1,349.91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1,157.77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52,881.90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2,239.42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宿迁市彩缘置业有限公司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185,546,000.00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潘建忠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4,383.00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95"/>
        <w:ind w:right="0" w:firstLine="420"/>
        <w:jc w:val="left"/>
      </w:pPr>
      <w:r>
        <w:rPr>
          <w:spacing w:val="-3"/>
        </w:rPr>
        <w:t>公司</w:t>
      </w:r>
      <w:r>
        <w:rPr>
          <w:rFonts w:ascii="Times New Roman" w:hAnsi="Times New Roman" w:cs="Times New Roman" w:eastAsia="Times New Roman" w:hint="default"/>
          <w:spacing w:val="-3"/>
        </w:rPr>
        <w:t>2015</w:t>
      </w:r>
      <w:r>
        <w:rPr>
          <w:spacing w:val="-3"/>
        </w:rPr>
        <w:t>年收购了江西科为薄膜新型材料有限公司（以下简称</w:t>
      </w:r>
      <w:r>
        <w:rPr>
          <w:rFonts w:ascii="Times New Roman" w:hAnsi="Times New Roman" w:cs="Times New Roman" w:eastAsia="Times New Roman" w:hint="default"/>
          <w:spacing w:val="-3"/>
        </w:rPr>
        <w:t>“</w:t>
      </w:r>
      <w:r>
        <w:rPr>
          <w:spacing w:val="-3"/>
        </w:rPr>
        <w:t>江西科为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股权，江西科为成为</w:t>
      </w:r>
      <w:r>
        <w:rPr>
          <w:w w:val="100"/>
        </w:rPr>
        <w:t> </w:t>
      </w:r>
      <w:r>
        <w:rPr>
          <w:spacing w:val="-3"/>
        </w:rPr>
        <w:t>公司全资子公司。根据业绩承诺，</w:t>
      </w:r>
      <w:r>
        <w:rPr>
          <w:rFonts w:ascii="Times New Roman" w:hAnsi="Times New Roman" w:cs="Times New Roman" w:eastAsia="Times New Roman" w:hint="default"/>
          <w:spacing w:val="-3"/>
        </w:rPr>
        <w:t>2017</w:t>
      </w:r>
      <w:r>
        <w:rPr>
          <w:spacing w:val="-3"/>
        </w:rPr>
        <w:t>年江西科为需完成净利润</w:t>
      </w:r>
      <w:r>
        <w:rPr>
          <w:rFonts w:ascii="Times New Roman" w:hAnsi="Times New Roman" w:cs="Times New Roman" w:eastAsia="Times New Roman" w:hint="default"/>
          <w:spacing w:val="-3"/>
        </w:rPr>
        <w:t>7,000</w:t>
      </w:r>
      <w:r>
        <w:rPr>
          <w:spacing w:val="-3"/>
        </w:rPr>
        <w:t>万元，</w:t>
      </w:r>
      <w:r>
        <w:rPr>
          <w:rFonts w:ascii="Times New Roman" w:hAnsi="Times New Roman" w:cs="Times New Roman" w:eastAsia="Times New Roman" w:hint="default"/>
          <w:spacing w:val="-3"/>
        </w:rPr>
        <w:t>2018</w:t>
      </w:r>
      <w:r>
        <w:rPr>
          <w:spacing w:val="-3"/>
        </w:rPr>
        <w:t>年江西科为需完成净利润</w:t>
      </w:r>
      <w:r>
        <w:rPr>
          <w:spacing w:val="-36"/>
        </w:rPr>
        <w:t> </w:t>
      </w:r>
      <w:r>
        <w:rPr>
          <w:spacing w:val="-36"/>
        </w:rPr>
      </w:r>
      <w:r>
        <w:rPr>
          <w:rFonts w:ascii="Times New Roman" w:hAnsi="Times New Roman" w:cs="Times New Roman" w:eastAsia="Times New Roman" w:hint="default"/>
          <w:spacing w:val="-2"/>
        </w:rPr>
        <w:t>10,000</w:t>
      </w:r>
      <w:r>
        <w:rPr>
          <w:spacing w:val="-2"/>
        </w:rPr>
        <w:t>万元，低于利润承诺部分由江西科为原股东柯秋平、时招军（以下简称</w:t>
      </w:r>
      <w:r>
        <w:rPr>
          <w:rFonts w:ascii="Times New Roman" w:hAnsi="Times New Roman" w:cs="Times New Roman" w:eastAsia="Times New Roman" w:hint="default"/>
          <w:spacing w:val="-2"/>
        </w:rPr>
        <w:t>“</w:t>
      </w:r>
      <w:r>
        <w:rPr>
          <w:spacing w:val="-2"/>
        </w:rPr>
        <w:t>承诺人</w:t>
      </w:r>
      <w:r>
        <w:rPr>
          <w:rFonts w:ascii="Times New Roman" w:hAnsi="Times New Roman" w:cs="Times New Roman" w:eastAsia="Times New Roman" w:hint="default"/>
          <w:spacing w:val="-2"/>
        </w:rPr>
        <w:t>”</w:t>
      </w:r>
      <w:r>
        <w:rPr>
          <w:spacing w:val="-2"/>
        </w:rPr>
        <w:t>）以现金方式补偿</w:t>
      </w:r>
      <w:r>
        <w:rPr>
          <w:spacing w:val="-11"/>
        </w:rPr>
        <w:t> </w:t>
      </w:r>
      <w:r>
        <w:rPr>
          <w:spacing w:val="-11"/>
        </w:rPr>
      </w:r>
      <w:r>
        <w:rPr>
          <w:spacing w:val="-3"/>
        </w:rPr>
        <w:t>给公司。江西科为</w:t>
      </w:r>
      <w:r>
        <w:rPr>
          <w:rFonts w:ascii="Times New Roman" w:hAnsi="Times New Roman" w:cs="Times New Roman" w:eastAsia="Times New Roman" w:hint="default"/>
          <w:spacing w:val="-3"/>
        </w:rPr>
        <w:t>2017</w:t>
      </w:r>
      <w:r>
        <w:rPr>
          <w:spacing w:val="-3"/>
        </w:rPr>
        <w:t>年度扣除非经常性损益后净利润的实现数为</w:t>
      </w:r>
      <w:r>
        <w:rPr>
          <w:rFonts w:ascii="Times New Roman" w:hAnsi="Times New Roman" w:cs="Times New Roman" w:eastAsia="Times New Roman" w:hint="default"/>
          <w:spacing w:val="-3"/>
        </w:rPr>
        <w:t>4,345,330.40</w:t>
      </w:r>
      <w:r>
        <w:rPr>
          <w:spacing w:val="-3"/>
        </w:rPr>
        <w:t>元，</w:t>
      </w:r>
      <w:r>
        <w:rPr>
          <w:rFonts w:ascii="Times New Roman" w:hAnsi="Times New Roman" w:cs="Times New Roman" w:eastAsia="Times New Roman" w:hint="default"/>
          <w:spacing w:val="-3"/>
        </w:rPr>
        <w:t>2018</w:t>
      </w:r>
      <w:r>
        <w:rPr>
          <w:spacing w:val="-3"/>
        </w:rPr>
        <w:t>年度扣除非经常性</w:t>
      </w:r>
      <w:r>
        <w:rPr>
          <w:spacing w:val="-19"/>
        </w:rPr>
        <w:t> </w:t>
      </w:r>
      <w:r>
        <w:rPr>
          <w:spacing w:val="-19"/>
        </w:rPr>
      </w:r>
      <w:r>
        <w:rPr/>
        <w:t>损益后净利润的实现数为</w:t>
      </w:r>
      <w:r>
        <w:rPr>
          <w:rFonts w:ascii="Times New Roman" w:hAnsi="Times New Roman" w:cs="Times New Roman" w:eastAsia="Times New Roman" w:hint="default"/>
        </w:rPr>
        <w:t>402,827.54</w:t>
      </w:r>
      <w:r>
        <w:rPr/>
        <w:t>元，因此柯秋平及时招军需以现金方式补偿不足部分。截止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
          <w:w w:val="100"/>
        </w:rPr>
        <w:t> </w:t>
      </w:r>
      <w:r>
        <w:rPr/>
        <w:t>月</w:t>
      </w:r>
      <w:r>
        <w:rPr>
          <w:rFonts w:ascii="Times New Roman" w:hAnsi="Times New Roman" w:cs="Times New Roman" w:eastAsia="Times New Roman" w:hint="default"/>
        </w:rPr>
        <w:t>31</w:t>
      </w:r>
      <w:r>
        <w:rPr/>
        <w:t>日，公司尚未收到上述款项。</w:t>
      </w:r>
    </w:p>
    <w:p>
      <w:pPr>
        <w:pStyle w:val="BodyText"/>
        <w:spacing w:line="256" w:lineRule="auto" w:before="5"/>
        <w:ind w:right="1124" w:firstLine="420"/>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日，除上述事项外，本公司未发生其他影响本财务报表阅读和理解的其他重大承诺</w:t>
      </w:r>
      <w:r>
        <w:rPr>
          <w:w w:val="100"/>
        </w:rPr>
        <w:t> </w:t>
      </w:r>
      <w:r>
        <w:rPr/>
        <w:t>事项。</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610" w:lineRule="atLeast" w:before="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3"/>
          <w:sz w:val="21"/>
          <w:szCs w:val="21"/>
        </w:rPr>
        <w:t>截止</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日，本公司已开立信用证</w:t>
      </w:r>
      <w:r>
        <w:rPr>
          <w:rFonts w:ascii="Times New Roman" w:hAnsi="Times New Roman" w:cs="Times New Roman" w:eastAsia="Times New Roman" w:hint="default"/>
          <w:spacing w:val="-3"/>
          <w:sz w:val="21"/>
          <w:szCs w:val="21"/>
        </w:rPr>
        <w:t>5.01</w:t>
      </w:r>
      <w:r>
        <w:rPr>
          <w:rFonts w:ascii="宋体" w:hAnsi="宋体" w:cs="宋体" w:eastAsia="宋体" w:hint="default"/>
          <w:spacing w:val="-3"/>
          <w:sz w:val="21"/>
          <w:szCs w:val="21"/>
        </w:rPr>
        <w:t>亿元，已缴存保证金</w:t>
      </w:r>
      <w:r>
        <w:rPr>
          <w:rFonts w:ascii="Times New Roman" w:hAnsi="Times New Roman" w:cs="Times New Roman" w:eastAsia="Times New Roman" w:hint="default"/>
          <w:spacing w:val="-3"/>
          <w:sz w:val="21"/>
          <w:szCs w:val="21"/>
        </w:rPr>
        <w:t>3,829.30</w:t>
      </w:r>
      <w:r>
        <w:rPr>
          <w:rFonts w:ascii="宋体" w:hAnsi="宋体" w:cs="宋体" w:eastAsia="宋体" w:hint="default"/>
          <w:spacing w:val="-3"/>
          <w:sz w:val="21"/>
          <w:szCs w:val="21"/>
        </w:rPr>
        <w:t>万元，剩余部分以银行授</w:t>
      </w:r>
    </w:p>
    <w:p>
      <w:pPr>
        <w:pStyle w:val="BodyText"/>
        <w:spacing w:line="307" w:lineRule="auto" w:before="21"/>
        <w:ind w:left="573" w:right="4994" w:hanging="421"/>
        <w:jc w:val="left"/>
      </w:pPr>
      <w:r>
        <w:rPr/>
        <w:t>信额度提供信用担保。</w:t>
      </w:r>
      <w:r>
        <w:rPr>
          <w:w w:val="100"/>
        </w:rPr>
        <w:t> </w:t>
      </w:r>
      <w:r>
        <w:rPr>
          <w:spacing w:val="-2"/>
        </w:rPr>
        <w:t>除上述事项外，本公司不存在需要披露的重要或有事项。</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96" w:lineRule="auto" w:before="0"/>
        <w:ind w:left="152" w:right="1124"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截至本财务报表签发日</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日，本公司不存在需要披露的资产负债表日后事项。</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pStyle w:val="Heading4"/>
        <w:spacing w:line="240" w:lineRule="auto" w:before="66"/>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715"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13" w:right="50" w:hanging="449"/>
              <w:jc w:val="left"/>
              <w:rPr>
                <w:rFonts w:ascii="宋体" w:hAnsi="宋体" w:cs="宋体" w:eastAsia="宋体" w:hint="default"/>
                <w:sz w:val="18"/>
                <w:szCs w:val="18"/>
              </w:rPr>
            </w:pPr>
            <w:r>
              <w:rPr>
                <w:rFonts w:ascii="宋体" w:hAnsi="宋体" w:cs="宋体" w:eastAsia="宋体" w:hint="default"/>
                <w:sz w:val="18"/>
                <w:szCs w:val="18"/>
              </w:rPr>
              <w:t>江苏双星彩塑新材料股 份有限公司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92" w:right="51" w:hanging="540"/>
              <w:jc w:val="left"/>
              <w:rPr>
                <w:rFonts w:ascii="宋体" w:hAnsi="宋体" w:cs="宋体" w:eastAsia="宋体" w:hint="default"/>
                <w:sz w:val="18"/>
                <w:szCs w:val="18"/>
              </w:rPr>
            </w:pPr>
            <w:r>
              <w:rPr>
                <w:rFonts w:ascii="宋体" w:hAnsi="宋体" w:cs="宋体" w:eastAsia="宋体" w:hint="default"/>
                <w:sz w:val="18"/>
                <w:szCs w:val="18"/>
              </w:rPr>
              <w:t>江西科为薄膜新型材料 有限公司</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617,190,751.10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4,073,487.46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621,264,238.56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1,173,948,044.79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15,907,649.24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-35,766,310.70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1,154,089,383.33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672,847,386.75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10,196,945.14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-1,384,566.82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681,659,765.07</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8,464,317.27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343,230.28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8,807,547.55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1,364,383,351.67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86,040,188.98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1,446,550,380.65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1,090,603,040.35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836,129.82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1,091,439,170.17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4,927,436,891.93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117,397,630.92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-41,024,037.52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5,003,810,485.33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403,194,200.00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403,194,200.00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115,100,955.61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-115,100,955.61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3,277,087,682.47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52,376,212.44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3,329,463,894.91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223,694,026.67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1,053,034.41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224,747,061.08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124,706,773.75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2,723,994.28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127,430,768.03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25" w:type="dxa"/>
            <w:tcBorders>
              <w:top w:val="single" w:sz="4" w:space="0" w:color="000000"/>
              <w:left w:val="single" w:sz="13" w:space="0" w:color="E0FFFF"/>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2,856,068.64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2,856,068.64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12,939,709.97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1,171,712.25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580,974.00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14,692,396.22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176,472,736.35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176,472,736.35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4,336,052,153.46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57,324,953.38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-94,519,981.61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4,298,857,125.23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9,263,489,045.39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174,722,584.30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-135,544,019.13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601,222,280.01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42,707,281.22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-37,150,877.52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606,778,683.71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36,098,765.88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5,800,371.52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41,899,137.40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21,977,141.98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21,977,141.98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12,803,963.11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520,278.67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13,324,241.78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118,286,314.08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297,047.89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118,583,361.97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790,388,465.06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49,324,979.30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-37,150,877.52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802,562,566.84</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798,282,967.15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25" w:type="dxa"/>
            <w:tcBorders>
              <w:top w:val="single" w:sz="4" w:space="0" w:color="000000"/>
              <w:left w:val="single" w:sz="13" w:space="0" w:color="E0FFFF"/>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609,583.33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798,282,967.15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609,583.33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798,892,550.48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1,588,671,432.21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49,934,562.63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-37,150,877.52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1,601,455,117.32</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1,156,278,085.00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1,156,278,085.00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5,185,545,435.71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5,185,545,435.71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167,340,850.69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805,366.46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-805,366.46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167,340,850.69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1,165,653,241.78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3,982,655.21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22,412,224.85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1,192,048,121.84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7,674,817,613.18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124,788,021.67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-98,393,141.61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7,701,212,493.24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负债及所有者权益总计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9,263,489,045.39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174,722,584.30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-135,544,019.13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9,302,667,610.56</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3,792,473,018.58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99,846,078.39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-34,753,752.96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3,857,565,344.01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3,144,162,637.67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81,652,049.44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-34,753,752.96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3,191,060,934.15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10,028,480.20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881,536.63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10,910,016.83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108,320,306.80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3,250,098.63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111,570,405.43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55,936,731.96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5,426,153.34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61,362,885.30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116,196,063.32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5,312,203.79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121,508,267.11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27,512,881.90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-6,077.71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27,506,804.19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30,912,177.58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4,506,143.63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35,418,321.21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加：资产处置收益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1,081,100.00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8,024,300.00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57,131,260.52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57,131,260.52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363,478,199.67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-94,929.36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363,383,270.31</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971,375.31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2,938,975.31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171,855.32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117,535.99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289,391.31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365,273,944.35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758,909.96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366,032,854.31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45,973,036.50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-1,288,616.00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44,684,420.50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319,300,907.85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2,047,525.96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321,348,433.81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319,300,907.85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2,047,525.96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321,348,433.81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270,566,884.89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941,418,873.87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918,301,954.10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1,173,948,044.79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1,188,868,838.99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161,834,754.85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226,066,884.89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74,415,174.81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减：资产减值准备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-3,720,758.74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232,529,170.92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270,566,884.89</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3"/>
        <w:gridCol w:w="3206"/>
        <w:gridCol w:w="3190"/>
      </w:tblGrid>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332,890,007.48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335,890,007.48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1,022,77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2,409.94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81,353,5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941,418,8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73.87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973,408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,055.30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55,106,10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918,301,95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4.10</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1,022,77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2,409.94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81,353,5</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36.07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7.95%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941,418,8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73.87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973,408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,055.30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55,106,10</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1.20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5.66%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918,301,95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4.10</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840,772,836.58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42,038,641.83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123,861,812.72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24,772,362.54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15,657,836.49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7,828,918.25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6,713,613.45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6,713,613.45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987,006,099.24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81,353,536.07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r>
    </w:tbl>
    <w:p>
      <w:pPr>
        <w:spacing w:line="360"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234"/>
        <w:gridCol w:w="2693"/>
        <w:gridCol w:w="1985"/>
        <w:gridCol w:w="1658"/>
      </w:tblGrid>
      <w:tr>
        <w:trPr>
          <w:trHeight w:val="350" w:hRule="exact"/>
        </w:trPr>
        <w:tc>
          <w:tcPr>
            <w:tcW w:w="3234" w:type="dxa"/>
            <w:vMerge w:val="restart"/>
            <w:tcBorders>
              <w:top w:val="single" w:sz="8" w:space="0" w:color="000000"/>
              <w:left w:val="single" w:sz="8" w:space="0" w:color="000000"/>
              <w:right w:val="single" w:sz="8"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337" w:type="dxa"/>
            <w:gridSpan w:val="3"/>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3234" w:type="dxa"/>
            <w:vMerge/>
            <w:tcBorders>
              <w:left w:val="single" w:sz="8" w:space="0" w:color="000000"/>
              <w:bottom w:val="single" w:sz="8" w:space="0" w:color="000000"/>
              <w:right w:val="single" w:sz="8" w:space="0" w:color="000000"/>
            </w:tcBorders>
          </w:tcPr>
          <w:p>
            <w:pP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5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30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bl>
    <w:p>
      <w:pPr>
        <w:spacing w:after="0" w:line="290" w:lineRule="exact"/>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234"/>
        <w:gridCol w:w="2693"/>
        <w:gridCol w:w="1985"/>
        <w:gridCol w:w="1658"/>
      </w:tblGrid>
      <w:tr>
        <w:trPr>
          <w:trHeight w:val="432" w:hRule="exact"/>
        </w:trPr>
        <w:tc>
          <w:tcPr>
            <w:tcW w:w="3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 w:right="0"/>
              <w:jc w:val="left"/>
              <w:rPr>
                <w:rFonts w:ascii="宋体" w:hAnsi="宋体" w:cs="宋体" w:eastAsia="宋体" w:hint="default"/>
                <w:sz w:val="21"/>
                <w:szCs w:val="21"/>
              </w:rPr>
            </w:pPr>
            <w:r>
              <w:rPr>
                <w:rFonts w:ascii="宋体" w:hAnsi="宋体" w:cs="宋体" w:eastAsia="宋体" w:hint="default"/>
                <w:sz w:val="21"/>
                <w:szCs w:val="21"/>
              </w:rPr>
              <w:t>江西科为薄膜新型材料有限公司</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5"/>
              <w:jc w:val="right"/>
              <w:rPr>
                <w:rFonts w:ascii="Times New Roman" w:hAnsi="Times New Roman" w:cs="Times New Roman" w:eastAsia="Times New Roman" w:hint="default"/>
                <w:sz w:val="21"/>
                <w:szCs w:val="21"/>
              </w:rPr>
            </w:pPr>
            <w:r>
              <w:rPr>
                <w:rFonts w:ascii="Times New Roman"/>
                <w:spacing w:val="-1"/>
                <w:sz w:val="21"/>
              </w:rPr>
              <w:t>35,766,310.70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w w:val="100"/>
                <w:sz w:val="21"/>
              </w:rPr>
              <w:t>-</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32" w:hRule="exact"/>
        </w:trPr>
        <w:tc>
          <w:tcPr>
            <w:tcW w:w="3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5"/>
              <w:jc w:val="right"/>
              <w:rPr>
                <w:rFonts w:ascii="Times New Roman" w:hAnsi="Times New Roman" w:cs="Times New Roman" w:eastAsia="Times New Roman" w:hint="default"/>
                <w:sz w:val="21"/>
                <w:szCs w:val="21"/>
              </w:rPr>
            </w:pPr>
            <w:r>
              <w:rPr>
                <w:rFonts w:ascii="Times New Roman"/>
                <w:spacing w:val="-1"/>
                <w:sz w:val="21"/>
              </w:rPr>
              <w:t>35,766,310.70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100"/>
                <w:sz w:val="21"/>
              </w:rPr>
              <w:t>-</w:t>
            </w:r>
          </w:p>
        </w:tc>
        <w:tc>
          <w:tcPr>
            <w:tcW w:w="1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spacing w:before="44"/>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2"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26,247,434.87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40" w:space="268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83"/>
        <w:ind w:right="0"/>
        <w:jc w:val="left"/>
      </w:pPr>
      <w:r>
        <w:rPr>
          <w:spacing w:val="-2"/>
        </w:rPr>
        <w:t>本公司按欠款方归集的期末余额前五名的应收账款合计金额为</w:t>
      </w:r>
      <w:r>
        <w:rPr>
          <w:rFonts w:ascii="Times New Roman" w:hAnsi="Times New Roman" w:cs="Times New Roman" w:eastAsia="Times New Roman" w:hint="default"/>
          <w:spacing w:val="-2"/>
        </w:rPr>
        <w:t>633,688,034.74</w:t>
      </w:r>
      <w:r>
        <w:rPr>
          <w:spacing w:val="-2"/>
        </w:rPr>
        <w:t>元占应收账款原值年末余额</w:t>
      </w:r>
      <w:r>
        <w:rPr>
          <w:spacing w:val="-8"/>
        </w:rPr>
        <w:t> </w:t>
      </w:r>
      <w:r>
        <w:rPr>
          <w:spacing w:val="-8"/>
        </w:rPr>
      </w:r>
      <w:r>
        <w:rPr/>
        <w:t>总计数的比例为</w:t>
      </w:r>
      <w:r>
        <w:rPr>
          <w:rFonts w:ascii="Times New Roman" w:hAnsi="Times New Roman" w:cs="Times New Roman" w:eastAsia="Times New Roman" w:hint="default"/>
        </w:rPr>
        <w:t>61.96%</w:t>
      </w:r>
      <w:r>
        <w:rPr/>
        <w:t>，相应计提坏账准备年末余额为</w:t>
      </w:r>
      <w:r>
        <w:rPr>
          <w:rFonts w:ascii="Times New Roman" w:hAnsi="Times New Roman" w:cs="Times New Roman" w:eastAsia="Times New Roman" w:hint="default"/>
        </w:rPr>
        <w:t>31,684,401.73</w:t>
      </w:r>
      <w:r>
        <w:rPr/>
        <w:t>元。</w:t>
      </w:r>
    </w:p>
    <w:p>
      <w:pPr>
        <w:spacing w:before="6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1"/>
        <w:ind w:left="152" w:right="6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11,931,218.36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4,400,983.94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6,224,191.40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8,464,317.27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18,155,409.76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950,396.44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募集资金理财产品利息</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10,980,821.92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11,931,218.36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5,591,42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1,190,43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21.29%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7,470,6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1,246,454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16.68%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6,224,191.4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5,591,42</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2.27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1,190,43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8.33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21.29%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4,400,983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7,470,6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45.76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16.68%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6,224,191.4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3" w:space="435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7"/>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401"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4,094,716.75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204,735.84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605,696.24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52,892.09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26,446.05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838,117.19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838,117.19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5,591,422.27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1,190,438.33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11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1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152"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56,016.03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825" w:space="30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5"/>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4"/>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5,591,422.27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6,906,407.76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564,238.00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5,591,422.27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7,470,645.76</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1"/>
        <w:ind w:left="152" w:right="6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64,899,044.39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115,100,955.61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64,899,044.39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115,100,955.61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64,899,044.39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115,100,955.61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64,899,044.39</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64,899,044.39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3750"/>
        <w:gridCol w:w="3816"/>
      </w:tblGrid>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3,755,444,181.25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3,138,886,348.12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2,895,448,720.60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2,581,342,602.79</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37,028,837.33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5,276,289.55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24,398,534.47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711,807.51</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3,792,473,018.58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3,144,162,637.67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2,919,847,255.07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2,582,054,410.30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665,398.80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665,398.80</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56,465,861.72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29,333,698.63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57,131,260.52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29,999,097.43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10,001,900.00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申请的一次性政府补助</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56,465,861.72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募集资金委托理财</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671,984.00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偶发性营业外收支</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10,070,961.86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57,068,783.86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0"/>
      </w:tblGrid>
      <w:tr>
        <w:trPr>
          <w:trHeight w:val="403"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0.2779</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left="633" w:right="0"/>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2018</w:t>
      </w:r>
      <w:r>
        <w:rPr/>
        <w:t>年年度报告正本。</w:t>
      </w:r>
    </w:p>
    <w:p>
      <w:pPr>
        <w:pStyle w:val="Heading3"/>
        <w:spacing w:line="312" w:lineRule="exact" w:before="130"/>
        <w:ind w:right="0" w:firstLine="480"/>
        <w:jc w:val="left"/>
      </w:pPr>
      <w:r>
        <w:rPr>
          <w:rFonts w:ascii="Times New Roman" w:hAnsi="Times New Roman" w:cs="Times New Roman" w:eastAsia="Times New Roman" w:hint="default"/>
          <w:spacing w:val="-3"/>
        </w:rPr>
        <w:t>2</w:t>
      </w:r>
      <w:r>
        <w:rPr>
          <w:spacing w:val="-3"/>
        </w:rPr>
        <w:t>、载有公司法定代表人吴培服、主管会计工作负责人周海燕及会计机构负责人邹雪梅签</w:t>
      </w:r>
      <w:r>
        <w:rPr/>
        <w:t> 名并盖章的会计报表。</w:t>
      </w:r>
    </w:p>
    <w:p>
      <w:pPr>
        <w:pStyle w:val="Heading3"/>
        <w:spacing w:line="312" w:lineRule="exact" w:before="120"/>
        <w:ind w:right="0" w:firstLine="480"/>
        <w:jc w:val="left"/>
      </w:pPr>
      <w:r>
        <w:rPr>
          <w:rFonts w:ascii="Times New Roman" w:hAnsi="Times New Roman" w:cs="Times New Roman" w:eastAsia="Times New Roman" w:hint="default"/>
          <w:spacing w:val="-3"/>
        </w:rPr>
        <w:t>3</w:t>
      </w:r>
      <w:r>
        <w:rPr>
          <w:spacing w:val="-3"/>
        </w:rPr>
        <w:t>、载有众华会计师事务所（特殊普通合伙）盖章，注册会计师莫旭巍、李明签名并盖章</w:t>
      </w:r>
      <w:r>
        <w:rPr/>
        <w:t> 的公司</w:t>
      </w:r>
      <w:r>
        <w:rPr>
          <w:rFonts w:ascii="Times New Roman" w:hAnsi="Times New Roman" w:cs="Times New Roman" w:eastAsia="Times New Roman" w:hint="default"/>
        </w:rPr>
        <w:t>2018</w:t>
      </w:r>
      <w:r>
        <w:rPr/>
        <w:t>年度审计报告原件。</w:t>
      </w:r>
    </w:p>
    <w:p>
      <w:pPr>
        <w:pStyle w:val="Heading3"/>
        <w:spacing w:line="240" w:lineRule="auto" w:before="89"/>
        <w:ind w:left="633"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3"/>
        <w:spacing w:line="240" w:lineRule="auto" w:before="99"/>
        <w:ind w:left="633" w:right="0"/>
        <w:jc w:val="left"/>
      </w:pPr>
      <w:r>
        <w:rPr>
          <w:rFonts w:ascii="Times New Roman" w:hAnsi="Times New Roman" w:cs="Times New Roman" w:eastAsia="Times New Roman" w:hint="default"/>
        </w:rPr>
        <w:t>5</w:t>
      </w:r>
      <w:r>
        <w:rPr/>
        <w:t>、备查文件备置地点：董事会办公室。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Heading2"/>
        <w:spacing w:line="595" w:lineRule="auto"/>
        <w:ind w:left="5455" w:right="1855"/>
        <w:jc w:val="center"/>
        <w:rPr>
          <w:b w:val="0"/>
          <w:bCs w:val="0"/>
        </w:rPr>
      </w:pPr>
      <w:r>
        <w:rPr/>
        <w:t>江苏双星彩塑新材料股份有限公司</w:t>
      </w:r>
      <w:r>
        <w:rPr>
          <w:w w:val="99"/>
        </w:rPr>
        <w:t> </w:t>
      </w:r>
      <w:r>
        <w:rPr/>
        <w:t>董事长：吴培服</w:t>
      </w:r>
      <w:r>
        <w:rPr>
          <w:w w:val="99"/>
        </w:rPr>
        <w:t> </w:t>
      </w:r>
      <w:r>
        <w:rPr/>
        <w:t>二〇一九年三月十五日</w:t>
      </w:r>
      <w:r>
        <w:rPr>
          <w:b w:val="0"/>
          <w:bCs w:val="0"/>
        </w:rPr>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2152" type="#_x0000_t75" stroked="false">
          <v:imagedata r:id="rId1" o:title=""/>
        </v:shape>
      </w:pict>
    </w:r>
    <w:r>
      <w:rPr/>
      <w:pict>
        <v:shape style="position:absolute;margin-left:533.099976pt;margin-top:795.613892pt;width:6.5pt;height:11pt;mso-position-horizontal-relative:page;mso-position-vertical-relative:page;z-index:-782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2104" type="#_x0000_t75" stroked="false">
          <v:imagedata r:id="rId1" o:title=""/>
        </v:shape>
      </w:pict>
    </w:r>
    <w:r>
      <w:rPr/>
      <w:pict>
        <v:shape style="position:absolute;margin-left:527.659973pt;margin-top:781.933899pt;width:13.15pt;height:11pt;mso-position-horizontal-relative:page;mso-position-vertical-relative:page;z-index:-782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2056" type="#_x0000_t75" stroked="false">
          <v:imagedata r:id="rId1" o:title=""/>
        </v:shape>
      </w:pict>
    </w:r>
    <w:r>
      <w:rPr/>
      <w:pict>
        <v:shape style="position:absolute;margin-left:524.099976pt;margin-top:781.933899pt;width:15.7pt;height:11pt;mso-position-horizontal-relative:page;mso-position-vertical-relative:page;z-index:-782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2008" type="#_x0000_t75" stroked="false">
          <v:imagedata r:id="rId1" o:title=""/>
        </v:shape>
      </w:pict>
    </w:r>
    <w:r>
      <w:rPr/>
      <w:pict>
        <v:shape style="position:absolute;margin-left:523.099976pt;margin-top:781.933899pt;width:17.7pt;height:11pt;mso-position-horizontal-relative:page;mso-position-vertical-relative:page;z-index:-781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1960" type="#_x0000_t75" stroked="false">
          <v:imagedata r:id="rId1" o:title=""/>
        </v:shape>
      </w:pict>
    </w:r>
    <w:r>
      <w:rPr/>
      <w:pict>
        <v:shape style="position:absolute;margin-left:523.460022pt;margin-top:781.933899pt;width:17.3pt;height:11pt;mso-position-horizontal-relative:page;mso-position-vertical-relative:page;z-index:-78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81912" type="#_x0000_t75" stroked="false">
          <v:imagedata r:id="rId1" o:title=""/>
        </v:shape>
      </w:pict>
    </w:r>
    <w:r>
      <w:rPr/>
      <w:pict>
        <v:shape style="position:absolute;margin-left:523.099976pt;margin-top:781.933899pt;width:17.7pt;height:11pt;mso-position-horizontal-relative:page;mso-position-vertical-relative:page;z-index:-78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782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7"/>
      <w:ind w:left="152"/>
    </w:pPr>
    <w:rPr>
      <w:rFonts w:ascii="宋体" w:hAnsi="宋体" w:eastAsia="宋体"/>
      <w:sz w:val="21"/>
      <w:szCs w:val="21"/>
    </w:rPr>
  </w:style>
  <w:style w:styleId="Heading1" w:type="paragraph">
    <w:name w:val="Heading 1"/>
    <w:basedOn w:val="Normal"/>
    <w:uiPriority w:val="1"/>
    <w:qFormat/>
    <w:pPr>
      <w:ind w:left="87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江苏双星彩塑新材料股份有限公司</dc:creator>
  <dc:title>江苏双星彩塑新材料股份有限公司2018年年度报告全文</dc:title>
  <dcterms:created xsi:type="dcterms:W3CDTF">2020-05-04T18:40:40Z</dcterms:created>
  <dcterms:modified xsi:type="dcterms:W3CDTF">2020-05-04T18:40:40Z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2019-03-15T00:00:00Z</vt:filetime>
  </property>
  <property fmtid="{D5CDD505-2E9C-101B-9397-08002B2CF9AE}" pid="3" name="Creator">
    <vt:lpwstr>Microsoft Office Word 2007</vt:lpwstr>
  </property>
  <property fmtid="{D5CDD505-2E9C-101B-9397-08002B2CF9AE}" pid="4" name="LastSaved">
    <vt:filetime>2020-05-04T00:00:00Z</vt:filetime>
  </property>
</Properties>
</file>