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63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2"/>
          <w:sz w:val="20"/>
          <w:szCs w:val="20"/>
        </w:rPr>
        <w:drawing>
          <wp:inline distT="0" distB="0" distL="0" distR="0">
            <wp:extent cx="1408838" cy="10382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8838" cy="1038225"/>
                    </a:xfrm>
                    <a:prstGeom prst="rect">
                      <a:avLst/>
                    </a:prstGeom>
                  </pic:spPr>
                </pic:pic>
              </a:graphicData>
            </a:graphic>
          </wp:inline>
        </w:drawing>
      </w:r>
      <w:r>
        <w:rPr>
          <w:rFonts w:ascii="Times New Roman" w:hAnsi="Times New Roman" w:cs="Times New Roman" w:eastAsia="Times New Roman" w:hint="default"/>
          <w:position w:val="-32"/>
          <w:sz w:val="20"/>
          <w:szCs w:val="20"/>
        </w:rPr>
      </w:r>
    </w:p>
    <w:p>
      <w:pPr>
        <w:spacing w:line="240" w:lineRule="auto" w:before="7"/>
        <w:rPr>
          <w:rFonts w:ascii="Times New Roman" w:hAnsi="Times New Roman" w:cs="Times New Roman" w:eastAsia="Times New Roman" w:hint="default"/>
          <w:sz w:val="13"/>
          <w:szCs w:val="13"/>
        </w:rPr>
      </w:pPr>
    </w:p>
    <w:p>
      <w:pPr>
        <w:spacing w:line="460" w:lineRule="exact" w:before="0"/>
        <w:ind w:left="2241" w:right="3224" w:firstLine="0"/>
        <w:jc w:val="center"/>
        <w:rPr>
          <w:rFonts w:ascii="宋体" w:hAnsi="宋体" w:cs="宋体" w:eastAsia="宋体" w:hint="default"/>
          <w:sz w:val="36"/>
          <w:szCs w:val="36"/>
        </w:rPr>
      </w:pPr>
      <w:r>
        <w:rPr>
          <w:rFonts w:ascii="宋体" w:hAnsi="宋体" w:cs="宋体" w:eastAsia="宋体" w:hint="default"/>
          <w:b/>
          <w:bCs/>
          <w:sz w:val="36"/>
          <w:szCs w:val="36"/>
        </w:rPr>
        <w:t>江苏双星彩塑新材料股份有限公司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241" w:right="32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48"/>
          <w:szCs w:val="48"/>
        </w:rPr>
      </w:pPr>
    </w:p>
    <w:p>
      <w:pPr>
        <w:spacing w:before="0"/>
        <w:ind w:left="2241" w:right="321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4" w:right="0"/>
        <w:jc w:val="left"/>
        <w:rPr>
          <w:b w:val="0"/>
          <w:bCs w:val="0"/>
        </w:rPr>
      </w:pPr>
      <w:bookmarkStart w:name="_bookmark0"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公司负责人吴培服、主管会计工作负责人邹雪梅及会计机构负责人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胡立群声明：保证年度报告中财务报告的真实、准确、完整。</w:t>
      </w:r>
      <w:r>
        <w:rPr>
          <w:rFonts w:ascii="宋体" w:hAnsi="宋体" w:cs="宋体" w:eastAsia="宋体" w:hint="default"/>
          <w:sz w:val="28"/>
          <w:szCs w:val="28"/>
        </w:rPr>
      </w:r>
    </w:p>
    <w:p>
      <w:pPr>
        <w:spacing w:before="148"/>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9"/>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2936"/>
        <w:gridCol w:w="2210"/>
        <w:gridCol w:w="2211"/>
        <w:gridCol w:w="2213"/>
      </w:tblGrid>
      <w:tr>
        <w:trPr>
          <w:trHeight w:val="403"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1"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周海燕</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因病去世</w:t>
            </w:r>
          </w:p>
        </w:tc>
        <w:tc>
          <w:tcPr>
            <w:tcW w:w="22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3"/>
          <w:szCs w:val="13"/>
        </w:rPr>
      </w:pPr>
    </w:p>
    <w:p>
      <w:pPr>
        <w:spacing w:before="14"/>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不适用</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before="0"/>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7"/>
          <w:sz w:val="28"/>
          <w:szCs w:val="28"/>
        </w:rPr>
        <w:t> </w:t>
      </w:r>
      <w:r>
        <w:rPr>
          <w:rFonts w:ascii="Times New Roman" w:hAnsi="Times New Roman" w:cs="Times New Roman" w:eastAsia="Times New Roman" w:hint="default"/>
          <w:b/>
          <w:bCs/>
          <w:spacing w:val="-3"/>
          <w:sz w:val="28"/>
          <w:szCs w:val="28"/>
        </w:rPr>
        <w:t>1156278085</w:t>
      </w:r>
      <w:r>
        <w:rPr>
          <w:rFonts w:ascii="Times New Roman" w:hAnsi="Times New Roman" w:cs="Times New Roman" w:eastAsia="Times New Roman" w:hint="default"/>
          <w:b/>
          <w:bCs/>
          <w:spacing w:val="-7"/>
          <w:sz w:val="28"/>
          <w:szCs w:val="28"/>
        </w:rPr>
        <w:t> </w:t>
      </w:r>
      <w:r>
        <w:rPr>
          <w:rFonts w:ascii="宋体" w:hAnsi="宋体" w:cs="宋体" w:eastAsia="宋体" w:hint="default"/>
          <w:b/>
          <w:bCs/>
          <w:spacing w:val="-4"/>
          <w:sz w:val="28"/>
          <w:szCs w:val="28"/>
        </w:rPr>
        <w:t>为基数，向</w:t>
      </w:r>
      <w:r>
        <w:rPr>
          <w:rFonts w:ascii="宋体" w:hAnsi="宋体" w:cs="宋体" w:eastAsia="宋体" w:hint="default"/>
          <w:spacing w:val="-4"/>
          <w:sz w:val="28"/>
          <w:szCs w:val="28"/>
        </w:rPr>
      </w:r>
    </w:p>
    <w:p>
      <w:pPr>
        <w:spacing w:line="386" w:lineRule="auto" w:before="237"/>
        <w:ind w:left="152" w:right="1126"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100"/>
          <w:sz w:val="28"/>
          <w:szCs w:val="28"/>
        </w:rPr>
        <w:t>10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100"/>
          <w:sz w:val="28"/>
          <w:szCs w:val="28"/>
        </w:rPr>
        <w:t>0.3</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spacing w:val="-16"/>
          <w:w w:val="99"/>
          <w:sz w:val="28"/>
          <w:szCs w:val="28"/>
        </w:rPr>
        <w:t>元（含税），送红股</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spacing w:val="-14"/>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241" w:right="321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9"/>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hyperlink>
        </w:p>
        <w:p>
          <w:pPr>
            <w:pStyle w:val="TOC1"/>
            <w:tabs>
              <w:tab w:pos="9782" w:val="right" w:leader="dot"/>
            </w:tabs>
            <w:spacing w:line="240" w:lineRule="auto" w:before="258"/>
            <w:ind w:right="0"/>
            <w:jc w:val="left"/>
            <w:rPr>
              <w:rFonts w:ascii="Times New Roman" w:hAnsi="Times New Roman" w:cs="Times New Roman" w:eastAsia="Times New Roman" w:hint="default"/>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15</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35</w:t>
            </w:r>
          </w:hyperlink>
        </w:p>
        <w:p>
          <w:pPr>
            <w:pStyle w:val="TOC1"/>
            <w:tabs>
              <w:tab w:pos="9784" w:val="right" w:leader="dot"/>
            </w:tabs>
            <w:spacing w:line="240" w:lineRule="auto" w:before="257"/>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43</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48</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可转换公司债券相关情况</w:t>
            </w:r>
            <w:r>
              <w:rPr>
                <w:rFonts w:ascii="Times New Roman" w:hAnsi="Times New Roman" w:cs="Times New Roman" w:eastAsia="Times New Roman" w:hint="default"/>
              </w:rPr>
              <w:tab/>
              <w:t>49</w:t>
            </w:r>
          </w:hyperlink>
        </w:p>
        <w:p>
          <w:pPr>
            <w:pStyle w:val="TOC1"/>
            <w:tabs>
              <w:tab w:pos="9785" w:val="right" w:leader="dot"/>
            </w:tabs>
            <w:spacing w:line="240" w:lineRule="auto" w:before="257"/>
            <w:ind w:right="0"/>
            <w:jc w:val="left"/>
            <w:rPr>
              <w:rFonts w:ascii="Times New Roman" w:hAnsi="Times New Roman" w:cs="Times New Roman" w:eastAsia="Times New Roman" w:hint="default"/>
            </w:rPr>
          </w:pPr>
          <w:hyperlink w:history="true" w:anchor="_bookmark8">
            <w:r>
              <w:rPr/>
              <w:t>第九节</w:t>
            </w:r>
            <w:r>
              <w:rPr>
                <w:spacing w:val="1"/>
              </w:rPr>
              <w:t> </w:t>
            </w:r>
            <w:r>
              <w:rPr/>
              <w:t>董事、监事、高级管理人员和员工情况</w:t>
            </w:r>
            <w:r>
              <w:rPr>
                <w:rFonts w:ascii="Times New Roman" w:hAnsi="Times New Roman" w:cs="Times New Roman" w:eastAsia="Times New Roman" w:hint="default"/>
              </w:rPr>
              <w:tab/>
              <w:t>50</w:t>
            </w:r>
          </w:hyperlink>
        </w:p>
        <w:p>
          <w:pPr>
            <w:pStyle w:val="TOC1"/>
            <w:tabs>
              <w:tab w:pos="9785" w:val="right" w:leader="dot"/>
            </w:tabs>
            <w:spacing w:line="240" w:lineRule="auto" w:before="260"/>
            <w:ind w:right="0"/>
            <w:jc w:val="left"/>
            <w:rPr>
              <w:rFonts w:ascii="Times New Roman" w:hAnsi="Times New Roman" w:cs="Times New Roman" w:eastAsia="Times New Roman" w:hint="default"/>
            </w:rPr>
          </w:pPr>
          <w:hyperlink w:history="true" w:anchor="_bookmark9">
            <w:r>
              <w:rPr/>
              <w:t>第十节</w:t>
            </w:r>
            <w:r>
              <w:rPr>
                <w:spacing w:val="1"/>
              </w:rPr>
              <w:t> </w:t>
            </w:r>
            <w:r>
              <w:rPr/>
              <w:t>公司治理</w:t>
            </w:r>
            <w:r>
              <w:rPr>
                <w:rFonts w:ascii="Times New Roman" w:hAnsi="Times New Roman" w:cs="Times New Roman" w:eastAsia="Times New Roman" w:hint="default"/>
              </w:rPr>
              <w:tab/>
              <w:t>55</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1"/>
              </w:rPr>
              <w:t> </w:t>
            </w:r>
            <w:r>
              <w:rPr/>
              <w:t>公司债券相关情况</w:t>
            </w:r>
            <w:r>
              <w:rPr>
                <w:rFonts w:ascii="Times New Roman" w:hAnsi="Times New Roman" w:cs="Times New Roman" w:eastAsia="Times New Roman" w:hint="default"/>
              </w:rPr>
              <w:tab/>
              <w:t>60</w:t>
            </w:r>
          </w:hyperlink>
        </w:p>
        <w:p>
          <w:pPr>
            <w:pStyle w:val="TOC1"/>
            <w:tabs>
              <w:tab w:pos="9785" w:val="right" w:leader="dot"/>
            </w:tabs>
            <w:spacing w:line="240" w:lineRule="auto" w:before="257"/>
            <w:ind w:right="0"/>
            <w:jc w:val="left"/>
            <w:rPr>
              <w:rFonts w:ascii="Times New Roman" w:hAnsi="Times New Roman" w:cs="Times New Roman" w:eastAsia="Times New Roman" w:hint="default"/>
            </w:rPr>
          </w:pPr>
          <w:hyperlink w:history="true" w:anchor="_bookmark11">
            <w:r>
              <w:rPr/>
              <w:t>第十二节</w:t>
            </w:r>
            <w:r>
              <w:rPr>
                <w:spacing w:val="1"/>
              </w:rPr>
              <w:t> </w:t>
            </w:r>
            <w:r>
              <w:rPr/>
              <w:t>财务报告</w:t>
            </w:r>
            <w:r>
              <w:rPr>
                <w:rFonts w:ascii="Times New Roman" w:hAnsi="Times New Roman" w:cs="Times New Roman" w:eastAsia="Times New Roman" w:hint="default"/>
              </w:rPr>
              <w:tab/>
              <w:t>61</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2">
            <w:r>
              <w:rPr/>
              <w:t>第十三节</w:t>
            </w:r>
            <w:r>
              <w:rPr>
                <w:spacing w:val="1"/>
              </w:rPr>
              <w:t> </w:t>
            </w:r>
            <w:r>
              <w:rPr/>
              <w:t>备查文件目录</w:t>
            </w:r>
            <w:r>
              <w:rPr>
                <w:rFonts w:ascii="Times New Roman" w:hAnsi="Times New Roman" w:cs="Times New Roman" w:eastAsia="Times New Roman" w:hint="default"/>
              </w:rPr>
              <w:tab/>
              <w:t>184</w:t>
            </w:r>
          </w:hyperlink>
        </w:p>
        <w:p>
          <w:pPr/>
          <w:r>
            <w:fldChar w:fldCharType="end"/>
          </w:r>
        </w:p>
      </w:sdtContent>
    </w:sdt>
    <w:p>
      <w:pPr>
        <w:spacing w:after="0"/>
        <w:sectPr>
          <w:pgSz w:w="11910" w:h="16840"/>
          <w:pgMar w:header="745" w:footer="980" w:top="1060" w:bottom="1160" w:left="980" w:right="0"/>
        </w:sectPr>
      </w:pPr>
    </w:p>
    <w:p>
      <w:pPr>
        <w:spacing w:before="945"/>
        <w:ind w:left="2241" w:right="321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公司、本公司、双星新材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迪智成投资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宿迁市迪智成投资咨询有限公司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启恒投资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宿迁市启恒投资有限公司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江西科为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江西科为薄膜新型材料有限公司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以聚酯切片为主要原料，采用先进的工艺配方，经过干燥、熔融、挤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出、铸片和拉伸制成的薄膜，具有优良的工业特性</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聚酯切片</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50"/>
              <w:jc w:val="both"/>
              <w:rPr>
                <w:rFonts w:ascii="宋体" w:hAnsi="宋体" w:cs="宋体" w:eastAsia="宋体" w:hint="default"/>
                <w:sz w:val="18"/>
                <w:szCs w:val="18"/>
              </w:rPr>
            </w:pPr>
            <w:r>
              <w:rPr>
                <w:rFonts w:ascii="宋体" w:hAnsi="宋体" w:cs="宋体" w:eastAsia="宋体" w:hint="default"/>
                <w:sz w:val="18"/>
                <w:szCs w:val="18"/>
              </w:rPr>
              <w:t>由聚酯经物理加工制成的切片，目前主要用于瓶级聚酯</w:t>
            </w:r>
            <w:r>
              <w:rPr>
                <w:rFonts w:ascii="Times New Roman" w:hAnsi="Times New Roman" w:cs="Times New Roman" w:eastAsia="Times New Roman" w:hint="default"/>
                <w:sz w:val="18"/>
                <w:szCs w:val="18"/>
              </w:rPr>
              <w:t>(</w:t>
            </w:r>
            <w:r>
              <w:rPr>
                <w:rFonts w:ascii="宋体" w:hAnsi="宋体" w:cs="宋体" w:eastAsia="宋体" w:hint="default"/>
                <w:sz w:val="18"/>
                <w:szCs w:val="18"/>
              </w:rPr>
              <w:t>广泛用于各 种饮料尤其是碳酸饮料的包装</w:t>
            </w:r>
            <w:r>
              <w:rPr>
                <w:rFonts w:ascii="Times New Roman" w:hAnsi="Times New Roman" w:cs="Times New Roman" w:eastAsia="Times New Roman" w:hint="default"/>
                <w:sz w:val="18"/>
                <w:szCs w:val="18"/>
              </w:rPr>
              <w:t>)</w:t>
            </w:r>
            <w:r>
              <w:rPr>
                <w:rFonts w:ascii="宋体" w:hAnsi="宋体" w:cs="宋体" w:eastAsia="宋体" w:hint="default"/>
                <w:sz w:val="18"/>
                <w:szCs w:val="18"/>
              </w:rPr>
              <w:t>、聚酯薄膜</w:t>
            </w:r>
            <w:r>
              <w:rPr>
                <w:rFonts w:ascii="Times New Roman" w:hAnsi="Times New Roman" w:cs="Times New Roman" w:eastAsia="Times New Roman" w:hint="default"/>
                <w:sz w:val="18"/>
                <w:szCs w:val="18"/>
              </w:rPr>
              <w:t>(</w:t>
            </w:r>
            <w:r>
              <w:rPr>
                <w:rFonts w:ascii="宋体" w:hAnsi="宋体" w:cs="宋体" w:eastAsia="宋体" w:hint="default"/>
                <w:sz w:val="18"/>
                <w:szCs w:val="18"/>
              </w:rPr>
              <w:t>主要用于包装材料、胶片 和磁带等</w:t>
            </w:r>
            <w:r>
              <w:rPr>
                <w:rFonts w:ascii="Times New Roman" w:hAnsi="Times New Roman" w:cs="Times New Roman" w:eastAsia="Times New Roman" w:hint="default"/>
                <w:sz w:val="18"/>
                <w:szCs w:val="18"/>
              </w:rPr>
              <w:t>)</w:t>
            </w:r>
            <w:r>
              <w:rPr>
                <w:rFonts w:ascii="宋体" w:hAnsi="宋体" w:cs="宋体" w:eastAsia="宋体" w:hint="default"/>
                <w:sz w:val="18"/>
                <w:szCs w:val="18"/>
              </w:rPr>
              <w:t>以及化纤用涤纶</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5"/>
                <w:sz w:val="18"/>
              </w:rPr>
              <w:t>PTA</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46"/>
              <w:jc w:val="left"/>
              <w:rPr>
                <w:rFonts w:ascii="宋体" w:hAnsi="宋体" w:cs="宋体" w:eastAsia="宋体" w:hint="default"/>
                <w:sz w:val="18"/>
                <w:szCs w:val="18"/>
              </w:rPr>
            </w:pPr>
            <w:r>
              <w:rPr>
                <w:rFonts w:ascii="宋体" w:hAnsi="宋体" w:cs="宋体" w:eastAsia="宋体" w:hint="default"/>
                <w:w w:val="99"/>
                <w:sz w:val="18"/>
                <w:szCs w:val="18"/>
              </w:rPr>
              <w:t>精对苯二甲酸（</w:t>
            </w:r>
            <w:r>
              <w:rPr>
                <w:rFonts w:ascii="Times New Roman" w:hAnsi="Times New Roman" w:cs="Times New Roman" w:eastAsia="Times New Roman" w:hint="default"/>
                <w:w w:val="99"/>
                <w:sz w:val="18"/>
                <w:szCs w:val="18"/>
              </w:rPr>
              <w:t>Pure </w:t>
            </w:r>
            <w:r>
              <w:rPr>
                <w:rFonts w:ascii="Times New Roman" w:hAnsi="Times New Roman" w:cs="Times New Roman" w:eastAsia="Times New Roman" w:hint="default"/>
                <w:spacing w:val="-2"/>
                <w:sz w:val="18"/>
                <w:szCs w:val="18"/>
              </w:rPr>
              <w:t>Terephthalic</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w w:val="99"/>
                <w:sz w:val="18"/>
                <w:szCs w:val="18"/>
              </w:rPr>
              <w:t>Acid</w:t>
            </w:r>
            <w:r>
              <w:rPr>
                <w:rFonts w:ascii="宋体" w:hAnsi="宋体" w:cs="宋体" w:eastAsia="宋体" w:hint="default"/>
                <w:spacing w:val="-6"/>
                <w:w w:val="99"/>
                <w:sz w:val="18"/>
                <w:szCs w:val="18"/>
              </w:rPr>
              <w:t>），一种化工原料，聚酯切片的</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z w:val="18"/>
                <w:szCs w:val="18"/>
              </w:rPr>
              <w:t>主要原料之一</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MEG</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49"/>
              <w:jc w:val="left"/>
              <w:rPr>
                <w:rFonts w:ascii="宋体" w:hAnsi="宋体" w:cs="宋体" w:eastAsia="宋体" w:hint="default"/>
                <w:sz w:val="18"/>
                <w:szCs w:val="18"/>
              </w:rPr>
            </w:pPr>
            <w:r>
              <w:rPr>
                <w:rFonts w:ascii="宋体" w:hAnsi="宋体" w:cs="宋体" w:eastAsia="宋体" w:hint="default"/>
                <w:spacing w:val="-1"/>
                <w:w w:val="99"/>
                <w:sz w:val="18"/>
                <w:szCs w:val="18"/>
              </w:rPr>
              <w:t>乙二醇（</w:t>
            </w:r>
            <w:r>
              <w:rPr>
                <w:rFonts w:ascii="Times New Roman" w:hAnsi="Times New Roman" w:cs="Times New Roman" w:eastAsia="Times New Roman" w:hint="default"/>
                <w:spacing w:val="-1"/>
                <w:w w:val="99"/>
                <w:sz w:val="18"/>
                <w:szCs w:val="18"/>
              </w:rPr>
              <w:t>Mono</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1"/>
                <w:sz w:val="18"/>
                <w:szCs w:val="18"/>
              </w:rPr>
              <w:t>Ethylene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4"/>
                <w:w w:val="99"/>
                <w:sz w:val="18"/>
                <w:szCs w:val="18"/>
              </w:rPr>
              <w:t>Glycol</w:t>
            </w:r>
            <w:r>
              <w:rPr>
                <w:rFonts w:ascii="宋体" w:hAnsi="宋体" w:cs="宋体" w:eastAsia="宋体" w:hint="default"/>
                <w:spacing w:val="-4"/>
                <w:w w:val="99"/>
                <w:sz w:val="18"/>
                <w:szCs w:val="18"/>
              </w:rPr>
              <w:t>），一种化工原料，聚酯切片的主要原</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料之一</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hAnsi="Times New Roman"/>
                <w:sz w:val="18"/>
              </w:rPr>
              <w:t>μm</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微米，</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微米相当于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米的一百万分之一</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8598pt;width:361.55pt;height:19.6pt;mso-position-horizontal-relative:page;mso-position-vertical-relative:page;z-index:-917632"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723" w:right="0"/>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4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双星新材</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002585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双星新材</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Jiangsu Shuangxing Color Plastic New Materials Co.,</w:t>
            </w:r>
            <w:r>
              <w:rPr>
                <w:rFonts w:ascii="Times New Roman"/>
                <w:spacing w:val="-22"/>
                <w:sz w:val="18"/>
              </w:rPr>
              <w:t> </w:t>
            </w:r>
            <w:r>
              <w:rPr>
                <w:rFonts w:ascii="Times New Roman"/>
                <w:sz w:val="18"/>
              </w:rPr>
              <w:t>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SXXC</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吴培服</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223808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223808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http://www.shuangxingcaisu.com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wudi@shuangxingcaisu.com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花蕾</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0527-84252088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0527-84252088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0527-84253042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0527-84253042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wudi@shuangxingcaisu.com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002585@shuangxingcaisu.com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4"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董事会秘书办公室</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45"/>
        <w:gridCol w:w="6025"/>
      </w:tblGrid>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14232894-1</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上海市黄浦区中山南路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号金外滩国际广场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6F</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莫旭巍、李明</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6"/>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4,472,306,660.48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3,857,565,344.01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15.94%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3,022,955,177.10</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173,486,372.58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321,348,433.81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74,651,154.25</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133,992,156.76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264,279,649.95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2,343,619.30</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1,066,072,945.52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173,464,127.01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13,017,412.35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0.0678</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0.0678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8,995,418,091.48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9,302,667,610.56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9,050,240,080.19</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7,643,443,248.82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7,701,212,493.24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7,391,426,840.28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2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1"/>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973,172,710.06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1,100,789,294.19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1,425,897,988.04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972,446,668.19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43,761,554.48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36,090,913.19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53,421,547.48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40,212,357.43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41,431,726.12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35,647,977.43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51,797,197.38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5,115,255.83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6,950,043.00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302,314,188.64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354,508,809.32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402,299,904.56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8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-22,650.00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-104,246.94</w:t>
            </w: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7,412,823.00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10,001,900.00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28,079,360.00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5"/>
              <w:jc w:val="left"/>
              <w:rPr>
                <w:rFonts w:ascii="宋体" w:hAnsi="宋体" w:cs="宋体" w:eastAsia="宋体" w:hint="default"/>
                <w:sz w:val="18"/>
                <w:szCs w:val="18"/>
              </w:rPr>
            </w:pPr>
            <w:r>
              <w:rPr>
                <w:rFonts w:ascii="宋体" w:hAnsi="宋体" w:cs="宋体" w:eastAsia="宋体" w:hint="default"/>
                <w:sz w:val="18"/>
                <w:szCs w:val="18"/>
              </w:rPr>
              <w:t>申请的一次性政府补 贴</w:t>
            </w: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26,488,652.96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56,465,861.72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29,333,698.63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募集资金委托理财</w:t>
            </w:r>
          </w:p>
        </w:tc>
      </w:tr>
      <w:tr>
        <w:trPr>
          <w:trHeight w:val="19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12,520,584.96</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3" w:right="125"/>
              <w:jc w:val="left"/>
              <w:rPr>
                <w:rFonts w:ascii="宋体" w:hAnsi="宋体" w:cs="宋体" w:eastAsia="宋体" w:hint="default"/>
                <w:sz w:val="18"/>
                <w:szCs w:val="18"/>
              </w:rPr>
            </w:pPr>
            <w:r>
              <w:rPr>
                <w:rFonts w:ascii="宋体" w:hAnsi="宋体" w:cs="宋体" w:eastAsia="宋体" w:hint="default"/>
                <w:sz w:val="18"/>
                <w:szCs w:val="18"/>
              </w:rPr>
              <w:t>非流动金融资产评估 增值</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81"/>
      </w:tblGrid>
      <w:tr>
        <w:trPr>
          <w:trHeight w:val="362"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的投资收益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64,372.39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671,984.00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27,758,876.49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偶发性营业外收支</w:t>
            </w: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6,969,567.49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10,070,961.86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12,760,153.23</w:t>
            </w: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39,494,215.82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57,068,783.86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72,307,534.95</w:t>
            </w:r>
          </w:p>
        </w:tc>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1"/>
        <w:ind w:left="152"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240" w:right="3224"/>
        <w:jc w:val="center"/>
        <w:rPr>
          <w:b w:val="0"/>
          <w:bCs w:val="0"/>
        </w:rPr>
      </w:pPr>
      <w:bookmarkStart w:name="_bookmark2" w:id="3"/>
      <w:bookmarkEnd w:id="3"/>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8"/>
        <w:rPr>
          <w:rFonts w:ascii="宋体" w:hAnsi="宋体" w:cs="宋体" w:eastAsia="宋体" w:hint="default"/>
          <w:b/>
          <w:bCs/>
          <w:sz w:val="22"/>
          <w:szCs w:val="22"/>
        </w:rPr>
      </w:pPr>
    </w:p>
    <w:p>
      <w:pPr>
        <w:spacing w:line="388" w:lineRule="auto" w:before="0"/>
        <w:ind w:left="635" w:right="0" w:hanging="483"/>
        <w:jc w:val="left"/>
        <w:rPr>
          <w:rFonts w:ascii="宋体" w:hAnsi="宋体" w:cs="宋体" w:eastAsia="宋体" w:hint="default"/>
          <w:sz w:val="24"/>
          <w:szCs w:val="24"/>
        </w:rPr>
      </w:pPr>
      <w:r>
        <w:rPr>
          <w:rFonts w:ascii="宋体" w:hAnsi="宋体" w:cs="宋体" w:eastAsia="宋体" w:hint="default"/>
          <w:b/>
          <w:bCs/>
          <w:sz w:val="24"/>
          <w:szCs w:val="24"/>
        </w:rPr>
        <w:t>（一）主营业务介绍</w:t>
      </w:r>
      <w:r>
        <w:rPr>
          <w:rFonts w:ascii="宋体" w:hAnsi="宋体" w:cs="宋体" w:eastAsia="宋体" w:hint="default"/>
          <w:b/>
          <w:bCs/>
          <w:w w:val="99"/>
          <w:sz w:val="24"/>
          <w:szCs w:val="24"/>
        </w:rPr>
        <w:t> </w:t>
      </w:r>
      <w:r>
        <w:rPr>
          <w:rFonts w:ascii="宋体" w:hAnsi="宋体" w:cs="宋体" w:eastAsia="宋体" w:hint="default"/>
          <w:sz w:val="24"/>
          <w:szCs w:val="24"/>
        </w:rPr>
        <w:t>公司是一家专业从事高分子新材料行业产品技术研发、生产销售、进出口贸易为一体的</w:t>
      </w:r>
    </w:p>
    <w:p>
      <w:pPr>
        <w:pStyle w:val="Heading3"/>
        <w:spacing w:line="242" w:lineRule="exact"/>
        <w:ind w:right="0"/>
        <w:jc w:val="left"/>
      </w:pPr>
      <w:r>
        <w:rPr/>
        <w:t>国家高新技术企业，服务领域涉及液晶显示、智能手机、触摸面板、汽车、建筑节能玻璃、</w:t>
      </w:r>
    </w:p>
    <w:p>
      <w:pPr>
        <w:pStyle w:val="Heading3"/>
        <w:spacing w:line="300" w:lineRule="auto" w:before="74"/>
        <w:ind w:right="1126"/>
        <w:jc w:val="left"/>
      </w:pPr>
      <w:r>
        <w:rPr/>
        <w:t>光伏新能源等，尤其在聚酯功能膜材料、光学材料、节能窗膜、信息材料、新能源材料等方</w:t>
      </w:r>
      <w:r>
        <w:rPr>
          <w:spacing w:val="-86"/>
        </w:rPr>
        <w:t> </w:t>
      </w:r>
      <w:r>
        <w:rPr>
          <w:spacing w:val="-86"/>
        </w:rPr>
      </w:r>
      <w:r>
        <w:rPr/>
        <w:t>面。</w:t>
      </w:r>
    </w:p>
    <w:p>
      <w:pPr>
        <w:pStyle w:val="Heading3"/>
        <w:spacing w:line="290" w:lineRule="auto" w:before="65"/>
        <w:ind w:right="1065" w:firstLine="480"/>
        <w:jc w:val="both"/>
      </w:pPr>
      <w:r>
        <w:rPr/>
        <w:t>公司实行三足鼎立营销战略，市场占有率不断增加，膜材料产品占国内市场份额位居行 </w:t>
      </w:r>
      <w:r>
        <w:rPr>
          <w:spacing w:val="-2"/>
        </w:rPr>
        <w:t>业前列。近年来通过不断发展壮大自身实力，完善产业链上下游资源配置，</w:t>
      </w:r>
      <w:r>
        <w:rPr>
          <w:rFonts w:ascii="Times New Roman" w:hAnsi="Times New Roman" w:cs="Times New Roman" w:eastAsia="Times New Roman" w:hint="default"/>
          <w:spacing w:val="-2"/>
        </w:rPr>
        <w:t>“</w:t>
      </w:r>
      <w:r>
        <w:rPr>
          <w:spacing w:val="-2"/>
        </w:rPr>
        <w:t>六大战略、三大</w:t>
      </w:r>
      <w:r>
        <w:rPr>
          <w:spacing w:val="-106"/>
        </w:rPr>
        <w:t> </w:t>
      </w:r>
      <w:r>
        <w:rPr>
          <w:spacing w:val="-106"/>
        </w:rPr>
      </w:r>
      <w:r>
        <w:rPr/>
        <w:t>变革</w:t>
      </w:r>
      <w:r>
        <w:rPr>
          <w:rFonts w:ascii="Times New Roman" w:hAnsi="Times New Roman" w:cs="Times New Roman" w:eastAsia="Times New Roman" w:hint="default"/>
        </w:rPr>
        <w:t>”</w:t>
      </w:r>
      <w:r>
        <w:rPr/>
        <w:t>双线发展战略成效显著，市场和业务结构逐步升级，核心竞争力和盈利能力不断提升。</w:t>
      </w:r>
    </w:p>
    <w:p>
      <w:pPr>
        <w:pStyle w:val="Heading3"/>
        <w:spacing w:line="240" w:lineRule="auto" w:before="51"/>
        <w:ind w:left="633" w:right="0"/>
        <w:jc w:val="left"/>
      </w:pPr>
      <w:r>
        <w:rPr/>
        <w:t>公司细分市场，现已形成</w:t>
      </w:r>
      <w:r>
        <w:rPr>
          <w:rFonts w:ascii="Times New Roman" w:hAnsi="Times New Roman" w:cs="Times New Roman" w:eastAsia="Times New Roman" w:hint="default"/>
        </w:rPr>
        <w:t>“</w:t>
      </w:r>
      <w:r>
        <w:rPr/>
        <w:t>五大板块</w:t>
      </w:r>
      <w:r>
        <w:rPr>
          <w:rFonts w:ascii="Times New Roman" w:hAnsi="Times New Roman" w:cs="Times New Roman" w:eastAsia="Times New Roman" w:hint="default"/>
        </w:rPr>
        <w:t>”</w:t>
      </w:r>
      <w:r>
        <w:rPr/>
        <w:t>为框架的产业布局。</w:t>
      </w:r>
    </w:p>
    <w:p>
      <w:pPr>
        <w:pStyle w:val="Heading3"/>
        <w:spacing w:line="297" w:lineRule="auto" w:before="215"/>
        <w:ind w:right="1032" w:firstLine="482"/>
        <w:jc w:val="left"/>
      </w:pPr>
      <w:r>
        <w:rPr>
          <w:rFonts w:ascii="宋体" w:hAnsi="宋体" w:cs="宋体" w:eastAsia="宋体" w:hint="default"/>
        </w:rPr>
        <w:t>1</w:t>
      </w:r>
      <w:r>
        <w:rPr/>
        <w:t>、光学材料板块：细分为光学基材板块和光学膜片板块。其中光学膜片板块产品众多， 包括扩散膜、棱镜膜、微透膜、光学复合膜片（</w:t>
      </w:r>
      <w:r>
        <w:rPr>
          <w:rFonts w:ascii="宋体" w:hAnsi="宋体" w:cs="宋体" w:eastAsia="宋体" w:hint="default"/>
        </w:rPr>
        <w:t>DOP/POP/MOP/DPP/MPLD</w:t>
      </w:r>
      <w:r>
        <w:rPr/>
        <w:t>等）产品，应用于超</w:t>
      </w:r>
      <w:r>
        <w:rPr>
          <w:spacing w:val="-84"/>
        </w:rPr>
        <w:t> </w:t>
      </w:r>
      <w:r>
        <w:rPr>
          <w:spacing w:val="-84"/>
        </w:rPr>
      </w:r>
      <w:r>
        <w:rPr/>
        <w:t>高清电视、</w:t>
      </w:r>
      <w:r>
        <w:rPr>
          <w:rFonts w:ascii="宋体" w:hAnsi="宋体" w:cs="宋体" w:eastAsia="宋体" w:hint="default"/>
        </w:rPr>
        <w:t>OLED</w:t>
      </w:r>
      <w:r>
        <w:rPr/>
        <w:t>电视、曲面</w:t>
      </w:r>
      <w:r>
        <w:rPr>
          <w:rFonts w:ascii="宋体" w:hAnsi="宋体" w:cs="宋体" w:eastAsia="宋体" w:hint="default"/>
        </w:rPr>
        <w:t>TV</w:t>
      </w:r>
      <w:r>
        <w:rPr/>
        <w:t>、显示器、触摸屏、笔记本电脑、平板电脑、智能手机、导航</w:t>
      </w:r>
      <w:r>
        <w:rPr>
          <w:spacing w:val="-90"/>
        </w:rPr>
        <w:t> </w:t>
      </w:r>
      <w:r>
        <w:rPr>
          <w:spacing w:val="-90"/>
        </w:rPr>
      </w:r>
      <w:r>
        <w:rPr/>
        <w:t>仪、车载显示屏等多个市场，通过不同渠道为华为、</w:t>
      </w:r>
      <w:r>
        <w:rPr>
          <w:rFonts w:ascii="宋体" w:hAnsi="宋体" w:cs="宋体" w:eastAsia="宋体" w:hint="default"/>
        </w:rPr>
        <w:t>BOE</w:t>
      </w:r>
      <w:r>
        <w:rPr/>
        <w:t>、海信、小米、创维、</w:t>
      </w:r>
      <w:r>
        <w:rPr>
          <w:rFonts w:ascii="宋体" w:hAnsi="宋体" w:cs="宋体" w:eastAsia="宋体" w:hint="default"/>
        </w:rPr>
        <w:t>TCL</w:t>
      </w:r>
      <w:r>
        <w:rPr/>
        <w:t>、长虹、</w:t>
      </w:r>
      <w:r>
        <w:rPr>
          <w:spacing w:val="-86"/>
        </w:rPr>
        <w:t> </w:t>
      </w:r>
      <w:r>
        <w:rPr>
          <w:spacing w:val="-86"/>
        </w:rPr>
      </w:r>
      <w:r>
        <w:rPr/>
        <w:t>康佳、康冠、冠捷等国内外品牌企业供货。公司继续成为三星</w:t>
      </w:r>
      <w:r>
        <w:rPr>
          <w:rFonts w:ascii="宋体" w:hAnsi="宋体" w:cs="宋体" w:eastAsia="宋体" w:hint="default"/>
        </w:rPr>
        <w:t>VD</w:t>
      </w:r>
      <w:r>
        <w:rPr/>
        <w:t>光学膜片全球唯一一家战略</w:t>
      </w:r>
      <w:r>
        <w:rPr>
          <w:spacing w:val="-88"/>
        </w:rPr>
        <w:t> </w:t>
      </w:r>
      <w:r>
        <w:rPr>
          <w:spacing w:val="-88"/>
        </w:rPr>
      </w:r>
      <w:r>
        <w:rPr/>
        <w:t>合作供应商，光学膜片对三星出口销售同比快速增长。</w:t>
      </w:r>
    </w:p>
    <w:p>
      <w:pPr>
        <w:pStyle w:val="Heading3"/>
        <w:spacing w:line="297" w:lineRule="auto" w:before="175"/>
        <w:ind w:right="0" w:firstLine="482"/>
        <w:jc w:val="left"/>
      </w:pPr>
      <w:r>
        <w:rPr>
          <w:spacing w:val="-3"/>
        </w:rPr>
        <w:t>光学基膜板块，全面进军光学基材领域，显示用光学基膜、消费电子产品基膜开发生产，</w:t>
      </w:r>
      <w:r>
        <w:rPr/>
        <w:t> </w:t>
      </w:r>
      <w:r>
        <w:rPr>
          <w:spacing w:val="3"/>
        </w:rPr>
        <w:t>包括扩散</w:t>
      </w:r>
      <w:r>
        <w:rPr>
          <w:rFonts w:ascii="宋体" w:hAnsi="宋体" w:cs="宋体" w:eastAsia="宋体" w:hint="default"/>
          <w:spacing w:val="3"/>
        </w:rPr>
        <w:t>/</w:t>
      </w:r>
      <w:r>
        <w:rPr>
          <w:spacing w:val="3"/>
        </w:rPr>
        <w:t>棱镜</w:t>
      </w:r>
      <w:r>
        <w:rPr>
          <w:rFonts w:ascii="宋体" w:hAnsi="宋体" w:cs="宋体" w:eastAsia="宋体" w:hint="default"/>
          <w:spacing w:val="3"/>
        </w:rPr>
        <w:t>/</w:t>
      </w:r>
      <w:r>
        <w:rPr>
          <w:spacing w:val="3"/>
        </w:rPr>
        <w:t>复合</w:t>
      </w:r>
      <w:r>
        <w:rPr>
          <w:rFonts w:ascii="宋体" w:hAnsi="宋体" w:cs="宋体" w:eastAsia="宋体" w:hint="default"/>
          <w:spacing w:val="3"/>
        </w:rPr>
        <w:t>/</w:t>
      </w:r>
      <w:r>
        <w:rPr>
          <w:spacing w:val="3"/>
        </w:rPr>
        <w:t>微透用光学基膜、调光玻璃用光学基膜、光学级保护离型基膜、</w:t>
      </w:r>
      <w:r>
        <w:rPr>
          <w:rFonts w:ascii="宋体" w:hAnsi="宋体" w:cs="宋体" w:eastAsia="宋体" w:hint="default"/>
          <w:spacing w:val="3"/>
        </w:rPr>
        <w:t>MLCC</w:t>
      </w:r>
      <w:r>
        <w:rPr>
          <w:rFonts w:ascii="宋体" w:hAnsi="宋体" w:cs="宋体" w:eastAsia="宋体" w:hint="default"/>
          <w:spacing w:val="-106"/>
        </w:rPr>
        <w:t> </w:t>
      </w:r>
      <w:r>
        <w:rPr/>
        <w:t>用离型基膜、</w:t>
      </w:r>
      <w:r>
        <w:rPr>
          <w:rFonts w:ascii="宋体" w:hAnsi="宋体" w:cs="宋体" w:eastAsia="宋体" w:hint="default"/>
        </w:rPr>
        <w:t>OCA</w:t>
      </w:r>
      <w:r>
        <w:rPr/>
        <w:t>用高端离型膜基膜、</w:t>
      </w:r>
      <w:r>
        <w:rPr>
          <w:rFonts w:ascii="宋体" w:hAnsi="宋体" w:cs="宋体" w:eastAsia="宋体" w:hint="default"/>
        </w:rPr>
        <w:t>AB</w:t>
      </w:r>
      <w:r>
        <w:rPr/>
        <w:t>胶用高端离型膜基膜、偏光片离型保护基膜及触摸屏 保护膜基膜等产品，应用于显示领域高端材料。</w:t>
      </w:r>
    </w:p>
    <w:p>
      <w:pPr>
        <w:pStyle w:val="Heading3"/>
        <w:spacing w:line="290" w:lineRule="auto" w:before="70"/>
        <w:ind w:right="1034" w:firstLine="480"/>
        <w:jc w:val="left"/>
      </w:pPr>
      <w:r>
        <w:rPr>
          <w:rFonts w:ascii="Times New Roman" w:hAnsi="Times New Roman" w:cs="Times New Roman" w:eastAsia="Times New Roman" w:hint="default"/>
        </w:rPr>
        <w:t>2</w:t>
      </w:r>
      <w:r>
        <w:rPr/>
        <w:t>、节能窗膜板块：深化品牌拓展，全球开展合作交流。公司致力于高端窗膜研发生产， 推出星膜范系列节能建筑膜、车用太阳膜、漆面保护膜、家居安全膜、智能调光膜和护肤膜</w:t>
      </w:r>
      <w:r>
        <w:rPr>
          <w:spacing w:val="-91"/>
        </w:rPr>
        <w:t> </w:t>
      </w:r>
      <w:r>
        <w:rPr>
          <w:spacing w:val="-91"/>
        </w:rPr>
      </w:r>
      <w:r>
        <w:rPr/>
        <w:t>等产品。</w:t>
      </w:r>
    </w:p>
    <w:p>
      <w:pPr>
        <w:pStyle w:val="Heading3"/>
        <w:spacing w:line="292" w:lineRule="auto" w:before="74"/>
        <w:ind w:right="1128" w:firstLine="480"/>
        <w:jc w:val="both"/>
      </w:pPr>
      <w:r>
        <w:rPr/>
        <w:t>其中：节能建筑膜包括纳米陶瓷隔热膜、高红外反射隔热膜、（单银</w:t>
      </w:r>
      <w:r>
        <w:rPr>
          <w:rFonts w:ascii="Times New Roman" w:hAnsi="Times New Roman" w:cs="Times New Roman" w:eastAsia="Times New Roman" w:hint="default"/>
        </w:rPr>
        <w:t>/</w:t>
      </w:r>
      <w:r>
        <w:rPr/>
        <w:t>双银</w:t>
      </w:r>
      <w:r>
        <w:rPr>
          <w:rFonts w:ascii="Times New Roman" w:hAnsi="Times New Roman" w:cs="Times New Roman" w:eastAsia="Times New Roman" w:hint="default"/>
        </w:rPr>
        <w:t>/</w:t>
      </w:r>
      <w:r>
        <w:rPr/>
        <w:t>三银</w:t>
      </w:r>
      <w:r>
        <w:rPr>
          <w:rFonts w:ascii="Times New Roman" w:hAnsi="Times New Roman" w:cs="Times New Roman" w:eastAsia="Times New Roman" w:hint="default"/>
        </w:rPr>
        <w:t>/</w:t>
      </w:r>
      <w:r>
        <w:rPr/>
        <w:t>极致四</w:t>
      </w:r>
      <w:r>
        <w:rPr>
          <w:spacing w:val="2"/>
        </w:rPr>
        <w:t> </w:t>
      </w:r>
      <w:r>
        <w:rPr/>
        <w:t>银）、高清膜、防蓝光膜、户外玻璃安全防爆膜、负离子除菌安全膜、家居膜等，主要应用</w:t>
      </w:r>
      <w:r>
        <w:rPr>
          <w:spacing w:val="-91"/>
        </w:rPr>
        <w:t> </w:t>
      </w:r>
      <w:r>
        <w:rPr>
          <w:spacing w:val="-91"/>
        </w:rPr>
      </w:r>
      <w:r>
        <w:rPr/>
        <w:t>于建筑门窗、阳光房、房外天棚、火车、飞机、游轮及其它交通工具，机场、宾馆、学校、</w:t>
      </w:r>
      <w:r>
        <w:rPr>
          <w:spacing w:val="-91"/>
        </w:rPr>
        <w:t> </w:t>
      </w:r>
      <w:r>
        <w:rPr>
          <w:spacing w:val="-91"/>
        </w:rPr>
      </w:r>
      <w:r>
        <w:rPr/>
        <w:t>公共场所、民居等建筑门窗、隔断、天棚等领域。</w:t>
      </w:r>
    </w:p>
    <w:p>
      <w:pPr>
        <w:pStyle w:val="Heading3"/>
        <w:spacing w:line="290" w:lineRule="auto" w:before="74"/>
        <w:ind w:right="1130" w:firstLine="480"/>
        <w:jc w:val="both"/>
        <w:rPr>
          <w:rFonts w:ascii="Times New Roman" w:hAnsi="Times New Roman" w:cs="Times New Roman" w:eastAsia="Times New Roman" w:hint="default"/>
        </w:rPr>
      </w:pPr>
      <w:r>
        <w:rPr/>
        <w:t>车用太阳膜包括高隔热纳米窗膜（自然风光系列：青山、绿水、夜幕、林荫、墨竹、月 色）、车衣膜、安全防弹膜、三银高隔热前挡、双银高隔热前挡、</w:t>
      </w:r>
      <w:r>
        <w:rPr>
          <w:rFonts w:ascii="Times New Roman" w:hAnsi="Times New Roman" w:cs="Times New Roman" w:eastAsia="Times New Roman" w:hint="default"/>
        </w:rPr>
        <w:t>TPU</w:t>
      </w:r>
      <w:r>
        <w:rPr/>
        <w:t>车衣膜、单银高隔热</w:t>
      </w:r>
      <w:r>
        <w:rPr>
          <w:spacing w:val="-60"/>
        </w:rPr>
        <w:t> </w:t>
      </w:r>
      <w:r>
        <w:rPr>
          <w:spacing w:val="-60"/>
        </w:rPr>
      </w:r>
      <w:r>
        <w:rPr>
          <w:spacing w:val="-2"/>
        </w:rPr>
        <w:t>前挡、极致四银侧后档、磁控高级侧后挡、全防紫外线前挡、高级金属前挡、</w:t>
      </w:r>
      <w:r>
        <w:rPr>
          <w:rFonts w:ascii="Times New Roman" w:hAnsi="Times New Roman" w:cs="Times New Roman" w:eastAsia="Times New Roman" w:hint="default"/>
          <w:spacing w:val="-2"/>
        </w:rPr>
        <w:t>D</w:t>
      </w:r>
      <w:r>
        <w:rPr>
          <w:spacing w:val="-2"/>
        </w:rPr>
        <w:t>系列前挡、</w:t>
      </w:r>
      <w:r>
        <w:rPr>
          <w:rFonts w:ascii="Times New Roman" w:hAnsi="Times New Roman" w:cs="Times New Roman" w:eastAsia="Times New Roman" w:hint="default"/>
          <w:spacing w:val="-2"/>
        </w:rPr>
        <w:t>N</w:t>
      </w:r>
    </w:p>
    <w:p>
      <w:pPr>
        <w:spacing w:after="0" w:line="290" w:lineRule="auto"/>
        <w:jc w:val="both"/>
        <w:rPr>
          <w:rFonts w:ascii="Times New Roman" w:hAnsi="Times New Roman" w:cs="Times New Roman" w:eastAsia="Times New Roman" w:hint="default"/>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pStyle w:val="Heading3"/>
        <w:spacing w:line="280" w:lineRule="auto" w:before="143"/>
        <w:ind w:right="0"/>
        <w:jc w:val="left"/>
      </w:pPr>
      <w:r>
        <w:rPr>
          <w:spacing w:val="-1"/>
        </w:rPr>
        <w:t>系列侧窗、</w:t>
      </w:r>
      <w:r>
        <w:rPr>
          <w:rFonts w:ascii="Times New Roman" w:hAnsi="Times New Roman" w:cs="Times New Roman" w:eastAsia="Times New Roman" w:hint="default"/>
          <w:spacing w:val="-1"/>
        </w:rPr>
        <w:t>E</w:t>
      </w:r>
      <w:r>
        <w:rPr>
          <w:spacing w:val="-1"/>
        </w:rPr>
        <w:t>系列磁控碳膜侧窗、</w:t>
      </w:r>
      <w:r>
        <w:rPr>
          <w:rFonts w:ascii="Times New Roman" w:hAnsi="Times New Roman" w:cs="Times New Roman" w:eastAsia="Times New Roman" w:hint="default"/>
          <w:spacing w:val="-1"/>
        </w:rPr>
        <w:t>SP</w:t>
      </w:r>
      <w:r>
        <w:rPr>
          <w:spacing w:val="-1"/>
        </w:rPr>
        <w:t>原色磁控系列、纳米陶瓷磁控银前挡系列、磁控银前挡、</w:t>
      </w:r>
      <w:r>
        <w:rPr>
          <w:spacing w:val="-97"/>
        </w:rPr>
        <w:t> </w:t>
      </w:r>
      <w:r>
        <w:rPr>
          <w:spacing w:val="-97"/>
        </w:rPr>
      </w:r>
      <w:r>
        <w:rPr/>
        <w:t>蓝银等产品。</w:t>
      </w:r>
    </w:p>
    <w:p>
      <w:pPr>
        <w:pStyle w:val="Heading3"/>
        <w:spacing w:line="297" w:lineRule="auto" w:before="86"/>
        <w:ind w:right="0" w:firstLine="480"/>
        <w:jc w:val="left"/>
      </w:pPr>
      <w:r>
        <w:rPr/>
        <w:t>家居安全膜包括高端家具漆面保护膜、光学级安全膜、建筑玻璃幕墙外贴膜、防弹膜等 产品，主要应用于家居、军用、医院、阳光房、宾馆、公共场所等领域。</w:t>
      </w:r>
    </w:p>
    <w:p>
      <w:pPr>
        <w:pStyle w:val="Heading3"/>
        <w:spacing w:line="297" w:lineRule="auto" w:before="70"/>
        <w:ind w:right="0" w:firstLine="480"/>
        <w:jc w:val="left"/>
      </w:pPr>
      <w:r>
        <w:rPr/>
        <w:t>护肤膜包括全防紫外线护肤膜、不泛蓝护肤膜、高清晰度原色膜等产品，主要应用于汽 车玻璃贴膜、建筑玻璃贴膜。</w:t>
      </w:r>
    </w:p>
    <w:p>
      <w:pPr>
        <w:pStyle w:val="Heading3"/>
        <w:spacing w:line="290" w:lineRule="auto" w:before="70"/>
        <w:ind w:right="996" w:firstLine="480"/>
        <w:jc w:val="left"/>
      </w:pPr>
      <w:r>
        <w:rPr/>
        <w:t>调光玻璃膜（智能电控液晶膜）包括标准型和彩色型产品，主要应用在智能家居、阳光 </w:t>
      </w:r>
      <w:r>
        <w:rPr>
          <w:spacing w:val="-3"/>
        </w:rPr>
        <w:t>房、办公会议隔断、手术室、智能建筑视窗、酒店卫浴隔断、橱窗柜体展厅、户外投影显示、</w:t>
      </w:r>
      <w:r>
        <w:rPr>
          <w:spacing w:val="-82"/>
        </w:rPr>
        <w:t> </w:t>
      </w:r>
      <w:r>
        <w:rPr>
          <w:spacing w:val="-82"/>
        </w:rPr>
      </w:r>
      <w:r>
        <w:rPr>
          <w:spacing w:val="-2"/>
        </w:rPr>
        <w:t>建筑外墙及汽车玻璃等领域。各系列产品全面推向市场以优异的性能迅速赶超国际一线品牌，</w:t>
      </w:r>
      <w:r>
        <w:rPr/>
        <w:t> </w:t>
      </w:r>
      <w:r>
        <w:rPr>
          <w:spacing w:val="-3"/>
        </w:rPr>
        <w:t>具有安全、防爆、隐私、节能、环保、装饰、美观、智能等性能，夏季节能效果可节约</w:t>
      </w:r>
      <w:r>
        <w:rPr>
          <w:rFonts w:ascii="Times New Roman" w:hAnsi="Times New Roman" w:cs="Times New Roman" w:eastAsia="Times New Roman" w:hint="default"/>
          <w:spacing w:val="-3"/>
        </w:rPr>
        <w:t>27.8%</w:t>
      </w:r>
      <w:r>
        <w:rPr>
          <w:rFonts w:ascii="Times New Roman" w:hAnsi="Times New Roman" w:cs="Times New Roman" w:eastAsia="Times New Roman" w:hint="default"/>
          <w:spacing w:val="-34"/>
        </w:rPr>
        <w:t> </w:t>
      </w:r>
      <w:r>
        <w:rPr/>
        <w:t>建筑能耗，隔紫外率高达</w:t>
      </w:r>
      <w:r>
        <w:rPr>
          <w:rFonts w:ascii="Times New Roman" w:hAnsi="Times New Roman" w:cs="Times New Roman" w:eastAsia="Times New Roman" w:hint="default"/>
        </w:rPr>
        <w:t>99%</w:t>
      </w:r>
      <w:r>
        <w:rPr/>
        <w:t>以上，其中：高红外反射隔热膜性能卓越替代进口品牌，实现</w:t>
      </w:r>
      <w:r>
        <w:rPr>
          <w:spacing w:val="-51"/>
        </w:rPr>
        <w:t> </w:t>
      </w:r>
      <w:r>
        <w:rPr>
          <w:spacing w:val="-51"/>
        </w:rPr>
      </w:r>
      <w:r>
        <w:rPr/>
        <w:t>了国产品牌替代进口。</w:t>
      </w:r>
    </w:p>
    <w:p>
      <w:pPr>
        <w:pStyle w:val="Heading3"/>
        <w:spacing w:line="292" w:lineRule="auto" w:before="74"/>
        <w:ind w:right="1131" w:firstLine="480"/>
        <w:jc w:val="both"/>
      </w:pPr>
      <w:r>
        <w:rPr>
          <w:rFonts w:ascii="宋体" w:hAnsi="宋体" w:cs="宋体" w:eastAsia="宋体" w:hint="default"/>
          <w:spacing w:val="-7"/>
        </w:rPr>
        <w:t>3</w:t>
      </w:r>
      <w:r>
        <w:rPr>
          <w:spacing w:val="-7"/>
        </w:rPr>
        <w:t>、信息材料板块：产品包括</w:t>
      </w:r>
      <w:r>
        <w:rPr>
          <w:rFonts w:ascii="宋体" w:hAnsi="宋体" w:cs="宋体" w:eastAsia="宋体" w:hint="default"/>
          <w:spacing w:val="-7"/>
        </w:rPr>
        <w:t>TTR</w:t>
      </w:r>
      <w:r>
        <w:rPr>
          <w:spacing w:val="-7"/>
        </w:rPr>
        <w:t>碳带膜、</w:t>
      </w:r>
      <w:r>
        <w:rPr>
          <w:rFonts w:ascii="宋体" w:hAnsi="宋体" w:cs="宋体" w:eastAsia="宋体" w:hint="default"/>
          <w:spacing w:val="-7"/>
        </w:rPr>
        <w:t>4</w:t>
      </w:r>
      <w:r>
        <w:rPr>
          <w:rFonts w:ascii="Arial" w:hAnsi="Arial" w:cs="Arial" w:eastAsia="Arial" w:hint="default"/>
          <w:spacing w:val="-7"/>
        </w:rPr>
        <w:t>μ </w:t>
      </w:r>
      <w:r>
        <w:rPr>
          <w:rFonts w:ascii="宋体" w:hAnsi="宋体" w:cs="宋体" w:eastAsia="宋体" w:hint="default"/>
          <w:spacing w:val="-3"/>
        </w:rPr>
        <w:t>m</w:t>
      </w:r>
      <w:r>
        <w:rPr>
          <w:spacing w:val="-3"/>
        </w:rPr>
        <w:t>高端</w:t>
      </w:r>
      <w:r>
        <w:rPr>
          <w:rFonts w:ascii="宋体" w:hAnsi="宋体" w:cs="宋体" w:eastAsia="宋体" w:hint="default"/>
          <w:spacing w:val="-3"/>
        </w:rPr>
        <w:t>TTR</w:t>
      </w:r>
      <w:r>
        <w:rPr>
          <w:spacing w:val="-3"/>
        </w:rPr>
        <w:t>膜、电阻式</w:t>
      </w:r>
      <w:r>
        <w:rPr>
          <w:rFonts w:ascii="宋体" w:hAnsi="宋体" w:cs="宋体" w:eastAsia="宋体" w:hint="default"/>
          <w:spacing w:val="-3"/>
        </w:rPr>
        <w:t>/</w:t>
      </w:r>
      <w:r>
        <w:rPr>
          <w:spacing w:val="-3"/>
        </w:rPr>
        <w:t>电容式</w:t>
      </w:r>
      <w:r>
        <w:rPr>
          <w:rFonts w:ascii="宋体" w:hAnsi="宋体" w:cs="宋体" w:eastAsia="宋体" w:hint="default"/>
          <w:spacing w:val="-3"/>
        </w:rPr>
        <w:t>/</w:t>
      </w:r>
      <w:r>
        <w:rPr>
          <w:spacing w:val="-3"/>
        </w:rPr>
        <w:t>调光玻璃用</w:t>
      </w:r>
      <w:r>
        <w:rPr>
          <w:rFonts w:ascii="宋体" w:hAnsi="宋体" w:cs="宋体" w:eastAsia="宋体" w:hint="default"/>
          <w:spacing w:val="-3"/>
        </w:rPr>
        <w:t>ITO</w:t>
      </w:r>
      <w:r>
        <w:rPr>
          <w:rFonts w:ascii="宋体" w:hAnsi="宋体" w:cs="宋体" w:eastAsia="宋体" w:hint="default"/>
        </w:rPr>
        <w:t> </w:t>
      </w:r>
      <w:r>
        <w:rPr>
          <w:spacing w:val="-2"/>
        </w:rPr>
        <w:t>导电膜、、低电阻</w:t>
      </w:r>
      <w:r>
        <w:rPr>
          <w:rFonts w:ascii="宋体" w:hAnsi="宋体" w:cs="宋体" w:eastAsia="宋体" w:hint="default"/>
          <w:spacing w:val="-2"/>
        </w:rPr>
        <w:t>ITO</w:t>
      </w:r>
      <w:r>
        <w:rPr>
          <w:spacing w:val="-2"/>
        </w:rPr>
        <w:t>导电膜、</w:t>
      </w:r>
      <w:r>
        <w:rPr>
          <w:rFonts w:ascii="宋体" w:hAnsi="宋体" w:cs="宋体" w:eastAsia="宋体" w:hint="default"/>
          <w:spacing w:val="-2"/>
        </w:rPr>
        <w:t>IM</w:t>
      </w:r>
      <w:r>
        <w:rPr>
          <w:spacing w:val="-2"/>
        </w:rPr>
        <w:t>基膜、激光屏幕膜等产品，满足了触摸面板、手机、打印色</w:t>
      </w:r>
      <w:r>
        <w:rPr>
          <w:spacing w:val="-118"/>
        </w:rPr>
        <w:t> </w:t>
      </w:r>
      <w:r>
        <w:rPr>
          <w:spacing w:val="-118"/>
        </w:rPr>
      </w:r>
      <w:r>
        <w:rPr/>
        <w:t>带、条形码、条幅等领域的迫切需求，在行业内处于领先水平，为多家品牌制造公司全球供</w:t>
      </w:r>
      <w:r>
        <w:rPr>
          <w:spacing w:val="-91"/>
        </w:rPr>
        <w:t> </w:t>
      </w:r>
      <w:r>
        <w:rPr>
          <w:spacing w:val="-91"/>
        </w:rPr>
      </w:r>
      <w:r>
        <w:rPr/>
        <w:t>货。</w:t>
      </w:r>
    </w:p>
    <w:p>
      <w:pPr>
        <w:pStyle w:val="Heading3"/>
        <w:spacing w:line="290" w:lineRule="auto" w:before="72"/>
        <w:ind w:right="0" w:firstLine="480"/>
        <w:jc w:val="left"/>
      </w:pPr>
      <w:r>
        <w:rPr>
          <w:rFonts w:ascii="宋体" w:hAnsi="宋体" w:cs="宋体" w:eastAsia="宋体" w:hint="default"/>
          <w:spacing w:val="-3"/>
        </w:rPr>
        <w:t>4</w:t>
      </w:r>
      <w:r>
        <w:rPr>
          <w:spacing w:val="-3"/>
        </w:rPr>
        <w:t>、热收缩材料板块：公司通过技术创新自主开发高端热收缩聚酯膜，建立标准体系，实</w:t>
      </w:r>
      <w:r>
        <w:rPr/>
        <w:t> 现多品种发展，种类齐全，涵盖超高收缩率、高收缩率、中收缩率、低收缩率、低温收缩、</w:t>
      </w:r>
      <w:r>
        <w:rPr>
          <w:spacing w:val="-91"/>
        </w:rPr>
        <w:t> </w:t>
      </w:r>
      <w:r>
        <w:rPr>
          <w:spacing w:val="-91"/>
        </w:rPr>
      </w:r>
      <w:r>
        <w:rPr>
          <w:spacing w:val="-5"/>
        </w:rPr>
        <w:t>抗紫外线、低收缩力、较好收缩曲线、白膜、双向拉伸</w:t>
      </w:r>
      <w:r>
        <w:rPr>
          <w:rFonts w:ascii="Times New Roman" w:hAnsi="Times New Roman" w:cs="Times New Roman" w:eastAsia="Times New Roman" w:hint="default"/>
          <w:spacing w:val="-5"/>
        </w:rPr>
        <w:t>PETG</w:t>
      </w:r>
      <w:r>
        <w:rPr>
          <w:spacing w:val="-5"/>
        </w:rPr>
        <w:t>收缩膜、抗</w:t>
      </w:r>
      <w:r>
        <w:rPr>
          <w:rFonts w:ascii="Times New Roman" w:hAnsi="Times New Roman" w:cs="Times New Roman" w:eastAsia="Times New Roman" w:hint="default"/>
          <w:spacing w:val="-5"/>
        </w:rPr>
        <w:t>UV</w:t>
      </w:r>
      <w:r>
        <w:rPr>
          <w:spacing w:val="-5"/>
        </w:rPr>
        <w:t>白色</w:t>
      </w:r>
      <w:r>
        <w:rPr>
          <w:rFonts w:ascii="Times New Roman" w:hAnsi="Times New Roman" w:cs="Times New Roman" w:eastAsia="Times New Roman" w:hint="default"/>
          <w:spacing w:val="-5"/>
        </w:rPr>
        <w:t>PETG</w:t>
      </w:r>
      <w:r>
        <w:rPr>
          <w:spacing w:val="-5"/>
        </w:rPr>
        <w:t>收缩膜、</w:t>
      </w:r>
      <w:r>
        <w:rPr>
          <w:spacing w:val="-86"/>
        </w:rPr>
        <w:t> </w:t>
      </w:r>
      <w:r>
        <w:rPr>
          <w:spacing w:val="-86"/>
        </w:rPr>
      </w:r>
      <w:r>
        <w:rPr>
          <w:rFonts w:ascii="Times New Roman" w:hAnsi="Times New Roman" w:cs="Times New Roman" w:eastAsia="Times New Roman" w:hint="default"/>
        </w:rPr>
        <w:t>PVC</w:t>
      </w:r>
      <w:r>
        <w:rPr/>
        <w:t>收缩膜及功能膜等产品，适用于各种标签、瓶用套装、异形容器外用收缩等要求，积极</w:t>
      </w:r>
      <w:r>
        <w:rPr>
          <w:spacing w:val="-74"/>
        </w:rPr>
        <w:t> </w:t>
      </w:r>
      <w:r>
        <w:rPr>
          <w:spacing w:val="-74"/>
        </w:rPr>
      </w:r>
      <w:r>
        <w:rPr/>
        <w:t>拓展国际市场，国内市场应用增长。</w:t>
      </w:r>
    </w:p>
    <w:p>
      <w:pPr>
        <w:pStyle w:val="Heading3"/>
        <w:spacing w:line="297" w:lineRule="auto" w:before="77"/>
        <w:ind w:right="1135" w:firstLine="480"/>
        <w:jc w:val="both"/>
      </w:pPr>
      <w:r>
        <w:rPr>
          <w:rFonts w:ascii="宋体" w:hAnsi="宋体" w:cs="宋体" w:eastAsia="宋体" w:hint="default"/>
          <w:spacing w:val="-3"/>
        </w:rPr>
        <w:t>5</w:t>
      </w:r>
      <w:r>
        <w:rPr>
          <w:spacing w:val="-3"/>
        </w:rPr>
        <w:t>、新能源材料板块：实现品种开发，质量完善稳步提升，市场竞争力大幅增强。主要推</w:t>
      </w:r>
      <w:r>
        <w:rPr/>
        <w:t> 出适应不同地区气候条件使用的太阳能电池背材基膜、太阳能电池背板膜（包括乳白、半透</w:t>
      </w:r>
      <w:r>
        <w:rPr>
          <w:spacing w:val="-91"/>
        </w:rPr>
        <w:t> </w:t>
      </w:r>
      <w:r>
        <w:rPr>
          <w:spacing w:val="-91"/>
        </w:rPr>
      </w:r>
      <w:r>
        <w:rPr/>
        <w:t>明、不透明）等系列产品，可满足太阳能电池封装材料的需求，目前供应国内前五大主要太</w:t>
      </w:r>
      <w:r>
        <w:rPr>
          <w:spacing w:val="-91"/>
        </w:rPr>
        <w:t> </w:t>
      </w:r>
      <w:r>
        <w:rPr>
          <w:spacing w:val="-91"/>
        </w:rPr>
      </w:r>
      <w:r>
        <w:rPr/>
        <w:t>阳能电池背板生产商，同时开展了对外市场拓展合作。</w:t>
      </w:r>
    </w:p>
    <w:p>
      <w:pPr>
        <w:pStyle w:val="Heading2"/>
        <w:spacing w:line="240" w:lineRule="auto" w:before="67"/>
        <w:ind w:left="635" w:right="0"/>
        <w:jc w:val="left"/>
        <w:rPr>
          <w:b w:val="0"/>
          <w:bCs w:val="0"/>
        </w:rPr>
      </w:pPr>
      <w:r>
        <w:rPr/>
        <w:t>（二）经营模式</w:t>
      </w:r>
      <w:r>
        <w:rPr>
          <w:b w:val="0"/>
          <w:bCs w:val="0"/>
        </w:rPr>
      </w:r>
    </w:p>
    <w:p>
      <w:pPr>
        <w:pStyle w:val="Heading3"/>
        <w:spacing w:line="316" w:lineRule="auto" w:before="127"/>
        <w:ind w:left="633" w:right="0"/>
        <w:jc w:val="left"/>
      </w:pPr>
      <w:r>
        <w:rPr>
          <w:rFonts w:ascii="Times New Roman" w:hAnsi="Times New Roman" w:cs="Times New Roman" w:eastAsia="Times New Roman" w:hint="default"/>
        </w:rPr>
        <w:t>1</w:t>
      </w:r>
      <w:r>
        <w:rPr/>
        <w:t>、采购模式 公司所需的大宗原材料和其他辅助材料均由公司采购部负责采购。采购部在经营目标指</w:t>
      </w:r>
    </w:p>
    <w:p>
      <w:pPr>
        <w:pStyle w:val="Heading3"/>
        <w:spacing w:line="312" w:lineRule="exact"/>
        <w:ind w:right="0"/>
        <w:jc w:val="left"/>
      </w:pPr>
      <w:r>
        <w:rPr/>
        <w:t>导下，根据订单及各部门物料需求，形成中短期采购计划。在供应商选择方面，采购部运用</w:t>
      </w:r>
    </w:p>
    <w:p>
      <w:pPr>
        <w:pStyle w:val="Heading3"/>
        <w:spacing w:line="316" w:lineRule="auto" w:before="77"/>
        <w:ind w:left="633" w:right="4554" w:hanging="481"/>
        <w:jc w:val="left"/>
      </w:pPr>
      <w:r>
        <w:rPr>
          <w:rFonts w:ascii="Times New Roman" w:hAnsi="Times New Roman" w:cs="Times New Roman" w:eastAsia="Times New Roman" w:hint="default"/>
        </w:rPr>
        <w:t>ERP</w:t>
      </w:r>
      <w:r>
        <w:rPr/>
        <w:t>管理系统，积极拓展采购渠道，完善供应商管理制度。</w:t>
      </w:r>
      <w:r>
        <w:rPr>
          <w:w w:val="99"/>
        </w:rPr>
        <w:t> </w:t>
      </w:r>
      <w:r>
        <w:rPr>
          <w:rFonts w:ascii="Times New Roman" w:hAnsi="Times New Roman" w:cs="Times New Roman" w:eastAsia="Times New Roman" w:hint="default"/>
        </w:rPr>
        <w:t>2</w:t>
      </w:r>
      <w:r>
        <w:rPr/>
        <w:t>、生产模式</w:t>
      </w:r>
    </w:p>
    <w:p>
      <w:pPr>
        <w:pStyle w:val="Heading3"/>
        <w:spacing w:line="297" w:lineRule="auto" w:before="24"/>
        <w:ind w:right="0" w:firstLine="480"/>
        <w:jc w:val="left"/>
      </w:pPr>
      <w:r>
        <w:rPr/>
        <w:t>公司根据客户订单的需求量和交货期进行生产安排，不断开发适应市场和客户需求的差 异化产品，优化产品结构，持续提高产品质量，节能降耗。</w:t>
      </w:r>
    </w:p>
    <w:p>
      <w:pPr>
        <w:spacing w:after="0" w:line="297" w:lineRule="auto"/>
        <w:jc w:val="left"/>
        <w:sectPr>
          <w:pgSz w:w="11910" w:h="16840"/>
          <w:pgMar w:header="745" w:footer="980" w:top="1060" w:bottom="1160" w:left="980" w:right="0"/>
        </w:sectPr>
      </w:pPr>
    </w:p>
    <w:p>
      <w:pPr>
        <w:spacing w:line="240" w:lineRule="auto" w:before="7"/>
        <w:rPr>
          <w:rFonts w:ascii="宋体" w:hAnsi="宋体" w:cs="宋体" w:eastAsia="宋体" w:hint="default"/>
          <w:sz w:val="26"/>
          <w:szCs w:val="26"/>
        </w:rPr>
      </w:pPr>
    </w:p>
    <w:p>
      <w:pPr>
        <w:pStyle w:val="Heading3"/>
        <w:spacing w:line="316" w:lineRule="auto" w:before="26"/>
        <w:ind w:left="633" w:right="1073"/>
        <w:jc w:val="left"/>
      </w:pPr>
      <w:r>
        <w:rPr>
          <w:rFonts w:ascii="Times New Roman" w:hAnsi="Times New Roman" w:cs="Times New Roman" w:eastAsia="Times New Roman" w:hint="default"/>
        </w:rPr>
        <w:t>3</w:t>
      </w:r>
      <w:r>
        <w:rPr/>
        <w:t>、销售模式 公司坚持</w:t>
      </w:r>
      <w:r>
        <w:rPr>
          <w:rFonts w:ascii="Times New Roman" w:hAnsi="Times New Roman" w:cs="Times New Roman" w:eastAsia="Times New Roman" w:hint="default"/>
        </w:rPr>
        <w:t>“</w:t>
      </w:r>
      <w:r>
        <w:rPr/>
        <w:t>三足鼎立</w:t>
      </w:r>
      <w:r>
        <w:rPr>
          <w:rFonts w:ascii="Times New Roman" w:hAnsi="Times New Roman" w:cs="Times New Roman" w:eastAsia="Times New Roman" w:hint="default"/>
        </w:rPr>
        <w:t>”</w:t>
      </w:r>
      <w:r>
        <w:rPr/>
        <w:t>战略实施，加力市场拓展，充分依托优势资源，优化</w:t>
      </w:r>
      <w:r>
        <w:rPr>
          <w:rFonts w:ascii="Times New Roman" w:hAnsi="Times New Roman" w:cs="Times New Roman" w:eastAsia="Times New Roman" w:hint="default"/>
        </w:rPr>
        <w:t>“</w:t>
      </w:r>
      <w:r>
        <w:rPr/>
        <w:t>总量、五大、</w:t>
      </w:r>
    </w:p>
    <w:p>
      <w:pPr>
        <w:pStyle w:val="Heading3"/>
        <w:spacing w:line="306" w:lineRule="exact"/>
        <w:ind w:right="0"/>
        <w:jc w:val="both"/>
      </w:pPr>
      <w:r>
        <w:rPr/>
        <w:t>外贸</w:t>
      </w:r>
      <w:r>
        <w:rPr>
          <w:rFonts w:ascii="Times New Roman" w:hAnsi="Times New Roman" w:cs="Times New Roman" w:eastAsia="Times New Roman" w:hint="default"/>
        </w:rPr>
        <w:t>”</w:t>
      </w:r>
      <w:r>
        <w:rPr/>
        <w:t>齐头并举的发展格局，建立完善的营销网络，以市场塑格局，以产品优布局，做实做专</w:t>
      </w:r>
    </w:p>
    <w:p>
      <w:pPr>
        <w:pStyle w:val="Heading3"/>
        <w:spacing w:line="297" w:lineRule="auto" w:before="56"/>
        <w:ind w:right="1134"/>
        <w:jc w:val="both"/>
      </w:pPr>
      <w:r>
        <w:rPr/>
        <w:t>市场，加力重点客户挖潜，做大优势客户，加强终端市场开拓，确保全产全销。通过多年合</w:t>
      </w:r>
      <w:r>
        <w:rPr>
          <w:spacing w:val="-87"/>
        </w:rPr>
        <w:t> </w:t>
      </w:r>
      <w:r>
        <w:rPr>
          <w:spacing w:val="-87"/>
        </w:rPr>
      </w:r>
      <w:r>
        <w:rPr/>
        <w:t>作，公司拥有稳定的客户群体和销售网络，树立了行业良好品牌形象，得到了客户的广泛信</w:t>
      </w:r>
      <w:r>
        <w:rPr>
          <w:spacing w:val="-91"/>
        </w:rPr>
        <w:t> </w:t>
      </w:r>
      <w:r>
        <w:rPr>
          <w:spacing w:val="-91"/>
        </w:rPr>
      </w:r>
      <w:r>
        <w:rPr/>
        <w:t>赖。</w:t>
      </w:r>
    </w:p>
    <w:p>
      <w:pPr>
        <w:pStyle w:val="Heading2"/>
        <w:spacing w:line="240" w:lineRule="auto" w:before="70"/>
        <w:ind w:left="635" w:right="0"/>
        <w:jc w:val="left"/>
        <w:rPr>
          <w:b w:val="0"/>
          <w:bCs w:val="0"/>
        </w:rPr>
      </w:pPr>
      <w:r>
        <w:rPr/>
        <w:t>（三）主要的业绩驱动因素</w:t>
      </w:r>
      <w:r>
        <w:rPr>
          <w:b w:val="0"/>
          <w:bCs w:val="0"/>
        </w:rPr>
      </w:r>
    </w:p>
    <w:p>
      <w:pPr>
        <w:pStyle w:val="Heading3"/>
        <w:spacing w:line="316" w:lineRule="auto" w:before="125"/>
        <w:ind w:left="729" w:right="0" w:hanging="96"/>
        <w:jc w:val="left"/>
      </w:pPr>
      <w:r>
        <w:rPr>
          <w:rFonts w:ascii="Times New Roman" w:hAnsi="Times New Roman" w:cs="Times New Roman" w:eastAsia="Times New Roman" w:hint="default"/>
        </w:rPr>
        <w:t>1</w:t>
      </w:r>
      <w:r>
        <w:rPr/>
        <w:t>、市场趋势因素 </w:t>
      </w:r>
      <w:r>
        <w:rPr>
          <w:spacing w:val="-2"/>
        </w:rPr>
        <w:t>国内市场需求量逐年增大，主要客户订单需求增加，进口替代日益明显；同时，国外客</w:t>
      </w:r>
    </w:p>
    <w:p>
      <w:pPr>
        <w:pStyle w:val="Heading3"/>
        <w:spacing w:line="297" w:lineRule="auto"/>
        <w:ind w:right="1139"/>
        <w:jc w:val="both"/>
      </w:pPr>
      <w:r>
        <w:rPr/>
        <w:t>户需求上也稳中有升，部分客户出现对公司新产品发出批量订单需求，公司在加大国外市场</w:t>
      </w:r>
      <w:r>
        <w:rPr>
          <w:spacing w:val="-91"/>
        </w:rPr>
        <w:t> </w:t>
      </w:r>
      <w:r>
        <w:rPr>
          <w:spacing w:val="-91"/>
        </w:rPr>
      </w:r>
      <w:r>
        <w:rPr/>
        <w:t>拓展方面已取得实质性的效果。</w:t>
      </w:r>
    </w:p>
    <w:p>
      <w:pPr>
        <w:pStyle w:val="Heading3"/>
        <w:spacing w:line="316" w:lineRule="auto" w:before="70"/>
        <w:ind w:left="633" w:right="0"/>
        <w:jc w:val="left"/>
      </w:pPr>
      <w:r>
        <w:rPr>
          <w:rFonts w:ascii="Times New Roman" w:hAnsi="Times New Roman" w:cs="Times New Roman" w:eastAsia="Times New Roman" w:hint="default"/>
        </w:rPr>
        <w:t>2</w:t>
      </w:r>
      <w:r>
        <w:rPr/>
        <w:t>、产能增长因素 通过实施已建项目的满产达效，在建项目新产能的陆续投放逐步扩张产能，立足重点新</w:t>
      </w:r>
    </w:p>
    <w:p>
      <w:pPr>
        <w:pStyle w:val="Heading3"/>
        <w:spacing w:line="297" w:lineRule="auto"/>
        <w:ind w:right="1138"/>
        <w:jc w:val="both"/>
      </w:pPr>
      <w:r>
        <w:rPr/>
        <w:t>材料、新技术、新产品的继续突破，通过技术、工艺结合，持续创新，满足多元化需求，做</w:t>
      </w:r>
      <w:r>
        <w:rPr>
          <w:spacing w:val="-91"/>
        </w:rPr>
        <w:t> </w:t>
      </w:r>
      <w:r>
        <w:rPr>
          <w:spacing w:val="-91"/>
        </w:rPr>
      </w:r>
      <w:r>
        <w:rPr/>
        <w:t>精做强高分子材料领域持续向高端发展，全球布局形成竞争优势，带动公司未来增长的驱动</w:t>
      </w:r>
      <w:r>
        <w:rPr>
          <w:spacing w:val="-91"/>
        </w:rPr>
        <w:t> </w:t>
      </w:r>
      <w:r>
        <w:rPr>
          <w:spacing w:val="-91"/>
        </w:rPr>
      </w:r>
      <w:r>
        <w:rPr/>
        <w:t>力。</w:t>
      </w:r>
    </w:p>
    <w:p>
      <w:pPr>
        <w:pStyle w:val="Heading3"/>
        <w:spacing w:line="316" w:lineRule="auto" w:before="70"/>
        <w:ind w:left="633" w:right="0"/>
        <w:jc w:val="left"/>
      </w:pPr>
      <w:r>
        <w:rPr>
          <w:rFonts w:ascii="Times New Roman" w:hAnsi="Times New Roman" w:cs="Times New Roman" w:eastAsia="Times New Roman" w:hint="default"/>
        </w:rPr>
        <w:t>3</w:t>
      </w:r>
      <w:r>
        <w:rPr/>
        <w:t>、技术创新因素 公司加大研发投入，加强对研发技术和资源的持续投入，满足日益增长订单需求的同时</w:t>
      </w:r>
    </w:p>
    <w:p>
      <w:pPr>
        <w:pStyle w:val="Heading3"/>
        <w:spacing w:line="240" w:lineRule="auto"/>
        <w:ind w:right="0"/>
        <w:jc w:val="both"/>
      </w:pPr>
      <w:r>
        <w:rPr/>
        <w:t>不断推出市场所需的新产品。</w:t>
      </w:r>
    </w:p>
    <w:p>
      <w:pPr>
        <w:spacing w:line="326" w:lineRule="auto" w:before="125"/>
        <w:ind w:left="633" w:right="1126" w:firstLine="2"/>
        <w:jc w:val="left"/>
        <w:rPr>
          <w:rFonts w:ascii="宋体" w:hAnsi="宋体" w:cs="宋体" w:eastAsia="宋体" w:hint="default"/>
          <w:sz w:val="24"/>
          <w:szCs w:val="24"/>
        </w:rPr>
      </w:pPr>
      <w:r>
        <w:rPr>
          <w:rFonts w:ascii="宋体" w:hAnsi="宋体" w:cs="宋体" w:eastAsia="宋体" w:hint="default"/>
          <w:b/>
          <w:bCs/>
          <w:sz w:val="24"/>
          <w:szCs w:val="24"/>
        </w:rPr>
        <w:t>（四）公司所属行业的发展阶段、周期性特点以及公司所处的行业地位</w:t>
      </w:r>
      <w:r>
        <w:rPr>
          <w:rFonts w:ascii="宋体" w:hAnsi="宋体" w:cs="宋体" w:eastAsia="宋体" w:hint="default"/>
          <w:b/>
          <w:bCs/>
          <w:w w:val="99"/>
          <w:sz w:val="24"/>
          <w:szCs w:val="24"/>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、所属行业发展阶段 我国是高分子材料的产业大国，高分子材料作为重要工业支撑的材料，广泛应用于国民</w:t>
      </w:r>
    </w:p>
    <w:p>
      <w:pPr>
        <w:pStyle w:val="Heading3"/>
        <w:spacing w:line="280" w:lineRule="auto"/>
        <w:ind w:right="1131"/>
        <w:jc w:val="both"/>
      </w:pPr>
      <w:r>
        <w:rPr/>
        <w:t>经济各个领域，其中重要分类是先进高分子材料，国家新材料产业</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规划明确提出，</w:t>
      </w:r>
      <w:r>
        <w:rPr>
          <w:spacing w:val="-61"/>
        </w:rPr>
        <w:t> </w:t>
      </w:r>
      <w:r>
        <w:rPr>
          <w:spacing w:val="-61"/>
        </w:rPr>
      </w:r>
      <w:r>
        <w:rPr>
          <w:spacing w:val="-2"/>
        </w:rPr>
        <w:t>将先进高分子材料列入重点发展六大材料之一，预计未来</w:t>
      </w:r>
      <w:r>
        <w:rPr>
          <w:rFonts w:ascii="Times New Roman" w:hAnsi="Times New Roman" w:cs="Times New Roman" w:eastAsia="Times New Roman" w:hint="default"/>
          <w:spacing w:val="-2"/>
        </w:rPr>
        <w:t>5</w:t>
      </w:r>
      <w:r>
        <w:rPr>
          <w:spacing w:val="-2"/>
        </w:rPr>
        <w:t>年将有数万亿的市场规模空间，前</w:t>
      </w:r>
      <w:r>
        <w:rPr/>
        <w:t> 景广阔。</w:t>
      </w:r>
    </w:p>
    <w:p>
      <w:pPr>
        <w:pStyle w:val="Heading3"/>
        <w:spacing w:line="326" w:lineRule="auto" w:before="86"/>
        <w:ind w:left="633" w:right="5713"/>
        <w:jc w:val="left"/>
      </w:pPr>
      <w:r>
        <w:rPr>
          <w:rFonts w:ascii="Times New Roman" w:hAnsi="Times New Roman" w:cs="Times New Roman" w:eastAsia="Times New Roman" w:hint="default"/>
        </w:rPr>
        <w:t>2</w:t>
      </w:r>
      <w:r>
        <w:rPr/>
        <w:t>、周期性特点 公司所属高分子材料行业，周期性不明显。 </w:t>
      </w:r>
      <w:r>
        <w:rPr>
          <w:rFonts w:ascii="Times New Roman" w:hAnsi="Times New Roman" w:cs="Times New Roman" w:eastAsia="Times New Roman" w:hint="default"/>
        </w:rPr>
        <w:t>3</w:t>
      </w:r>
      <w:r>
        <w:rPr/>
        <w:t>、所处的行业地位</w:t>
      </w:r>
    </w:p>
    <w:p>
      <w:pPr>
        <w:pStyle w:val="Heading3"/>
        <w:spacing w:line="240" w:lineRule="auto" w:before="14"/>
        <w:ind w:left="633" w:right="0"/>
        <w:jc w:val="left"/>
      </w:pPr>
      <w:r>
        <w:rPr/>
        <w:t>公司位居同行业前列。</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552"/>
        <w:gridCol w:w="7019"/>
      </w:tblGrid>
      <w:tr>
        <w:trPr>
          <w:trHeight w:val="187" w:hRule="exact"/>
        </w:trPr>
        <w:tc>
          <w:tcPr>
            <w:tcW w:w="2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70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2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0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0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3,154,553,777.99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元，较年初减少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5.25%</w:t>
            </w:r>
            <w:r>
              <w:rPr>
                <w:rFonts w:ascii="宋体" w:hAnsi="宋体" w:cs="宋体" w:eastAsia="宋体" w:hint="default"/>
                <w:sz w:val="18"/>
                <w:szCs w:val="18"/>
              </w:rPr>
              <w:t>，减少原因系固定资产计提折旧所致</w:t>
            </w:r>
          </w:p>
        </w:tc>
      </w:tr>
      <w:tr>
        <w:trPr>
          <w:trHeight w:val="163" w:hRule="exact"/>
        </w:trPr>
        <w:tc>
          <w:tcPr>
            <w:tcW w:w="2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9" w:type="dxa"/>
            <w:vMerge w:val="restart"/>
            <w:tcBorders>
              <w:top w:val="single" w:sz="4" w:space="0" w:color="000000"/>
              <w:left w:val="single" w:sz="10" w:space="0" w:color="D2D2D2"/>
              <w:right w:val="single" w:sz="4" w:space="0" w:color="000000"/>
            </w:tcBorders>
          </w:tcPr>
          <w:p>
            <w:pPr>
              <w:pStyle w:val="TableParagraph"/>
              <w:spacing w:line="297" w:lineRule="auto" w:before="51"/>
              <w:ind w:left="16" w:right="38"/>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152,017,945.63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19.3%</w:t>
            </w:r>
            <w:r>
              <w:rPr>
                <w:rFonts w:ascii="宋体" w:hAnsi="宋体" w:cs="宋体" w:eastAsia="宋体" w:hint="default"/>
                <w:sz w:val="18"/>
                <w:szCs w:val="18"/>
              </w:rPr>
              <w:t>，增加原因系本期新购入位于双星大道 北侧、江山大道东侧的土地一块</w:t>
            </w:r>
          </w:p>
        </w:tc>
      </w:tr>
      <w:tr>
        <w:trPr>
          <w:trHeight w:val="391" w:hRule="exact"/>
        </w:trPr>
        <w:tc>
          <w:tcPr>
            <w:tcW w:w="2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019" w:type="dxa"/>
            <w:vMerge/>
            <w:tcBorders>
              <w:left w:val="single" w:sz="10" w:space="0" w:color="D2D2D2"/>
              <w:right w:val="single" w:sz="4" w:space="0" w:color="000000"/>
            </w:tcBorders>
          </w:tcPr>
          <w:p>
            <w:pPr/>
          </w:p>
        </w:tc>
      </w:tr>
      <w:tr>
        <w:trPr>
          <w:trHeight w:val="161" w:hRule="exact"/>
        </w:trPr>
        <w:tc>
          <w:tcPr>
            <w:tcW w:w="2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9" w:type="dxa"/>
            <w:vMerge/>
            <w:tcBorders>
              <w:left w:val="single" w:sz="10" w:space="0" w:color="D2D2D2"/>
              <w:bottom w:val="single" w:sz="4" w:space="0" w:color="000000"/>
              <w:right w:val="single" w:sz="4" w:space="0" w:color="000000"/>
            </w:tcBorders>
          </w:tcPr>
          <w:p>
            <w:pPr/>
          </w:p>
        </w:tc>
      </w:tr>
      <w:tr>
        <w:trPr>
          <w:trHeight w:val="161" w:hRule="exact"/>
        </w:trPr>
        <w:tc>
          <w:tcPr>
            <w:tcW w:w="2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9"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38"/>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656,570,989.75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元，较年初增加比例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192.14%</w:t>
            </w:r>
            <w:r>
              <w:rPr>
                <w:rFonts w:ascii="宋体" w:hAnsi="宋体" w:cs="宋体" w:eastAsia="宋体" w:hint="default"/>
                <w:sz w:val="18"/>
                <w:szCs w:val="18"/>
              </w:rPr>
              <w:t>，增加主要系本期光二项目投入 成本增加，购入设备已经到货验收，目前正处于安装调试阶段。</w:t>
            </w:r>
          </w:p>
        </w:tc>
      </w:tr>
      <w:tr>
        <w:trPr>
          <w:trHeight w:val="391" w:hRule="exact"/>
        </w:trPr>
        <w:tc>
          <w:tcPr>
            <w:tcW w:w="2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019" w:type="dxa"/>
            <w:vMerge/>
            <w:tcBorders>
              <w:left w:val="single" w:sz="10" w:space="0" w:color="D2D2D2"/>
              <w:right w:val="single" w:sz="4" w:space="0" w:color="000000"/>
            </w:tcBorders>
          </w:tcPr>
          <w:p>
            <w:pPr/>
          </w:p>
        </w:tc>
      </w:tr>
      <w:tr>
        <w:trPr>
          <w:trHeight w:val="161" w:hRule="exact"/>
        </w:trPr>
        <w:tc>
          <w:tcPr>
            <w:tcW w:w="2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9" w:type="dxa"/>
            <w:vMerge/>
            <w:tcBorders>
              <w:left w:val="single" w:sz="10" w:space="0" w:color="D2D2D2"/>
              <w:bottom w:val="single" w:sz="4" w:space="0" w:color="000000"/>
              <w:right w:val="single" w:sz="4" w:space="0" w:color="000000"/>
            </w:tcBorders>
          </w:tcPr>
          <w:p>
            <w:pPr/>
          </w:p>
        </w:tc>
      </w:tr>
      <w:tr>
        <w:trPr>
          <w:trHeight w:val="1027"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，增加原因主要系根据财政部于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年颁</w:t>
            </w:r>
          </w:p>
          <w:p>
            <w:pPr>
              <w:pStyle w:val="TableParagraph"/>
              <w:spacing w:line="300" w:lineRule="auto" w:before="60"/>
              <w:ind w:left="24" w:right="22"/>
              <w:jc w:val="left"/>
              <w:rPr>
                <w:rFonts w:ascii="宋体" w:hAnsi="宋体" w:cs="宋体" w:eastAsia="宋体" w:hint="default"/>
                <w:sz w:val="18"/>
                <w:szCs w:val="18"/>
              </w:rPr>
            </w:pPr>
            <w:r>
              <w:rPr>
                <w:rFonts w:ascii="宋体" w:hAnsi="宋体" w:cs="宋体" w:eastAsia="宋体" w:hint="default"/>
                <w:spacing w:val="-3"/>
                <w:sz w:val="18"/>
                <w:szCs w:val="18"/>
              </w:rPr>
              <w:t>布了修订后的《企业会计准则第</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3"/>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金融工具确认和计量》，本期公司将投资的保本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非固定收益结构性存款计入交易性金融资产。</w:t>
            </w:r>
          </w:p>
        </w:tc>
      </w:tr>
      <w:tr>
        <w:trPr>
          <w:trHeight w:val="102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期末余额为</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宋体" w:hAnsi="宋体" w:cs="宋体" w:eastAsia="宋体" w:hint="default"/>
                <w:spacing w:val="-94"/>
                <w:sz w:val="18"/>
                <w:szCs w:val="18"/>
              </w:rPr>
              <w:t>，</w:t>
            </w:r>
            <w:r>
              <w:rPr>
                <w:rFonts w:ascii="宋体" w:hAnsi="宋体" w:cs="宋体" w:eastAsia="宋体" w:hint="default"/>
                <w:sz w:val="18"/>
                <w:szCs w:val="18"/>
              </w:rPr>
              <w:t>较年初减少比例</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减少原因主要系根据财政部于</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p>
          <w:p>
            <w:pPr>
              <w:pStyle w:val="TableParagraph"/>
              <w:spacing w:line="300" w:lineRule="auto" w:before="63"/>
              <w:ind w:left="24" w:right="22"/>
              <w:jc w:val="left"/>
              <w:rPr>
                <w:rFonts w:ascii="宋体" w:hAnsi="宋体" w:cs="宋体" w:eastAsia="宋体" w:hint="default"/>
                <w:sz w:val="18"/>
                <w:szCs w:val="18"/>
              </w:rPr>
            </w:pPr>
            <w:r>
              <w:rPr>
                <w:rFonts w:ascii="宋体" w:hAnsi="宋体" w:cs="宋体" w:eastAsia="宋体" w:hint="default"/>
                <w:spacing w:val="-2"/>
                <w:sz w:val="18"/>
                <w:szCs w:val="18"/>
              </w:rPr>
              <w:t>年颁布了修订后的《企业会计准则第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金融工具确认和计量》，公司将持有目的为</w:t>
            </w:r>
            <w:r>
              <w:rPr>
                <w:rFonts w:ascii="宋体" w:hAnsi="宋体" w:cs="宋体" w:eastAsia="宋体" w:hint="default"/>
                <w:sz w:val="18"/>
                <w:szCs w:val="18"/>
              </w:rPr>
              <w:t> 双重目的的应收票据重分类至应收款项融资。</w:t>
            </w:r>
          </w:p>
        </w:tc>
      </w:tr>
      <w:tr>
        <w:trPr>
          <w:trHeight w:val="1027"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3,078,936,938.16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元，较年初增加比例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，增加主要系根据财政部于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300" w:lineRule="auto" w:before="60"/>
              <w:ind w:left="24" w:right="22"/>
              <w:jc w:val="left"/>
              <w:rPr>
                <w:rFonts w:ascii="宋体" w:hAnsi="宋体" w:cs="宋体" w:eastAsia="宋体" w:hint="default"/>
                <w:sz w:val="18"/>
                <w:szCs w:val="18"/>
              </w:rPr>
            </w:pPr>
            <w:r>
              <w:rPr>
                <w:rFonts w:ascii="宋体" w:hAnsi="宋体" w:cs="宋体" w:eastAsia="宋体" w:hint="default"/>
                <w:spacing w:val="-2"/>
                <w:sz w:val="18"/>
                <w:szCs w:val="18"/>
              </w:rPr>
              <w:t>年颁布了修订后的《企业会计准则第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金融工具确认和计量》，公司将持有双重目</w:t>
            </w:r>
            <w:r>
              <w:rPr>
                <w:rFonts w:ascii="宋体" w:hAnsi="宋体" w:cs="宋体" w:eastAsia="宋体" w:hint="default"/>
                <w:sz w:val="18"/>
                <w:szCs w:val="18"/>
              </w:rPr>
              <w:t> 的的应收票据重分类至应收融资款。</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2,983,958.8</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元，较年初减少比例</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66.12%</w:t>
            </w:r>
            <w:r>
              <w:rPr>
                <w:rFonts w:ascii="宋体" w:hAnsi="宋体" w:cs="宋体" w:eastAsia="宋体" w:hint="default"/>
                <w:spacing w:val="-3"/>
                <w:sz w:val="18"/>
                <w:szCs w:val="18"/>
              </w:rPr>
              <w:t>，减少主要系本期收回</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年计提的 定期存款计提利息所致。</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26,782,041.60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元，较年初减少比例</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97.55%</w:t>
            </w:r>
            <w:r>
              <w:rPr>
                <w:rFonts w:ascii="宋体" w:hAnsi="宋体" w:cs="宋体" w:eastAsia="宋体" w:hint="default"/>
                <w:spacing w:val="-3"/>
                <w:sz w:val="18"/>
                <w:szCs w:val="18"/>
              </w:rPr>
              <w:t>，减少主要系公司收回</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年底投 资的理财产品。</w:t>
            </w:r>
          </w:p>
        </w:tc>
      </w:tr>
      <w:tr>
        <w:trPr>
          <w:trHeight w:val="1337"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pacing w:val="-3"/>
                <w:sz w:val="18"/>
                <w:szCs w:val="18"/>
              </w:rPr>
              <w:t>期末余额为零，较年初减少比例</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，减少主要系根据财政部于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年颁布了修订后的</w:t>
            </w:r>
          </w:p>
          <w:p>
            <w:pPr>
              <w:pStyle w:val="TableParagraph"/>
              <w:spacing w:line="309" w:lineRule="auto" w:before="63"/>
              <w:ind w:left="24" w:right="20"/>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3"/>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金融工具确认和计量》，公司判断江苏民丰农村商业银行股份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有限公司和江苏苏宁银行股份有限公司系以持有为目的的股权投资，且公司该投资无法计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算合同现金流，经决议重分类至其他非流动金融资产</w:t>
            </w:r>
          </w:p>
        </w:tc>
      </w:tr>
      <w:tr>
        <w:trPr>
          <w:trHeight w:val="1339"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415,714,784.96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元，较年初增加比例</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，增加主要系根据财政部于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309" w:lineRule="auto" w:before="60"/>
              <w:ind w:left="24" w:right="22"/>
              <w:jc w:val="both"/>
              <w:rPr>
                <w:rFonts w:ascii="宋体" w:hAnsi="宋体" w:cs="宋体" w:eastAsia="宋体" w:hint="default"/>
                <w:sz w:val="18"/>
                <w:szCs w:val="18"/>
              </w:rPr>
            </w:pPr>
            <w:r>
              <w:rPr>
                <w:rFonts w:ascii="宋体" w:hAnsi="宋体" w:cs="宋体" w:eastAsia="宋体" w:hint="default"/>
                <w:spacing w:val="-2"/>
                <w:sz w:val="18"/>
                <w:szCs w:val="18"/>
              </w:rPr>
              <w:t>颁布了修订后的《企业会计准则第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金融工具确认和计量》，公司判断江苏民丰农</w:t>
            </w:r>
            <w:r>
              <w:rPr>
                <w:rFonts w:ascii="宋体" w:hAnsi="宋体" w:cs="宋体" w:eastAsia="宋体" w:hint="default"/>
                <w:sz w:val="18"/>
                <w:szCs w:val="18"/>
              </w:rPr>
              <w:t> </w:t>
            </w:r>
            <w:r>
              <w:rPr>
                <w:rFonts w:ascii="宋体" w:hAnsi="宋体" w:cs="宋体" w:eastAsia="宋体" w:hint="default"/>
                <w:spacing w:val="-2"/>
                <w:sz w:val="18"/>
                <w:szCs w:val="18"/>
              </w:rPr>
              <w:t>村商业银行股份有限公司和江苏苏宁银行股份有限公司系以持有为目的的股权投资，且公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司该投资无法计算合同现金流，经决议重分类至其他非流动金融资产</w:t>
            </w:r>
          </w:p>
        </w:tc>
      </w:tr>
      <w:tr>
        <w:trPr>
          <w:trHeight w:val="102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期末余额为零，较年初减少比例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日联合中和评报字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6059 </w:t>
            </w:r>
            <w:r>
              <w:rPr>
                <w:rFonts w:ascii="宋体" w:hAnsi="宋体" w:cs="宋体" w:eastAsia="宋体" w:hint="default"/>
                <w:spacing w:val="-2"/>
                <w:sz w:val="18"/>
                <w:szCs w:val="18"/>
              </w:rPr>
              <w:t>号《江苏双星彩塑新材料股份有限公司拟进行商誉减值测试涉及的江西科为薄膜新型材料</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有限公司资产组可回收价值》的评估结果本期应计提商誉减值准备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24,398,421.41 </w:t>
            </w:r>
            <w:r>
              <w:rPr>
                <w:rFonts w:ascii="宋体" w:hAnsi="宋体" w:cs="宋体" w:eastAsia="宋体" w:hint="default"/>
                <w:sz w:val="18"/>
                <w:szCs w:val="18"/>
              </w:rPr>
              <w:t>元，较年初增加比例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754.27%</w:t>
            </w:r>
            <w:r>
              <w:rPr>
                <w:rFonts w:ascii="宋体" w:hAnsi="宋体" w:cs="宋体" w:eastAsia="宋体" w:hint="default"/>
                <w:sz w:val="18"/>
                <w:szCs w:val="18"/>
              </w:rPr>
              <w:t>，增加主要系本期公司对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PET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生 产线进行每六年大型维保的费用增加所致。</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58,077,167.92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元，较年初减少比例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67.09%</w:t>
            </w:r>
            <w:r>
              <w:rPr>
                <w:rFonts w:ascii="宋体" w:hAnsi="宋体" w:cs="宋体" w:eastAsia="宋体" w:hint="default"/>
                <w:sz w:val="18"/>
                <w:szCs w:val="18"/>
              </w:rPr>
              <w:t>，主要系光学膜二期预付款部分设 备到货所致。</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spacing w:before="44"/>
        <w:ind w:left="0" w:right="1140" w:firstLine="0"/>
        <w:jc w:val="right"/>
        <w:rPr>
          <w:rFonts w:ascii="宋体" w:hAnsi="宋体" w:cs="宋体" w:eastAsia="宋体" w:hint="default"/>
          <w:sz w:val="18"/>
          <w:szCs w:val="18"/>
        </w:rPr>
      </w:pPr>
      <w:r>
        <w:rPr/>
        <w:pict>
          <v:shape style="position:absolute;margin-left:56.400002pt;margin-top:-36.508270pt;width:479.3pt;height:206.3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2"/>
                    <w:gridCol w:w="7019"/>
                  </w:tblGrid>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986,095,498.8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元，增加比例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81.45%</w:t>
                        </w:r>
                        <w:r>
                          <w:rPr>
                            <w:rFonts w:ascii="宋体" w:hAnsi="宋体" w:cs="宋体" w:eastAsia="宋体" w:hint="default"/>
                            <w:sz w:val="18"/>
                            <w:szCs w:val="18"/>
                          </w:rPr>
                          <w:t>，增加主要系公司本期结算模式变更，公 司以商业汇票结算方式较上年同期增加所致。</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118,408,820 </w:t>
                        </w:r>
                        <w:r>
                          <w:rPr>
                            <w:rFonts w:ascii="宋体" w:hAnsi="宋体" w:cs="宋体" w:eastAsia="宋体" w:hint="default"/>
                            <w:spacing w:val="-7"/>
                            <w:sz w:val="18"/>
                            <w:szCs w:val="18"/>
                          </w:rPr>
                          <w:t>元，较年初增加比例</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87.01%</w:t>
                        </w:r>
                        <w:r>
                          <w:rPr>
                            <w:rFonts w:ascii="宋体" w:hAnsi="宋体" w:cs="宋体" w:eastAsia="宋体" w:hint="default"/>
                            <w:spacing w:val="-3"/>
                            <w:sz w:val="18"/>
                            <w:szCs w:val="18"/>
                          </w:rPr>
                          <w:t>，增加主要系本期公司采购原料增加</w:t>
                        </w:r>
                        <w:r>
                          <w:rPr>
                            <w:rFonts w:ascii="宋体" w:hAnsi="宋体" w:cs="宋体" w:eastAsia="宋体" w:hint="default"/>
                            <w:sz w:val="18"/>
                            <w:szCs w:val="18"/>
                          </w:rPr>
                          <w:t> 按合同约定的待支付应付款较上年同期增加所致。</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79,600,349.43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元，较年初增加比例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89.98%</w:t>
                        </w:r>
                        <w:r>
                          <w:rPr>
                            <w:rFonts w:ascii="宋体" w:hAnsi="宋体" w:cs="宋体" w:eastAsia="宋体" w:hint="default"/>
                            <w:sz w:val="18"/>
                            <w:szCs w:val="18"/>
                          </w:rPr>
                          <w:t>，主要系本期公司销售订单增加， 销售预收货款较上年同期增加所致。</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6"/>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32,820,178.91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元，增加比例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49.34%</w:t>
                        </w:r>
                        <w:r>
                          <w:rPr>
                            <w:rFonts w:ascii="宋体" w:hAnsi="宋体" w:cs="宋体" w:eastAsia="宋体" w:hint="default"/>
                            <w:sz w:val="18"/>
                            <w:szCs w:val="18"/>
                          </w:rPr>
                          <w:t>，增加主要系本期销售收入增加，项目绩 效奖励加强，公司计提奖金增加所致。</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7,119,247.14</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元，较年初减少比例</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46.57%</w:t>
                        </w:r>
                        <w:r>
                          <w:rPr>
                            <w:rFonts w:ascii="宋体" w:hAnsi="宋体" w:cs="宋体" w:eastAsia="宋体" w:hint="default"/>
                            <w:sz w:val="18"/>
                            <w:szCs w:val="18"/>
                          </w:rPr>
                          <w:t>，减少主要系本期公司计提所得税费 用较上年同期减少所致。</w:t>
                        </w:r>
                      </w:p>
                    </w:tc>
                  </w:tr>
                  <w:tr>
                    <w:trPr>
                      <w:trHeight w:val="547"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期末余额为零，较年初减少比例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，减少主要系公司本期提前偿付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亿债券资金所致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4"/>
        <w:spacing w:line="240" w:lineRule="auto" w:before="36"/>
        <w:ind w:right="0"/>
        <w:jc w:val="both"/>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三、核心竞争力分析</w:t>
      </w:r>
      <w:r>
        <w:rPr>
          <w:b w:val="0"/>
          <w:bCs w:val="0"/>
        </w:rPr>
      </w:r>
    </w:p>
    <w:p>
      <w:pPr>
        <w:pStyle w:val="Heading3"/>
        <w:spacing w:line="530" w:lineRule="atLeast" w:before="141"/>
        <w:ind w:left="633" w:right="0" w:firstLine="2"/>
        <w:jc w:val="left"/>
      </w:pPr>
      <w:r>
        <w:rPr>
          <w:rFonts w:ascii="Times New Roman" w:hAnsi="Times New Roman" w:cs="Times New Roman" w:eastAsia="Times New Roman" w:hint="default"/>
          <w:b/>
          <w:bCs/>
        </w:rPr>
        <w:t>1</w:t>
      </w:r>
      <w:r>
        <w:rPr>
          <w:rFonts w:ascii="宋体" w:hAnsi="宋体" w:cs="宋体" w:eastAsia="宋体" w:hint="default"/>
          <w:b/>
          <w:bCs/>
        </w:rPr>
        <w:t>、全产业链优势</w:t>
      </w:r>
      <w:r>
        <w:rPr>
          <w:rFonts w:ascii="宋体" w:hAnsi="宋体" w:cs="宋体" w:eastAsia="宋体" w:hint="default"/>
          <w:b/>
          <w:bCs/>
          <w:w w:val="99"/>
        </w:rPr>
        <w:t> </w:t>
      </w:r>
      <w:r>
        <w:rPr/>
        <w:t>公司集从原料开发、挤出拉伸、精密涂布、磁控溅射、微成型、电子光雕模具等全套工</w:t>
      </w:r>
    </w:p>
    <w:p>
      <w:pPr>
        <w:pStyle w:val="Heading3"/>
        <w:spacing w:line="297" w:lineRule="auto" w:before="74"/>
        <w:ind w:right="1135"/>
        <w:jc w:val="both"/>
      </w:pPr>
      <w:r>
        <w:rPr/>
        <w:t>艺技术，具备全产业链技术产品开发优势，能够快速进行新产品开发和核心技术延伸研究，</w:t>
      </w:r>
      <w:r>
        <w:rPr>
          <w:spacing w:val="-91"/>
        </w:rPr>
        <w:t> </w:t>
      </w:r>
      <w:r>
        <w:rPr>
          <w:spacing w:val="-91"/>
        </w:rPr>
      </w:r>
      <w:r>
        <w:rPr/>
        <w:t>覆盖了镀、涂、压、拉、印及后道加工的产业技术工艺环节，促进在高端产品上的开发能力</w:t>
      </w:r>
      <w:r>
        <w:rPr>
          <w:spacing w:val="-91"/>
        </w:rPr>
        <w:t> </w:t>
      </w:r>
      <w:r>
        <w:rPr>
          <w:spacing w:val="-91"/>
        </w:rPr>
      </w:r>
      <w:r>
        <w:rPr/>
        <w:t>和开发速度，不断提升产品技术含量和附加值，推动技术垂直整合，加速了公司在中高端产</w:t>
      </w:r>
      <w:r>
        <w:rPr>
          <w:spacing w:val="-91"/>
        </w:rPr>
        <w:t> </w:t>
      </w:r>
      <w:r>
        <w:rPr>
          <w:spacing w:val="-91"/>
        </w:rPr>
      </w:r>
      <w:r>
        <w:rPr/>
        <w:t>品种类的持续提升，有助于公司实现在高分子材料行业趋势把握、渠道拓展、技术研发等方</w:t>
      </w:r>
      <w:r>
        <w:rPr>
          <w:spacing w:val="-87"/>
        </w:rPr>
        <w:t> </w:t>
      </w:r>
      <w:r>
        <w:rPr>
          <w:spacing w:val="-87"/>
        </w:rPr>
      </w:r>
      <w:r>
        <w:rPr/>
        <w:t>面保持竞争优势，形成以技术创新驱动企业发展。</w:t>
      </w:r>
    </w:p>
    <w:p>
      <w:pPr>
        <w:spacing w:line="393" w:lineRule="auto" w:before="175"/>
        <w:ind w:left="633"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、技术研发及自主创新优势</w:t>
      </w:r>
      <w:r>
        <w:rPr>
          <w:rFonts w:ascii="宋体" w:hAnsi="宋体" w:cs="宋体" w:eastAsia="宋体" w:hint="default"/>
          <w:b/>
          <w:bCs/>
          <w:w w:val="99"/>
          <w:sz w:val="24"/>
          <w:szCs w:val="24"/>
        </w:rPr>
        <w:t> </w:t>
      </w:r>
      <w:r>
        <w:rPr>
          <w:rFonts w:ascii="宋体" w:hAnsi="宋体" w:cs="宋体" w:eastAsia="宋体" w:hint="default"/>
          <w:sz w:val="24"/>
          <w:szCs w:val="24"/>
        </w:rPr>
        <w:t>拥有国家火炬计划薄膜特色产业基地，系国家高新技术企业、中国双向拉伸薄膜产业基</w:t>
      </w:r>
    </w:p>
    <w:p>
      <w:pPr>
        <w:pStyle w:val="Heading3"/>
        <w:spacing w:line="256" w:lineRule="exact"/>
        <w:ind w:right="0"/>
        <w:jc w:val="both"/>
      </w:pPr>
      <w:r>
        <w:rPr/>
        <w:t>地、中国轻工业塑料行业十强企业、江苏省</w:t>
      </w:r>
      <w:r>
        <w:rPr>
          <w:rFonts w:ascii="Times New Roman" w:hAnsi="Times New Roman" w:cs="Times New Roman" w:eastAsia="Times New Roman" w:hint="default"/>
        </w:rPr>
        <w:t>PET</w:t>
      </w:r>
      <w:r>
        <w:rPr/>
        <w:t>基材功能性薄膜工程技术研究中心、江苏省</w:t>
      </w:r>
    </w:p>
    <w:p>
      <w:pPr>
        <w:pStyle w:val="Heading3"/>
        <w:spacing w:line="297" w:lineRule="auto" w:before="56"/>
        <w:ind w:right="1139"/>
        <w:jc w:val="both"/>
      </w:pPr>
      <w:r>
        <w:rPr/>
        <w:t>认定企业技术中心。公司从事聚酯薄膜行业超过二十年，在长期的实践中积累了丰富的膜产</w:t>
      </w:r>
      <w:r>
        <w:rPr>
          <w:spacing w:val="-91"/>
        </w:rPr>
        <w:t> </w:t>
      </w:r>
      <w:r>
        <w:rPr>
          <w:spacing w:val="-91"/>
        </w:rPr>
      </w:r>
      <w:r>
        <w:rPr/>
        <w:t>品技术开发和应用经验，通过自主研发、工艺创新，充分发挥在高分子材料领域的优势，研</w:t>
      </w:r>
      <w:r>
        <w:rPr>
          <w:spacing w:val="-91"/>
        </w:rPr>
        <w:t> </w:t>
      </w:r>
      <w:r>
        <w:rPr>
          <w:spacing w:val="-91"/>
        </w:rPr>
      </w:r>
      <w:r>
        <w:rPr/>
        <w:t>发符合行业发展趋势的技术和产品，在高分子膜材料、光学膜材料、信息材料、新能源材料</w:t>
      </w:r>
      <w:r>
        <w:rPr>
          <w:spacing w:val="-91"/>
        </w:rPr>
        <w:t> </w:t>
      </w:r>
      <w:r>
        <w:rPr>
          <w:spacing w:val="-91"/>
        </w:rPr>
      </w:r>
      <w:r>
        <w:rPr/>
        <w:t>等领域取得多项技术水平突破，掌握了自主研发的核心技术。</w:t>
      </w:r>
    </w:p>
    <w:p>
      <w:pPr>
        <w:pStyle w:val="Heading3"/>
        <w:spacing w:line="297" w:lineRule="auto" w:before="173"/>
        <w:ind w:right="0" w:firstLine="480"/>
        <w:jc w:val="left"/>
      </w:pPr>
      <w:r>
        <w:rPr>
          <w:spacing w:val="-3"/>
        </w:rPr>
        <w:t>在推动既有业务转型升级的同时，公司坚持与时俱进、自主创新。除了日常通过与高校、</w:t>
      </w:r>
      <w:r>
        <w:rPr/>
        <w:t> 研究院的交流合作，推动技术创新外，公司还设立了专门的研究所，负责企业创新战略，高</w:t>
      </w:r>
      <w:r>
        <w:rPr>
          <w:spacing w:val="-91"/>
        </w:rPr>
        <w:t> </w:t>
      </w:r>
      <w:r>
        <w:rPr>
          <w:spacing w:val="-91"/>
        </w:rPr>
      </w:r>
      <w:r>
        <w:rPr/>
        <w:t>端膜材料等技术研究工作，最终实现以创新迭代技术，用技术引领产业的目标。</w:t>
      </w:r>
    </w:p>
    <w:p>
      <w:pPr>
        <w:spacing w:after="0" w:line="297" w:lineRule="auto"/>
        <w:jc w:val="left"/>
        <w:sectPr>
          <w:pgSz w:w="11910" w:h="16840"/>
          <w:pgMar w:header="745" w:footer="980" w:top="1060" w:bottom="1160" w:left="980" w:right="0"/>
        </w:sectPr>
      </w:pPr>
    </w:p>
    <w:p>
      <w:pPr>
        <w:spacing w:line="240" w:lineRule="auto" w:before="7"/>
        <w:rPr>
          <w:rFonts w:ascii="宋体" w:hAnsi="宋体" w:cs="宋体" w:eastAsia="宋体" w:hint="default"/>
          <w:sz w:val="26"/>
          <w:szCs w:val="26"/>
        </w:rPr>
      </w:pPr>
    </w:p>
    <w:p>
      <w:pPr>
        <w:pStyle w:val="Heading2"/>
        <w:spacing w:line="240" w:lineRule="auto" w:before="26"/>
        <w:ind w:left="635" w:right="0"/>
        <w:jc w:val="left"/>
        <w:rPr>
          <w:b w:val="0"/>
          <w:bCs w:val="0"/>
        </w:rPr>
      </w:pPr>
      <w:r>
        <w:rPr>
          <w:rFonts w:ascii="Times New Roman" w:hAnsi="Times New Roman" w:cs="Times New Roman" w:eastAsia="Times New Roman" w:hint="default"/>
        </w:rPr>
        <w:t>3</w:t>
      </w:r>
      <w:r>
        <w:rPr/>
        <w:t>、营销渠道优势</w:t>
      </w:r>
      <w:r>
        <w:rPr>
          <w:b w:val="0"/>
          <w:bCs w:val="0"/>
        </w:rPr>
      </w:r>
    </w:p>
    <w:p>
      <w:pPr>
        <w:pStyle w:val="Heading3"/>
        <w:spacing w:line="290" w:lineRule="auto" w:before="213"/>
        <w:ind w:right="1135" w:firstLine="480"/>
        <w:jc w:val="both"/>
      </w:pPr>
      <w:r>
        <w:rPr/>
        <w:t>公司围绕</w:t>
      </w:r>
      <w:r>
        <w:rPr>
          <w:spacing w:val="-58"/>
        </w:rPr>
        <w:t> </w:t>
      </w:r>
      <w:r>
        <w:rPr>
          <w:rFonts w:ascii="Times New Roman" w:hAnsi="Times New Roman" w:cs="Times New Roman" w:eastAsia="Times New Roman" w:hint="default"/>
        </w:rPr>
        <w:t>“</w:t>
      </w:r>
      <w:r>
        <w:rPr/>
        <w:t>三足鼎立</w:t>
      </w:r>
      <w:r>
        <w:rPr>
          <w:rFonts w:ascii="Times New Roman" w:hAnsi="Times New Roman" w:cs="Times New Roman" w:eastAsia="Times New Roman" w:hint="default"/>
        </w:rPr>
        <w:t>”</w:t>
      </w:r>
      <w:r>
        <w:rPr/>
        <w:t>营销战略，深入实施市场营销，重点聚焦省、市、县市场，全面实 现销售网络下沉，完善全国范围内的营销体系布局。公司持续进行营销体系的提质改造。通</w:t>
      </w:r>
      <w:r>
        <w:rPr>
          <w:spacing w:val="-91"/>
        </w:rPr>
        <w:t> </w:t>
      </w:r>
      <w:r>
        <w:rPr>
          <w:spacing w:val="-91"/>
        </w:rPr>
      </w:r>
      <w:r>
        <w:rPr/>
        <w:t>过对营销体系的调整和建设，有力的保证公司的竞争优势。</w:t>
      </w:r>
    </w:p>
    <w:p>
      <w:pPr>
        <w:pStyle w:val="Heading3"/>
        <w:spacing w:line="393" w:lineRule="auto" w:before="182"/>
        <w:ind w:left="633" w:right="0" w:firstLine="2"/>
        <w:jc w:val="left"/>
      </w:pPr>
      <w:r>
        <w:rPr>
          <w:rFonts w:ascii="Times New Roman" w:hAnsi="Times New Roman" w:cs="Times New Roman" w:eastAsia="Times New Roman" w:hint="default"/>
          <w:b/>
          <w:bCs/>
        </w:rPr>
        <w:t>4</w:t>
      </w:r>
      <w:r>
        <w:rPr>
          <w:rFonts w:ascii="宋体" w:hAnsi="宋体" w:cs="宋体" w:eastAsia="宋体" w:hint="default"/>
          <w:b/>
          <w:bCs/>
        </w:rPr>
        <w:t>、市场先行优势</w:t>
      </w:r>
      <w:r>
        <w:rPr>
          <w:rFonts w:ascii="宋体" w:hAnsi="宋体" w:cs="宋体" w:eastAsia="宋体" w:hint="default"/>
          <w:b/>
          <w:bCs/>
          <w:w w:val="99"/>
        </w:rPr>
        <w:t> </w:t>
      </w:r>
      <w:r>
        <w:rPr/>
        <w:t>公司开发国际膜材料市场二十余年，与国内竞争者比较，公司主力产品较早进入国际市</w:t>
      </w:r>
    </w:p>
    <w:p>
      <w:pPr>
        <w:pStyle w:val="Heading3"/>
        <w:spacing w:line="256" w:lineRule="exact"/>
        <w:ind w:right="0"/>
        <w:jc w:val="both"/>
      </w:pPr>
      <w:r>
        <w:rPr/>
        <w:t>场，具有十分明显的市场先行优势。经过多年的努力，公司产品已出口国外</w:t>
      </w:r>
      <w:r>
        <w:rPr>
          <w:rFonts w:ascii="Times New Roman" w:hAnsi="Times New Roman" w:cs="Times New Roman" w:eastAsia="Times New Roman" w:hint="default"/>
        </w:rPr>
        <w:t>50</w:t>
      </w:r>
      <w:r>
        <w:rPr/>
        <w:t>多个国家和地</w:t>
      </w:r>
    </w:p>
    <w:p>
      <w:pPr>
        <w:pStyle w:val="Heading3"/>
        <w:spacing w:line="283" w:lineRule="auto" w:before="56"/>
        <w:ind w:right="1130"/>
        <w:jc w:val="both"/>
      </w:pPr>
      <w:r>
        <w:rPr>
          <w:spacing w:val="-2"/>
        </w:rPr>
        <w:t>区，主要客户三星、</w:t>
      </w:r>
      <w:r>
        <w:rPr>
          <w:rFonts w:ascii="Times New Roman" w:hAnsi="Times New Roman" w:cs="Times New Roman" w:eastAsia="Times New Roman" w:hint="default"/>
          <w:spacing w:val="-2"/>
        </w:rPr>
        <w:t>LG</w:t>
      </w:r>
      <w:r>
        <w:rPr>
          <w:spacing w:val="-2"/>
        </w:rPr>
        <w:t>等国际知名企业，公司通过长期的品质、供应和服务保障，与之建立</w:t>
      </w:r>
      <w:r>
        <w:rPr>
          <w:spacing w:val="-81"/>
        </w:rPr>
        <w:t> </w:t>
      </w:r>
      <w:r>
        <w:rPr>
          <w:spacing w:val="-81"/>
        </w:rPr>
      </w:r>
      <w:r>
        <w:rPr/>
        <w:t>了长期稳定的战略合作关系，在客户中有良好的信誉。</w:t>
      </w:r>
    </w:p>
    <w:p>
      <w:pPr>
        <w:spacing w:line="548" w:lineRule="exact" w:before="30"/>
        <w:ind w:left="537" w:right="1126" w:firstLine="98"/>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、人力资源及管理架构优势</w:t>
      </w:r>
      <w:r>
        <w:rPr>
          <w:rFonts w:ascii="宋体" w:hAnsi="宋体" w:cs="宋体" w:eastAsia="宋体" w:hint="default"/>
          <w:b/>
          <w:bCs/>
          <w:w w:val="99"/>
          <w:sz w:val="24"/>
          <w:szCs w:val="24"/>
        </w:rPr>
        <w:t> </w:t>
      </w:r>
      <w:r>
        <w:rPr>
          <w:rFonts w:ascii="宋体" w:hAnsi="宋体" w:cs="宋体" w:eastAsia="宋体" w:hint="default"/>
          <w:spacing w:val="-3"/>
          <w:sz w:val="24"/>
          <w:szCs w:val="24"/>
        </w:rPr>
        <w:t>公司在长期发展过程中，已建立起一支经验丰富、默契稳定的管理团队以及年轻化、专业</w:t>
      </w:r>
    </w:p>
    <w:p>
      <w:pPr>
        <w:pStyle w:val="Heading3"/>
        <w:spacing w:line="297" w:lineRule="auto"/>
        <w:ind w:right="1137"/>
        <w:jc w:val="both"/>
      </w:pPr>
      <w:r>
        <w:rPr/>
        <w:t>化的员工队伍。公司核心管理层在本公司的服务时间均在十年以上，在前瞻技术研究开发、</w:t>
      </w:r>
      <w:r>
        <w:rPr>
          <w:spacing w:val="-91"/>
        </w:rPr>
        <w:t> </w:t>
      </w:r>
      <w:r>
        <w:rPr>
          <w:spacing w:val="-91"/>
        </w:rPr>
      </w:r>
      <w:r>
        <w:rPr/>
        <w:t>电子商务平台运营、市场营销等方向具备丰富的经验，并对业务未来的发展趋势具有深刻理</w:t>
      </w:r>
      <w:r>
        <w:rPr>
          <w:spacing w:val="-90"/>
        </w:rPr>
        <w:t> </w:t>
      </w:r>
      <w:r>
        <w:rPr>
          <w:spacing w:val="-90"/>
        </w:rPr>
      </w:r>
      <w:r>
        <w:rPr/>
        <w:t>解。公司培养了一批有能力、有志向的年轻管理者，新老人员交替过程中，公司自主建立了</w:t>
      </w:r>
      <w:r>
        <w:rPr>
          <w:spacing w:val="-91"/>
        </w:rPr>
        <w:t> </w:t>
      </w:r>
      <w:r>
        <w:rPr>
          <w:spacing w:val="-91"/>
        </w:rPr>
      </w:r>
      <w:r>
        <w:rPr/>
        <w:t>知识管理系统，通过完备的知识管理体系，加速人才培养、提升人员沟通效率、沉淀技术基</w:t>
      </w:r>
      <w:r>
        <w:rPr>
          <w:spacing w:val="-91"/>
        </w:rPr>
        <w:t> </w:t>
      </w:r>
      <w:r>
        <w:rPr>
          <w:spacing w:val="-91"/>
        </w:rPr>
      </w:r>
      <w:r>
        <w:rPr/>
        <w:t>础。</w:t>
      </w:r>
    </w:p>
    <w:p>
      <w:pPr>
        <w:spacing w:after="0" w:line="297"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0"/>
        <w:jc w:val="left"/>
        <w:rPr>
          <w:b w:val="0"/>
          <w:bCs w:val="0"/>
        </w:rPr>
      </w:pPr>
      <w:bookmarkStart w:name="_bookmark3" w:id="4"/>
      <w:bookmarkEnd w:id="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12"/>
        <w:rPr>
          <w:rFonts w:ascii="宋体" w:hAnsi="宋体" w:cs="宋体" w:eastAsia="宋体" w:hint="default"/>
          <w:b/>
          <w:bCs/>
          <w:sz w:val="25"/>
          <w:szCs w:val="25"/>
        </w:rPr>
      </w:pPr>
    </w:p>
    <w:p>
      <w:pPr>
        <w:pStyle w:val="Heading3"/>
        <w:spacing w:line="280" w:lineRule="auto"/>
        <w:ind w:right="1126" w:firstLine="480"/>
        <w:jc w:val="both"/>
      </w:pPr>
      <w:r>
        <w:rPr>
          <w:rFonts w:ascii="Times New Roman" w:hAnsi="Times New Roman" w:cs="Times New Roman" w:eastAsia="Times New Roman" w:hint="default"/>
        </w:rPr>
        <w:t>2019</w:t>
      </w:r>
      <w:r>
        <w:rPr/>
        <w:t>年，面对严峻复杂的全球经济形势，双星新材坚定公司战略布局，围绕年初制定的 经营计划，全力推进</w:t>
      </w:r>
      <w:r>
        <w:rPr>
          <w:spacing w:val="-24"/>
        </w:rPr>
        <w:t> </w:t>
      </w:r>
      <w:r>
        <w:rPr>
          <w:rFonts w:ascii="Times New Roman" w:hAnsi="Times New Roman" w:cs="Times New Roman" w:eastAsia="Times New Roman" w:hint="default"/>
        </w:rPr>
        <w:t>“</w:t>
      </w:r>
      <w:r>
        <w:rPr/>
        <w:t>三大变革</w:t>
      </w:r>
      <w:r>
        <w:rPr>
          <w:rFonts w:ascii="Times New Roman" w:hAnsi="Times New Roman" w:cs="Times New Roman" w:eastAsia="Times New Roman" w:hint="default"/>
        </w:rPr>
        <w:t>”</w:t>
      </w:r>
      <w:r>
        <w:rPr/>
        <w:t>和创新发展，落实技术改造，狠抓</w:t>
      </w:r>
      <w:r>
        <w:rPr>
          <w:rFonts w:ascii="Times New Roman" w:hAnsi="Times New Roman" w:cs="Times New Roman" w:eastAsia="Times New Roman" w:hint="default"/>
        </w:rPr>
        <w:t>“</w:t>
      </w:r>
      <w:r>
        <w:rPr/>
        <w:t>提速增效，节能降耗</w:t>
      </w:r>
      <w:r>
        <w:rPr>
          <w:rFonts w:ascii="Times New Roman" w:hAnsi="Times New Roman" w:cs="Times New Roman" w:eastAsia="Times New Roman" w:hint="default"/>
        </w:rPr>
        <w:t>”</w:t>
      </w:r>
      <w:r>
        <w:rPr/>
        <w:t>； </w:t>
      </w:r>
      <w:r>
        <w:rPr>
          <w:spacing w:val="-2"/>
        </w:rPr>
        <w:t>推进创新驱动，优化产品结构调整，大力度开展新产品研发，新技术开发应用；强化</w:t>
      </w:r>
      <w:r>
        <w:rPr>
          <w:rFonts w:ascii="Times New Roman" w:hAnsi="Times New Roman" w:cs="Times New Roman" w:eastAsia="Times New Roman" w:hint="default"/>
          <w:spacing w:val="-2"/>
        </w:rPr>
        <w:t>“</w:t>
      </w:r>
      <w:r>
        <w:rPr>
          <w:spacing w:val="-2"/>
        </w:rPr>
        <w:t>三足鼎</w:t>
      </w:r>
      <w:r>
        <w:rPr>
          <w:spacing w:val="-105"/>
        </w:rPr>
        <w:t> </w:t>
      </w:r>
      <w:r>
        <w:rPr/>
        <w:t>立</w:t>
      </w:r>
      <w:r>
        <w:rPr>
          <w:rFonts w:ascii="Times New Roman" w:hAnsi="Times New Roman" w:cs="Times New Roman" w:eastAsia="Times New Roman" w:hint="default"/>
        </w:rPr>
        <w:t>”</w:t>
      </w:r>
      <w:r>
        <w:rPr/>
        <w:t>市场拓展、品牌推广，实现持续高质量发展企业基础进一步夯实。</w:t>
      </w:r>
    </w:p>
    <w:p>
      <w:pPr>
        <w:pStyle w:val="Heading3"/>
        <w:spacing w:line="280" w:lineRule="auto" w:before="169"/>
        <w:ind w:right="1134" w:firstLine="384"/>
        <w:jc w:val="both"/>
      </w:pPr>
      <w:r>
        <w:rPr>
          <w:spacing w:val="-1"/>
        </w:rPr>
        <w:t>报告期内，公司实现营业收入</w:t>
      </w:r>
      <w:r>
        <w:rPr>
          <w:rFonts w:ascii="Times New Roman" w:hAnsi="Times New Roman" w:cs="Times New Roman" w:eastAsia="Times New Roman" w:hint="default"/>
          <w:spacing w:val="-1"/>
        </w:rPr>
        <w:t>447,230.67</w:t>
      </w:r>
      <w:r>
        <w:rPr>
          <w:spacing w:val="-1"/>
        </w:rPr>
        <w:t>万元，同比增长</w:t>
      </w:r>
      <w:r>
        <w:rPr>
          <w:rFonts w:ascii="Times New Roman" w:hAnsi="Times New Roman" w:cs="Times New Roman" w:eastAsia="Times New Roman" w:hint="default"/>
          <w:spacing w:val="-1"/>
        </w:rPr>
        <w:t>15.94%</w:t>
      </w:r>
      <w:r>
        <w:rPr>
          <w:spacing w:val="-1"/>
        </w:rPr>
        <w:t>；实现归属上市公司股东</w:t>
      </w:r>
      <w:r>
        <w:rPr/>
        <w:t> 的净利润</w:t>
      </w:r>
      <w:r>
        <w:rPr>
          <w:rFonts w:ascii="Times New Roman" w:hAnsi="Times New Roman" w:cs="Times New Roman" w:eastAsia="Times New Roman" w:hint="default"/>
        </w:rPr>
        <w:t>17,348.64,</w:t>
      </w:r>
      <w:r>
        <w:rPr/>
        <w:t>同比减少</w:t>
      </w:r>
      <w:r>
        <w:rPr>
          <w:rFonts w:ascii="Times New Roman" w:hAnsi="Times New Roman" w:cs="Times New Roman" w:eastAsia="Times New Roman" w:hint="default"/>
        </w:rPr>
        <w:t>46.01%</w:t>
      </w:r>
      <w:r>
        <w:rPr/>
        <w:t>。</w:t>
      </w:r>
    </w:p>
    <w:p>
      <w:pPr>
        <w:spacing w:line="544" w:lineRule="exact" w:before="15"/>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（一）以科技增加助力，进一步提升研发能力</w:t>
      </w:r>
      <w:r>
        <w:rPr>
          <w:rFonts w:ascii="宋体" w:hAnsi="宋体" w:cs="宋体" w:eastAsia="宋体" w:hint="default"/>
          <w:b/>
          <w:bCs/>
          <w:w w:val="99"/>
          <w:sz w:val="24"/>
          <w:szCs w:val="24"/>
        </w:rPr>
        <w:t> </w:t>
      </w:r>
      <w:r>
        <w:rPr>
          <w:rFonts w:ascii="宋体" w:hAnsi="宋体" w:cs="宋体" w:eastAsia="宋体" w:hint="default"/>
          <w:sz w:val="24"/>
          <w:szCs w:val="24"/>
        </w:rPr>
        <w:t>公司坚持把技术创新和产品开发作为企业持续发展的核心驱动力。自主开发创新产品并</w:t>
      </w:r>
    </w:p>
    <w:p>
      <w:pPr>
        <w:pStyle w:val="Heading3"/>
        <w:spacing w:line="285" w:lineRule="auto" w:before="2"/>
        <w:ind w:right="1129"/>
        <w:jc w:val="both"/>
      </w:pPr>
      <w:r>
        <w:rPr/>
        <w:t>实现量产</w:t>
      </w:r>
      <w:r>
        <w:rPr>
          <w:rFonts w:ascii="Times New Roman" w:hAnsi="Times New Roman" w:cs="Times New Roman" w:eastAsia="Times New Roman" w:hint="default"/>
        </w:rPr>
        <w:t>26</w:t>
      </w:r>
      <w:r>
        <w:rPr/>
        <w:t>项，布局自主知识产权</w:t>
      </w:r>
      <w:r>
        <w:rPr>
          <w:rFonts w:ascii="Times New Roman" w:hAnsi="Times New Roman" w:cs="Times New Roman" w:eastAsia="Times New Roman" w:hint="default"/>
        </w:rPr>
        <w:t>19</w:t>
      </w:r>
      <w:r>
        <w:rPr/>
        <w:t>项，其中：发明专利</w:t>
      </w:r>
      <w:r>
        <w:rPr>
          <w:rFonts w:ascii="Times New Roman" w:hAnsi="Times New Roman" w:cs="Times New Roman" w:eastAsia="Times New Roman" w:hint="default"/>
        </w:rPr>
        <w:t>5</w:t>
      </w:r>
      <w:r>
        <w:rPr/>
        <w:t>项；参编行业技术标准</w:t>
      </w:r>
      <w:r>
        <w:rPr>
          <w:rFonts w:ascii="Times New Roman" w:hAnsi="Times New Roman" w:cs="Times New Roman" w:eastAsia="Times New Roman" w:hint="default"/>
        </w:rPr>
        <w:t>5</w:t>
      </w:r>
      <w:r>
        <w:rPr/>
        <w:t>项，累计</w:t>
      </w:r>
      <w:r>
        <w:rPr>
          <w:spacing w:val="-86"/>
        </w:rPr>
        <w:t> </w:t>
      </w:r>
      <w:r>
        <w:rPr>
          <w:spacing w:val="-86"/>
        </w:rPr>
      </w:r>
      <w:r>
        <w:rPr/>
        <w:t>研发并达产创新项目</w:t>
      </w:r>
      <w:r>
        <w:rPr>
          <w:rFonts w:ascii="Times New Roman" w:hAnsi="Times New Roman" w:cs="Times New Roman" w:eastAsia="Times New Roman" w:hint="default"/>
        </w:rPr>
        <w:t>8</w:t>
      </w:r>
      <w:r>
        <w:rPr/>
        <w:t>项，其中：通过省级新产品新技术成果鉴定</w:t>
      </w:r>
      <w:r>
        <w:rPr>
          <w:rFonts w:ascii="Times New Roman" w:hAnsi="Times New Roman" w:cs="Times New Roman" w:eastAsia="Times New Roman" w:hint="default"/>
        </w:rPr>
        <w:t>5</w:t>
      </w:r>
      <w:r>
        <w:rPr/>
        <w:t>项，承担省市级科研课题</w:t>
      </w:r>
      <w:r>
        <w:rPr>
          <w:spacing w:val="-86"/>
        </w:rPr>
        <w:t> </w:t>
      </w:r>
      <w:r>
        <w:rPr>
          <w:spacing w:val="-86"/>
        </w:rPr>
      </w:r>
      <w:r>
        <w:rPr>
          <w:spacing w:val="-2"/>
        </w:rPr>
        <w:t>攻关和技改项目</w:t>
      </w:r>
      <w:r>
        <w:rPr>
          <w:rFonts w:ascii="Times New Roman" w:hAnsi="Times New Roman" w:cs="Times New Roman" w:eastAsia="Times New Roman" w:hint="default"/>
          <w:spacing w:val="-2"/>
        </w:rPr>
        <w:t>6</w:t>
      </w:r>
      <w:r>
        <w:rPr>
          <w:spacing w:val="-2"/>
        </w:rPr>
        <w:t>项，其中：重大科技成果转化项目</w:t>
      </w:r>
      <w:r>
        <w:rPr>
          <w:rFonts w:ascii="Times New Roman" w:hAnsi="Times New Roman" w:cs="Times New Roman" w:eastAsia="Times New Roman" w:hint="default"/>
          <w:spacing w:val="-2"/>
        </w:rPr>
        <w:t>2</w:t>
      </w:r>
      <w:r>
        <w:rPr>
          <w:spacing w:val="-2"/>
        </w:rPr>
        <w:t>项、重大技术改造项目</w:t>
      </w:r>
      <w:r>
        <w:rPr>
          <w:rFonts w:ascii="Times New Roman" w:hAnsi="Times New Roman" w:cs="Times New Roman" w:eastAsia="Times New Roman" w:hint="default"/>
          <w:spacing w:val="-2"/>
        </w:rPr>
        <w:t>3</w:t>
      </w:r>
      <w:r>
        <w:rPr>
          <w:spacing w:val="-2"/>
        </w:rPr>
        <w:t>项，企业被认定</w:t>
      </w:r>
      <w:r>
        <w:rPr/>
        <w:t> 为国家知识产权优势企业、江苏省创新型领军企业，江苏省认定企业技术中心通过复评，解</w:t>
      </w:r>
      <w:r>
        <w:rPr>
          <w:spacing w:val="-91"/>
        </w:rPr>
        <w:t> </w:t>
      </w:r>
      <w:r>
        <w:rPr>
          <w:spacing w:val="-91"/>
        </w:rPr>
      </w:r>
      <w:r>
        <w:rPr/>
        <w:t>决多项关键技术难题，形成具有自主特色的技术路线，形成持续成长的新动力。</w:t>
      </w:r>
    </w:p>
    <w:p>
      <w:pPr>
        <w:spacing w:line="548" w:lineRule="exact" w:before="27"/>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（二）以客户为导向，大力推进外贸发展</w:t>
      </w:r>
      <w:r>
        <w:rPr>
          <w:rFonts w:ascii="宋体" w:hAnsi="宋体" w:cs="宋体" w:eastAsia="宋体" w:hint="default"/>
          <w:b/>
          <w:bCs/>
          <w:w w:val="99"/>
          <w:sz w:val="24"/>
          <w:szCs w:val="24"/>
        </w:rPr>
        <w:t> </w:t>
      </w:r>
      <w:r>
        <w:rPr>
          <w:rFonts w:ascii="宋体" w:hAnsi="宋体" w:cs="宋体" w:eastAsia="宋体" w:hint="default"/>
          <w:sz w:val="24"/>
          <w:szCs w:val="24"/>
        </w:rPr>
        <w:t>报告期内，公司坚持以客户为导向，围绕</w:t>
      </w:r>
      <w:r>
        <w:rPr>
          <w:rFonts w:ascii="Times New Roman" w:hAnsi="Times New Roman" w:cs="Times New Roman" w:eastAsia="Times New Roman" w:hint="default"/>
          <w:sz w:val="24"/>
          <w:szCs w:val="24"/>
        </w:rPr>
        <w:t>“</w:t>
      </w:r>
      <w:r>
        <w:rPr>
          <w:rFonts w:ascii="宋体" w:hAnsi="宋体" w:cs="宋体" w:eastAsia="宋体" w:hint="default"/>
          <w:sz w:val="24"/>
          <w:szCs w:val="24"/>
        </w:rPr>
        <w:t>三足鼎立</w:t>
      </w:r>
      <w:r>
        <w:rPr>
          <w:rFonts w:ascii="Times New Roman" w:hAnsi="Times New Roman" w:cs="Times New Roman" w:eastAsia="Times New Roman" w:hint="default"/>
          <w:sz w:val="24"/>
          <w:szCs w:val="24"/>
        </w:rPr>
        <w:t>”</w:t>
      </w:r>
      <w:r>
        <w:rPr>
          <w:rFonts w:ascii="宋体" w:hAnsi="宋体" w:cs="宋体" w:eastAsia="宋体" w:hint="default"/>
          <w:sz w:val="24"/>
          <w:szCs w:val="24"/>
        </w:rPr>
        <w:t>营销战略，深入实施市场营销，立</w:t>
      </w:r>
    </w:p>
    <w:p>
      <w:pPr>
        <w:pStyle w:val="Heading3"/>
        <w:spacing w:line="300" w:lineRule="auto"/>
        <w:ind w:right="1134"/>
        <w:jc w:val="both"/>
      </w:pPr>
      <w:r>
        <w:rPr/>
        <w:t>足自身资源直面市场，通过加强对外交流深度展开核心客户的深度挖掘。推进全球布局，加</w:t>
      </w:r>
      <w:r>
        <w:rPr>
          <w:spacing w:val="-86"/>
        </w:rPr>
        <w:t> </w:t>
      </w:r>
      <w:r>
        <w:rPr>
          <w:spacing w:val="-86"/>
        </w:rPr>
      </w:r>
      <w:r>
        <w:rPr/>
        <w:t>快出口营销回头客户开发，拓展国际市场份额。</w:t>
      </w:r>
    </w:p>
    <w:p>
      <w:pPr>
        <w:spacing w:line="548" w:lineRule="exact" w:before="12"/>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（三）以产品结构调整为契机，加快企业转型升级</w:t>
      </w:r>
      <w:r>
        <w:rPr>
          <w:rFonts w:ascii="宋体" w:hAnsi="宋体" w:cs="宋体" w:eastAsia="宋体" w:hint="default"/>
          <w:b/>
          <w:bCs/>
          <w:w w:val="99"/>
          <w:sz w:val="24"/>
          <w:szCs w:val="24"/>
        </w:rPr>
        <w:t> </w:t>
      </w:r>
      <w:r>
        <w:rPr>
          <w:rFonts w:ascii="宋体" w:hAnsi="宋体" w:cs="宋体" w:eastAsia="宋体" w:hint="default"/>
          <w:sz w:val="24"/>
          <w:szCs w:val="24"/>
        </w:rPr>
        <w:t>报告期内，公司坚定项目攻坚工艺提升创新发展，立足结构调整，瞄准前沿，进行一系</w:t>
      </w:r>
    </w:p>
    <w:p>
      <w:pPr>
        <w:pStyle w:val="Heading3"/>
        <w:spacing w:line="290" w:lineRule="auto"/>
        <w:ind w:right="1131"/>
        <w:jc w:val="both"/>
      </w:pPr>
      <w:r>
        <w:rPr/>
        <w:t>列前瞻性布局，采取多种有效措施，全力拓展以项目建设推进新增长点提供发展支撑，年内</w:t>
      </w:r>
      <w:r>
        <w:rPr>
          <w:spacing w:val="-91"/>
        </w:rPr>
        <w:t> </w:t>
      </w:r>
      <w:r>
        <w:rPr>
          <w:spacing w:val="-91"/>
        </w:rPr>
      </w:r>
      <w:r>
        <w:rPr>
          <w:spacing w:val="-1"/>
        </w:rPr>
        <w:t>完成项目建设及技术改造项目</w:t>
      </w:r>
      <w:r>
        <w:rPr>
          <w:rFonts w:ascii="Times New Roman" w:hAnsi="Times New Roman" w:cs="Times New Roman" w:eastAsia="Times New Roman" w:hint="default"/>
          <w:spacing w:val="-1"/>
        </w:rPr>
        <w:t>16</w:t>
      </w:r>
      <w:r>
        <w:rPr>
          <w:spacing w:val="-1"/>
        </w:rPr>
        <w:t>项，实现目标</w:t>
      </w:r>
      <w:r>
        <w:rPr>
          <w:rFonts w:ascii="Times New Roman" w:hAnsi="Times New Roman" w:cs="Times New Roman" w:eastAsia="Times New Roman" w:hint="default"/>
          <w:spacing w:val="-1"/>
        </w:rPr>
        <w:t>100%</w:t>
      </w:r>
      <w:r>
        <w:rPr>
          <w:spacing w:val="-1"/>
        </w:rPr>
        <w:t>。持续深化项目增加值管理，围绕提升效</w:t>
      </w:r>
      <w:r>
        <w:rPr/>
        <w:t> </w:t>
      </w:r>
      <w:r>
        <w:rPr>
          <w:spacing w:val="-1"/>
        </w:rPr>
        <w:t>率和目标优化管理，成立创新小组，拓展</w:t>
      </w:r>
      <w:r>
        <w:rPr>
          <w:rFonts w:ascii="Times New Roman" w:hAnsi="Times New Roman" w:cs="Times New Roman" w:eastAsia="Times New Roman" w:hint="default"/>
          <w:spacing w:val="-1"/>
        </w:rPr>
        <w:t>26</w:t>
      </w:r>
      <w:r>
        <w:rPr>
          <w:spacing w:val="-1"/>
        </w:rPr>
        <w:t>个创新要点，以节能降耗为重点工作</w:t>
      </w:r>
      <w:r>
        <w:rPr>
          <w:rFonts w:ascii="Times New Roman" w:hAnsi="Times New Roman" w:cs="Times New Roman" w:eastAsia="Times New Roman" w:hint="default"/>
          <w:spacing w:val="-1"/>
        </w:rPr>
        <w:t>,</w:t>
      </w:r>
      <w:r>
        <w:rPr>
          <w:spacing w:val="-1"/>
        </w:rPr>
        <w:t>围绕创新开</w:t>
      </w:r>
      <w:r>
        <w:rPr>
          <w:spacing w:val="-100"/>
        </w:rPr>
        <w:t> </w:t>
      </w:r>
      <w:r>
        <w:rPr/>
        <w:t>发、价值提升、降低成本、持续推进，以实现企业效率、效益突破，实实在在通过创新，激</w:t>
      </w:r>
      <w:r>
        <w:rPr>
          <w:spacing w:val="-91"/>
        </w:rPr>
        <w:t> </w:t>
      </w:r>
      <w:r>
        <w:rPr>
          <w:spacing w:val="-91"/>
        </w:rPr>
      </w:r>
      <w:r>
        <w:rPr/>
        <w:t>发内生动力。</w:t>
      </w:r>
    </w:p>
    <w:p>
      <w:pPr>
        <w:spacing w:line="544" w:lineRule="exact" w:before="28"/>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（四）以人才和管理为支撑，加强巩固内部建设</w:t>
      </w:r>
      <w:r>
        <w:rPr>
          <w:rFonts w:ascii="宋体" w:hAnsi="宋体" w:cs="宋体" w:eastAsia="宋体" w:hint="default"/>
          <w:b/>
          <w:bCs/>
          <w:w w:val="99"/>
          <w:sz w:val="24"/>
          <w:szCs w:val="24"/>
        </w:rPr>
        <w:t> </w:t>
      </w:r>
      <w:r>
        <w:rPr>
          <w:rFonts w:ascii="宋体" w:hAnsi="宋体" w:cs="宋体" w:eastAsia="宋体" w:hint="default"/>
          <w:sz w:val="24"/>
          <w:szCs w:val="24"/>
        </w:rPr>
        <w:t>报告期内，公司秉承</w:t>
      </w:r>
      <w:r>
        <w:rPr>
          <w:rFonts w:ascii="Times New Roman" w:hAnsi="Times New Roman" w:cs="Times New Roman" w:eastAsia="Times New Roman" w:hint="default"/>
          <w:sz w:val="24"/>
          <w:szCs w:val="24"/>
        </w:rPr>
        <w:t>“</w:t>
      </w:r>
      <w:r>
        <w:rPr>
          <w:rFonts w:ascii="宋体" w:hAnsi="宋体" w:cs="宋体" w:eastAsia="宋体" w:hint="default"/>
          <w:sz w:val="24"/>
          <w:szCs w:val="24"/>
        </w:rPr>
        <w:t>以人为本</w:t>
      </w:r>
      <w:r>
        <w:rPr>
          <w:rFonts w:ascii="Times New Roman" w:hAnsi="Times New Roman" w:cs="Times New Roman" w:eastAsia="Times New Roman" w:hint="default"/>
          <w:sz w:val="24"/>
          <w:szCs w:val="24"/>
        </w:rPr>
        <w:t>”</w:t>
      </w:r>
      <w:r>
        <w:rPr>
          <w:rFonts w:ascii="宋体" w:hAnsi="宋体" w:cs="宋体" w:eastAsia="宋体" w:hint="default"/>
          <w:sz w:val="24"/>
          <w:szCs w:val="24"/>
        </w:rPr>
        <w:t>的理念，拓宽引才渠道，完善人才体系，保障人才梯队</w:t>
      </w:r>
    </w:p>
    <w:p>
      <w:pPr>
        <w:pStyle w:val="Heading3"/>
        <w:spacing w:line="240" w:lineRule="auto" w:before="2"/>
        <w:ind w:right="0"/>
        <w:jc w:val="both"/>
      </w:pPr>
      <w:r>
        <w:rPr/>
        <w:t>培养战略的实施。公司严格按照相关的法律法规标准规范管理，为股东大会、董事会、监事</w:t>
      </w:r>
    </w:p>
    <w:p>
      <w:pPr>
        <w:spacing w:after="0" w:line="240" w:lineRule="auto"/>
        <w:jc w:val="both"/>
        <w:sectPr>
          <w:pgSz w:w="11910" w:h="16840"/>
          <w:pgMar w:header="745" w:footer="980" w:top="1060" w:bottom="1160" w:left="980" w:right="0"/>
        </w:sectPr>
      </w:pPr>
    </w:p>
    <w:p>
      <w:pPr>
        <w:spacing w:line="240" w:lineRule="auto" w:before="7"/>
        <w:rPr>
          <w:rFonts w:ascii="宋体" w:hAnsi="宋体" w:cs="宋体" w:eastAsia="宋体" w:hint="default"/>
          <w:sz w:val="26"/>
          <w:szCs w:val="26"/>
        </w:rPr>
      </w:pPr>
    </w:p>
    <w:p>
      <w:pPr>
        <w:pStyle w:val="Heading3"/>
        <w:spacing w:line="297" w:lineRule="auto" w:before="26"/>
        <w:ind w:right="996"/>
        <w:jc w:val="left"/>
      </w:pPr>
      <w:r>
        <w:rPr/>
        <w:t>会的日常运作创造有利条件，不断提高治理水平。公司立足实际，按照管理制度化、制度流</w:t>
      </w:r>
      <w:r>
        <w:rPr>
          <w:spacing w:val="-91"/>
        </w:rPr>
        <w:t> </w:t>
      </w:r>
      <w:r>
        <w:rPr>
          <w:spacing w:val="-91"/>
        </w:rPr>
      </w:r>
      <w:r>
        <w:rPr>
          <w:spacing w:val="-2"/>
        </w:rPr>
        <w:t>程化、流程信息化的要求，建立健全了相对完善的内部控制体系并依据相关政策法规的变化，</w:t>
      </w:r>
      <w:r>
        <w:rPr/>
        <w:t> 适时完善相关治理文件，持续深入的开展公司治理活动，进一步推动企业管理的规范化、标</w:t>
      </w:r>
      <w:r>
        <w:rPr>
          <w:spacing w:val="-91"/>
        </w:rPr>
        <w:t> </w:t>
      </w:r>
      <w:r>
        <w:rPr>
          <w:spacing w:val="-91"/>
        </w:rPr>
      </w:r>
      <w:r>
        <w:rPr/>
        <w:t>准化、常态化，促进公司的持续健康稳定发展，切实维护上市公司及中小股东的利益。</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9"/>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4,472,306,660.48</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3,857,565,344.01</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15.94%</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薄膜制造业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4,472,306,660.48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3,857,565,344.01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15.90%</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4,266,702,283.40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95.40%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3,674,252,994.95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95.25%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16.10%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79,127,971.01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61,324,236.58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29.00%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镀铝膜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101,526,237.71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84,673,712.26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19.90%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24,950,168.36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37,314,400.22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-33.10%</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3,550,418,544.15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79.39%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3,136,926,491.35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81.32%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921,888,116.33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20.61%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720,638,852.66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18.68%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27.93%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8"/>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4" w:right="0"/>
              <w:jc w:val="left"/>
              <w:rPr>
                <w:rFonts w:ascii="宋体" w:hAnsi="宋体" w:cs="宋体" w:eastAsia="宋体" w:hint="default"/>
                <w:sz w:val="18"/>
                <w:szCs w:val="18"/>
              </w:rPr>
            </w:pPr>
            <w:r>
              <w:rPr>
                <w:rFonts w:ascii="宋体" w:hAnsi="宋体" w:cs="宋体" w:eastAsia="宋体" w:hint="default"/>
                <w:sz w:val="18"/>
                <w:szCs w:val="18"/>
              </w:rPr>
              <w:t>薄膜制造业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4,447,356,492.12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3,893,604,449.79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9" w:right="0"/>
              <w:jc w:val="left"/>
              <w:rPr>
                <w:rFonts w:ascii="Times New Roman" w:hAnsi="Times New Roman" w:cs="Times New Roman" w:eastAsia="Times New Roman" w:hint="default"/>
                <w:sz w:val="18"/>
                <w:szCs w:val="18"/>
              </w:rPr>
            </w:pPr>
            <w:r>
              <w:rPr>
                <w:rFonts w:ascii="Times New Roman"/>
                <w:sz w:val="18"/>
              </w:rPr>
              <w:t>12.45%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0" w:right="0"/>
              <w:jc w:val="left"/>
              <w:rPr>
                <w:rFonts w:ascii="Times New Roman" w:hAnsi="Times New Roman" w:cs="Times New Roman" w:eastAsia="Times New Roman" w:hint="default"/>
                <w:sz w:val="18"/>
                <w:szCs w:val="18"/>
              </w:rPr>
            </w:pPr>
            <w:r>
              <w:rPr>
                <w:rFonts w:ascii="Times New Roman"/>
                <w:sz w:val="18"/>
              </w:rPr>
              <w:t>16.42%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9" w:right="0"/>
              <w:jc w:val="left"/>
              <w:rPr>
                <w:rFonts w:ascii="Times New Roman" w:hAnsi="Times New Roman" w:cs="Times New Roman" w:eastAsia="Times New Roman" w:hint="default"/>
                <w:sz w:val="18"/>
                <w:szCs w:val="18"/>
              </w:rPr>
            </w:pPr>
            <w:r>
              <w:rPr>
                <w:rFonts w:ascii="Times New Roman"/>
                <w:sz w:val="18"/>
              </w:rPr>
              <w:t>22.22%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4" w:right="0"/>
              <w:jc w:val="left"/>
              <w:rPr>
                <w:rFonts w:ascii="Times New Roman" w:hAnsi="Times New Roman" w:cs="Times New Roman" w:eastAsia="Times New Roman" w:hint="default"/>
                <w:sz w:val="18"/>
                <w:szCs w:val="18"/>
              </w:rPr>
            </w:pPr>
            <w:r>
              <w:rPr>
                <w:rFonts w:ascii="Times New Roman"/>
                <w:sz w:val="18"/>
              </w:rPr>
              <w:t>-4.16%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4,266,702,283.40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3,727,756,074.84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12.63%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16.12%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21.71%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-4.01%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79,127,971.01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67,798,594.30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28.67%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镀铝膜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101,526,237.71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98,049,780.65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39.30%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-13.45%</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3,525,468,375.79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3,146,684,065.78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18.99%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921,888,116.33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746,920,384.01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37.98%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聚酯薄膜行业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2"/>
              <w:jc w:val="right"/>
              <w:rPr>
                <w:rFonts w:ascii="Times New Roman" w:hAnsi="Times New Roman" w:cs="Times New Roman" w:eastAsia="Times New Roman" w:hint="default"/>
                <w:sz w:val="18"/>
                <w:szCs w:val="18"/>
              </w:rPr>
            </w:pPr>
            <w:r>
              <w:rPr>
                <w:rFonts w:ascii="Times New Roman"/>
                <w:spacing w:val="-1"/>
                <w:sz w:val="18"/>
              </w:rPr>
              <w:t>393,204.8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29"/>
              <w:jc w:val="right"/>
              <w:rPr>
                <w:rFonts w:ascii="Times New Roman" w:hAnsi="Times New Roman" w:cs="Times New Roman" w:eastAsia="Times New Roman" w:hint="default"/>
                <w:sz w:val="18"/>
                <w:szCs w:val="18"/>
              </w:rPr>
            </w:pPr>
            <w:r>
              <w:rPr>
                <w:rFonts w:ascii="Times New Roman"/>
                <w:spacing w:val="-1"/>
                <w:sz w:val="18"/>
              </w:rPr>
              <w:t>329,560.1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19.31%</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9"/>
              <w:jc w:val="right"/>
              <w:rPr>
                <w:rFonts w:ascii="Times New Roman" w:hAnsi="Times New Roman" w:cs="Times New Roman" w:eastAsia="Times New Roman" w:hint="default"/>
                <w:sz w:val="18"/>
                <w:szCs w:val="18"/>
              </w:rPr>
            </w:pPr>
            <w:r>
              <w:rPr>
                <w:rFonts w:ascii="Times New Roman"/>
                <w:spacing w:val="-1"/>
                <w:sz w:val="18"/>
              </w:rPr>
              <w:t>376,240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29"/>
              <w:jc w:val="right"/>
              <w:rPr>
                <w:rFonts w:ascii="Times New Roman" w:hAnsi="Times New Roman" w:cs="Times New Roman" w:eastAsia="Times New Roman" w:hint="default"/>
                <w:sz w:val="18"/>
                <w:szCs w:val="18"/>
              </w:rPr>
            </w:pPr>
            <w:r>
              <w:rPr>
                <w:rFonts w:ascii="Times New Roman"/>
                <w:spacing w:val="-1"/>
                <w:sz w:val="18"/>
              </w:rPr>
              <w:t>347,730.5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8.20%</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75"/>
              <w:jc w:val="right"/>
              <w:rPr>
                <w:rFonts w:ascii="Times New Roman" w:hAnsi="Times New Roman" w:cs="Times New Roman" w:eastAsia="Times New Roman" w:hint="default"/>
                <w:sz w:val="18"/>
                <w:szCs w:val="18"/>
              </w:rPr>
            </w:pPr>
            <w:r>
              <w:rPr>
                <w:rFonts w:ascii="Times New Roman"/>
                <w:sz w:val="18"/>
              </w:rPr>
              <w:t>55,254.6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72"/>
              <w:jc w:val="right"/>
              <w:rPr>
                <w:rFonts w:ascii="Times New Roman" w:hAnsi="Times New Roman" w:cs="Times New Roman" w:eastAsia="Times New Roman" w:hint="default"/>
                <w:sz w:val="18"/>
                <w:szCs w:val="18"/>
              </w:rPr>
            </w:pPr>
            <w:r>
              <w:rPr>
                <w:rFonts w:ascii="Times New Roman"/>
                <w:sz w:val="18"/>
              </w:rPr>
              <w:t>72,219.4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-23.49%</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功能膜行业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75"/>
              <w:jc w:val="right"/>
              <w:rPr>
                <w:rFonts w:ascii="Times New Roman" w:hAnsi="Times New Roman" w:cs="Times New Roman" w:eastAsia="Times New Roman" w:hint="default"/>
                <w:sz w:val="18"/>
                <w:szCs w:val="18"/>
              </w:rPr>
            </w:pPr>
            <w:r>
              <w:rPr>
                <w:rFonts w:ascii="Times New Roman"/>
                <w:w w:val="95"/>
                <w:sz w:val="18"/>
              </w:rPr>
              <w:t>4,898.75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3,659.4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33.87%</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75"/>
              <w:jc w:val="right"/>
              <w:rPr>
                <w:rFonts w:ascii="Times New Roman" w:hAnsi="Times New Roman" w:cs="Times New Roman" w:eastAsia="Times New Roman" w:hint="default"/>
                <w:sz w:val="18"/>
                <w:szCs w:val="18"/>
              </w:rPr>
            </w:pPr>
            <w:r>
              <w:rPr>
                <w:rFonts w:ascii="Times New Roman"/>
                <w:w w:val="95"/>
                <w:sz w:val="18"/>
              </w:rPr>
              <w:t>4,449.08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72"/>
              <w:jc w:val="right"/>
              <w:rPr>
                <w:rFonts w:ascii="Times New Roman" w:hAnsi="Times New Roman" w:cs="Times New Roman" w:eastAsia="Times New Roman" w:hint="default"/>
                <w:sz w:val="18"/>
                <w:szCs w:val="18"/>
              </w:rPr>
            </w:pPr>
            <w:r>
              <w:rPr>
                <w:rFonts w:ascii="Times New Roman"/>
                <w:w w:val="95"/>
                <w:sz w:val="18"/>
              </w:rPr>
              <w:t>3,786.29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17.50%</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-56.43%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40" w:lineRule="auto" w:before="101"/>
        <w:ind w:left="152" w:right="57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报告期内</w:t>
      </w:r>
      <w:r>
        <w:rPr>
          <w:rFonts w:ascii="Times New Roman" w:hAnsi="Times New Roman" w:cs="Times New Roman" w:eastAsia="Times New Roman" w:hint="default"/>
          <w:sz w:val="18"/>
          <w:szCs w:val="18"/>
        </w:rPr>
        <w:t>PVC</w:t>
      </w:r>
      <w:r>
        <w:rPr>
          <w:rFonts w:ascii="宋体" w:hAnsi="宋体" w:cs="宋体" w:eastAsia="宋体" w:hint="default"/>
          <w:sz w:val="18"/>
          <w:szCs w:val="18"/>
        </w:rPr>
        <w:t>项目积极开拓国际市场增加销量，同时压降库存。</w:t>
      </w: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3,002,058,021.17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2,503,885,231.99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29.45%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66,003,538.25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59,930,836.23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-20.38%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燃料动力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290,415,082.32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195,262,837.63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369,279,433.10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303,629,175.31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67,798,594.30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52,690,069.29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28.67%</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镀铝膜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98,049,780.65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70,386,494.15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39.30%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5,276,289.55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1"/>
          <w:szCs w:val="21"/>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1"/>
          <w:szCs w:val="21"/>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5"/>
        <w:rPr>
          <w:rFonts w:ascii="宋体" w:hAnsi="宋体" w:cs="宋体" w:eastAsia="宋体" w:hint="default"/>
          <w:b/>
          <w:bCs/>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454"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2"/>
              <w:jc w:val="right"/>
              <w:rPr>
                <w:rFonts w:ascii="Times New Roman" w:hAnsi="Times New Roman" w:cs="Times New Roman" w:eastAsia="Times New Roman" w:hint="default"/>
                <w:sz w:val="18"/>
                <w:szCs w:val="18"/>
              </w:rPr>
            </w:pPr>
            <w:r>
              <w:rPr>
                <w:rFonts w:ascii="Times New Roman"/>
                <w:spacing w:val="-1"/>
                <w:sz w:val="18"/>
              </w:rPr>
              <w:t>1,314,601,430.21</w:t>
            </w:r>
          </w:p>
        </w:tc>
      </w:tr>
      <w:tr>
        <w:trPr>
          <w:trHeight w:val="440"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8"/>
              <w:jc w:val="right"/>
              <w:rPr>
                <w:rFonts w:ascii="Times New Roman" w:hAnsi="Times New Roman" w:cs="Times New Roman" w:eastAsia="Times New Roman" w:hint="default"/>
                <w:sz w:val="18"/>
                <w:szCs w:val="18"/>
              </w:rPr>
            </w:pPr>
            <w:r>
              <w:rPr>
                <w:rFonts w:ascii="Times New Roman"/>
                <w:sz w:val="18"/>
              </w:rPr>
              <w:t>29.40%</w:t>
            </w:r>
          </w:p>
        </w:tc>
      </w:tr>
      <w:tr>
        <w:trPr>
          <w:trHeight w:val="469"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苏州赛伍应用技术股份有限公司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346,301,672.17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7.74%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深圳市海天塑材有限公司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335,773,891.37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青州市富润包装材料有限公司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281,776,048.15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6.30%</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无锡市星瑞包装科技有限公司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221,504,698.39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东阳市鑫盛包装材料有限公司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129,245,120.13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1,314,601,430.21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29.40%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5"/>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4808"/>
        <w:gridCol w:w="4751"/>
      </w:tblGrid>
      <w:tr>
        <w:trPr>
          <w:trHeight w:val="442" w:hRule="exact"/>
        </w:trPr>
        <w:tc>
          <w:tcPr>
            <w:tcW w:w="4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pacing w:val="-1"/>
                <w:sz w:val="18"/>
              </w:rPr>
              <w:t>2,214,477,431.30</w:t>
            </w:r>
          </w:p>
        </w:tc>
      </w:tr>
      <w:tr>
        <w:trPr>
          <w:trHeight w:val="455" w:hRule="exact"/>
        </w:trPr>
        <w:tc>
          <w:tcPr>
            <w:tcW w:w="4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z w:val="18"/>
              </w:rPr>
              <w:t>76.30%</w:t>
            </w:r>
          </w:p>
        </w:tc>
      </w:tr>
      <w:tr>
        <w:trPr>
          <w:trHeight w:val="441" w:hRule="exact"/>
        </w:trPr>
        <w:tc>
          <w:tcPr>
            <w:tcW w:w="4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8"/>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62"/>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329"/>
        <w:gridCol w:w="2410"/>
        <w:gridCol w:w="2907"/>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0"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8"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江阴轩诺贸易有限公司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891,614,254.32</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30.72%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逸盛大化石化有限公司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523,462,763.40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329"/>
        <w:gridCol w:w="2410"/>
        <w:gridCol w:w="2907"/>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国网江苏省电力有限公司宿迁分公司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301,015,933.58</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10.37%</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2" w:right="0"/>
              <w:jc w:val="left"/>
              <w:rPr>
                <w:rFonts w:ascii="Times New Roman" w:hAnsi="Times New Roman" w:cs="Times New Roman" w:eastAsia="Times New Roman" w:hint="default"/>
                <w:sz w:val="18"/>
                <w:szCs w:val="18"/>
              </w:rPr>
            </w:pPr>
            <w:r>
              <w:rPr>
                <w:rFonts w:ascii="Times New Roman"/>
                <w:sz w:val="18"/>
              </w:rPr>
              <w:t>4</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张家港保税区行德威进出口贸易有限公司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256,510,000.00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8.84%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浙江绿宇环保股份有限公司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241,874,480.00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2,214,477,431.30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76.30%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113,750,500.61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4" w:right="0"/>
              <w:jc w:val="left"/>
              <w:rPr>
                <w:rFonts w:ascii="Times New Roman" w:hAnsi="Times New Roman" w:cs="Times New Roman" w:eastAsia="Times New Roman" w:hint="default"/>
                <w:sz w:val="18"/>
                <w:szCs w:val="18"/>
              </w:rPr>
            </w:pPr>
            <w:r>
              <w:rPr>
                <w:rFonts w:ascii="Times New Roman"/>
                <w:sz w:val="18"/>
              </w:rPr>
              <w:t>111,570,405.43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83,389,984.41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61,362,885.30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折旧费用增加</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22,228,448.67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27,506,804.19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-19.19%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145,203,795.81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121,508,267.11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19.50%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326" w:lineRule="auto" w:before="121"/>
        <w:ind w:right="0" w:firstLine="420"/>
        <w:jc w:val="left"/>
      </w:pPr>
      <w:r>
        <w:rPr>
          <w:spacing w:val="-5"/>
        </w:rPr>
        <w:t>坚持科技创新，推进结构调整，以市场为导向，大力开展技术攻关，以全球视野谋划和加强自主创新，</w:t>
      </w:r>
      <w:r>
        <w:rPr>
          <w:w w:val="100"/>
        </w:rPr>
        <w:t> </w:t>
      </w:r>
      <w:r>
        <w:rPr/>
        <w:t>在关键环节和重要领域加快步伐，不断进行产品创新和工艺创新，加快</w:t>
      </w:r>
      <w:r>
        <w:rPr>
          <w:rFonts w:ascii="Times New Roman" w:hAnsi="Times New Roman" w:cs="Times New Roman" w:eastAsia="Times New Roman" w:hint="default"/>
        </w:rPr>
        <w:t>“</w:t>
      </w:r>
      <w:r>
        <w:rPr/>
        <w:t>膜材料</w:t>
      </w:r>
      <w:r>
        <w:rPr>
          <w:rFonts w:ascii="Times New Roman" w:hAnsi="Times New Roman" w:cs="Times New Roman" w:eastAsia="Times New Roman" w:hint="default"/>
        </w:rPr>
        <w:t>”</w:t>
      </w:r>
      <w:r>
        <w:rPr/>
        <w:t>产业布局，占领行业制高</w:t>
      </w:r>
      <w:r>
        <w:rPr>
          <w:w w:val="100"/>
        </w:rPr>
        <w:t> </w:t>
      </w:r>
      <w:r>
        <w:rPr>
          <w:spacing w:val="-2"/>
        </w:rPr>
        <w:t>点。全年科研投入</w:t>
      </w:r>
      <w:r>
        <w:rPr>
          <w:rFonts w:ascii="Times New Roman" w:hAnsi="Times New Roman" w:cs="Times New Roman" w:eastAsia="Times New Roman" w:hint="default"/>
          <w:spacing w:val="-2"/>
        </w:rPr>
        <w:t>14,520.38</w:t>
      </w:r>
      <w:r>
        <w:rPr>
          <w:spacing w:val="-2"/>
        </w:rPr>
        <w:t>万元，增加先进技术检测仪器</w:t>
      </w:r>
      <w:r>
        <w:rPr>
          <w:rFonts w:ascii="Times New Roman" w:hAnsi="Times New Roman" w:cs="Times New Roman" w:eastAsia="Times New Roman" w:hint="default"/>
          <w:spacing w:val="-2"/>
        </w:rPr>
        <w:t>28</w:t>
      </w:r>
      <w:r>
        <w:rPr>
          <w:spacing w:val="-2"/>
        </w:rPr>
        <w:t>台套，着力提升企业创新驱动力，自主开发创</w:t>
      </w:r>
      <w:r>
        <w:rPr>
          <w:spacing w:val="-39"/>
        </w:rPr>
        <w:t> </w:t>
      </w:r>
      <w:r>
        <w:rPr>
          <w:spacing w:val="-39"/>
        </w:rPr>
      </w:r>
      <w:r>
        <w:rPr>
          <w:spacing w:val="-2"/>
        </w:rPr>
        <w:t>新产品并实现量产</w:t>
      </w:r>
      <w:r>
        <w:rPr>
          <w:rFonts w:ascii="Times New Roman" w:hAnsi="Times New Roman" w:cs="Times New Roman" w:eastAsia="Times New Roman" w:hint="default"/>
          <w:spacing w:val="-2"/>
        </w:rPr>
        <w:t>26</w:t>
      </w:r>
      <w:r>
        <w:rPr>
          <w:spacing w:val="-2"/>
        </w:rPr>
        <w:t>项，布局自主知识产权</w:t>
      </w:r>
      <w:r>
        <w:rPr>
          <w:rFonts w:ascii="Times New Roman" w:hAnsi="Times New Roman" w:cs="Times New Roman" w:eastAsia="Times New Roman" w:hint="default"/>
          <w:spacing w:val="-2"/>
        </w:rPr>
        <w:t>19</w:t>
      </w:r>
      <w:r>
        <w:rPr>
          <w:spacing w:val="-2"/>
        </w:rPr>
        <w:t>项，其中：发明专利</w:t>
      </w:r>
      <w:r>
        <w:rPr>
          <w:rFonts w:ascii="Times New Roman" w:hAnsi="Times New Roman" w:cs="Times New Roman" w:eastAsia="Times New Roman" w:hint="default"/>
          <w:spacing w:val="-2"/>
        </w:rPr>
        <w:t>5</w:t>
      </w:r>
      <w:r>
        <w:rPr>
          <w:spacing w:val="-2"/>
        </w:rPr>
        <w:t>项；参编行业技术标准</w:t>
      </w:r>
      <w:r>
        <w:rPr>
          <w:rFonts w:ascii="Times New Roman" w:hAnsi="Times New Roman" w:cs="Times New Roman" w:eastAsia="Times New Roman" w:hint="default"/>
          <w:spacing w:val="-2"/>
        </w:rPr>
        <w:t>5</w:t>
      </w:r>
      <w:r>
        <w:rPr>
          <w:spacing w:val="-2"/>
        </w:rPr>
        <w:t>项，累计研发</w:t>
      </w:r>
      <w:r>
        <w:rPr>
          <w:spacing w:val="-40"/>
        </w:rPr>
        <w:t> </w:t>
      </w:r>
      <w:r>
        <w:rPr>
          <w:spacing w:val="-40"/>
        </w:rPr>
      </w:r>
      <w:r>
        <w:rPr/>
        <w:t>并达产创新项目</w:t>
      </w:r>
      <w:r>
        <w:rPr>
          <w:rFonts w:ascii="Times New Roman" w:hAnsi="Times New Roman" w:cs="Times New Roman" w:eastAsia="Times New Roman" w:hint="default"/>
        </w:rPr>
        <w:t>8</w:t>
      </w:r>
      <w:r>
        <w:rPr/>
        <w:t>项，企业被认定为国家知识产权优势企业、江苏省创新型领军企业，江苏省认定企业技</w:t>
      </w:r>
      <w:r>
        <w:rPr>
          <w:w w:val="100"/>
        </w:rPr>
        <w:t> </w:t>
      </w:r>
      <w:r>
        <w:rPr/>
        <w:t>术中心通过复评，解决多项关键技术难题，形成具有自主特色的技术路线，形成持续成长的新动力。</w:t>
      </w:r>
    </w:p>
    <w:p>
      <w:pPr>
        <w:spacing w:before="64"/>
        <w:ind w:left="152"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4"/>
        <w:gridCol w:w="2279"/>
        <w:gridCol w:w="2127"/>
        <w:gridCol w:w="2199"/>
      </w:tblGrid>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136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134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1.49%</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145,203,795.81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121,508,267.11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19.50%</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r>
      <w:tr>
        <w:trPr>
          <w:trHeight w:val="40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2243"/>
        <w:gridCol w:w="2393"/>
        <w:gridCol w:w="2393"/>
      </w:tblGrid>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4,725,412,022.25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3,506,776,388.34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34.75%</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3,659,339,076.73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3,333,312,261.33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1,066,072,945.52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173,464,127.01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514.58%</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1,931,291,318.29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4,315,001,584.55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-55.24%</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1,864,553,574.12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4,308,422,775.66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-56.72%</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66,737,744.17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6,578,808.89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914.44%</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1,064,022,941.66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44,282,780.85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2,302.79%</w:t>
            </w:r>
          </w:p>
        </w:tc>
      </w:tr>
      <w:tr>
        <w:trPr>
          <w:trHeight w:val="40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-1,064,022,941.66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-44,282,780.85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-2,302.79%</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71,063,949.86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139,350,229.89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pStyle w:val="BodyText"/>
        <w:spacing w:line="338" w:lineRule="auto" w:before="117"/>
        <w:ind w:right="1126"/>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不适用 </w:t>
      </w:r>
      <w:r>
        <w:rPr/>
        <w:t>经营活动现金流入同比增加</w:t>
      </w:r>
      <w:r>
        <w:rPr>
          <w:rFonts w:ascii="Times New Roman" w:hAnsi="Times New Roman" w:cs="Times New Roman" w:eastAsia="Times New Roman" w:hint="default"/>
        </w:rPr>
        <w:t>34.75%</w:t>
      </w:r>
      <w:r>
        <w:rPr/>
        <w:t>主要原因系报告期销售回款收到的现金及出口退税较去年同期增加所</w:t>
      </w:r>
      <w:r>
        <w:rPr>
          <w:w w:val="100"/>
        </w:rPr>
        <w:t> </w:t>
      </w:r>
      <w:r>
        <w:rPr/>
        <w:t>致；</w:t>
      </w:r>
    </w:p>
    <w:p>
      <w:pPr>
        <w:pStyle w:val="BodyText"/>
        <w:spacing w:line="324" w:lineRule="auto" w:before="68"/>
        <w:ind w:right="0"/>
        <w:jc w:val="left"/>
      </w:pPr>
      <w:r>
        <w:rPr>
          <w:spacing w:val="-2"/>
        </w:rPr>
        <w:t>经营活动产生的现金流量净额同比增加</w:t>
      </w:r>
      <w:r>
        <w:rPr>
          <w:rFonts w:ascii="Times New Roman" w:hAnsi="Times New Roman" w:cs="Times New Roman" w:eastAsia="Times New Roman" w:hint="default"/>
          <w:spacing w:val="-2"/>
        </w:rPr>
        <w:t>514.58%</w:t>
      </w:r>
      <w:r>
        <w:rPr>
          <w:spacing w:val="-2"/>
        </w:rPr>
        <w:t>，主要原因系报告期销售回款收到的现金及出口退税较去</w:t>
      </w:r>
      <w:r>
        <w:rPr>
          <w:spacing w:val="-14"/>
        </w:rPr>
        <w:t> </w:t>
      </w:r>
      <w:r>
        <w:rPr>
          <w:spacing w:val="-14"/>
        </w:rPr>
      </w:r>
      <w:r>
        <w:rPr/>
        <w:t>年同期增加所致；</w:t>
      </w:r>
    </w:p>
    <w:p>
      <w:pPr>
        <w:pStyle w:val="BodyText"/>
        <w:spacing w:line="355" w:lineRule="auto" w:before="81"/>
        <w:ind w:right="0"/>
        <w:jc w:val="left"/>
      </w:pPr>
      <w:r>
        <w:rPr/>
        <w:t>投资活动现金流入同比减少</w:t>
      </w:r>
      <w:r>
        <w:rPr>
          <w:rFonts w:ascii="Times New Roman" w:hAnsi="Times New Roman" w:cs="Times New Roman" w:eastAsia="Times New Roman" w:hint="default"/>
        </w:rPr>
        <w:t>55.24%</w:t>
      </w:r>
      <w:r>
        <w:rPr/>
        <w:t>，主要原因系报告期随着项目的投入，收回理财资金减少所致；</w:t>
      </w:r>
      <w:r>
        <w:rPr>
          <w:w w:val="100"/>
        </w:rPr>
        <w:t> </w:t>
      </w:r>
      <w:r>
        <w:rPr/>
        <w:t>投资活动现金流出同比减少</w:t>
      </w:r>
      <w:r>
        <w:rPr>
          <w:rFonts w:ascii="Times New Roman" w:hAnsi="Times New Roman" w:cs="Times New Roman" w:eastAsia="Times New Roman" w:hint="default"/>
        </w:rPr>
        <w:t>56.72%</w:t>
      </w:r>
      <w:r>
        <w:rPr/>
        <w:t>，主要原因系报告期购买理财产品减少所致；</w:t>
      </w:r>
      <w:r>
        <w:rPr>
          <w:w w:val="100"/>
        </w:rPr>
        <w:t> </w:t>
      </w:r>
      <w:r>
        <w:rPr/>
        <w:t>投资活动产生的现金流量净额同比增加</w:t>
      </w:r>
      <w:r>
        <w:rPr>
          <w:rFonts w:ascii="Times New Roman" w:hAnsi="Times New Roman" w:cs="Times New Roman" w:eastAsia="Times New Roman" w:hint="default"/>
        </w:rPr>
        <w:t>914.44%</w:t>
      </w:r>
      <w:r>
        <w:rPr/>
        <w:t>，主要原因系报告期支付购买理财产品减少所致；</w:t>
      </w:r>
      <w:r>
        <w:rPr>
          <w:w w:val="100"/>
        </w:rPr>
        <w:t> </w:t>
      </w:r>
      <w:r>
        <w:rPr>
          <w:spacing w:val="-2"/>
        </w:rPr>
        <w:t>筹资活动现金流出同比增加</w:t>
      </w:r>
      <w:r>
        <w:rPr>
          <w:rFonts w:ascii="Times New Roman" w:hAnsi="Times New Roman" w:cs="Times New Roman" w:eastAsia="Times New Roman" w:hint="default"/>
          <w:spacing w:val="-2"/>
        </w:rPr>
        <w:t>2302.79%</w:t>
      </w:r>
      <w:r>
        <w:rPr>
          <w:spacing w:val="-2"/>
        </w:rPr>
        <w:t>，主要原因系报告期提前偿还</w:t>
      </w:r>
      <w:r>
        <w:rPr>
          <w:rFonts w:ascii="Times New Roman" w:hAnsi="Times New Roman" w:cs="Times New Roman" w:eastAsia="Times New Roman" w:hint="default"/>
          <w:spacing w:val="-2"/>
        </w:rPr>
        <w:t>8</w:t>
      </w:r>
      <w:r>
        <w:rPr>
          <w:spacing w:val="-2"/>
        </w:rPr>
        <w:t>亿应付债券款及分配现金股利所致；</w:t>
      </w:r>
    </w:p>
    <w:p>
      <w:pPr>
        <w:pStyle w:val="BodyText"/>
        <w:spacing w:line="324" w:lineRule="auto" w:before="27"/>
        <w:ind w:right="1126"/>
        <w:jc w:val="left"/>
      </w:pPr>
      <w:r>
        <w:rPr>
          <w:spacing w:val="-2"/>
        </w:rPr>
        <w:t>筹资活动产生的现金流量净额同比减少</w:t>
      </w:r>
      <w:r>
        <w:rPr>
          <w:rFonts w:ascii="Times New Roman" w:hAnsi="Times New Roman" w:cs="Times New Roman" w:eastAsia="Times New Roman" w:hint="default"/>
          <w:spacing w:val="-2"/>
        </w:rPr>
        <w:t>2302.79%</w:t>
      </w:r>
      <w:r>
        <w:rPr>
          <w:spacing w:val="-2"/>
        </w:rPr>
        <w:t>；主要原因系报告期提前偿还</w:t>
      </w:r>
      <w:r>
        <w:rPr>
          <w:rFonts w:ascii="Times New Roman" w:hAnsi="Times New Roman" w:cs="Times New Roman" w:eastAsia="Times New Roman" w:hint="default"/>
          <w:spacing w:val="-2"/>
        </w:rPr>
        <w:t>8</w:t>
      </w:r>
      <w:r>
        <w:rPr>
          <w:spacing w:val="-2"/>
        </w:rPr>
        <w:t>亿应付债券款及分配现金</w:t>
      </w:r>
      <w:r>
        <w:rPr>
          <w:spacing w:val="-16"/>
        </w:rPr>
        <w:t> </w:t>
      </w:r>
      <w:r>
        <w:rPr>
          <w:spacing w:val="-16"/>
        </w:rPr>
      </w:r>
      <w:r>
        <w:rPr/>
        <w:t>股利所致；</w:t>
      </w:r>
    </w:p>
    <w:p>
      <w:pPr>
        <w:pStyle w:val="BodyText"/>
        <w:spacing w:line="240" w:lineRule="auto" w:before="81"/>
        <w:ind w:right="0"/>
        <w:jc w:val="left"/>
      </w:pPr>
      <w:r>
        <w:rPr/>
        <w:t>现金及现金等价物净增加额同比减少</w:t>
      </w:r>
      <w:r>
        <w:rPr>
          <w:rFonts w:ascii="Times New Roman" w:hAnsi="Times New Roman" w:cs="Times New Roman" w:eastAsia="Times New Roman" w:hint="default"/>
        </w:rPr>
        <w:t>49%</w:t>
      </w:r>
      <w:r>
        <w:rPr/>
        <w:t>，主要原因系报告期提前偿还</w:t>
      </w:r>
      <w:r>
        <w:rPr>
          <w:rFonts w:ascii="Times New Roman" w:hAnsi="Times New Roman" w:cs="Times New Roman" w:eastAsia="Times New Roman" w:hint="default"/>
        </w:rPr>
        <w:t>8</w:t>
      </w:r>
      <w:r>
        <w:rPr/>
        <w:t>亿应付债券款项所致。</w:t>
      </w:r>
    </w:p>
    <w:p>
      <w:pPr>
        <w:spacing w:before="121"/>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三、非主营业务分析</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372" w:right="0"/>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372"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760" w:right="0"/>
        </w:sectPr>
      </w:pPr>
    </w:p>
    <w:p>
      <w:pPr>
        <w:spacing w:before="44"/>
        <w:ind w:left="372" w:right="-17"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年起首次执行新金融工具准则、新收入准则或新租赁准则且调整执行当年年初财务报表相关项目</w:t>
      </w:r>
    </w:p>
    <w:p>
      <w:pPr>
        <w:spacing w:before="103"/>
        <w:ind w:left="37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37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760" w:right="0"/>
          <w:cols w:num="2" w:equalWidth="0">
            <w:col w:w="8745" w:space="175"/>
            <w:col w:w="2230"/>
          </w:cols>
        </w:sectPr>
      </w:pPr>
    </w:p>
    <w:p>
      <w:pPr>
        <w:spacing w:line="240" w:lineRule="auto" w:before="4"/>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760"/>
        <w:gridCol w:w="1325"/>
        <w:gridCol w:w="901"/>
        <w:gridCol w:w="1368"/>
        <w:gridCol w:w="891"/>
        <w:gridCol w:w="953"/>
        <w:gridCol w:w="2969"/>
      </w:tblGrid>
      <w:tr>
        <w:trPr>
          <w:trHeight w:val="385" w:hRule="exact"/>
        </w:trPr>
        <w:tc>
          <w:tcPr>
            <w:tcW w:w="17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953" w:type="dxa"/>
            <w:tcBorders>
              <w:top w:val="single" w:sz="4" w:space="0" w:color="000000"/>
              <w:left w:val="single" w:sz="4" w:space="0" w:color="000000"/>
              <w:bottom w:val="nil" w:sz="6" w:space="0" w:color="auto"/>
              <w:right w:val="single" w:sz="4" w:space="0" w:color="000000"/>
            </w:tcBorders>
            <w:shd w:val="clear" w:color="auto" w:fill="D2D2D2"/>
          </w:tcPr>
          <w:p>
            <w:pPr/>
          </w:p>
        </w:tc>
        <w:tc>
          <w:tcPr>
            <w:tcW w:w="29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760" w:type="dxa"/>
            <w:vMerge w:val="restart"/>
            <w:tcBorders>
              <w:top w:val="nil" w:sz="6" w:space="0" w:color="auto"/>
              <w:left w:val="single" w:sz="4" w:space="0" w:color="000000"/>
              <w:right w:val="single" w:sz="4" w:space="0" w:color="000000"/>
            </w:tcBorders>
            <w:shd w:val="clear" w:color="auto" w:fill="D2D2D2"/>
          </w:tcPr>
          <w:p>
            <w:pPr/>
          </w:p>
        </w:tc>
        <w:tc>
          <w:tcPr>
            <w:tcW w:w="1325"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7"/>
              <w:ind w:left="266" w:right="8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7"/>
              <w:ind w:left="261" w:right="77"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9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1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94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760"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1" w:type="dxa"/>
            <w:vMerge/>
            <w:tcBorders>
              <w:left w:val="single" w:sz="4" w:space="0" w:color="000000"/>
              <w:right w:val="single" w:sz="4" w:space="0" w:color="000000"/>
            </w:tcBorders>
            <w:shd w:val="clear" w:color="auto" w:fill="D2D2D2"/>
          </w:tcPr>
          <w:p>
            <w:pPr/>
          </w:p>
        </w:tc>
        <w:tc>
          <w:tcPr>
            <w:tcW w:w="953" w:type="dxa"/>
            <w:vMerge/>
            <w:tcBorders>
              <w:left w:val="single" w:sz="4" w:space="0" w:color="000000"/>
              <w:bottom w:val="nil" w:sz="6" w:space="0" w:color="auto"/>
              <w:right w:val="single" w:sz="4" w:space="0" w:color="000000"/>
            </w:tcBorders>
            <w:shd w:val="clear" w:color="auto" w:fill="D2D2D2"/>
          </w:tcPr>
          <w:p>
            <w:pPr/>
          </w:p>
        </w:tc>
        <w:tc>
          <w:tcPr>
            <w:tcW w:w="296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760" w:type="dxa"/>
            <w:vMerge w:val="restart"/>
            <w:tcBorders>
              <w:top w:val="nil" w:sz="6" w:space="0" w:color="auto"/>
              <w:left w:val="single" w:sz="4" w:space="0" w:color="000000"/>
              <w:right w:val="single" w:sz="4" w:space="0" w:color="000000"/>
            </w:tcBorders>
            <w:shd w:val="clear" w:color="auto" w:fill="D2D2D2"/>
          </w:tcPr>
          <w:p>
            <w:pPr/>
          </w:p>
        </w:tc>
        <w:tc>
          <w:tcPr>
            <w:tcW w:w="1325"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891" w:type="dxa"/>
            <w:vMerge/>
            <w:tcBorders>
              <w:left w:val="single" w:sz="4" w:space="0" w:color="000000"/>
              <w:right w:val="single" w:sz="4" w:space="0" w:color="000000"/>
            </w:tcBorders>
            <w:shd w:val="clear" w:color="auto" w:fill="D2D2D2"/>
          </w:tcPr>
          <w:p>
            <w:pPr/>
          </w:p>
        </w:tc>
        <w:tc>
          <w:tcPr>
            <w:tcW w:w="953" w:type="dxa"/>
            <w:vMerge w:val="restart"/>
            <w:tcBorders>
              <w:top w:val="nil" w:sz="6" w:space="0" w:color="auto"/>
              <w:left w:val="single" w:sz="4" w:space="0" w:color="000000"/>
              <w:right w:val="single" w:sz="4" w:space="0" w:color="000000"/>
            </w:tcBorders>
            <w:shd w:val="clear" w:color="auto" w:fill="D2D2D2"/>
          </w:tcPr>
          <w:p>
            <w:pPr/>
          </w:p>
        </w:tc>
        <w:tc>
          <w:tcPr>
            <w:tcW w:w="296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760" w:type="dxa"/>
            <w:vMerge/>
            <w:tcBorders>
              <w:left w:val="single" w:sz="4" w:space="0" w:color="000000"/>
              <w:bottom w:val="single" w:sz="4" w:space="0" w:color="000000"/>
              <w:right w:val="single" w:sz="4" w:space="0" w:color="000000"/>
            </w:tcBorders>
            <w:shd w:val="clear" w:color="auto" w:fill="D2D2D2"/>
          </w:tcPr>
          <w:p>
            <w:pPr/>
          </w:p>
        </w:tc>
        <w:tc>
          <w:tcPr>
            <w:tcW w:w="1325"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91" w:type="dxa"/>
            <w:vMerge/>
            <w:tcBorders>
              <w:left w:val="single" w:sz="4" w:space="0" w:color="000000"/>
              <w:bottom w:val="single" w:sz="4" w:space="0" w:color="000000"/>
              <w:right w:val="single" w:sz="4" w:space="0" w:color="000000"/>
            </w:tcBorders>
            <w:shd w:val="clear" w:color="auto" w:fill="D2D2D2"/>
          </w:tcPr>
          <w:p>
            <w:pPr/>
          </w:p>
        </w:tc>
        <w:tc>
          <w:tcPr>
            <w:tcW w:w="953" w:type="dxa"/>
            <w:vMerge/>
            <w:tcBorders>
              <w:left w:val="single" w:sz="4" w:space="0" w:color="000000"/>
              <w:bottom w:val="single" w:sz="4" w:space="0" w:color="000000"/>
              <w:right w:val="single" w:sz="4" w:space="0" w:color="000000"/>
            </w:tcBorders>
            <w:shd w:val="clear" w:color="auto" w:fill="D2D2D2"/>
          </w:tcPr>
          <w:p>
            <w:pPr/>
          </w:p>
        </w:tc>
        <w:tc>
          <w:tcPr>
            <w:tcW w:w="29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749,310,709.56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621,264,238.56</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950,071,327.16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921,560,212.41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0.65%</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1,216,300,790.59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1,446,550,380.65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15.55%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3,154,553,777.99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3,329,463,894.91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35.79%</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减少原因系固定资产计提折旧所致</w:t>
            </w:r>
          </w:p>
        </w:tc>
      </w:tr>
      <w:tr>
        <w:trPr>
          <w:trHeight w:val="317" w:hRule="exact"/>
        </w:trPr>
        <w:tc>
          <w:tcPr>
            <w:tcW w:w="17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656,570,989.75</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7.30%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224,747,061.08</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2.42%</w:t>
            </w:r>
          </w:p>
        </w:tc>
        <w:tc>
          <w:tcPr>
            <w:tcW w:w="9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4.88%</w:t>
            </w:r>
          </w:p>
        </w:tc>
        <w:tc>
          <w:tcPr>
            <w:tcW w:w="2969"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3"/>
              <w:jc w:val="both"/>
              <w:rPr>
                <w:rFonts w:ascii="宋体" w:hAnsi="宋体" w:cs="宋体" w:eastAsia="宋体" w:hint="default"/>
                <w:sz w:val="18"/>
                <w:szCs w:val="18"/>
              </w:rPr>
            </w:pPr>
            <w:r>
              <w:rPr>
                <w:rFonts w:ascii="宋体" w:hAnsi="宋体" w:cs="宋体" w:eastAsia="宋体" w:hint="default"/>
                <w:sz w:val="18"/>
                <w:szCs w:val="18"/>
              </w:rPr>
              <w:t>增加主要系本期光二项目投入成本增 加，购入设备已经到货验收，目前正 处于安装调试阶段。</w:t>
            </w:r>
          </w:p>
        </w:tc>
      </w:tr>
      <w:tr>
        <w:trPr>
          <w:trHeight w:val="394" w:hRule="exact"/>
        </w:trPr>
        <w:tc>
          <w:tcPr>
            <w:tcW w:w="17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5" w:type="dxa"/>
            <w:vMerge/>
            <w:tcBorders>
              <w:left w:val="single" w:sz="10"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2969" w:type="dxa"/>
            <w:vMerge/>
            <w:tcBorders>
              <w:left w:val="single" w:sz="4" w:space="0" w:color="000000"/>
              <w:right w:val="single" w:sz="4" w:space="0" w:color="000000"/>
            </w:tcBorders>
          </w:tcPr>
          <w:p>
            <w:pPr/>
          </w:p>
        </w:tc>
      </w:tr>
      <w:tr>
        <w:trPr>
          <w:trHeight w:val="317"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10"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2969" w:type="dxa"/>
            <w:vMerge/>
            <w:tcBorders>
              <w:left w:val="single" w:sz="4" w:space="0" w:color="000000"/>
              <w:bottom w:val="single" w:sz="4" w:space="0" w:color="000000"/>
              <w:right w:val="single" w:sz="4" w:space="0" w:color="000000"/>
            </w:tcBorders>
          </w:tcPr>
          <w:p>
            <w:pPr/>
          </w:p>
        </w:tc>
      </w:tr>
      <w:tr>
        <w:trPr>
          <w:trHeight w:val="1649"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增加原因主要系根据财政部于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年颁布了修订后的《企业会计准则第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号</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金融工具确认和计量》，本期公</w:t>
            </w:r>
            <w:r>
              <w:rPr>
                <w:rFonts w:ascii="宋体" w:hAnsi="宋体" w:cs="宋体" w:eastAsia="宋体" w:hint="default"/>
                <w:sz w:val="18"/>
                <w:szCs w:val="18"/>
              </w:rPr>
              <w:t> 司将投资的保本非固定收益结构性存 款计入交易性金融资产。</w:t>
            </w:r>
          </w:p>
        </w:tc>
      </w:tr>
      <w:tr>
        <w:trPr>
          <w:trHeight w:val="1652"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22,203,927.24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232,529,170.92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减少原因主要系根据财政部于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年颁布了修订后的《企业会计准则第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号</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金融工具确认和计量》，公司将</w:t>
            </w:r>
            <w:r>
              <w:rPr>
                <w:rFonts w:ascii="宋体" w:hAnsi="宋体" w:cs="宋体" w:eastAsia="宋体" w:hint="default"/>
                <w:sz w:val="18"/>
                <w:szCs w:val="18"/>
              </w:rPr>
              <w:t> 持有目的为双重目的的应收票据重分 类至应收款项融资。</w:t>
            </w:r>
          </w:p>
        </w:tc>
      </w:tr>
      <w:tr>
        <w:trPr>
          <w:trHeight w:val="1649"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307,836,938.16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增加主要系根据财政部于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年颁</w:t>
            </w:r>
          </w:p>
          <w:p>
            <w:pPr>
              <w:pStyle w:val="TableParagraph"/>
              <w:spacing w:line="240" w:lineRule="auto" w:before="60"/>
              <w:ind w:left="24" w:right="0"/>
              <w:jc w:val="both"/>
              <w:rPr>
                <w:rFonts w:ascii="宋体" w:hAnsi="宋体" w:cs="宋体" w:eastAsia="宋体" w:hint="default"/>
                <w:sz w:val="18"/>
                <w:szCs w:val="18"/>
              </w:rPr>
            </w:pPr>
            <w:r>
              <w:rPr>
                <w:rFonts w:ascii="宋体" w:hAnsi="宋体" w:cs="宋体" w:eastAsia="宋体" w:hint="default"/>
                <w:spacing w:val="-4"/>
                <w:sz w:val="18"/>
                <w:szCs w:val="18"/>
              </w:rPr>
              <w:t>布了修订后的《企业会计准则第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09" w:lineRule="auto" w:before="63"/>
              <w:ind w:left="24" w:right="22"/>
              <w:jc w:val="both"/>
              <w:rPr>
                <w:rFonts w:ascii="宋体" w:hAnsi="宋体" w:cs="宋体" w:eastAsia="宋体" w:hint="default"/>
                <w:sz w:val="18"/>
                <w:szCs w:val="18"/>
              </w:rPr>
            </w:pP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金融工具确认和计量》，公司将持有</w:t>
            </w:r>
            <w:r>
              <w:rPr>
                <w:rFonts w:ascii="宋体" w:hAnsi="宋体" w:cs="宋体" w:eastAsia="宋体" w:hint="default"/>
                <w:w w:val="99"/>
                <w:sz w:val="18"/>
                <w:szCs w:val="18"/>
              </w:rPr>
              <w:t> </w:t>
            </w:r>
            <w:r>
              <w:rPr>
                <w:rFonts w:ascii="宋体" w:hAnsi="宋体" w:cs="宋体" w:eastAsia="宋体" w:hint="default"/>
                <w:sz w:val="18"/>
                <w:szCs w:val="18"/>
              </w:rPr>
              <w:t>双重目的的应收票据重分类至应收融</w:t>
            </w:r>
            <w:r>
              <w:rPr>
                <w:rFonts w:ascii="宋体" w:hAnsi="宋体" w:cs="宋体" w:eastAsia="宋体" w:hint="default"/>
                <w:w w:val="99"/>
                <w:sz w:val="18"/>
                <w:szCs w:val="18"/>
              </w:rPr>
              <w:t> </w:t>
            </w:r>
            <w:r>
              <w:rPr>
                <w:rFonts w:ascii="宋体" w:hAnsi="宋体" w:cs="宋体" w:eastAsia="宋体" w:hint="default"/>
                <w:sz w:val="18"/>
                <w:szCs w:val="18"/>
              </w:rPr>
              <w:t>资款。</w:t>
            </w:r>
          </w:p>
        </w:tc>
      </w:tr>
      <w:tr>
        <w:trPr>
          <w:trHeight w:val="715"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2,983,958.80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8,807,547.55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1"/>
              <w:jc w:val="left"/>
              <w:rPr>
                <w:rFonts w:ascii="宋体" w:hAnsi="宋体" w:cs="宋体" w:eastAsia="宋体" w:hint="default"/>
                <w:sz w:val="18"/>
                <w:szCs w:val="18"/>
              </w:rPr>
            </w:pPr>
            <w:r>
              <w:rPr>
                <w:rFonts w:ascii="宋体" w:hAnsi="宋体" w:cs="宋体" w:eastAsia="宋体" w:hint="default"/>
                <w:sz w:val="18"/>
                <w:szCs w:val="18"/>
              </w:rPr>
              <w:t>减少主要系本期收回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年计提的 定期存款计提利息所致。</w:t>
            </w:r>
          </w:p>
        </w:tc>
      </w:tr>
      <w:tr>
        <w:trPr>
          <w:trHeight w:val="713"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26,782,041.60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1,091,439,170.17</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41"/>
              <w:jc w:val="left"/>
              <w:rPr>
                <w:rFonts w:ascii="宋体" w:hAnsi="宋体" w:cs="宋体" w:eastAsia="宋体" w:hint="default"/>
                <w:sz w:val="18"/>
                <w:szCs w:val="18"/>
              </w:rPr>
            </w:pPr>
            <w:r>
              <w:rPr>
                <w:rFonts w:ascii="宋体" w:hAnsi="宋体" w:cs="宋体" w:eastAsia="宋体" w:hint="default"/>
                <w:sz w:val="18"/>
                <w:szCs w:val="18"/>
              </w:rPr>
              <w:t>减少主要系公司收回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年底投资 的理财产品。</w:t>
            </w:r>
          </w:p>
        </w:tc>
      </w:tr>
      <w:tr>
        <w:trPr>
          <w:trHeight w:val="1298"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25"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403,194,200.00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减少主要系根据财政部于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4"/>
                <w:sz w:val="18"/>
                <w:szCs w:val="18"/>
              </w:rPr>
              <w:t>布了修订后的《企业会计准则第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00" w:lineRule="auto" w:before="63"/>
              <w:ind w:left="24" w:right="22"/>
              <w:jc w:val="left"/>
              <w:rPr>
                <w:rFonts w:ascii="宋体" w:hAnsi="宋体" w:cs="宋体" w:eastAsia="宋体" w:hint="default"/>
                <w:sz w:val="18"/>
                <w:szCs w:val="18"/>
              </w:rPr>
            </w:pP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金融工具确认和计量》，公司判断江</w:t>
            </w:r>
            <w:r>
              <w:rPr>
                <w:rFonts w:ascii="宋体" w:hAnsi="宋体" w:cs="宋体" w:eastAsia="宋体" w:hint="default"/>
                <w:w w:val="99"/>
                <w:sz w:val="18"/>
                <w:szCs w:val="18"/>
              </w:rPr>
              <w:t> </w:t>
            </w:r>
            <w:r>
              <w:rPr>
                <w:rFonts w:ascii="宋体" w:hAnsi="宋体" w:cs="宋体" w:eastAsia="宋体" w:hint="default"/>
                <w:sz w:val="18"/>
                <w:szCs w:val="18"/>
              </w:rPr>
              <w:t>苏民丰农村商业银行股份有限公司和</w:t>
            </w:r>
          </w:p>
        </w:tc>
      </w:tr>
    </w:tbl>
    <w:p>
      <w:pPr>
        <w:spacing w:after="0" w:line="300" w:lineRule="auto"/>
        <w:jc w:val="left"/>
        <w:rPr>
          <w:rFonts w:ascii="宋体" w:hAnsi="宋体" w:cs="宋体" w:eastAsia="宋体" w:hint="default"/>
          <w:sz w:val="18"/>
          <w:szCs w:val="18"/>
        </w:rPr>
        <w:sectPr>
          <w:type w:val="continuous"/>
          <w:pgSz w:w="11910" w:h="16840"/>
          <w:pgMar w:top="1060" w:bottom="1160" w:left="7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760"/>
        <w:gridCol w:w="1325"/>
        <w:gridCol w:w="901"/>
        <w:gridCol w:w="1368"/>
        <w:gridCol w:w="891"/>
        <w:gridCol w:w="953"/>
        <w:gridCol w:w="2969"/>
      </w:tblGrid>
      <w:tr>
        <w:trPr>
          <w:trHeight w:val="1299" w:hRule="exact"/>
        </w:trPr>
        <w:tc>
          <w:tcPr>
            <w:tcW w:w="176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53"/>
              <w:jc w:val="both"/>
              <w:rPr>
                <w:rFonts w:ascii="宋体" w:hAnsi="宋体" w:cs="宋体" w:eastAsia="宋体" w:hint="default"/>
                <w:sz w:val="18"/>
                <w:szCs w:val="18"/>
              </w:rPr>
            </w:pPr>
            <w:r>
              <w:rPr>
                <w:rFonts w:ascii="宋体" w:hAnsi="宋体" w:cs="宋体" w:eastAsia="宋体" w:hint="default"/>
                <w:sz w:val="18"/>
                <w:szCs w:val="18"/>
              </w:rPr>
              <w:t>江苏苏宁银行股份有限公司系以持有 为目的的股权投资，且公司该投资无 法计算合同现金流，经决议重分类至 其他非流动金融资产</w:t>
            </w:r>
          </w:p>
        </w:tc>
      </w:tr>
      <w:tr>
        <w:trPr>
          <w:trHeight w:val="2585"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415,714,784.96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4.62%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4.62%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增加主要系根据财政部于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年颁</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pacing w:val="-4"/>
                <w:sz w:val="18"/>
                <w:szCs w:val="18"/>
              </w:rPr>
              <w:t>布了修订后的《企业会计准则第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14" w:lineRule="auto" w:before="63"/>
              <w:ind w:left="24" w:right="22"/>
              <w:jc w:val="both"/>
              <w:rPr>
                <w:rFonts w:ascii="宋体" w:hAnsi="宋体" w:cs="宋体" w:eastAsia="宋体" w:hint="default"/>
                <w:sz w:val="18"/>
                <w:szCs w:val="18"/>
              </w:rPr>
            </w:pP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金融工具确认和计量》，公司判断江</w:t>
            </w:r>
            <w:r>
              <w:rPr>
                <w:rFonts w:ascii="宋体" w:hAnsi="宋体" w:cs="宋体" w:eastAsia="宋体" w:hint="default"/>
                <w:w w:val="99"/>
                <w:sz w:val="18"/>
                <w:szCs w:val="18"/>
              </w:rPr>
              <w:t> </w:t>
            </w:r>
            <w:r>
              <w:rPr>
                <w:rFonts w:ascii="宋体" w:hAnsi="宋体" w:cs="宋体" w:eastAsia="宋体" w:hint="default"/>
                <w:sz w:val="18"/>
                <w:szCs w:val="18"/>
              </w:rPr>
              <w:t>苏民丰农村商业银行股份有限公司和</w:t>
            </w:r>
            <w:r>
              <w:rPr>
                <w:rFonts w:ascii="宋体" w:hAnsi="宋体" w:cs="宋体" w:eastAsia="宋体" w:hint="default"/>
                <w:w w:val="99"/>
                <w:sz w:val="18"/>
                <w:szCs w:val="18"/>
              </w:rPr>
              <w:t> </w:t>
            </w:r>
            <w:r>
              <w:rPr>
                <w:rFonts w:ascii="宋体" w:hAnsi="宋体" w:cs="宋体" w:eastAsia="宋体" w:hint="default"/>
                <w:sz w:val="18"/>
                <w:szCs w:val="18"/>
              </w:rPr>
              <w:t>江苏苏宁银行股份有限公司系以持有</w:t>
            </w:r>
            <w:r>
              <w:rPr>
                <w:rFonts w:ascii="宋体" w:hAnsi="宋体" w:cs="宋体" w:eastAsia="宋体" w:hint="default"/>
                <w:w w:val="99"/>
                <w:sz w:val="18"/>
                <w:szCs w:val="18"/>
              </w:rPr>
              <w:t> </w:t>
            </w:r>
            <w:r>
              <w:rPr>
                <w:rFonts w:ascii="宋体" w:hAnsi="宋体" w:cs="宋体" w:eastAsia="宋体" w:hint="default"/>
                <w:sz w:val="18"/>
                <w:szCs w:val="18"/>
              </w:rPr>
              <w:t>为目的的股权投资，且公司该投资无</w:t>
            </w:r>
            <w:r>
              <w:rPr>
                <w:rFonts w:ascii="宋体" w:hAnsi="宋体" w:cs="宋体" w:eastAsia="宋体" w:hint="default"/>
                <w:w w:val="99"/>
                <w:sz w:val="18"/>
                <w:szCs w:val="18"/>
              </w:rPr>
              <w:t> </w:t>
            </w:r>
            <w:r>
              <w:rPr>
                <w:rFonts w:ascii="宋体" w:hAnsi="宋体" w:cs="宋体" w:eastAsia="宋体" w:hint="default"/>
                <w:sz w:val="18"/>
                <w:szCs w:val="18"/>
              </w:rPr>
              <w:t>法计算合同现金流，经决议重分类至</w:t>
            </w:r>
            <w:r>
              <w:rPr>
                <w:rFonts w:ascii="宋体" w:hAnsi="宋体" w:cs="宋体" w:eastAsia="宋体" w:hint="default"/>
                <w:w w:val="99"/>
                <w:sz w:val="18"/>
                <w:szCs w:val="18"/>
              </w:rPr>
              <w:t> </w:t>
            </w:r>
            <w:r>
              <w:rPr>
                <w:rFonts w:ascii="宋体" w:hAnsi="宋体" w:cs="宋体" w:eastAsia="宋体" w:hint="default"/>
                <w:sz w:val="18"/>
                <w:szCs w:val="18"/>
              </w:rPr>
              <w:t>其他非流动金融资产</w:t>
            </w:r>
          </w:p>
        </w:tc>
      </w:tr>
      <w:tr>
        <w:trPr>
          <w:trHeight w:val="1964"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25"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日联合中和评报字</w:t>
            </w:r>
          </w:p>
          <w:p>
            <w:pPr>
              <w:pStyle w:val="TableParagraph"/>
              <w:spacing w:line="314" w:lineRule="auto" w:before="63"/>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号《江苏双星彩塑新材</w:t>
            </w:r>
            <w:r>
              <w:rPr>
                <w:rFonts w:ascii="宋体" w:hAnsi="宋体" w:cs="宋体" w:eastAsia="宋体" w:hint="default"/>
                <w:w w:val="99"/>
                <w:sz w:val="18"/>
                <w:szCs w:val="18"/>
              </w:rPr>
              <w:t> </w:t>
            </w:r>
            <w:r>
              <w:rPr>
                <w:rFonts w:ascii="宋体" w:hAnsi="宋体" w:cs="宋体" w:eastAsia="宋体" w:hint="default"/>
                <w:sz w:val="18"/>
                <w:szCs w:val="18"/>
              </w:rPr>
              <w:t>料股份有限公司拟进行商誉减值测试</w:t>
            </w:r>
            <w:r>
              <w:rPr>
                <w:rFonts w:ascii="宋体" w:hAnsi="宋体" w:cs="宋体" w:eastAsia="宋体" w:hint="default"/>
                <w:w w:val="99"/>
                <w:sz w:val="18"/>
                <w:szCs w:val="18"/>
              </w:rPr>
              <w:t> </w:t>
            </w:r>
            <w:r>
              <w:rPr>
                <w:rFonts w:ascii="宋体" w:hAnsi="宋体" w:cs="宋体" w:eastAsia="宋体" w:hint="default"/>
                <w:sz w:val="18"/>
                <w:szCs w:val="18"/>
              </w:rPr>
              <w:t>涉及的江西科为薄膜新型材料有限公</w:t>
            </w:r>
            <w:r>
              <w:rPr>
                <w:rFonts w:ascii="宋体" w:hAnsi="宋体" w:cs="宋体" w:eastAsia="宋体" w:hint="default"/>
                <w:w w:val="99"/>
                <w:sz w:val="18"/>
                <w:szCs w:val="18"/>
              </w:rPr>
              <w:t> </w:t>
            </w:r>
            <w:r>
              <w:rPr>
                <w:rFonts w:ascii="宋体" w:hAnsi="宋体" w:cs="宋体" w:eastAsia="宋体" w:hint="default"/>
                <w:sz w:val="18"/>
                <w:szCs w:val="18"/>
              </w:rPr>
              <w:t>司资产组可回收价值》的评估结果本</w:t>
            </w:r>
            <w:r>
              <w:rPr>
                <w:rFonts w:ascii="宋体" w:hAnsi="宋体" w:cs="宋体" w:eastAsia="宋体" w:hint="default"/>
                <w:w w:val="99"/>
                <w:sz w:val="18"/>
                <w:szCs w:val="18"/>
              </w:rPr>
              <w:t> </w:t>
            </w:r>
            <w:r>
              <w:rPr>
                <w:rFonts w:ascii="宋体" w:hAnsi="宋体" w:cs="宋体" w:eastAsia="宋体" w:hint="default"/>
                <w:sz w:val="18"/>
                <w:szCs w:val="18"/>
              </w:rPr>
              <w:t>期应计提商誉减值准备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w:t>
            </w:r>
          </w:p>
        </w:tc>
      </w:tr>
      <w:tr>
        <w:trPr>
          <w:trHeight w:val="713"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24,398,421.41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2,856,068.64</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增加主要系本期公司对</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PET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生产线进 行每六年大型维保的费用增加所致。</w:t>
            </w:r>
          </w:p>
        </w:tc>
      </w:tr>
      <w:tr>
        <w:trPr>
          <w:trHeight w:val="715"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58,077,167.92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176,472,736.35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主要系光学膜二期预付款部分设备到 货所致。</w:t>
            </w:r>
          </w:p>
        </w:tc>
      </w:tr>
      <w:tr>
        <w:trPr>
          <w:trHeight w:val="1025"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986,095,498.80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543,461,940.00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5.84%</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3"/>
              <w:jc w:val="both"/>
              <w:rPr>
                <w:rFonts w:ascii="宋体" w:hAnsi="宋体" w:cs="宋体" w:eastAsia="宋体" w:hint="default"/>
                <w:sz w:val="18"/>
                <w:szCs w:val="18"/>
              </w:rPr>
            </w:pPr>
            <w:r>
              <w:rPr>
                <w:rFonts w:ascii="宋体" w:hAnsi="宋体" w:cs="宋体" w:eastAsia="宋体" w:hint="default"/>
                <w:sz w:val="18"/>
                <w:szCs w:val="18"/>
              </w:rPr>
              <w:t>增加主要系公司本期结算模式变更， 公司以商业汇票结算方式较上年同期 增加所致。</w:t>
            </w:r>
          </w:p>
        </w:tc>
      </w:tr>
      <w:tr>
        <w:trPr>
          <w:trHeight w:val="1027"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118,408,820.00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63,316,743.71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both"/>
              <w:rPr>
                <w:rFonts w:ascii="宋体" w:hAnsi="宋体" w:cs="宋体" w:eastAsia="宋体" w:hint="default"/>
                <w:sz w:val="18"/>
                <w:szCs w:val="18"/>
              </w:rPr>
            </w:pPr>
            <w:r>
              <w:rPr>
                <w:rFonts w:ascii="宋体" w:hAnsi="宋体" w:cs="宋体" w:eastAsia="宋体" w:hint="default"/>
                <w:sz w:val="18"/>
                <w:szCs w:val="18"/>
              </w:rPr>
              <w:t>增加主要系本期公司采购原料增加， 按合同约定的待支付应付款较上年同 期增加所致。</w:t>
            </w:r>
          </w:p>
        </w:tc>
      </w:tr>
      <w:tr>
        <w:trPr>
          <w:trHeight w:val="713"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79,600,349.43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41,899,137.40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主要系本期公司销售订单增加，销售 预收货款较上年同期增加所致。</w:t>
            </w:r>
          </w:p>
        </w:tc>
      </w:tr>
      <w:tr>
        <w:trPr>
          <w:trHeight w:val="1027"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32,820,178.91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21,977,141.98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0.24%</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both"/>
              <w:rPr>
                <w:rFonts w:ascii="宋体" w:hAnsi="宋体" w:cs="宋体" w:eastAsia="宋体" w:hint="default"/>
                <w:sz w:val="18"/>
                <w:szCs w:val="18"/>
              </w:rPr>
            </w:pPr>
            <w:r>
              <w:rPr>
                <w:rFonts w:ascii="宋体" w:hAnsi="宋体" w:cs="宋体" w:eastAsia="宋体" w:hint="default"/>
                <w:sz w:val="18"/>
                <w:szCs w:val="18"/>
              </w:rPr>
              <w:t>增加主要系本期销售收入增加，项目 绩效奖励加强，公司计提奖金增加所 致。</w:t>
            </w:r>
          </w:p>
        </w:tc>
      </w:tr>
      <w:tr>
        <w:trPr>
          <w:trHeight w:val="713"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7,119,247.14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13,324,241.78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减少主要系本期公司计提所得税费用 较上年同期减少所致。</w:t>
            </w:r>
          </w:p>
        </w:tc>
      </w:tr>
      <w:tr>
        <w:trPr>
          <w:trHeight w:val="715"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325"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798,282,967.15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减少主要系公司本期提前偿付债券资 金所致</w:t>
            </w:r>
          </w:p>
        </w:tc>
      </w:tr>
      <w:tr>
        <w:trPr>
          <w:trHeight w:val="713"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1,878,087.74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增加的原因系其他非流动金融资产公 允价值变动应纳税暂时性差异所致</w:t>
            </w:r>
          </w:p>
        </w:tc>
      </w:tr>
    </w:tbl>
    <w:p>
      <w:pPr>
        <w:spacing w:after="0" w:line="316" w:lineRule="auto"/>
        <w:jc w:val="left"/>
        <w:rPr>
          <w:rFonts w:ascii="宋体" w:hAnsi="宋体" w:cs="宋体" w:eastAsia="宋体" w:hint="default"/>
          <w:sz w:val="18"/>
          <w:szCs w:val="18"/>
        </w:rPr>
        <w:sectPr>
          <w:pgSz w:w="11910" w:h="16840"/>
          <w:pgMar w:header="745" w:footer="980" w:top="1060" w:bottom="1160" w:left="76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5"/>
        <w:rPr>
          <w:rFonts w:ascii="宋体" w:hAnsi="宋体" w:cs="宋体" w:eastAsia="宋体" w:hint="default"/>
          <w:b/>
          <w:bCs/>
          <w:sz w:val="26"/>
          <w:szCs w:val="26"/>
        </w:rPr>
      </w:pPr>
    </w:p>
    <w:p>
      <w:pPr>
        <w:spacing w:line="544" w:lineRule="auto" w:before="0"/>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、截至报告期末的资产权利受限情况</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18"/>
          <w:szCs w:val="18"/>
        </w:rPr>
        <w:t>不适用</w:t>
      </w:r>
    </w:p>
    <w:p>
      <w:pPr>
        <w:pStyle w:val="Heading2"/>
        <w:spacing w:line="240" w:lineRule="auto" w:before="101"/>
        <w:ind w:right="0"/>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1147"/>
        <w:gridCol w:w="1090"/>
        <w:gridCol w:w="1178"/>
        <w:gridCol w:w="1193"/>
        <w:gridCol w:w="958"/>
        <w:gridCol w:w="955"/>
        <w:gridCol w:w="956"/>
        <w:gridCol w:w="958"/>
      </w:tblGrid>
      <w:tr>
        <w:trPr>
          <w:trHeight w:val="1027"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2"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初始投资成本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1"/>
              <w:jc w:val="left"/>
              <w:rPr>
                <w:rFonts w:ascii="宋体" w:hAnsi="宋体" w:cs="宋体" w:eastAsia="宋体" w:hint="default"/>
                <w:sz w:val="18"/>
                <w:szCs w:val="18"/>
              </w:rPr>
            </w:pPr>
            <w:r>
              <w:rPr>
                <w:rFonts w:ascii="宋体" w:hAnsi="宋体" w:cs="宋体" w:eastAsia="宋体" w:hint="default"/>
                <w:sz w:val="18"/>
                <w:szCs w:val="18"/>
              </w:rPr>
              <w:t>金融衍生工 具</w:t>
            </w:r>
          </w:p>
        </w:tc>
        <w:tc>
          <w:tcPr>
            <w:tcW w:w="11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left"/>
              <w:rPr>
                <w:rFonts w:ascii="宋体" w:hAnsi="宋体" w:cs="宋体" w:eastAsia="宋体" w:hint="default"/>
                <w:sz w:val="18"/>
                <w:szCs w:val="18"/>
              </w:rPr>
            </w:pPr>
            <w:r>
              <w:rPr>
                <w:rFonts w:ascii="宋体" w:hAnsi="宋体" w:cs="宋体" w:eastAsia="宋体" w:hint="default"/>
                <w:sz w:val="18"/>
                <w:szCs w:val="18"/>
              </w:rPr>
              <w:t>金融衍生工 具</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center"/>
              <w:rPr>
                <w:rFonts w:ascii="Times New Roman" w:hAnsi="Times New Roman" w:cs="Times New Roman" w:eastAsia="Times New Roman" w:hint="default"/>
                <w:sz w:val="18"/>
                <w:szCs w:val="18"/>
              </w:rPr>
            </w:pPr>
            <w:r>
              <w:rPr>
                <w:rFonts w:ascii="Times New Roman"/>
                <w:sz w:val="18"/>
              </w:rPr>
              <w:t>3,000,000.00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3,748,760.32</w:t>
            </w: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6,399,489.0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8,942,960.3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自筹资金</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1"/>
              <w:jc w:val="left"/>
              <w:rPr>
                <w:rFonts w:ascii="宋体" w:hAnsi="宋体" w:cs="宋体" w:eastAsia="宋体" w:hint="default"/>
                <w:sz w:val="18"/>
                <w:szCs w:val="18"/>
              </w:rPr>
            </w:pPr>
            <w:r>
              <w:rPr>
                <w:rFonts w:ascii="宋体" w:hAnsi="宋体" w:cs="宋体" w:eastAsia="宋体" w:hint="default"/>
                <w:sz w:val="18"/>
                <w:szCs w:val="18"/>
              </w:rPr>
              <w:t>金融衍生工 具</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8,771,824.64</w:t>
            </w: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406,771,824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自筹资金</w:t>
            </w:r>
          </w:p>
        </w:tc>
      </w:tr>
      <w:tr>
        <w:trPr>
          <w:trHeight w:val="716"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12,520,584.96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6,399,489.0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915,714,784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2"/>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270,660.97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275,999.15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定向增发</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136,793.94</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138,298.03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定向增发</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196,757.29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32,212.82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129,093.87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80,239.81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13"/>
              <w:jc w:val="left"/>
              <w:rPr>
                <w:rFonts w:ascii="宋体" w:hAnsi="宋体" w:cs="宋体" w:eastAsia="宋体" w:hint="default"/>
                <w:sz w:val="18"/>
                <w:szCs w:val="18"/>
              </w:rPr>
            </w:pPr>
            <w:r>
              <w:rPr>
                <w:rFonts w:ascii="宋体" w:hAnsi="宋体" w:cs="宋体" w:eastAsia="宋体" w:hint="default"/>
                <w:sz w:val="18"/>
                <w:szCs w:val="18"/>
              </w:rPr>
              <w:t>募集专户 和理财</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604,212.2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32,212.82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543,391.05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80,239.81</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3"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、首次发行募集资金</w:t>
            </w:r>
            <w:r>
              <w:rPr>
                <w:rFonts w:ascii="宋体" w:hAnsi="宋体" w:cs="宋体" w:eastAsia="宋体" w:hint="default"/>
                <w:spacing w:val="-4"/>
                <w:sz w:val="18"/>
                <w:szCs w:val="18"/>
              </w:rPr>
              <w:t> </w:t>
            </w:r>
            <w:r>
              <w:rPr>
                <w:rFonts w:ascii="宋体" w:hAnsi="宋体" w:cs="宋体" w:eastAsia="宋体" w:hint="default"/>
                <w:sz w:val="18"/>
                <w:szCs w:val="18"/>
              </w:rPr>
              <w:t>公司实际募集资金净额为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270,660.97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万元，实际募集资金净额超过计划募集资金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204,497.97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日，公司募集资金承诺投资项目已累计投入资金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66,192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209,807.15 </w:t>
            </w:r>
            <w:r>
              <w:rPr>
                <w:rFonts w:ascii="宋体" w:hAnsi="宋体" w:cs="宋体" w:eastAsia="宋体" w:hint="default"/>
                <w:sz w:val="18"/>
                <w:szCs w:val="18"/>
              </w:rPr>
              <w:t>万元投入使用，</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募集资金累计使用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275,999.15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年非公开发行募集资金</w:t>
            </w:r>
            <w:r>
              <w:rPr>
                <w:rFonts w:ascii="宋体" w:hAnsi="宋体" w:cs="宋体" w:eastAsia="宋体" w:hint="default"/>
                <w:spacing w:val="-3"/>
                <w:sz w:val="18"/>
                <w:szCs w:val="18"/>
              </w:rPr>
              <w:t> </w:t>
            </w:r>
            <w:r>
              <w:rPr>
                <w:rFonts w:ascii="宋体" w:hAnsi="宋体" w:cs="宋体" w:eastAsia="宋体" w:hint="default"/>
                <w:sz w:val="18"/>
                <w:szCs w:val="18"/>
              </w:rPr>
              <w:t>公司非公开发行股票实际募集资金净额为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136793.94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9"/>
                <w:sz w:val="18"/>
                <w:szCs w:val="18"/>
              </w:rPr>
              <w:t>万元，截止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日，定向增发募集资金专户项目支出累计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138,298.03</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万元。</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年非公开发行募集资金</w:t>
            </w:r>
            <w:r>
              <w:rPr>
                <w:rFonts w:ascii="宋体" w:hAnsi="宋体" w:cs="宋体" w:eastAsia="宋体" w:hint="default"/>
                <w:spacing w:val="1"/>
                <w:sz w:val="18"/>
                <w:szCs w:val="18"/>
              </w:rPr>
              <w:t> </w:t>
            </w:r>
            <w:r>
              <w:rPr>
                <w:rFonts w:ascii="宋体" w:hAnsi="宋体" w:cs="宋体" w:eastAsia="宋体" w:hint="default"/>
                <w:sz w:val="18"/>
                <w:szCs w:val="18"/>
              </w:rPr>
              <w:t>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司非公开发行股票实际募集资金净额为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196,757.29 </w:t>
            </w:r>
            <w:r>
              <w:rPr>
                <w:rFonts w:ascii="宋体" w:hAnsi="宋体" w:cs="宋体" w:eastAsia="宋体" w:hint="default"/>
                <w:sz w:val="18"/>
                <w:szCs w:val="18"/>
              </w:rPr>
              <w:t>万元，截止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日，定向增发募集资金专户项目支出累计</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129,093.87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0"/>
        <w:gridCol w:w="781"/>
        <w:gridCol w:w="780"/>
      </w:tblGrid>
      <w:tr>
        <w:trPr>
          <w:trHeight w:val="133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0"/>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6" w:right="2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58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4" w:right="11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万吨新型功能 性聚酯薄膜项目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66,163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66,163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14,291.4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1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 光学膜项目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136,793.9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118,793.9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120,298.0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101.27%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4,023.77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收购江西科为薄膜新 型材料有限公司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-2,436.46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3pt;height:695.75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0"/>
                    <w:gridCol w:w="781"/>
                    <w:gridCol w:w="780"/>
                  </w:tblGrid>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 光学膜项目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196,757.2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196,757.2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32,212.83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129,093.8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64.55%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3"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399,714.2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399,714.2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32,212.83</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333,583.9</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10" w:space="0" w:color="D2D2D2"/>
                          <w:right w:val="single" w:sz="10"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15,878.71</w:t>
                        </w: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10" w:space="0" w:color="D2D2D2"/>
                          <w:right w:val="single" w:sz="10" w:space="0" w:color="D2D2D2"/>
                        </w:tcBorders>
                      </w:tcPr>
                      <w:p>
                        <w:pPr/>
                      </w:p>
                    </w:tc>
                    <w:tc>
                      <w:tcPr>
                        <w:tcW w:w="7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10" w:space="0" w:color="D2D2D2"/>
                          <w:bottom w:val="single" w:sz="4" w:space="0" w:color="000000"/>
                          <w:right w:val="single" w:sz="10" w:space="0" w:color="D2D2D2"/>
                        </w:tcBorders>
                      </w:tcPr>
                      <w:p>
                        <w:pP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11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万吨太阳能电 池封装材料基材项目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65,811.42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65,811.42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64,870.55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万吨新型功能</w:t>
                        </w:r>
                      </w:p>
                      <w:p>
                        <w:pPr>
                          <w:pStyle w:val="TableParagraph"/>
                          <w:spacing w:line="300"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性聚酯薄膜及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 功能性膜级切片项目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138,686.5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138,686.5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144,936.6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1,831.28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3"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204,497.9</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204,497.9</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7</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209,807.1</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5</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4,276.18</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604,212.2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604,212.2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32,212.83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543,391.0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20,154.89</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2582"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16" w:right="0"/>
                          <w:jc w:val="both"/>
                          <w:rPr>
                            <w:rFonts w:ascii="宋体" w:hAnsi="宋体" w:cs="宋体" w:eastAsia="宋体" w:hint="default"/>
                            <w:sz w:val="18"/>
                            <w:szCs w:val="18"/>
                          </w:rPr>
                        </w:pPr>
                        <w:r>
                          <w:rPr>
                            <w:rFonts w:ascii="宋体" w:hAnsi="宋体" w:cs="宋体" w:eastAsia="宋体" w:hint="default"/>
                            <w:sz w:val="18"/>
                            <w:szCs w:val="18"/>
                          </w:rPr>
                          <w:t>首次发行募集资金投资项目即</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万吨新型功能性聚酯薄膜及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万吨功能性膜级切片项目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p>
                        <w:pPr>
                          <w:pStyle w:val="TableParagraph"/>
                          <w:spacing w:line="304" w:lineRule="auto" w:before="60"/>
                          <w:ind w:left="16" w:right="20"/>
                          <w:jc w:val="both"/>
                          <w:rPr>
                            <w:rFonts w:ascii="宋体" w:hAnsi="宋体" w:cs="宋体" w:eastAsia="宋体" w:hint="default"/>
                            <w:sz w:val="18"/>
                            <w:szCs w:val="18"/>
                          </w:rPr>
                        </w:pPr>
                        <w:r>
                          <w:rPr>
                            <w:rFonts w:ascii="宋体" w:hAnsi="宋体" w:cs="宋体" w:eastAsia="宋体" w:hint="default"/>
                            <w:sz w:val="18"/>
                            <w:szCs w:val="18"/>
                          </w:rPr>
                          <w:t>年度实现的效益未达到预计效益的原因为：年产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万吨功能性膜级切片</w:t>
                        </w:r>
                        <w:r>
                          <w:rPr>
                            <w:rFonts w:ascii="Times New Roman" w:hAnsi="Times New Roman" w:cs="Times New Roman" w:eastAsia="Times New Roman" w:hint="default"/>
                            <w:sz w:val="18"/>
                            <w:szCs w:val="18"/>
                          </w:rPr>
                          <w:t>”</w:t>
                        </w:r>
                        <w:r>
                          <w:rPr>
                            <w:rFonts w:ascii="宋体" w:hAnsi="宋体" w:cs="宋体" w:eastAsia="宋体" w:hint="default"/>
                            <w:sz w:val="18"/>
                            <w:szCs w:val="18"/>
                          </w:rPr>
                          <w:t>建成投产后主要为公司最 终产品提供原材料，并不直接对外销售，根据公司整体产品规划、生产计划和原材料研发需要进行 生产安排，因此，公司主要产品的价格波动对膜级切片的效益产生较大影响。</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万吨新型功 </w:t>
                        </w:r>
                        <w:r>
                          <w:rPr>
                            <w:rFonts w:ascii="宋体" w:hAnsi="宋体" w:cs="宋体" w:eastAsia="宋体" w:hint="default"/>
                            <w:spacing w:val="-2"/>
                            <w:sz w:val="18"/>
                            <w:szCs w:val="18"/>
                          </w:rPr>
                          <w:t>能性聚酯薄膜项目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建成投产后，该项目产能利用率和产销率都已达到预期，受到整体经济形势的影</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响，市场竞争较为激烈，产品价格下降幅度较大，未能达到预计效益。</w:t>
                        </w:r>
                      </w:p>
                      <w:p>
                        <w:pPr>
                          <w:pStyle w:val="TableParagraph"/>
                          <w:spacing w:line="240" w:lineRule="auto" w:before="68"/>
                          <w:ind w:left="16" w:right="0"/>
                          <w:jc w:val="both"/>
                          <w:rPr>
                            <w:rFonts w:ascii="宋体" w:hAnsi="宋体" w:cs="宋体" w:eastAsia="宋体" w:hint="default"/>
                            <w:sz w:val="18"/>
                            <w:szCs w:val="18"/>
                          </w:rPr>
                        </w:pPr>
                        <w:r>
                          <w:rPr>
                            <w:rFonts w:ascii="宋体" w:hAnsi="宋体" w:cs="宋体" w:eastAsia="宋体" w:hint="default"/>
                            <w:sz w:val="18"/>
                            <w:szCs w:val="18"/>
                          </w:rPr>
                          <w:t>首次发行募集资金投资项目即</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万吨太阳能电池封装材料基材项目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本年度实现的效益未达到</w:t>
                        </w:r>
                      </w:p>
                      <w:p>
                        <w:pPr>
                          <w:pStyle w:val="TableParagraph"/>
                          <w:spacing w:line="309" w:lineRule="auto" w:before="63"/>
                          <w:ind w:left="16" w:right="23"/>
                          <w:jc w:val="both"/>
                          <w:rPr>
                            <w:rFonts w:ascii="宋体" w:hAnsi="宋体" w:cs="宋体" w:eastAsia="宋体" w:hint="default"/>
                            <w:sz w:val="18"/>
                            <w:szCs w:val="18"/>
                          </w:rPr>
                        </w:pPr>
                        <w:r>
                          <w:rPr>
                            <w:rFonts w:ascii="宋体" w:hAnsi="宋体" w:cs="宋体" w:eastAsia="宋体" w:hint="default"/>
                            <w:sz w:val="18"/>
                            <w:szCs w:val="18"/>
                          </w:rPr>
                          <w:t>预计效益的原因为：公司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万吨太阳能电池封装材料基材项目</w:t>
                        </w:r>
                        <w:r>
                          <w:rPr>
                            <w:rFonts w:ascii="Times New Roman" w:hAnsi="Times New Roman" w:cs="Times New Roman" w:eastAsia="Times New Roman" w:hint="default"/>
                            <w:sz w:val="18"/>
                            <w:szCs w:val="18"/>
                          </w:rPr>
                          <w:t>”</w:t>
                        </w:r>
                        <w:r>
                          <w:rPr>
                            <w:rFonts w:ascii="宋体" w:hAnsi="宋体" w:cs="宋体" w:eastAsia="宋体" w:hint="default"/>
                            <w:sz w:val="18"/>
                            <w:szCs w:val="18"/>
                          </w:rPr>
                          <w:t>投产后，公司推出适应不同地 区气候条件使用的太阳能电池背材基膜、太阳能电池背板膜等系列产品，因经济形势的波动对新能 源行业影响较大，对公司该产品的推广及销售产生了较为不利的影响，未能达到预计效益。</w:t>
                        </w:r>
                      </w:p>
                      <w:p>
                        <w:pPr>
                          <w:pStyle w:val="TableParagraph"/>
                          <w:spacing w:line="312" w:lineRule="auto" w:before="65"/>
                          <w:ind w:left="16" w:right="23"/>
                          <w:jc w:val="left"/>
                          <w:rPr>
                            <w:rFonts w:ascii="宋体" w:hAnsi="宋体" w:cs="宋体" w:eastAsia="宋体" w:hint="default"/>
                            <w:sz w:val="18"/>
                            <w:szCs w:val="18"/>
                          </w:rPr>
                        </w:pPr>
                        <w:r>
                          <w:rPr>
                            <w:rFonts w:ascii="宋体" w:hAnsi="宋体" w:cs="宋体" w:eastAsia="宋体" w:hint="default"/>
                            <w:sz w:val="18"/>
                            <w:szCs w:val="18"/>
                          </w:rPr>
                          <w:t>定向增发募集资金投资项目即</w:t>
                        </w:r>
                        <w:r>
                          <w:rPr>
                            <w:rFonts w:ascii="Times New Roman" w:hAnsi="Times New Roman" w:cs="Times New Roman" w:eastAsia="Times New Roman" w:hint="default"/>
                            <w:sz w:val="18"/>
                            <w:szCs w:val="18"/>
                          </w:rPr>
                          <w:t>“</w:t>
                        </w:r>
                        <w:r>
                          <w:rPr>
                            <w:rFonts w:ascii="宋体" w:hAnsi="宋体" w:cs="宋体" w:eastAsia="宋体" w:hint="default"/>
                            <w:sz w:val="18"/>
                            <w:szCs w:val="18"/>
                          </w:rPr>
                          <w:t>年产一亿平米的光学膜项目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本年度实现的效益未达到预计效益的原 因为：公司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年产一亿平米的光学膜项目</w:t>
                        </w:r>
                        <w:r>
                          <w:rPr>
                            <w:rFonts w:ascii="Times New Roman" w:hAnsi="Times New Roman" w:cs="Times New Roman" w:eastAsia="Times New Roman" w:hint="default"/>
                            <w:sz w:val="18"/>
                            <w:szCs w:val="18"/>
                          </w:rPr>
                          <w:t>”</w:t>
                        </w:r>
                        <w:r>
                          <w:rPr>
                            <w:rFonts w:ascii="宋体" w:hAnsi="宋体" w:cs="宋体" w:eastAsia="宋体" w:hint="default"/>
                            <w:sz w:val="18"/>
                            <w:szCs w:val="18"/>
                          </w:rPr>
                          <w:t>投产后，公司根据客户的要求加大了光学膜新产品的研制 前期研发投入较大，使得产品成本较高，此外，由于公司涉足光学膜时间较短，国内外销售渠道培 育需要一定周期，对公司该产品的推广及销售产生了一定影响。随着公司光学膜产品系列的不断完 善，客户需求量逐步提升，目前光学膜产品已获得三星在内的国际一线品牌认证并全球供货；国内 主要客户为京东方、</w:t>
                        </w:r>
                        <w:r>
                          <w:rPr>
                            <w:rFonts w:ascii="Times New Roman" w:hAnsi="Times New Roman" w:cs="Times New Roman" w:eastAsia="Times New Roman" w:hint="default"/>
                            <w:sz w:val="18"/>
                            <w:szCs w:val="18"/>
                          </w:rPr>
                          <w:t>TCL</w:t>
                        </w:r>
                        <w:r>
                          <w:rPr>
                            <w:rFonts w:ascii="宋体" w:hAnsi="宋体" w:cs="宋体" w:eastAsia="宋体" w:hint="default"/>
                            <w:sz w:val="18"/>
                            <w:szCs w:val="18"/>
                          </w:rPr>
                          <w:t>、海信、创维、长虹、康冠、小米、华为等国内品牌。</w:t>
                        </w:r>
                      </w:p>
                      <w:p>
                        <w:pPr>
                          <w:pStyle w:val="TableParagraph"/>
                          <w:spacing w:line="309" w:lineRule="auto" w:before="82"/>
                          <w:ind w:left="16" w:right="22"/>
                          <w:jc w:val="both"/>
                          <w:rPr>
                            <w:rFonts w:ascii="宋体" w:hAnsi="宋体" w:cs="宋体" w:eastAsia="宋体" w:hint="default"/>
                            <w:sz w:val="18"/>
                            <w:szCs w:val="18"/>
                          </w:rPr>
                        </w:pPr>
                        <w:r>
                          <w:rPr>
                            <w:rFonts w:ascii="宋体" w:hAnsi="宋体" w:cs="宋体" w:eastAsia="宋体" w:hint="default"/>
                            <w:sz w:val="18"/>
                            <w:szCs w:val="18"/>
                          </w:rPr>
                          <w:t>定向增发募集资金投资项目即</w:t>
                        </w:r>
                        <w:r>
                          <w:rPr>
                            <w:rFonts w:ascii="Times New Roman" w:hAnsi="Times New Roman" w:cs="Times New Roman" w:eastAsia="Times New Roman" w:hint="default"/>
                            <w:sz w:val="18"/>
                            <w:szCs w:val="18"/>
                          </w:rPr>
                          <w:t>“</w:t>
                        </w:r>
                        <w:r>
                          <w:rPr>
                            <w:rFonts w:ascii="宋体" w:hAnsi="宋体" w:cs="宋体" w:eastAsia="宋体" w:hint="default"/>
                            <w:sz w:val="18"/>
                            <w:szCs w:val="18"/>
                          </w:rPr>
                          <w:t>收购江西科为薄膜新型材料有限公司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本年度实现的效益未达到预计 效益的原因为：由于受到江西科为薄膜新型材料有限公司经营等因素影响，江西科为薄膜新型材料 有限公司未达到预期效益。</w:t>
                        </w:r>
                      </w:p>
                    </w:tc>
                  </w:tr>
                  <w:tr>
                    <w:trPr>
                      <w:trHeight w:val="1016"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2582"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6"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日召开了关于超募资金投资项目的临时股东大会并对超募资金的使用计划进行</w:t>
                        </w:r>
                      </w:p>
                      <w:p>
                        <w:pPr>
                          <w:pStyle w:val="TableParagraph"/>
                          <w:spacing w:line="240" w:lineRule="auto" w:before="60"/>
                          <w:ind w:left="16" w:right="0"/>
                          <w:jc w:val="left"/>
                          <w:rPr>
                            <w:rFonts w:ascii="宋体" w:hAnsi="宋体" w:cs="宋体" w:eastAsia="宋体" w:hint="default"/>
                            <w:sz w:val="18"/>
                            <w:szCs w:val="18"/>
                          </w:rPr>
                        </w:pPr>
                        <w:r>
                          <w:rPr>
                            <w:rFonts w:ascii="宋体" w:hAnsi="宋体" w:cs="宋体" w:eastAsia="宋体" w:hint="default"/>
                            <w:spacing w:val="-8"/>
                            <w:sz w:val="18"/>
                            <w:szCs w:val="18"/>
                          </w:rPr>
                          <w:t>了公告。超募资金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204,497.97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万元将用于投资建设</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万吨太阳能电池封装材料基材项目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p>
                        <w:pPr>
                          <w:pStyle w:val="TableParagraph"/>
                          <w:spacing w:line="300" w:lineRule="auto" w:before="62"/>
                          <w:ind w:left="16" w:right="17"/>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万吨新型功能性聚酯薄膜及</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pacing w:val="-3"/>
                            <w:w w:val="100"/>
                            <w:sz w:val="18"/>
                            <w:szCs w:val="18"/>
                          </w:rPr>
                          <w:t>万吨功能性膜级切片项目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，超募资金不能满足项目资金需求部</w:t>
                        </w:r>
                        <w:r>
                          <w:rPr>
                            <w:rFonts w:ascii="宋体" w:hAnsi="宋体" w:cs="宋体" w:eastAsia="宋体" w:hint="default"/>
                            <w:sz w:val="18"/>
                            <w:szCs w:val="18"/>
                          </w:rPr>
                          <w:t> 分，公司将通过自筹等方式来解决，</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年度超募资金使用了</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75,051.03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年度超募资金</w:t>
                        </w:r>
                      </w:p>
                    </w:tc>
                  </w:tr>
                  <w:tr>
                    <w:trPr>
                      <w:trHeight w:val="703"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vMerge/>
                        <w:tcBorders>
                          <w:left w:val="single" w:sz="10" w:space="0" w:color="D2D2D2"/>
                          <w:right w:val="single" w:sz="4" w:space="0" w:color="000000"/>
                        </w:tcBorders>
                      </w:tcPr>
                      <w:p>
                        <w:pPr/>
                      </w:p>
                    </w:tc>
                  </w:tr>
                  <w:tr>
                    <w:trPr>
                      <w:trHeight w:val="499"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5.1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129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4"/>
                          <w:jc w:val="both"/>
                          <w:rPr>
                            <w:rFonts w:ascii="宋体" w:hAnsi="宋体" w:cs="宋体" w:eastAsia="宋体" w:hint="default"/>
                            <w:sz w:val="18"/>
                            <w:szCs w:val="18"/>
                          </w:rPr>
                        </w:pPr>
                        <w:r>
                          <w:rPr>
                            <w:rFonts w:ascii="宋体" w:hAnsi="宋体" w:cs="宋体" w:eastAsia="宋体" w:hint="default"/>
                            <w:sz w:val="18"/>
                            <w:szCs w:val="18"/>
                          </w:rPr>
                          <w:t>使用了</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89,443.32</w:t>
                        </w:r>
                        <w:r>
                          <w:rPr>
                            <w:rFonts w:ascii="Times New Roman" w:hAnsi="Times New Roman" w:cs="Times New Roman" w:eastAsia="Times New Roman" w:hint="default"/>
                            <w:spacing w:val="2"/>
                            <w:sz w:val="18"/>
                            <w:szCs w:val="18"/>
                          </w:rPr>
                          <w:t> </w:t>
                        </w:r>
                        <w:r>
                          <w:rPr>
                            <w:rFonts w:ascii="宋体" w:hAnsi="宋体" w:cs="宋体" w:eastAsia="宋体" w:hint="default"/>
                            <w:spacing w:val="-14"/>
                            <w:sz w:val="18"/>
                            <w:szCs w:val="18"/>
                          </w:rPr>
                          <w:t>万元，</w:t>
                        </w:r>
                        <w:r>
                          <w:rPr>
                            <w:rFonts w:ascii="Times New Roman" w:hAnsi="Times New Roman" w:cs="Times New Roman" w:eastAsia="Times New Roman" w:hint="default"/>
                            <w:spacing w:val="-14"/>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年度超募资金使用了</w:t>
                        </w:r>
                        <w:r>
                          <w:rPr>
                            <w:rFonts w:ascii="宋体" w:hAnsi="宋体" w:cs="宋体" w:eastAsia="宋体" w:hint="default"/>
                            <w:spacing w:val="-46"/>
                            <w:sz w:val="18"/>
                            <w:szCs w:val="18"/>
                          </w:rPr>
                          <w:t> </w:t>
                        </w:r>
                        <w:r>
                          <w:rPr>
                            <w:rFonts w:ascii="Times New Roman" w:hAnsi="Times New Roman" w:cs="Times New Roman" w:eastAsia="Times New Roman" w:hint="default"/>
                            <w:spacing w:val="-2"/>
                            <w:sz w:val="18"/>
                            <w:szCs w:val="18"/>
                          </w:rPr>
                          <w:t>33,111.09</w:t>
                        </w:r>
                        <w:r>
                          <w:rPr>
                            <w:rFonts w:ascii="Times New Roman" w:hAnsi="Times New Roman" w:cs="Times New Roman" w:eastAsia="Times New Roman" w:hint="default"/>
                            <w:sz w:val="18"/>
                            <w:szCs w:val="18"/>
                          </w:rPr>
                          <w:t> </w:t>
                        </w:r>
                        <w:r>
                          <w:rPr>
                            <w:rFonts w:ascii="宋体" w:hAnsi="宋体" w:cs="宋体" w:eastAsia="宋体" w:hint="default"/>
                            <w:spacing w:val="-14"/>
                            <w:sz w:val="18"/>
                            <w:szCs w:val="18"/>
                          </w:rPr>
                          <w:t>万元，</w:t>
                        </w:r>
                        <w:r>
                          <w:rPr>
                            <w:rFonts w:ascii="Times New Roman" w:hAnsi="Times New Roman" w:cs="Times New Roman" w:eastAsia="Times New Roman" w:hint="default"/>
                            <w:spacing w:val="-14"/>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年度超募资金使用了</w:t>
                        </w:r>
                        <w:r>
                          <w:rPr>
                            <w:rFonts w:ascii="宋体" w:hAnsi="宋体" w:cs="宋体" w:eastAsia="宋体" w:hint="default"/>
                            <w:spacing w:val="-48"/>
                            <w:sz w:val="18"/>
                            <w:szCs w:val="18"/>
                          </w:rPr>
                          <w:t> </w:t>
                        </w:r>
                        <w:r>
                          <w:rPr>
                            <w:rFonts w:ascii="Times New Roman" w:hAnsi="Times New Roman" w:cs="Times New Roman" w:eastAsia="Times New Roman" w:hint="default"/>
                            <w:spacing w:val="-1"/>
                            <w:sz w:val="18"/>
                            <w:szCs w:val="18"/>
                          </w:rPr>
                          <w:t>6,281.01</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年度超募资金使用了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2,946.30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年度超募资金使用了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729.28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超募资金使用了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2,245.12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年度未使用超募资金，累计支付资金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209,807.15 </w:t>
                        </w:r>
                        <w:r>
                          <w:rPr>
                            <w:rFonts w:ascii="宋体" w:hAnsi="宋体" w:cs="宋体" w:eastAsia="宋体" w:hint="default"/>
                            <w:sz w:val="18"/>
                            <w:szCs w:val="18"/>
                          </w:rPr>
                          <w:t>万 元。</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日，公司第一届董事会第七次会议审议并通过了《关于使用募集资金置换预先已投 </w:t>
                        </w:r>
                        <w:r>
                          <w:rPr>
                            <w:rFonts w:ascii="宋体" w:hAnsi="宋体" w:cs="宋体" w:eastAsia="宋体" w:hint="default"/>
                            <w:spacing w:val="-5"/>
                            <w:sz w:val="18"/>
                            <w:szCs w:val="18"/>
                          </w:rPr>
                          <w:t>入募集资金项目的自筹资金的议案》，同意公司以首次公开发行股票募集资金置换预先已投入募集资</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金投资项目的自筹资金共计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315,102,774.23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元。上述置换资金业经保荐人确认，并经上海众华沪银</w:t>
                        </w:r>
                      </w:p>
                      <w:p>
                        <w:pPr>
                          <w:pStyle w:val="TableParagraph"/>
                          <w:spacing w:line="309" w:lineRule="auto" w:before="5"/>
                          <w:ind w:left="24"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会计师事务所有限公司沪众会字</w:t>
                        </w:r>
                        <w:r>
                          <w:rPr>
                            <w:rFonts w:ascii="Times New Roman" w:hAnsi="Times New Roman" w:cs="Times New Roman" w:eastAsia="Times New Roman" w:hint="default"/>
                            <w:sz w:val="18"/>
                            <w:szCs w:val="18"/>
                          </w:rPr>
                          <w:t>(2011)</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4114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号专项鉴证报告确认。</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 </w:t>
                        </w:r>
                        <w:r>
                          <w:rPr>
                            <w:rFonts w:ascii="宋体" w:hAnsi="宋体" w:cs="宋体" w:eastAsia="宋体" w:hint="default"/>
                            <w:spacing w:val="-5"/>
                            <w:sz w:val="18"/>
                            <w:szCs w:val="18"/>
                          </w:rPr>
                          <w:t>届董事会第九次会议审议并通过了《公司以募集资金置换预先已投入募集资金项目自筹资金》，同意</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公司以非公开发行股票募集资金置换预先已投入募集资金投资项目的自筹资金共计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140,652,078.81</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元。上述置换资金业经保荐人确认，并经众华会计师事务所众会字</w:t>
                        </w: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4615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号专项鉴证报告确</w:t>
                        </w:r>
                      </w:p>
                      <w:p>
                        <w:pPr>
                          <w:pStyle w:val="TableParagraph"/>
                          <w:spacing w:line="309" w:lineRule="auto" w:before="63"/>
                          <w:ind w:left="24" w:right="21"/>
                          <w:jc w:val="both"/>
                          <w:rPr>
                            <w:rFonts w:ascii="宋体" w:hAnsi="宋体" w:cs="宋体" w:eastAsia="宋体" w:hint="default"/>
                            <w:sz w:val="18"/>
                            <w:szCs w:val="18"/>
                          </w:rPr>
                        </w:pPr>
                        <w:r>
                          <w:rPr>
                            <w:rFonts w:ascii="宋体" w:hAnsi="宋体" w:cs="宋体" w:eastAsia="宋体" w:hint="default"/>
                            <w:sz w:val="18"/>
                            <w:szCs w:val="18"/>
                          </w:rPr>
                          <w:t>认。</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日，公司第三届董事会第六次会议审议并通过了关于《公司以募集资金置换 </w:t>
                        </w:r>
                        <w:r>
                          <w:rPr>
                            <w:rFonts w:ascii="宋体" w:hAnsi="宋体" w:cs="宋体" w:eastAsia="宋体" w:hint="default"/>
                            <w:spacing w:val="-5"/>
                            <w:sz w:val="18"/>
                            <w:szCs w:val="18"/>
                          </w:rPr>
                          <w:t>预先已投入募集资金项目自筹资金》，同意公司以非公开发行股票募集资金置换预先已投入募集资金</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投资项目的自筹资金共计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234,265,776.92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元。上述置换资金业经保荐人确认，并经众华会计师事务</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所众会字</w:t>
                        </w:r>
                        <w:r>
                          <w:rPr>
                            <w:rFonts w:ascii="Times New Roman" w:hAnsi="Times New Roman" w:cs="Times New Roman" w:eastAsia="Times New Roman" w:hint="default"/>
                            <w:sz w:val="18"/>
                            <w:szCs w:val="18"/>
                          </w:rPr>
                          <w:t>(2017)</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号专项鉴证报告确认。</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42"/>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26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日本公司第一届董事会第十三次会议决议，使用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亿元募集资金用于暂时补充</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流动资金，使用期限不超过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日止，到期归还募集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资金专用账户。本公司于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亿元至募投资金专用账户。</w:t>
                        </w: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日本公司第一届董事会第十九次会议决议，使用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亿元募集资金用于暂时补充</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流动资金，使用期限不超过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日止，到期归还募集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资金专用账户。本公司于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日归还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亿元至募投资金专用账户。</w:t>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日第二届董事会第七次会议决议决议，预计使用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万元募集资金用于暂时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补充流动资金，使用期限不超过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个月，从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日止，到期归还</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募集资金专用账户。本公司实际使用闲置募集资金暂时补充流动资金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3,720.00 </w:t>
                        </w:r>
                        <w:r>
                          <w:rPr>
                            <w:rFonts w:ascii="宋体" w:hAnsi="宋体" w:cs="宋体" w:eastAsia="宋体" w:hint="default"/>
                            <w:sz w:val="18"/>
                            <w:szCs w:val="18"/>
                          </w:rPr>
                          <w:t>万元。截至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日，本公司已全部归还至募集资金专用账户。</w:t>
                        </w: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w:t>
                        </w:r>
                        <w:r>
                          <w:rPr>
                            <w:rFonts w:ascii="宋体" w:hAnsi="宋体" w:cs="宋体" w:eastAsia="宋体" w:hint="default"/>
                            <w:spacing w:val="-3"/>
                            <w:sz w:val="18"/>
                            <w:szCs w:val="18"/>
                          </w:rPr>
                          <w:t>第</w:t>
                        </w:r>
                        <w:r>
                          <w:rPr>
                            <w:rFonts w:ascii="宋体" w:hAnsi="宋体" w:cs="宋体" w:eastAsia="宋体" w:hint="default"/>
                            <w:sz w:val="18"/>
                            <w:szCs w:val="18"/>
                          </w:rPr>
                          <w:t>四届董事会第二次会议决议</w:t>
                        </w:r>
                        <w:r>
                          <w:rPr>
                            <w:rFonts w:ascii="宋体" w:hAnsi="宋体" w:cs="宋体" w:eastAsia="宋体" w:hint="default"/>
                            <w:spacing w:val="-89"/>
                            <w:sz w:val="18"/>
                            <w:szCs w:val="18"/>
                          </w:rPr>
                          <w:t>，</w:t>
                        </w:r>
                        <w:r>
                          <w:rPr>
                            <w:rFonts w:ascii="宋体" w:hAnsi="宋体" w:cs="宋体" w:eastAsia="宋体" w:hint="default"/>
                            <w:sz w:val="18"/>
                            <w:szCs w:val="18"/>
                          </w:rPr>
                          <w:t>使用不超过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亿元募集资金用</w:t>
                        </w:r>
                        <w:r>
                          <w:rPr>
                            <w:rFonts w:ascii="宋体" w:hAnsi="宋体" w:cs="宋体" w:eastAsia="宋体" w:hint="default"/>
                            <w:spacing w:val="-3"/>
                            <w:sz w:val="18"/>
                            <w:szCs w:val="18"/>
                          </w:rPr>
                          <w:t>于</w:t>
                        </w:r>
                        <w:r>
                          <w:rPr>
                            <w:rFonts w:ascii="宋体" w:hAnsi="宋体" w:cs="宋体" w:eastAsia="宋体" w:hint="default"/>
                            <w:sz w:val="18"/>
                            <w:szCs w:val="18"/>
                          </w:rPr>
                          <w:t>暂时补</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充流动资金，使用期限自董事会通过之日起不超过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个月，从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5"/>
                            <w:sz w:val="18"/>
                            <w:szCs w:val="18"/>
                          </w:rPr>
                          <w:t>日止，到期归还募集资金专用账户。</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日，本公司已归还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亿元至募投资金专用账户</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9"/>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8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公司首次发行募集资金项目建设已全部完成，为实现股东利益最大化原则，为提高募集资金使用效 率，公司第三届董事会第十八次会议审议通过《公司关于部分募集资金投资项目结项并将结余募集 </w:t>
                        </w:r>
                        <w:r>
                          <w:rPr>
                            <w:rFonts w:ascii="宋体" w:hAnsi="宋体" w:cs="宋体" w:eastAsia="宋体" w:hint="default"/>
                            <w:spacing w:val="-5"/>
                            <w:sz w:val="18"/>
                            <w:szCs w:val="18"/>
                          </w:rPr>
                          <w:t>资金永久补充流动资金的议案》，公司将完结项目结余募集资金人民币</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173,046.34</w:t>
                        </w:r>
                        <w:r>
                          <w:rPr>
                            <w:rFonts w:ascii="Times New Roman" w:hAnsi="Times New Roman" w:cs="Times New Roman" w:eastAsia="Times New Roman" w:hint="default"/>
                            <w:spacing w:val="-14"/>
                            <w:sz w:val="18"/>
                            <w:szCs w:val="18"/>
                          </w:rPr>
                          <w:t> </w:t>
                        </w:r>
                        <w:r>
                          <w:rPr>
                            <w:rFonts w:ascii="宋体" w:hAnsi="宋体" w:cs="宋体" w:eastAsia="宋体" w:hint="default"/>
                            <w:spacing w:val="-6"/>
                            <w:sz w:val="18"/>
                            <w:szCs w:val="18"/>
                          </w:rPr>
                          <w:t>元全部转出，划转</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pict>
          <v:shape style="position:absolute;margin-left:56.459999pt;margin-top:-239.218292pt;width:479.2pt;height:466.5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164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both"/>
                          <w:rPr>
                            <w:rFonts w:ascii="宋体" w:hAnsi="宋体" w:cs="宋体" w:eastAsia="宋体" w:hint="default"/>
                            <w:sz w:val="18"/>
                            <w:szCs w:val="18"/>
                          </w:rPr>
                        </w:pPr>
                        <w:r>
                          <w:rPr>
                            <w:rFonts w:ascii="宋体" w:hAnsi="宋体" w:cs="宋体" w:eastAsia="宋体" w:hint="default"/>
                            <w:sz w:val="18"/>
                            <w:szCs w:val="18"/>
                          </w:rPr>
                          <w:t>完成后公司已对募集资金专户进行销户处理。</w:t>
                        </w:r>
                      </w:p>
                      <w:p>
                        <w:pPr>
                          <w:pStyle w:val="TableParagraph"/>
                          <w:spacing w:line="307" w:lineRule="auto" w:before="117"/>
                          <w:ind w:left="24" w:right="18"/>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年定向增发募集资金项目建设已全部完成，为实现股东利益最大化原则，为提高募集资金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使用效率，公司第三届董事会第十八次会议审议通过《公司关于部分募集资金投资项目结项并将结 </w:t>
                        </w:r>
                        <w:r>
                          <w:rPr>
                            <w:rFonts w:ascii="宋体" w:hAnsi="宋体" w:cs="宋体" w:eastAsia="宋体" w:hint="default"/>
                            <w:spacing w:val="-3"/>
                            <w:sz w:val="18"/>
                            <w:szCs w:val="18"/>
                          </w:rPr>
                          <w:t>余募集资金永久补充流动资金的议案》，公司将完结项目结余募集资金人民币</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18,441,909.46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元全部</w:t>
                        </w:r>
                        <w:r>
                          <w:rPr>
                            <w:rFonts w:ascii="宋体" w:hAnsi="宋体" w:cs="宋体" w:eastAsia="宋体" w:hint="default"/>
                            <w:spacing w:val="-82"/>
                            <w:sz w:val="18"/>
                            <w:szCs w:val="18"/>
                          </w:rPr>
                          <w:t> </w:t>
                        </w:r>
                        <w:r>
                          <w:rPr>
                            <w:rFonts w:ascii="宋体" w:hAnsi="宋体" w:cs="宋体" w:eastAsia="宋体" w:hint="default"/>
                            <w:sz w:val="18"/>
                            <w:szCs w:val="18"/>
                          </w:rPr>
                          <w:t>转出，划转完成后公司已对募集资金专户进行销户处理。</w:t>
                        </w:r>
                      </w:p>
                    </w:tc>
                  </w:tr>
                  <w:tr>
                    <w:trPr>
                      <w:trHeight w:val="664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公司将项目结余募集资金人民币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173,046.34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元转入一般户中国工商银行股份有限公司宿迁分行 </w:t>
                        </w:r>
                        <w:r>
                          <w:rPr>
                            <w:rFonts w:ascii="Times New Roman" w:hAnsi="Times New Roman" w:cs="Times New Roman" w:eastAsia="Times New Roman" w:hint="default"/>
                            <w:spacing w:val="-2"/>
                            <w:sz w:val="18"/>
                            <w:szCs w:val="18"/>
                          </w:rPr>
                          <w:t>1116020009000009820</w:t>
                        </w:r>
                        <w:r>
                          <w:rPr>
                            <w:rFonts w:ascii="宋体" w:hAnsi="宋体" w:cs="宋体" w:eastAsia="宋体" w:hint="default"/>
                            <w:spacing w:val="-2"/>
                            <w:sz w:val="18"/>
                            <w:szCs w:val="18"/>
                          </w:rPr>
                          <w:t>，全部用于永久补充流动资金，用于公司日常生产经营活动。公司将项目结余</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募集资金人民币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18,441,909.46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元转入一般户中国工商银行股份有限公司宿迁分行 </w:t>
                        </w:r>
                        <w:r>
                          <w:rPr>
                            <w:rFonts w:ascii="Times New Roman" w:hAnsi="Times New Roman" w:cs="Times New Roman" w:eastAsia="Times New Roman" w:hint="default"/>
                            <w:spacing w:val="-2"/>
                            <w:sz w:val="18"/>
                            <w:szCs w:val="18"/>
                          </w:rPr>
                          <w:t>1116020009000009820</w:t>
                        </w:r>
                        <w:r>
                          <w:rPr>
                            <w:rFonts w:ascii="宋体" w:hAnsi="宋体" w:cs="宋体" w:eastAsia="宋体" w:hint="default"/>
                            <w:spacing w:val="-2"/>
                            <w:sz w:val="18"/>
                            <w:szCs w:val="18"/>
                          </w:rPr>
                          <w:t>，全部用于永久补充流动资金，用于公司日常生产经营活动。为了提高募集资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金的使用效率，公司将尚未使用的募集资金购买理财产品，到期后该部分资金将返还至募集资金专 户。本期购买理财产品情况如下：</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日，公司第三届董事会第二十一次会议、第三届</w:t>
                        </w:r>
                      </w:p>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监事会第二十一次会议及</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w:t>
                        </w:r>
                        <w:r>
                          <w:rPr>
                            <w:rFonts w:ascii="宋体" w:hAnsi="宋体" w:cs="宋体" w:eastAsia="宋体" w:hint="default"/>
                            <w:spacing w:val="-89"/>
                            <w:sz w:val="18"/>
                            <w:szCs w:val="18"/>
                          </w:rPr>
                          <w:t>了</w:t>
                        </w:r>
                        <w:r>
                          <w:rPr>
                            <w:rFonts w:ascii="宋体" w:hAnsi="宋体" w:cs="宋体" w:eastAsia="宋体" w:hint="default"/>
                            <w:sz w:val="18"/>
                            <w:szCs w:val="18"/>
                          </w:rPr>
                          <w:t>《公司关于用自有资金和暂时闲置募集资</w:t>
                        </w:r>
                      </w:p>
                      <w:p>
                        <w:pPr>
                          <w:pStyle w:val="TableParagraph"/>
                          <w:spacing w:line="300" w:lineRule="auto" w:before="63"/>
                          <w:ind w:left="24" w:right="16"/>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金进行现金管理的议案》。南京银行</w:t>
                        </w:r>
                        <w:r>
                          <w:rPr>
                            <w:rFonts w:ascii="宋体" w:hAnsi="宋体" w:cs="宋体" w:eastAsia="宋体" w:hint="default"/>
                            <w:spacing w:val="6"/>
                            <w:sz w:val="18"/>
                            <w:szCs w:val="18"/>
                          </w:rPr>
                          <w:t> </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利率挂钩型结构性存款</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理财产品</w:t>
                        </w:r>
                        <w:r>
                          <w:rPr>
                            <w:rFonts w:ascii="宋体" w:hAnsi="宋体" w:cs="宋体" w:eastAsia="宋体" w:hint="default"/>
                            <w:spacing w:val="-43"/>
                            <w:w w:val="10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亿到期，</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日，公司继续使用部分暂时闲置的募集资金购买理财产，购买南京银行</w:t>
                        </w:r>
                        <w:r>
                          <w:rPr>
                            <w:rFonts w:ascii="Times New Roman" w:hAnsi="Times New Roman" w:cs="Times New Roman" w:eastAsia="Times New Roman" w:hint="default"/>
                            <w:sz w:val="18"/>
                            <w:szCs w:val="18"/>
                          </w:rPr>
                          <w:t>“</w:t>
                        </w:r>
                        <w:r>
                          <w:rPr>
                            <w:rFonts w:ascii="宋体" w:hAnsi="宋体" w:cs="宋体" w:eastAsia="宋体" w:hint="default"/>
                            <w:sz w:val="18"/>
                            <w:szCs w:val="18"/>
                          </w:rPr>
                          <w:t>利率挂钩型结构性存款</w:t>
                        </w:r>
                        <w:r>
                          <w:rPr>
                            <w:rFonts w:ascii="Times New Roman" w:hAnsi="Times New Roman" w:cs="Times New Roman" w:eastAsia="Times New Roman" w:hint="default"/>
                            <w:sz w:val="18"/>
                            <w:szCs w:val="18"/>
                          </w:rPr>
                          <w:t>”</w:t>
                        </w:r>
                        <w:r>
                          <w:rPr>
                            <w:rFonts w:ascii="宋体" w:hAnsi="宋体" w:cs="宋体" w:eastAsia="宋体" w:hint="default"/>
                            <w:sz w:val="18"/>
                            <w:szCs w:val="18"/>
                          </w:rPr>
                          <w:t>理 财产品，本金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400,000,000.00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元，到期日为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日。南京银行</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利率挂钩型结构性存款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理财产品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亿到期，浦发银行公司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新客固定持有期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JG403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期理财产品</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亿到期，</w:t>
                        </w:r>
                        <w:r>
                          <w:rPr>
                            <w:rFonts w:ascii="Times New Roman" w:hAnsi="Times New Roman" w:cs="Times New Roman" w:eastAsia="Times New Roman" w:hint="default"/>
                            <w:spacing w:val="-6"/>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公司继续使用部分暂时闲置的募集资金购买理财产品，购买民生银行</w:t>
                        </w:r>
                        <w:r>
                          <w:rPr>
                            <w:rFonts w:ascii="Times New Roman" w:hAnsi="Times New Roman" w:cs="Times New Roman" w:eastAsia="Times New Roman" w:hint="default"/>
                            <w:sz w:val="18"/>
                            <w:szCs w:val="18"/>
                          </w:rPr>
                          <w:t>“GS </w:t>
                        </w:r>
                        <w:r>
                          <w:rPr>
                            <w:rFonts w:ascii="宋体" w:hAnsi="宋体" w:cs="宋体" w:eastAsia="宋体" w:hint="default"/>
                            <w:sz w:val="18"/>
                            <w:szCs w:val="18"/>
                          </w:rPr>
                          <w:t>民生银行综合财富管理产 </w:t>
                        </w:r>
                        <w:r>
                          <w:rPr>
                            <w:rFonts w:ascii="宋体" w:hAnsi="宋体" w:cs="宋体" w:eastAsia="宋体" w:hint="default"/>
                            <w:spacing w:val="-3"/>
                            <w:sz w:val="18"/>
                            <w:szCs w:val="18"/>
                          </w:rPr>
                          <w:t>品（</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365</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期）</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200,000,000.00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元，到期日为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日。民生银行</w:t>
                        </w:r>
                        <w:r>
                          <w:rPr>
                            <w:rFonts w:ascii="Times New Roman" w:hAnsi="Times New Roman" w:cs="Times New Roman" w:eastAsia="Times New Roman" w:hint="default"/>
                            <w:spacing w:val="-3"/>
                            <w:sz w:val="18"/>
                            <w:szCs w:val="18"/>
                          </w:rPr>
                          <w:t>“GS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民生银 行综合财富管理产品（</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365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期）</w:t>
                        </w:r>
                        <w:r>
                          <w:rPr>
                            <w:rFonts w:ascii="Times New Roman" w:hAnsi="Times New Roman" w:cs="Times New Roman" w:eastAsia="Times New Roman" w:hint="default"/>
                            <w:spacing w:val="-3"/>
                            <w:sz w:val="18"/>
                            <w:szCs w:val="18"/>
                          </w:rPr>
                          <w:t>”2 </w:t>
                        </w:r>
                        <w:r>
                          <w:rPr>
                            <w:rFonts w:ascii="宋体" w:hAnsi="宋体" w:cs="宋体" w:eastAsia="宋体" w:hint="default"/>
                            <w:sz w:val="18"/>
                            <w:szCs w:val="18"/>
                          </w:rPr>
                          <w:t>亿到期，</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日，公司继续使用部分暂时闲置 的募集资金购买理财产品，购买民生银行</w:t>
                        </w:r>
                        <w:r>
                          <w:rPr>
                            <w:rFonts w:ascii="Times New Roman" w:hAnsi="Times New Roman" w:cs="Times New Roman" w:eastAsia="Times New Roman" w:hint="default"/>
                            <w:sz w:val="18"/>
                            <w:szCs w:val="18"/>
                          </w:rPr>
                          <w:t>“</w:t>
                        </w:r>
                        <w:r>
                          <w:rPr>
                            <w:rFonts w:ascii="宋体" w:hAnsi="宋体" w:cs="宋体" w:eastAsia="宋体" w:hint="default"/>
                            <w:sz w:val="18"/>
                            <w:szCs w:val="18"/>
                          </w:rPr>
                          <w:t>挂钩利率结构性存款（</w:t>
                        </w:r>
                        <w:r>
                          <w:rPr>
                            <w:rFonts w:ascii="Times New Roman" w:hAnsi="Times New Roman" w:cs="Times New Roman" w:eastAsia="Times New Roman" w:hint="default"/>
                            <w:sz w:val="18"/>
                            <w:szCs w:val="18"/>
                          </w:rPr>
                          <w:t>SDGA191425D</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，本金 </w:t>
                        </w:r>
                        <w:r>
                          <w:rPr>
                            <w:rFonts w:ascii="Times New Roman" w:hAnsi="Times New Roman" w:cs="Times New Roman" w:eastAsia="Times New Roman" w:hint="default"/>
                            <w:spacing w:val="-1"/>
                            <w:sz w:val="18"/>
                            <w:szCs w:val="18"/>
                          </w:rPr>
                          <w:t>300,000,000.00</w:t>
                        </w:r>
                        <w:r>
                          <w:rPr>
                            <w:rFonts w:ascii="Times New Roman" w:hAnsi="Times New Roman" w:cs="Times New Roman" w:eastAsia="Times New Roman" w:hint="default"/>
                            <w:spacing w:val="5"/>
                            <w:sz w:val="18"/>
                            <w:szCs w:val="18"/>
                          </w:rPr>
                          <w:t> </w:t>
                        </w:r>
                        <w:r>
                          <w:rPr>
                            <w:rFonts w:ascii="宋体" w:hAnsi="宋体" w:cs="宋体" w:eastAsia="宋体" w:hint="default"/>
                            <w:spacing w:val="-14"/>
                            <w:sz w:val="18"/>
                            <w:szCs w:val="18"/>
                          </w:rPr>
                          <w:t>元，到期日为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pacing w:val="-8"/>
                            <w:w w:val="99"/>
                            <w:sz w:val="18"/>
                            <w:szCs w:val="18"/>
                          </w:rPr>
                          <w:t>日。民生银行</w:t>
                        </w:r>
                        <w:r>
                          <w:rPr>
                            <w:rFonts w:ascii="Times New Roman" w:hAnsi="Times New Roman" w:cs="Times New Roman" w:eastAsia="Times New Roman" w:hint="default"/>
                            <w:spacing w:val="-8"/>
                            <w:w w:val="99"/>
                            <w:sz w:val="18"/>
                            <w:szCs w:val="18"/>
                          </w:rPr>
                          <w:t>“</w:t>
                        </w:r>
                        <w:r>
                          <w:rPr>
                            <w:rFonts w:ascii="宋体" w:hAnsi="宋体" w:cs="宋体" w:eastAsia="宋体" w:hint="default"/>
                            <w:spacing w:val="-8"/>
                            <w:w w:val="99"/>
                            <w:sz w:val="18"/>
                            <w:szCs w:val="18"/>
                          </w:rPr>
                          <w:t>挂钩利率结构性存款（</w:t>
                        </w:r>
                        <w:r>
                          <w:rPr>
                            <w:rFonts w:ascii="Times New Roman" w:hAnsi="Times New Roman" w:cs="Times New Roman" w:eastAsia="Times New Roman" w:hint="default"/>
                            <w:spacing w:val="-8"/>
                            <w:w w:val="99"/>
                            <w:sz w:val="18"/>
                            <w:szCs w:val="18"/>
                          </w:rPr>
                          <w:t>SDGA191425D</w:t>
                        </w:r>
                        <w:r>
                          <w:rPr>
                            <w:rFonts w:ascii="宋体" w:hAnsi="宋体" w:cs="宋体" w:eastAsia="宋体" w:hint="default"/>
                            <w:spacing w:val="-8"/>
                            <w:w w:val="99"/>
                            <w:sz w:val="18"/>
                            <w:szCs w:val="18"/>
                          </w:rPr>
                          <w:t>）</w:t>
                        </w:r>
                        <w:r>
                          <w:rPr>
                            <w:rFonts w:ascii="Times New Roman" w:hAnsi="Times New Roman" w:cs="Times New Roman" w:eastAsia="Times New Roman" w:hint="default"/>
                            <w:spacing w:val="-8"/>
                            <w:w w:val="99"/>
                            <w:sz w:val="18"/>
                            <w:szCs w:val="18"/>
                          </w:rPr>
                          <w:t>”3</w:t>
                        </w:r>
                        <w:r>
                          <w:rPr>
                            <w:rFonts w:ascii="Times New Roman" w:hAnsi="Times New Roman" w:cs="Times New Roman" w:eastAsia="Times New Roman" w:hint="default"/>
                            <w:w w:val="99"/>
                            <w:sz w:val="18"/>
                            <w:szCs w:val="18"/>
                          </w:rPr>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pacing w:val="-5"/>
                            <w:sz w:val="18"/>
                            <w:szCs w:val="18"/>
                          </w:rPr>
                          <w:t>亿到期，</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日，公司继续使用部分暂时闲置的募集资金购买理财产，购买民生银行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赢股票</w:t>
                        </w:r>
                        <w:r>
                          <w:rPr>
                            <w:rFonts w:ascii="Times New Roman" w:hAnsi="Times New Roman" w:cs="Times New Roman" w:eastAsia="Times New Roman" w:hint="default"/>
                            <w:sz w:val="18"/>
                            <w:szCs w:val="18"/>
                          </w:rPr>
                          <w:t>-</w:t>
                        </w:r>
                        <w:r>
                          <w:rPr>
                            <w:rFonts w:ascii="宋体" w:hAnsi="宋体" w:cs="宋体" w:eastAsia="宋体" w:hint="default"/>
                            <w:sz w:val="18"/>
                            <w:szCs w:val="18"/>
                          </w:rPr>
                          <w:t>挂钩沪深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指数结构性存款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192008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，本金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元，到期日为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63"/>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日，公司继续使用部分暂时闲置的募集资金购买理财产品，购入上海浦东发 展银行</w:t>
                        </w:r>
                        <w:r>
                          <w:rPr>
                            <w:rFonts w:ascii="Times New Roman" w:hAnsi="Times New Roman" w:cs="Times New Roman" w:eastAsia="Times New Roman" w:hint="default"/>
                            <w:sz w:val="18"/>
                            <w:szCs w:val="18"/>
                          </w:rPr>
                          <w:t>“</w:t>
                        </w:r>
                        <w:r>
                          <w:rPr>
                            <w:rFonts w:ascii="宋体" w:hAnsi="宋体" w:cs="宋体" w:eastAsia="宋体" w:hint="default"/>
                            <w:sz w:val="18"/>
                            <w:szCs w:val="18"/>
                          </w:rPr>
                          <w:t>利多多公司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JG1002 </w:t>
                        </w:r>
                        <w:r>
                          <w:rPr>
                            <w:rFonts w:ascii="宋体" w:hAnsi="宋体" w:cs="宋体" w:eastAsia="宋体" w:hint="default"/>
                            <w:sz w:val="18"/>
                            <w:szCs w:val="18"/>
                          </w:rPr>
                          <w:t>期人民币对公结构性存款（</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r>
                          <w:rPr>
                            <w:rFonts w:ascii="Times New Roman" w:hAnsi="Times New Roman" w:cs="Times New Roman" w:eastAsia="Times New Roman" w:hint="default"/>
                            <w:sz w:val="18"/>
                            <w:szCs w:val="18"/>
                          </w:rPr>
                          <w:t>”</w:t>
                        </w:r>
                        <w:r>
                          <w:rPr>
                            <w:rFonts w:ascii="宋体" w:hAnsi="宋体" w:cs="宋体" w:eastAsia="宋体" w:hint="default"/>
                            <w:sz w:val="18"/>
                            <w:szCs w:val="18"/>
                          </w:rPr>
                          <w:t>理财产品，本金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到期日为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left="392" w:right="6614"/>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0"/>
        <w:rPr>
          <w:rFonts w:ascii="宋体" w:hAnsi="宋体" w:cs="宋体" w:eastAsia="宋体" w:hint="default"/>
          <w:b/>
          <w:bCs/>
          <w:sz w:val="22"/>
          <w:szCs w:val="22"/>
        </w:rPr>
      </w:pPr>
    </w:p>
    <w:p>
      <w:pPr>
        <w:spacing w:before="44"/>
        <w:ind w:left="39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241"/>
        <w:gridCol w:w="958"/>
        <w:gridCol w:w="958"/>
        <w:gridCol w:w="958"/>
        <w:gridCol w:w="958"/>
        <w:gridCol w:w="956"/>
        <w:gridCol w:w="958"/>
        <w:gridCol w:w="955"/>
        <w:gridCol w:w="958"/>
        <w:gridCol w:w="958"/>
      </w:tblGrid>
      <w:tr>
        <w:trPr>
          <w:trHeight w:val="1337"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3" w:right="22"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5"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收购江西科为 薄膜新型材料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p>
          <w:p>
            <w:pPr>
              <w:pStyle w:val="TableParagraph"/>
              <w:spacing w:line="316"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万平方米光 学膜项目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-2,436.46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-2,436.46</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7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44"/>
        <w:ind w:left="0" w:right="1136" w:firstLine="0"/>
        <w:jc w:val="right"/>
        <w:rPr>
          <w:rFonts w:ascii="宋体" w:hAnsi="宋体" w:cs="宋体" w:eastAsia="宋体" w:hint="default"/>
          <w:sz w:val="18"/>
          <w:szCs w:val="18"/>
        </w:rPr>
      </w:pPr>
      <w:r>
        <w:rPr/>
        <w:pict>
          <v:shape style="position:absolute;margin-left:42.240002pt;margin-top:-109.948273pt;width:493.55pt;height:283.2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57"/>
                    <w:gridCol w:w="6700"/>
                  </w:tblGrid>
                  <w:tr>
                    <w:trPr>
                      <w:trHeight w:val="4227" w:hRule="exact"/>
                    </w:trPr>
                    <w:tc>
                      <w:tcPr>
                        <w:tcW w:w="3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57"/>
                          <w:ind w:left="24"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变更原因、决策程序及信息披露情况说 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日经公司第二届董事会第十七次会议决议，公司收购江西科为薄膜新型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材料有限公司（以下简称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江西科为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股权。其中，收购柯秋平持有的江西科为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99%</w:t>
                        </w:r>
                        <w:r>
                          <w:rPr>
                            <w:rFonts w:ascii="宋体" w:hAnsi="宋体" w:cs="宋体" w:eastAsia="宋体" w:hint="default"/>
                            <w:sz w:val="18"/>
                            <w:szCs w:val="18"/>
                          </w:rPr>
                          <w:t>股权及时招军持有的江西科为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股权的价格合计为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万元。同时，双星新材</w:t>
                        </w:r>
                        <w:r>
                          <w:rPr>
                            <w:rFonts w:ascii="宋体" w:hAnsi="宋体" w:cs="宋体" w:eastAsia="宋体" w:hint="default"/>
                            <w:sz w:val="18"/>
                            <w:szCs w:val="18"/>
                          </w:rPr>
                          <w:t> 向江西科为增加注册资本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万元，增资后，江西科为注册资本为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万元。本</w:t>
                        </w:r>
                      </w:p>
                      <w:p>
                        <w:pPr>
                          <w:pStyle w:val="TableParagraph"/>
                          <w:spacing w:line="240" w:lineRule="auto" w:before="1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次增资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 </w:t>
                        </w:r>
                        <w:r>
                          <w:rPr>
                            <w:rFonts w:ascii="宋体" w:hAnsi="宋体" w:cs="宋体" w:eastAsia="宋体" w:hint="default"/>
                            <w:sz w:val="18"/>
                            <w:szCs w:val="18"/>
                          </w:rPr>
                          <w:t>万元的价格为人民币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万元，上述股权转让及增资金额合计为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亿元</w:t>
                        </w:r>
                        <w:r>
                          <w:rPr>
                            <w:rFonts w:ascii="宋体" w:hAnsi="宋体" w:cs="宋体" w:eastAsia="宋体" w:hint="default"/>
                            <w:spacing w:val="-92"/>
                            <w:sz w:val="18"/>
                            <w:szCs w:val="18"/>
                          </w:rPr>
                          <w:t>。</w:t>
                        </w:r>
                        <w:r>
                          <w:rPr>
                            <w:rFonts w:ascii="宋体" w:hAnsi="宋体" w:cs="宋体" w:eastAsia="宋体" w:hint="default"/>
                            <w:sz w:val="18"/>
                            <w:szCs w:val="18"/>
                          </w:rPr>
                          <w:t>公司本次收购并增资江</w:t>
                        </w:r>
                        <w:r>
                          <w:rPr>
                            <w:rFonts w:ascii="宋体" w:hAnsi="宋体" w:cs="宋体" w:eastAsia="宋体" w:hint="default"/>
                            <w:spacing w:val="2"/>
                            <w:sz w:val="18"/>
                            <w:szCs w:val="18"/>
                          </w:rPr>
                          <w:t>西</w:t>
                        </w:r>
                        <w:r>
                          <w:rPr>
                            <w:rFonts w:ascii="宋体" w:hAnsi="宋体" w:cs="宋体" w:eastAsia="宋体" w:hint="default"/>
                            <w:sz w:val="18"/>
                            <w:szCs w:val="18"/>
                          </w:rPr>
                          <w:t>科为使用</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年度非公开发</w:t>
                        </w:r>
                        <w:r>
                          <w:rPr>
                            <w:rFonts w:ascii="宋体" w:hAnsi="宋体" w:cs="宋体" w:eastAsia="宋体" w:hint="default"/>
                            <w:spacing w:val="-3"/>
                            <w:sz w:val="18"/>
                            <w:szCs w:val="18"/>
                          </w:rPr>
                          <w:t>行</w:t>
                        </w:r>
                        <w:r>
                          <w:rPr>
                            <w:rFonts w:ascii="宋体" w:hAnsi="宋体" w:cs="宋体" w:eastAsia="宋体" w:hint="default"/>
                            <w:sz w:val="18"/>
                            <w:szCs w:val="18"/>
                          </w:rPr>
                          <w:t>募集资金</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亿元</w:t>
                        </w:r>
                        <w:r>
                          <w:rPr>
                            <w:rFonts w:ascii="宋体" w:hAnsi="宋体" w:cs="宋体" w:eastAsia="宋体" w:hint="default"/>
                            <w:spacing w:val="-9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p>
                      <w:p>
                        <w:pPr>
                          <w:pStyle w:val="TableParagraph"/>
                          <w:spacing w:line="304" w:lineRule="auto" w:before="63"/>
                          <w:ind w:left="24" w:right="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日经公司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年第一次临时股东大会决议：审议通过关于《公司拟使用部 分募集资金收购江西科为薄膜新型材料有限公司</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股权并增加注册资本》的议案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审议通过关于《江西科为薄膜新型材料有限公司股权转让与增资入股协议》的议案。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日完成收购江西科为薄膜新型材料有限公司的公告，双星新材公告： 拟使用部分募集资金收购江西科为薄膜新型材料有限公司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股权并增加注册资</w:t>
                        </w:r>
                      </w:p>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1"/>
                            <w:sz w:val="18"/>
                            <w:szCs w:val="18"/>
                          </w:rPr>
                          <w:t> </w:t>
                        </w:r>
                        <w:r>
                          <w:rPr>
                            <w:rFonts w:ascii="宋体" w:hAnsi="宋体" w:cs="宋体" w:eastAsia="宋体" w:hint="default"/>
                            <w:sz w:val="18"/>
                            <w:szCs w:val="18"/>
                          </w:rPr>
                          <w:t>。</w:t>
                        </w:r>
                      </w:p>
                    </w:tc>
                  </w:tr>
                  <w:tr>
                    <w:trPr>
                      <w:trHeight w:val="713" w:hRule="exact"/>
                    </w:trPr>
                    <w:tc>
                      <w:tcPr>
                        <w:tcW w:w="3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未达到计划进度或预计收益的情况和原 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
                            <w:sz w:val="18"/>
                            <w:szCs w:val="18"/>
                          </w:rPr>
                          <w:t>由于受到江西科为薄膜新型材料有限公司经营等因素影响，江西科为薄膜新型材料有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限公司未达到预期效益。</w:t>
                        </w:r>
                      </w:p>
                    </w:tc>
                  </w:tr>
                  <w:tr>
                    <w:trPr>
                      <w:trHeight w:val="715" w:hRule="exact"/>
                    </w:trPr>
                    <w:tc>
                      <w:tcPr>
                        <w:tcW w:w="3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 况说明</w:t>
                        </w: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240" w:lineRule="auto" w:before="26"/>
        <w:ind w:left="392" w:right="6614"/>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392" w:right="6614"/>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39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3"/>
        <w:rPr>
          <w:rFonts w:ascii="宋体" w:hAnsi="宋体" w:cs="宋体" w:eastAsia="宋体" w:hint="default"/>
          <w:sz w:val="21"/>
          <w:szCs w:val="21"/>
        </w:rPr>
      </w:pPr>
    </w:p>
    <w:p>
      <w:pPr>
        <w:pStyle w:val="Heading4"/>
        <w:spacing w:line="240" w:lineRule="auto"/>
        <w:ind w:left="392" w:right="6614"/>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39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left="392" w:right="6614"/>
        <w:jc w:val="left"/>
        <w:rPr>
          <w:b w:val="0"/>
          <w:bCs w:val="0"/>
        </w:rPr>
      </w:pPr>
      <w:r>
        <w:rPr/>
        <w:t>七、主要控股参股公司分析</w:t>
      </w:r>
      <w:r>
        <w:rPr>
          <w:b w:val="0"/>
          <w:bCs w:val="0"/>
        </w:rPr>
      </w:r>
    </w:p>
    <w:p>
      <w:pPr>
        <w:spacing w:line="240" w:lineRule="auto" w:before="6"/>
        <w:rPr>
          <w:rFonts w:ascii="宋体" w:hAnsi="宋体" w:cs="宋体" w:eastAsia="宋体" w:hint="default"/>
          <w:b/>
          <w:bCs/>
          <w:sz w:val="26"/>
          <w:szCs w:val="26"/>
        </w:rPr>
      </w:pPr>
    </w:p>
    <w:p>
      <w:pPr>
        <w:spacing w:line="338" w:lineRule="auto" w:before="0"/>
        <w:ind w:left="39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公司报告期内无应当披露的重要控股参股公司信息。</w:t>
      </w:r>
    </w:p>
    <w:p>
      <w:pPr>
        <w:spacing w:line="240" w:lineRule="auto" w:before="8"/>
        <w:rPr>
          <w:rFonts w:ascii="宋体" w:hAnsi="宋体" w:cs="宋体" w:eastAsia="宋体" w:hint="default"/>
          <w:sz w:val="19"/>
          <w:szCs w:val="19"/>
        </w:rPr>
      </w:pPr>
    </w:p>
    <w:p>
      <w:pPr>
        <w:pStyle w:val="Heading2"/>
        <w:spacing w:line="240" w:lineRule="auto"/>
        <w:ind w:left="392" w:right="6614"/>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39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left="392" w:right="6614"/>
        <w:jc w:val="left"/>
        <w:rPr>
          <w:b w:val="0"/>
          <w:bCs w:val="0"/>
        </w:rPr>
      </w:pPr>
      <w:r>
        <w:rPr/>
        <w:t>九、公司未来发展的展望</w:t>
      </w:r>
      <w:r>
        <w:rPr>
          <w:b w:val="0"/>
          <w:bCs w:val="0"/>
        </w:rPr>
      </w:r>
    </w:p>
    <w:p>
      <w:pPr>
        <w:spacing w:line="240" w:lineRule="auto" w:before="12"/>
        <w:rPr>
          <w:rFonts w:ascii="宋体" w:hAnsi="宋体" w:cs="宋体" w:eastAsia="宋体" w:hint="default"/>
          <w:b/>
          <w:bCs/>
          <w:sz w:val="25"/>
          <w:szCs w:val="25"/>
        </w:rPr>
      </w:pPr>
    </w:p>
    <w:p>
      <w:pPr>
        <w:spacing w:line="415" w:lineRule="auto" w:before="0"/>
        <w:ind w:left="873" w:right="0" w:firstLine="2"/>
        <w:jc w:val="left"/>
        <w:rPr>
          <w:rFonts w:ascii="宋体" w:hAnsi="宋体" w:cs="宋体" w:eastAsia="宋体" w:hint="default"/>
          <w:sz w:val="24"/>
          <w:szCs w:val="24"/>
        </w:rPr>
      </w:pPr>
      <w:r>
        <w:rPr>
          <w:rFonts w:ascii="宋体" w:hAnsi="宋体" w:cs="宋体" w:eastAsia="宋体" w:hint="default"/>
          <w:b/>
          <w:bCs/>
          <w:sz w:val="24"/>
          <w:szCs w:val="24"/>
        </w:rPr>
        <w:t>（一）行业竞争格局和发展趋势</w:t>
      </w:r>
      <w:r>
        <w:rPr>
          <w:rFonts w:ascii="宋体" w:hAnsi="宋体" w:cs="宋体" w:eastAsia="宋体" w:hint="default"/>
          <w:b/>
          <w:bCs/>
          <w:w w:val="99"/>
          <w:sz w:val="24"/>
          <w:szCs w:val="24"/>
        </w:rPr>
        <w:t> </w:t>
      </w:r>
      <w:r>
        <w:rPr>
          <w:rFonts w:ascii="宋体" w:hAnsi="宋体" w:cs="宋体" w:eastAsia="宋体" w:hint="default"/>
          <w:sz w:val="24"/>
          <w:szCs w:val="24"/>
        </w:rPr>
        <w:t>先进高分子复合材料作为《国家</w:t>
      </w:r>
      <w:r>
        <w:rPr>
          <w:rFonts w:ascii="Times New Roman" w:hAnsi="Times New Roman" w:cs="Times New Roman" w:eastAsia="Times New Roman" w:hint="default"/>
          <w:sz w:val="24"/>
          <w:szCs w:val="24"/>
        </w:rPr>
        <w:t>“</w:t>
      </w:r>
      <w:r>
        <w:rPr>
          <w:rFonts w:ascii="宋体" w:hAnsi="宋体" w:cs="宋体" w:eastAsia="宋体" w:hint="default"/>
          <w:sz w:val="24"/>
          <w:szCs w:val="24"/>
        </w:rPr>
        <w:t>十三五</w:t>
      </w:r>
      <w:r>
        <w:rPr>
          <w:rFonts w:ascii="Times New Roman" w:hAnsi="Times New Roman" w:cs="Times New Roman" w:eastAsia="Times New Roman" w:hint="default"/>
          <w:sz w:val="24"/>
          <w:szCs w:val="24"/>
        </w:rPr>
        <w:t>”</w:t>
      </w:r>
      <w:r>
        <w:rPr>
          <w:rFonts w:ascii="宋体" w:hAnsi="宋体" w:cs="宋体" w:eastAsia="宋体" w:hint="default"/>
          <w:sz w:val="24"/>
          <w:szCs w:val="24"/>
        </w:rPr>
        <w:t>战略规划》新材料领域重点支持鼓励发展的材</w:t>
      </w:r>
    </w:p>
    <w:p>
      <w:pPr>
        <w:spacing w:after="0" w:line="415" w:lineRule="auto"/>
        <w:jc w:val="left"/>
        <w:rPr>
          <w:rFonts w:ascii="宋体" w:hAnsi="宋体" w:cs="宋体" w:eastAsia="宋体" w:hint="default"/>
          <w:sz w:val="24"/>
          <w:szCs w:val="24"/>
        </w:rPr>
        <w:sectPr>
          <w:pgSz w:w="11910" w:h="16840"/>
          <w:pgMar w:header="745" w:footer="980" w:top="1060" w:bottom="1160" w:left="740" w:right="0"/>
        </w:sectPr>
      </w:pPr>
    </w:p>
    <w:p>
      <w:pPr>
        <w:spacing w:line="240" w:lineRule="auto" w:before="7"/>
        <w:rPr>
          <w:rFonts w:ascii="宋体" w:hAnsi="宋体" w:cs="宋体" w:eastAsia="宋体" w:hint="default"/>
          <w:sz w:val="26"/>
          <w:szCs w:val="26"/>
        </w:rPr>
      </w:pPr>
    </w:p>
    <w:p>
      <w:pPr>
        <w:pStyle w:val="Heading3"/>
        <w:spacing w:line="292" w:lineRule="auto" w:before="26"/>
        <w:ind w:right="1131"/>
        <w:jc w:val="both"/>
      </w:pPr>
      <w:r>
        <w:rPr/>
        <w:t>料，在《中国制造</w:t>
      </w:r>
      <w:r>
        <w:rPr>
          <w:rFonts w:ascii="Times New Roman" w:hAnsi="Times New Roman" w:cs="Times New Roman" w:eastAsia="Times New Roman" w:hint="default"/>
        </w:rPr>
        <w:t>2025</w:t>
      </w:r>
      <w:r>
        <w:rPr/>
        <w:t>》重点领域技术发展中高性能膜材料作为新材料也列入多项目计划鼓</w:t>
      </w:r>
      <w:r>
        <w:rPr>
          <w:spacing w:val="-91"/>
        </w:rPr>
        <w:t> </w:t>
      </w:r>
      <w:r>
        <w:rPr>
          <w:spacing w:val="-91"/>
        </w:rPr>
      </w:r>
      <w:r>
        <w:rPr/>
        <w:t>励支持发展，一些发达国家跨国企业也把高性能膜材料发展作为工业中间新材料，抓在手中</w:t>
      </w:r>
      <w:r>
        <w:rPr>
          <w:spacing w:val="-91"/>
        </w:rPr>
        <w:t> </w:t>
      </w:r>
      <w:r>
        <w:rPr>
          <w:spacing w:val="-91"/>
        </w:rPr>
      </w:r>
      <w:r>
        <w:rPr/>
        <w:t>持续推进发展，聚酯薄膜作为当前工业中间材料和未来战略性新兴产业中重要的新材料，是</w:t>
      </w:r>
      <w:r>
        <w:rPr>
          <w:spacing w:val="-91"/>
        </w:rPr>
        <w:t> </w:t>
      </w:r>
      <w:r>
        <w:rPr>
          <w:spacing w:val="-91"/>
        </w:rPr>
      </w:r>
      <w:r>
        <w:rPr/>
        <w:t>一种绿色、环保、综合性能优异的高分子薄膜材料，近年来，</w:t>
      </w:r>
      <w:r>
        <w:rPr>
          <w:rFonts w:ascii="Times New Roman" w:hAnsi="Times New Roman" w:cs="Times New Roman" w:eastAsia="Times New Roman" w:hint="default"/>
        </w:rPr>
        <w:t>BOPET</w:t>
      </w:r>
      <w:r>
        <w:rPr/>
        <w:t>产业发展迅速，行业产 品种类繁多，市场应用领域越来越广，因其机械强度高、刚性好、韧性强，绝缘性优良等多</w:t>
      </w:r>
      <w:r>
        <w:rPr>
          <w:spacing w:val="-89"/>
        </w:rPr>
        <w:t> </w:t>
      </w:r>
      <w:r>
        <w:rPr>
          <w:spacing w:val="-89"/>
        </w:rPr>
      </w:r>
      <w:r>
        <w:rPr/>
        <w:t>方面优异性能，被广泛应用到包装、印刷、磁记录、感光、办公、绝缘、护卡、建筑、装饰</w:t>
      </w:r>
      <w:r>
        <w:rPr>
          <w:spacing w:val="-91"/>
        </w:rPr>
        <w:t> </w:t>
      </w:r>
      <w:r>
        <w:rPr>
          <w:spacing w:val="-91"/>
        </w:rPr>
      </w:r>
      <w:r>
        <w:rPr/>
        <w:t>装潢上，产品的专业化程度越来越高，差异化、特种化、高端化的产品供给模式逐步形成，</w:t>
      </w:r>
      <w:r>
        <w:rPr>
          <w:spacing w:val="-91"/>
        </w:rPr>
        <w:t> </w:t>
      </w:r>
      <w:r>
        <w:rPr>
          <w:spacing w:val="-91"/>
        </w:rPr>
      </w:r>
      <w:r>
        <w:rPr/>
        <w:t>同时进一步应用于航天、光学、太阳能、电子、电工等高精尖技术领域，推动了相关领域的</w:t>
      </w:r>
      <w:r>
        <w:rPr>
          <w:spacing w:val="-91"/>
        </w:rPr>
        <w:t> </w:t>
      </w:r>
      <w:r>
        <w:rPr>
          <w:spacing w:val="-91"/>
        </w:rPr>
      </w:r>
      <w:r>
        <w:rPr/>
        <w:t>材料革命和进步。</w:t>
      </w:r>
    </w:p>
    <w:p>
      <w:pPr>
        <w:pStyle w:val="Heading3"/>
        <w:spacing w:line="297" w:lineRule="auto" w:before="178"/>
        <w:ind w:right="996" w:firstLine="480"/>
        <w:jc w:val="left"/>
      </w:pPr>
      <w:r>
        <w:rPr>
          <w:spacing w:val="-3"/>
        </w:rPr>
        <w:t>当前，行业市场竞争日趋激烈，国内聚酯薄膜需求稳定增长，行业企业利润率合理提升，</w:t>
      </w:r>
      <w:r>
        <w:rPr/>
        <w:t> 行业实现理性发展，处于平稳期，供需好转，盈利能力提升。功能膜因其较高的利润率及更</w:t>
      </w:r>
      <w:r>
        <w:rPr>
          <w:spacing w:val="-91"/>
        </w:rPr>
        <w:t> </w:t>
      </w:r>
      <w:r>
        <w:rPr>
          <w:spacing w:val="-91"/>
        </w:rPr>
      </w:r>
      <w:r>
        <w:rPr/>
        <w:t>广阔的发展空间引起市场的广泛关注，</w:t>
      </w:r>
      <w:r>
        <w:rPr>
          <w:rFonts w:ascii="Times New Roman" w:hAnsi="Times New Roman" w:cs="Times New Roman" w:eastAsia="Times New Roman" w:hint="default"/>
        </w:rPr>
        <w:t>BOPET</w:t>
      </w:r>
      <w:r>
        <w:rPr/>
        <w:t>行业企业在研发功能化薄膜新产品方面的投入 不断加大，进一步加大差异化薄膜产品市场的开发力度，产品竞争从普通膜向功能膜转移。</w:t>
      </w:r>
      <w:r>
        <w:rPr>
          <w:spacing w:val="-91"/>
        </w:rPr>
        <w:t> </w:t>
      </w:r>
      <w:r>
        <w:rPr>
          <w:spacing w:val="-91"/>
        </w:rPr>
      </w:r>
      <w:r>
        <w:rPr>
          <w:spacing w:val="-2"/>
        </w:rPr>
        <w:t>企业更加重视自身的市场定位和竞争优势分析，各企业开始显现出较鲜明的产品专业化特色。</w:t>
      </w:r>
      <w:r>
        <w:rPr/>
        <w:t> 特别是近几年来，高附加值产品份额在增加，行业企业加大技术改造和技术攻关的力度，提</w:t>
      </w:r>
      <w:r>
        <w:rPr>
          <w:spacing w:val="-91"/>
        </w:rPr>
        <w:t> </w:t>
      </w:r>
      <w:r>
        <w:rPr>
          <w:spacing w:val="-91"/>
        </w:rPr>
      </w:r>
      <w:r>
        <w:rPr/>
        <w:t>高自主创新能力，在光学薄膜基膜、光学用离型保护膜基膜、太阳能电池背板基膜、窗膜基</w:t>
      </w:r>
      <w:r>
        <w:rPr>
          <w:spacing w:val="-91"/>
        </w:rPr>
        <w:t> </w:t>
      </w:r>
      <w:r>
        <w:rPr>
          <w:spacing w:val="-91"/>
        </w:rPr>
      </w:r>
      <w:r>
        <w:rPr/>
        <w:t>膜、有色膜、在线涂布膜等方面产品品种数量和质量有较大提升，产品在光学、太阳能、建</w:t>
      </w:r>
      <w:r>
        <w:rPr>
          <w:spacing w:val="-91"/>
        </w:rPr>
        <w:t> </w:t>
      </w:r>
      <w:r>
        <w:rPr>
          <w:spacing w:val="-91"/>
        </w:rPr>
      </w:r>
      <w:r>
        <w:rPr>
          <w:spacing w:val="-3"/>
        </w:rPr>
        <w:t>筑、电子、电工等高精尖技术领域的使用，未来仍将进一步向高端化、精细化、专业化发展，</w:t>
      </w:r>
      <w:r>
        <w:rPr>
          <w:spacing w:val="-80"/>
        </w:rPr>
        <w:t> </w:t>
      </w:r>
      <w:r>
        <w:rPr>
          <w:spacing w:val="-80"/>
        </w:rPr>
      </w:r>
      <w:r>
        <w:rPr/>
        <w:t>创新是永恒的主题，进一步提升企业自主创新能力、加强精益管理、降低运营成本、走出自</w:t>
      </w:r>
      <w:r>
        <w:rPr>
          <w:spacing w:val="-91"/>
        </w:rPr>
        <w:t> </w:t>
      </w:r>
      <w:r>
        <w:rPr>
          <w:spacing w:val="-91"/>
        </w:rPr>
      </w:r>
      <w:r>
        <w:rPr/>
        <w:t>己的特色是企业未来努力的方向。</w:t>
      </w:r>
    </w:p>
    <w:p>
      <w:pPr>
        <w:pStyle w:val="Heading3"/>
        <w:spacing w:line="292" w:lineRule="auto" w:before="176"/>
        <w:ind w:right="0" w:firstLine="480"/>
        <w:jc w:val="left"/>
      </w:pPr>
      <w:r>
        <w:rPr/>
        <w:t>公司将通过持续创新，围绕产业升级，开展技术进步，坚持新发展理念，坚持推进高质 量发展，坚持以提高经济增长质量和效益为立足点，以创新带动潜能发挥，加快技术创新，</w:t>
      </w:r>
      <w:r>
        <w:rPr>
          <w:spacing w:val="-91"/>
        </w:rPr>
        <w:t> </w:t>
      </w:r>
      <w:r>
        <w:rPr>
          <w:spacing w:val="-91"/>
        </w:rPr>
      </w:r>
      <w:r>
        <w:rPr/>
        <w:t>新产品开发，新市场拓展，强化各项基础管理，增强综合管理能力，围绕</w:t>
      </w:r>
      <w:r>
        <w:rPr>
          <w:rFonts w:ascii="Times New Roman" w:hAnsi="Times New Roman" w:cs="Times New Roman" w:eastAsia="Times New Roman" w:hint="default"/>
        </w:rPr>
        <w:t>“</w:t>
      </w:r>
      <w:r>
        <w:rPr/>
        <w:t>特色产品、功能性 </w:t>
      </w:r>
      <w:r>
        <w:rPr>
          <w:spacing w:val="-5"/>
        </w:rPr>
        <w:t>产品、高端产品</w:t>
      </w:r>
      <w:r>
        <w:rPr>
          <w:rFonts w:ascii="Times New Roman" w:hAnsi="Times New Roman" w:cs="Times New Roman" w:eastAsia="Times New Roman" w:hint="default"/>
          <w:spacing w:val="-5"/>
        </w:rPr>
        <w:t>”</w:t>
      </w:r>
      <w:r>
        <w:rPr>
          <w:spacing w:val="-5"/>
        </w:rPr>
        <w:t>发展，加快企业转型升级，调结构、提效益，实施品牌战略，以市场为导向，</w:t>
      </w:r>
      <w:r>
        <w:rPr>
          <w:spacing w:val="-103"/>
        </w:rPr>
        <w:t> </w:t>
      </w:r>
      <w:r>
        <w:rPr>
          <w:spacing w:val="-103"/>
        </w:rPr>
      </w:r>
      <w:r>
        <w:rPr/>
        <w:t>注重内涵与质量，从强化科技引领，突出加强自主创新，扎实推进创新驱动，深入推进高性</w:t>
      </w:r>
      <w:r>
        <w:rPr>
          <w:spacing w:val="-87"/>
        </w:rPr>
        <w:t> </w:t>
      </w:r>
      <w:r>
        <w:rPr>
          <w:spacing w:val="-87"/>
        </w:rPr>
      </w:r>
      <w:r>
        <w:rPr/>
        <w:t>能新品研发，加快结构调整，实现资源更高程度整合，创新发展，对外拓展，推动企业在膜</w:t>
      </w:r>
      <w:r>
        <w:rPr>
          <w:spacing w:val="-91"/>
        </w:rPr>
        <w:t> </w:t>
      </w:r>
      <w:r>
        <w:rPr>
          <w:spacing w:val="-91"/>
        </w:rPr>
      </w:r>
      <w:r>
        <w:rPr/>
        <w:t>材料制造领域形成全面布局，逐步实现高端产品市场进口替代，目标全球高分子复合材料研</w:t>
      </w:r>
      <w:r>
        <w:rPr>
          <w:spacing w:val="-91"/>
        </w:rPr>
        <w:t> </w:t>
      </w:r>
      <w:r>
        <w:rPr>
          <w:spacing w:val="-91"/>
        </w:rPr>
      </w:r>
      <w:r>
        <w:rPr/>
        <w:t>发领域形成竞争优势，全面提升企业的竞争实力。</w:t>
      </w:r>
    </w:p>
    <w:p>
      <w:pPr>
        <w:pStyle w:val="Heading3"/>
        <w:spacing w:line="295" w:lineRule="auto" w:before="180"/>
        <w:ind w:right="1132" w:firstLine="480"/>
        <w:jc w:val="both"/>
      </w:pPr>
      <w:r>
        <w:rPr>
          <w:rFonts w:ascii="Times New Roman" w:hAnsi="Times New Roman" w:cs="Times New Roman" w:eastAsia="Times New Roman" w:hint="default"/>
          <w:spacing w:val="-3"/>
        </w:rPr>
        <w:t>1</w:t>
      </w:r>
      <w:r>
        <w:rPr>
          <w:spacing w:val="-3"/>
        </w:rPr>
        <w:t>、在产品结构方面，国外大型跨国企业根据新兴产业的需求，占领了高端薄膜的国际市</w:t>
      </w:r>
      <w:r>
        <w:rPr/>
        <w:t> 场。当前，光学基膜产品的国内、国际市场被国外企业垄断，国内对光学基膜的进口依存度</w:t>
      </w:r>
      <w:r>
        <w:rPr>
          <w:spacing w:val="-91"/>
        </w:rPr>
        <w:t> </w:t>
      </w:r>
      <w:r>
        <w:rPr>
          <w:spacing w:val="-91"/>
        </w:rPr>
      </w:r>
      <w:r>
        <w:rPr/>
        <w:t>较高。未来，国内包括液晶电视在内的电子产品持续快速增长，国产的光学膜供给迫切需要</w:t>
      </w:r>
      <w:r>
        <w:rPr>
          <w:spacing w:val="-91"/>
        </w:rPr>
        <w:t> </w:t>
      </w:r>
      <w:r>
        <w:rPr>
          <w:spacing w:val="-91"/>
        </w:rPr>
      </w:r>
      <w:r>
        <w:rPr/>
        <w:t>加快步伐实现替代，为此，增加光学膜项目的开发研究对提升下游的液晶显示器材等产业的</w:t>
      </w:r>
      <w:r>
        <w:rPr>
          <w:spacing w:val="-88"/>
        </w:rPr>
        <w:t> </w:t>
      </w:r>
      <w:r>
        <w:rPr>
          <w:spacing w:val="-88"/>
        </w:rPr>
      </w:r>
      <w:r>
        <w:rPr/>
        <w:t>国产化有着积极作用。</w:t>
      </w:r>
    </w:p>
    <w:p>
      <w:pPr>
        <w:pStyle w:val="Heading3"/>
        <w:spacing w:line="240" w:lineRule="auto" w:before="175"/>
        <w:ind w:left="633" w:right="0"/>
        <w:jc w:val="left"/>
      </w:pPr>
      <w:r>
        <w:rPr>
          <w:rFonts w:ascii="Times New Roman" w:hAnsi="Times New Roman" w:cs="Times New Roman" w:eastAsia="Times New Roman" w:hint="default"/>
          <w:spacing w:val="-3"/>
        </w:rPr>
        <w:t>2</w:t>
      </w:r>
      <w:r>
        <w:rPr>
          <w:spacing w:val="-3"/>
        </w:rPr>
        <w:t>、高阻隔性聚酯薄膜通过填料改性、多层复合、溅射等技术方式赋予聚酯薄膜优良的水</w:t>
      </w:r>
    </w:p>
    <w:p>
      <w:pPr>
        <w:spacing w:after="0" w:line="240" w:lineRule="auto"/>
        <w:jc w:val="left"/>
        <w:sectPr>
          <w:pgSz w:w="11910" w:h="16840"/>
          <w:pgMar w:header="745" w:footer="980" w:top="1060" w:bottom="1160" w:left="980" w:right="0"/>
        </w:sectPr>
      </w:pPr>
    </w:p>
    <w:p>
      <w:pPr>
        <w:spacing w:line="240" w:lineRule="auto" w:before="7"/>
        <w:rPr>
          <w:rFonts w:ascii="宋体" w:hAnsi="宋体" w:cs="宋体" w:eastAsia="宋体" w:hint="default"/>
          <w:sz w:val="26"/>
          <w:szCs w:val="26"/>
        </w:rPr>
      </w:pPr>
    </w:p>
    <w:p>
      <w:pPr>
        <w:pStyle w:val="Heading3"/>
        <w:spacing w:line="240" w:lineRule="auto" w:before="26"/>
        <w:ind w:right="0"/>
        <w:jc w:val="left"/>
      </w:pPr>
      <w:r>
        <w:rPr/>
        <w:t>蒸气、氧气阻隔性，可以应用于节能、医疗和光电领域，市场前景广阔。</w:t>
      </w:r>
    </w:p>
    <w:p>
      <w:pPr>
        <w:spacing w:line="240" w:lineRule="auto" w:before="9"/>
        <w:rPr>
          <w:rFonts w:ascii="宋体" w:hAnsi="宋体" w:cs="宋体" w:eastAsia="宋体" w:hint="default"/>
          <w:sz w:val="17"/>
          <w:szCs w:val="17"/>
        </w:rPr>
      </w:pPr>
    </w:p>
    <w:p>
      <w:pPr>
        <w:pStyle w:val="Heading3"/>
        <w:spacing w:line="280" w:lineRule="auto"/>
        <w:ind w:right="1129" w:firstLine="480"/>
        <w:jc w:val="both"/>
      </w:pPr>
      <w:r>
        <w:rPr>
          <w:rFonts w:ascii="Times New Roman" w:hAnsi="Times New Roman" w:cs="Times New Roman" w:eastAsia="Times New Roman" w:hint="default"/>
          <w:spacing w:val="-3"/>
        </w:rPr>
        <w:t>3</w:t>
      </w:r>
      <w:r>
        <w:rPr>
          <w:spacing w:val="-3"/>
        </w:rPr>
        <w:t>、热收缩聚酯薄膜主要在高端产品（出口产品）和领域中应用。当前国内市场上，聚酯</w:t>
      </w:r>
      <w:r>
        <w:rPr/>
        <w:t> 热收缩膜主要应用在电容器、电池商标、</w:t>
      </w:r>
      <w:r>
        <w:rPr>
          <w:rFonts w:ascii="Times New Roman" w:hAnsi="Times New Roman" w:cs="Times New Roman" w:eastAsia="Times New Roman" w:hint="default"/>
        </w:rPr>
        <w:t>PET</w:t>
      </w:r>
      <w:r>
        <w:rPr/>
        <w:t>瓶收缩标签等产品上，具有方便、环保、有利</w:t>
      </w:r>
      <w:r>
        <w:rPr>
          <w:spacing w:val="-42"/>
        </w:rPr>
        <w:t> </w:t>
      </w:r>
      <w:r>
        <w:rPr/>
        <w:t>于回收等特点，未来将逐步替代</w:t>
      </w:r>
      <w:r>
        <w:rPr>
          <w:rFonts w:ascii="Times New Roman" w:hAnsi="Times New Roman" w:cs="Times New Roman" w:eastAsia="Times New Roman" w:hint="default"/>
        </w:rPr>
        <w:t>PVC</w:t>
      </w:r>
      <w:r>
        <w:rPr/>
        <w:t>热收缩膜。</w:t>
      </w:r>
    </w:p>
    <w:p>
      <w:pPr>
        <w:pStyle w:val="Heading3"/>
        <w:spacing w:line="292" w:lineRule="auto" w:before="169"/>
        <w:ind w:right="1137" w:firstLine="768"/>
        <w:jc w:val="both"/>
      </w:pPr>
      <w:r>
        <w:rPr>
          <w:rFonts w:ascii="Times New Roman" w:hAnsi="Times New Roman" w:cs="Times New Roman" w:eastAsia="Times New Roman" w:hint="default"/>
          <w:spacing w:val="2"/>
        </w:rPr>
        <w:t>4</w:t>
      </w:r>
      <w:r>
        <w:rPr>
          <w:spacing w:val="2"/>
        </w:rPr>
        <w:t>、智能窗膜是实现智能调控光热透反射特性的节能材料，它的调节仅利用自然环境</w:t>
      </w:r>
      <w:r>
        <w:rPr/>
        <w:t> 的温度变化就能实现对太阳能的自动调控的功能。夏天最大限度的控制的减少热量的侵袭，</w:t>
      </w:r>
      <w:r>
        <w:rPr>
          <w:spacing w:val="-90"/>
        </w:rPr>
        <w:t> </w:t>
      </w:r>
      <w:r>
        <w:rPr>
          <w:spacing w:val="-90"/>
        </w:rPr>
      </w:r>
      <w:r>
        <w:rPr/>
        <w:t>冬天积极导入太阳光特别是其中的红外部分，减少资源和能源的消耗。同时，玻璃窗膜在维</w:t>
      </w:r>
      <w:r>
        <w:rPr>
          <w:spacing w:val="-91"/>
        </w:rPr>
        <w:t> </w:t>
      </w:r>
      <w:r>
        <w:rPr>
          <w:spacing w:val="-91"/>
        </w:rPr>
      </w:r>
      <w:r>
        <w:rPr/>
        <w:t>护物玻璃的安全性、有效控制和减少玻璃爆裂及高空坠落伤害等方面有着重要的作用。</w:t>
      </w:r>
    </w:p>
    <w:p>
      <w:pPr>
        <w:spacing w:line="546" w:lineRule="exact" w:before="24"/>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（二）公司发展战略</w:t>
      </w:r>
      <w:r>
        <w:rPr>
          <w:rFonts w:ascii="宋体" w:hAnsi="宋体" w:cs="宋体" w:eastAsia="宋体" w:hint="default"/>
          <w:b/>
          <w:bCs/>
          <w:w w:val="99"/>
          <w:sz w:val="24"/>
          <w:szCs w:val="24"/>
        </w:rPr>
        <w:t> </w:t>
      </w:r>
      <w:r>
        <w:rPr>
          <w:rFonts w:ascii="宋体" w:hAnsi="宋体" w:cs="宋体" w:eastAsia="宋体" w:hint="default"/>
          <w:sz w:val="24"/>
          <w:szCs w:val="24"/>
        </w:rPr>
        <w:t>围绕聚酯新材料产业，基于服务国家发展大战略，依靠创新，加快产品结构调整，深入</w:t>
      </w:r>
    </w:p>
    <w:p>
      <w:pPr>
        <w:pStyle w:val="Heading3"/>
        <w:spacing w:line="292" w:lineRule="auto" w:before="1"/>
        <w:ind w:right="0"/>
        <w:jc w:val="left"/>
      </w:pPr>
      <w:r>
        <w:rPr>
          <w:spacing w:val="-2"/>
        </w:rPr>
        <w:t>研究分析国内外经济形势和行业发展趋势，围绕高质量发展要求，以落实</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规划目标，</w:t>
      </w:r>
      <w:r>
        <w:rPr>
          <w:spacing w:val="-89"/>
        </w:rPr>
        <w:t> </w:t>
      </w:r>
      <w:r>
        <w:rPr>
          <w:spacing w:val="-89"/>
        </w:rPr>
      </w:r>
      <w:r>
        <w:rPr/>
        <w:t>从围绕高端产业，做好产业高端，积极实施创新驱动战略，全方位夯实提升核心竞争能力，</w:t>
      </w:r>
      <w:r>
        <w:rPr>
          <w:spacing w:val="-91"/>
        </w:rPr>
        <w:t> </w:t>
      </w:r>
      <w:r>
        <w:rPr>
          <w:spacing w:val="-91"/>
        </w:rPr>
      </w:r>
      <w:r>
        <w:rPr/>
        <w:t>扎实推进</w:t>
      </w:r>
      <w:r>
        <w:rPr>
          <w:rFonts w:ascii="Times New Roman" w:hAnsi="Times New Roman" w:cs="Times New Roman" w:eastAsia="Times New Roman" w:hint="default"/>
        </w:rPr>
        <w:t>“</w:t>
      </w:r>
      <w:r>
        <w:rPr/>
        <w:t>六大发展战略</w:t>
      </w:r>
      <w:r>
        <w:rPr>
          <w:rFonts w:ascii="Times New Roman" w:hAnsi="Times New Roman" w:cs="Times New Roman" w:eastAsia="Times New Roman" w:hint="default"/>
        </w:rPr>
        <w:t>”</w:t>
      </w:r>
      <w:r>
        <w:rPr/>
        <w:t>，全力拓展</w:t>
      </w:r>
      <w:r>
        <w:rPr>
          <w:rFonts w:ascii="Times New Roman" w:hAnsi="Times New Roman" w:cs="Times New Roman" w:eastAsia="Times New Roman" w:hint="default"/>
        </w:rPr>
        <w:t>“</w:t>
      </w:r>
      <w:r>
        <w:rPr/>
        <w:t>五大板块</w:t>
      </w:r>
      <w:r>
        <w:rPr>
          <w:rFonts w:ascii="Times New Roman" w:hAnsi="Times New Roman" w:cs="Times New Roman" w:eastAsia="Times New Roman" w:hint="default"/>
        </w:rPr>
        <w:t>”</w:t>
      </w:r>
      <w:r>
        <w:rPr/>
        <w:t>总体布局，以聚酯薄膜工业中间材料向功能</w:t>
      </w:r>
      <w:r>
        <w:rPr>
          <w:spacing w:val="-44"/>
        </w:rPr>
        <w:t> </w:t>
      </w:r>
      <w:r>
        <w:rPr>
          <w:spacing w:val="-44"/>
        </w:rPr>
      </w:r>
      <w:r>
        <w:rPr/>
        <w:t>性、高性能持续推动发展，服务拓展应用到更多领域，以科技创新为引领，以人才集聚打造</w:t>
      </w:r>
      <w:r>
        <w:rPr>
          <w:spacing w:val="-91"/>
        </w:rPr>
        <w:t> </w:t>
      </w:r>
      <w:r>
        <w:rPr>
          <w:spacing w:val="-91"/>
        </w:rPr>
      </w:r>
      <w:r>
        <w:rPr/>
        <w:t>团队能力提升，以落实智能制造推动平台建设，实现生产、技术和管理的深度融合，以板块</w:t>
      </w:r>
      <w:r>
        <w:rPr>
          <w:spacing w:val="-91"/>
        </w:rPr>
        <w:t> </w:t>
      </w:r>
      <w:r>
        <w:rPr>
          <w:spacing w:val="-91"/>
        </w:rPr>
      </w:r>
      <w:r>
        <w:rPr/>
        <w:t>带动，实现上游发展拓展，夯实基础，打造新材料行业领先水平，努力提升公司市场竞争力</w:t>
      </w:r>
      <w:r>
        <w:rPr>
          <w:spacing w:val="-91"/>
        </w:rPr>
        <w:t> </w:t>
      </w:r>
      <w:r>
        <w:rPr>
          <w:spacing w:val="-91"/>
        </w:rPr>
      </w:r>
      <w:r>
        <w:rPr/>
        <w:t>和可持续发展能力。</w:t>
      </w:r>
    </w:p>
    <w:p>
      <w:pPr>
        <w:pStyle w:val="Heading3"/>
        <w:spacing w:line="297" w:lineRule="auto" w:before="178"/>
        <w:ind w:right="996" w:firstLine="480"/>
        <w:jc w:val="left"/>
      </w:pPr>
      <w:r>
        <w:rPr/>
        <w:t>同时，聚焦拓展新业务范围，突出竞争优势，持续夯实发展现有业务和市场，充分发挥 </w:t>
      </w:r>
      <w:r>
        <w:rPr>
          <w:spacing w:val="-2"/>
        </w:rPr>
        <w:t>资源优势，大力度推进提档升级，效益提升，并结合国内国际两个市场布局，以市场国际化、</w:t>
      </w:r>
      <w:r>
        <w:rPr/>
        <w:t> 技术人才国际化、企业国际化，深入推进高端产品的差异化发展，积极延伸产业链，通过加</w:t>
      </w:r>
      <w:r>
        <w:rPr>
          <w:spacing w:val="-88"/>
        </w:rPr>
        <w:t> </w:t>
      </w:r>
      <w:r>
        <w:rPr>
          <w:spacing w:val="-88"/>
        </w:rPr>
      </w:r>
      <w:r>
        <w:rPr>
          <w:spacing w:val="-2"/>
        </w:rPr>
        <w:t>快结构调整，实现资源更高程度整合，创新发展，推动企业向国际一流先进高分子复合材料、</w:t>
      </w:r>
      <w:r>
        <w:rPr/>
        <w:t> 光学材料、节能窗膜材料、信息材料、新能源材料等领域实现新的更大突破，发展中持续领</w:t>
      </w:r>
      <w:r>
        <w:rPr>
          <w:spacing w:val="-91"/>
        </w:rPr>
        <w:t> </w:t>
      </w:r>
      <w:r>
        <w:rPr>
          <w:spacing w:val="-91"/>
        </w:rPr>
      </w:r>
      <w:r>
        <w:rPr/>
        <w:t>跑同行。</w:t>
      </w:r>
    </w:p>
    <w:p>
      <w:pPr>
        <w:pStyle w:val="Heading3"/>
        <w:spacing w:line="548" w:lineRule="exact" w:before="15"/>
        <w:ind w:left="729" w:right="1127" w:hanging="94"/>
        <w:jc w:val="left"/>
      </w:pPr>
      <w:r>
        <w:rPr>
          <w:rFonts w:ascii="宋体" w:hAnsi="宋体" w:cs="宋体" w:eastAsia="宋体" w:hint="default"/>
          <w:b/>
          <w:bCs/>
        </w:rPr>
        <w:t>（三）公司经营计划</w:t>
      </w:r>
      <w:r>
        <w:rPr>
          <w:rFonts w:ascii="宋体" w:hAnsi="宋体" w:cs="宋体" w:eastAsia="宋体" w:hint="default"/>
          <w:b/>
          <w:bCs/>
          <w:w w:val="99"/>
        </w:rPr>
        <w:t> </w:t>
      </w:r>
      <w:r>
        <w:rPr>
          <w:spacing w:val="-1"/>
        </w:rPr>
        <w:t>公司在</w:t>
      </w:r>
      <w:r>
        <w:rPr>
          <w:rFonts w:ascii="Times New Roman" w:hAnsi="Times New Roman" w:cs="Times New Roman" w:eastAsia="Times New Roman" w:hint="default"/>
          <w:spacing w:val="-1"/>
        </w:rPr>
        <w:t>2020</w:t>
      </w:r>
      <w:r>
        <w:rPr>
          <w:spacing w:val="-1"/>
        </w:rPr>
        <w:t>年的经营计划：</w:t>
      </w:r>
      <w:r>
        <w:rPr>
          <w:rFonts w:ascii="Times New Roman" w:hAnsi="Times New Roman" w:cs="Times New Roman" w:eastAsia="Times New Roman" w:hint="default"/>
          <w:spacing w:val="-1"/>
        </w:rPr>
        <w:t>2020</w:t>
      </w:r>
      <w:r>
        <w:rPr>
          <w:spacing w:val="-1"/>
        </w:rPr>
        <w:t>年，公司继续围绕</w:t>
      </w:r>
      <w:r>
        <w:rPr>
          <w:rFonts w:ascii="Times New Roman" w:hAnsi="Times New Roman" w:cs="Times New Roman" w:eastAsia="Times New Roman" w:hint="default"/>
          <w:spacing w:val="-1"/>
        </w:rPr>
        <w:t>“</w:t>
      </w:r>
      <w:r>
        <w:rPr>
          <w:spacing w:val="-1"/>
        </w:rPr>
        <w:t>十三五</w:t>
      </w:r>
      <w:r>
        <w:rPr>
          <w:rFonts w:ascii="Times New Roman" w:hAnsi="Times New Roman" w:cs="Times New Roman" w:eastAsia="Times New Roman" w:hint="default"/>
          <w:spacing w:val="-1"/>
        </w:rPr>
        <w:t>”</w:t>
      </w:r>
      <w:r>
        <w:rPr>
          <w:spacing w:val="-1"/>
        </w:rPr>
        <w:t>制定的发展规划，坚定实施</w:t>
      </w:r>
    </w:p>
    <w:p>
      <w:pPr>
        <w:pStyle w:val="Heading3"/>
        <w:spacing w:line="331" w:lineRule="exact"/>
        <w:ind w:right="0"/>
        <w:jc w:val="left"/>
      </w:pPr>
      <w:r>
        <w:rPr/>
        <w:t>好</w:t>
      </w:r>
      <w:r>
        <w:rPr>
          <w:rFonts w:ascii="Times New Roman" w:hAnsi="Times New Roman" w:cs="Times New Roman" w:eastAsia="Times New Roman" w:hint="default"/>
        </w:rPr>
        <w:t>“</w:t>
      </w:r>
      <w:r>
        <w:rPr/>
        <w:t>六大战略</w:t>
      </w:r>
      <w:r>
        <w:rPr>
          <w:rFonts w:ascii="Times New Roman" w:hAnsi="Times New Roman" w:cs="Times New Roman" w:eastAsia="Times New Roman" w:hint="default"/>
        </w:rPr>
        <w:t>”</w:t>
      </w:r>
      <w:r>
        <w:rPr/>
        <w:t>，强力推进</w:t>
      </w:r>
      <w:r>
        <w:rPr>
          <w:rFonts w:ascii="Times New Roman" w:hAnsi="Times New Roman" w:cs="Times New Roman" w:eastAsia="Times New Roman" w:hint="default"/>
        </w:rPr>
        <w:t>“</w:t>
      </w:r>
      <w:r>
        <w:rPr/>
        <w:t>三大变革</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十个方面</w:t>
      </w:r>
      <w:r>
        <w:rPr>
          <w:rFonts w:ascii="Times New Roman" w:hAnsi="Times New Roman" w:cs="Times New Roman" w:eastAsia="Times New Roman" w:hint="default"/>
        </w:rPr>
        <w:t>”</w:t>
      </w:r>
      <w:r>
        <w:rPr/>
        <w:t>工作。</w:t>
      </w:r>
    </w:p>
    <w:p>
      <w:pPr>
        <w:pStyle w:val="Heading3"/>
        <w:spacing w:line="280" w:lineRule="auto" w:before="215"/>
        <w:ind w:right="1004" w:firstLine="480"/>
        <w:jc w:val="left"/>
      </w:pPr>
      <w:r>
        <w:rPr/>
        <w:t>根据公司发展战略及</w:t>
      </w:r>
      <w:r>
        <w:rPr>
          <w:rFonts w:ascii="Times New Roman" w:hAnsi="Times New Roman" w:cs="Times New Roman" w:eastAsia="Times New Roman" w:hint="default"/>
        </w:rPr>
        <w:t>2020</w:t>
      </w:r>
      <w:r>
        <w:rPr/>
        <w:t>年发展目标，结合公司的实际情况，公司以</w:t>
      </w:r>
      <w:r>
        <w:rPr>
          <w:rFonts w:ascii="Times New Roman" w:hAnsi="Times New Roman" w:cs="Times New Roman" w:eastAsia="Times New Roman" w:hint="default"/>
        </w:rPr>
        <w:t>“</w:t>
      </w:r>
      <w:r>
        <w:rPr/>
        <w:t>提速增效、高质量 </w:t>
      </w:r>
      <w:r>
        <w:rPr>
          <w:spacing w:val="-7"/>
        </w:rPr>
        <w:t>发展</w:t>
      </w:r>
      <w:r>
        <w:rPr>
          <w:rFonts w:ascii="Times New Roman" w:hAnsi="Times New Roman" w:cs="Times New Roman" w:eastAsia="Times New Roman" w:hint="default"/>
          <w:spacing w:val="-7"/>
        </w:rPr>
        <w:t>”</w:t>
      </w:r>
      <w:r>
        <w:rPr>
          <w:spacing w:val="-7"/>
        </w:rPr>
        <w:t>为核心，坚定不移推进</w:t>
      </w:r>
      <w:r>
        <w:rPr>
          <w:rFonts w:ascii="Times New Roman" w:hAnsi="Times New Roman" w:cs="Times New Roman" w:eastAsia="Times New Roman" w:hint="default"/>
          <w:spacing w:val="-7"/>
        </w:rPr>
        <w:t>“</w:t>
      </w:r>
      <w:r>
        <w:rPr>
          <w:spacing w:val="-7"/>
        </w:rPr>
        <w:t>三大变革</w:t>
      </w:r>
      <w:r>
        <w:rPr>
          <w:rFonts w:ascii="Times New Roman" w:hAnsi="Times New Roman" w:cs="Times New Roman" w:eastAsia="Times New Roman" w:hint="default"/>
          <w:spacing w:val="-7"/>
        </w:rPr>
        <w:t>”</w:t>
      </w:r>
      <w:r>
        <w:rPr>
          <w:spacing w:val="-7"/>
        </w:rPr>
        <w:t>、落实</w:t>
      </w:r>
      <w:r>
        <w:rPr>
          <w:rFonts w:ascii="Times New Roman" w:hAnsi="Times New Roman" w:cs="Times New Roman" w:eastAsia="Times New Roman" w:hint="default"/>
          <w:spacing w:val="-7"/>
        </w:rPr>
        <w:t>“</w:t>
      </w:r>
      <w:r>
        <w:rPr>
          <w:spacing w:val="-7"/>
        </w:rPr>
        <w:t>四化方针</w:t>
      </w:r>
      <w:r>
        <w:rPr>
          <w:rFonts w:ascii="Times New Roman" w:hAnsi="Times New Roman" w:cs="Times New Roman" w:eastAsia="Times New Roman" w:hint="default"/>
          <w:spacing w:val="-7"/>
        </w:rPr>
        <w:t>”</w:t>
      </w:r>
      <w:r>
        <w:rPr>
          <w:spacing w:val="-7"/>
        </w:rPr>
        <w:t>、落实</w:t>
      </w:r>
      <w:r>
        <w:rPr>
          <w:rFonts w:ascii="Times New Roman" w:hAnsi="Times New Roman" w:cs="Times New Roman" w:eastAsia="Times New Roman" w:hint="default"/>
          <w:spacing w:val="-7"/>
        </w:rPr>
        <w:t>“</w:t>
      </w:r>
      <w:r>
        <w:rPr>
          <w:spacing w:val="-7"/>
        </w:rPr>
        <w:t>五大重点</w:t>
      </w:r>
      <w:r>
        <w:rPr>
          <w:rFonts w:ascii="Times New Roman" w:hAnsi="Times New Roman" w:cs="Times New Roman" w:eastAsia="Times New Roman" w:hint="default"/>
          <w:spacing w:val="-7"/>
        </w:rPr>
        <w:t>”</w:t>
      </w:r>
      <w:r>
        <w:rPr>
          <w:spacing w:val="-7"/>
        </w:rPr>
        <w:t>、推动</w:t>
      </w:r>
      <w:r>
        <w:rPr>
          <w:rFonts w:ascii="Times New Roman" w:hAnsi="Times New Roman" w:cs="Times New Roman" w:eastAsia="Times New Roman" w:hint="default"/>
          <w:spacing w:val="-7"/>
        </w:rPr>
        <w:t>“</w:t>
      </w:r>
      <w:r>
        <w:rPr>
          <w:spacing w:val="-7"/>
        </w:rPr>
        <w:t>六大战略</w:t>
      </w:r>
      <w:r>
        <w:rPr>
          <w:rFonts w:ascii="Times New Roman" w:hAnsi="Times New Roman" w:cs="Times New Roman" w:eastAsia="Times New Roman" w:hint="default"/>
          <w:spacing w:val="-7"/>
        </w:rPr>
        <w:t>”</w:t>
      </w:r>
      <w:r>
        <w:rPr>
          <w:spacing w:val="-7"/>
        </w:rPr>
        <w:t>、</w:t>
      </w:r>
      <w:r>
        <w:rPr>
          <w:spacing w:val="-116"/>
        </w:rPr>
        <w:t> </w:t>
      </w:r>
      <w:r>
        <w:rPr/>
        <w:t>全面抓好</w:t>
      </w:r>
      <w:r>
        <w:rPr>
          <w:rFonts w:ascii="Times New Roman" w:hAnsi="Times New Roman" w:cs="Times New Roman" w:eastAsia="Times New Roman" w:hint="default"/>
        </w:rPr>
        <w:t>“</w:t>
      </w:r>
      <w:r>
        <w:rPr/>
        <w:t>十项工作</w:t>
      </w:r>
      <w:r>
        <w:rPr>
          <w:rFonts w:ascii="Times New Roman" w:hAnsi="Times New Roman" w:cs="Times New Roman" w:eastAsia="Times New Roman" w:hint="default"/>
        </w:rPr>
        <w:t>”</w:t>
      </w:r>
      <w:r>
        <w:rPr/>
        <w:t>任务。</w:t>
      </w:r>
    </w:p>
    <w:p>
      <w:pPr>
        <w:pStyle w:val="Heading3"/>
        <w:spacing w:line="396" w:lineRule="auto" w:before="167"/>
        <w:ind w:left="633" w:right="0"/>
        <w:jc w:val="left"/>
      </w:pPr>
      <w:r>
        <w:rPr>
          <w:rFonts w:ascii="Times New Roman" w:hAnsi="Times New Roman" w:cs="Times New Roman" w:eastAsia="Times New Roman" w:hint="default"/>
        </w:rPr>
        <w:t>1</w:t>
      </w:r>
      <w:r>
        <w:rPr/>
        <w:t>、落实提速增效，高质量发展 坚持以市场为导向，继续优化品种结构和布局，加强生产组织统筹协调，挖掘各产线产</w:t>
      </w:r>
    </w:p>
    <w:p>
      <w:pPr>
        <w:spacing w:after="0" w:line="396" w:lineRule="auto"/>
        <w:jc w:val="left"/>
        <w:sectPr>
          <w:pgSz w:w="11910" w:h="16840"/>
          <w:pgMar w:header="745" w:footer="980" w:top="1060" w:bottom="1160" w:left="980" w:right="0"/>
        </w:sectPr>
      </w:pPr>
    </w:p>
    <w:p>
      <w:pPr>
        <w:spacing w:line="240" w:lineRule="auto" w:before="7"/>
        <w:rPr>
          <w:rFonts w:ascii="宋体" w:hAnsi="宋体" w:cs="宋体" w:eastAsia="宋体" w:hint="default"/>
          <w:sz w:val="26"/>
          <w:szCs w:val="26"/>
        </w:rPr>
      </w:pPr>
    </w:p>
    <w:p>
      <w:pPr>
        <w:pStyle w:val="Heading3"/>
        <w:spacing w:line="297" w:lineRule="auto" w:before="26"/>
        <w:ind w:right="1139"/>
        <w:jc w:val="both"/>
      </w:pPr>
      <w:r>
        <w:rPr/>
        <w:t>能利用，增产适销优势产品，推进降本增效，最大限度发挥装置的能力和效率，降低成本，</w:t>
      </w:r>
      <w:r>
        <w:rPr>
          <w:spacing w:val="-91"/>
        </w:rPr>
        <w:t> </w:t>
      </w:r>
      <w:r>
        <w:rPr>
          <w:spacing w:val="-91"/>
        </w:rPr>
      </w:r>
      <w:r>
        <w:rPr/>
        <w:t>努力提升企业效益。</w:t>
      </w:r>
    </w:p>
    <w:p>
      <w:pPr>
        <w:pStyle w:val="Heading3"/>
        <w:spacing w:line="544" w:lineRule="exact" w:before="20"/>
        <w:ind w:left="633" w:right="1073"/>
        <w:jc w:val="left"/>
      </w:pPr>
      <w:r>
        <w:rPr>
          <w:rFonts w:ascii="Times New Roman" w:hAnsi="Times New Roman" w:cs="Times New Roman" w:eastAsia="Times New Roman" w:hint="default"/>
        </w:rPr>
        <w:t>2</w:t>
      </w:r>
      <w:r>
        <w:rPr/>
        <w:t>、落实市场开发，拓展经营领域 继续抓好</w:t>
      </w:r>
      <w:r>
        <w:rPr>
          <w:rFonts w:ascii="Times New Roman" w:hAnsi="Times New Roman" w:cs="Times New Roman" w:eastAsia="Times New Roman" w:hint="default"/>
        </w:rPr>
        <w:t>“</w:t>
      </w:r>
      <w:r>
        <w:rPr/>
        <w:t>三足鼎立</w:t>
      </w:r>
      <w:r>
        <w:rPr>
          <w:rFonts w:ascii="Times New Roman" w:hAnsi="Times New Roman" w:cs="Times New Roman" w:eastAsia="Times New Roman" w:hint="default"/>
        </w:rPr>
        <w:t>”</w:t>
      </w:r>
      <w:r>
        <w:rPr/>
        <w:t>战略实施，加力市场拓展，充分依托优势资源，优化</w:t>
      </w:r>
      <w:r>
        <w:rPr>
          <w:rFonts w:ascii="Times New Roman" w:hAnsi="Times New Roman" w:cs="Times New Roman" w:eastAsia="Times New Roman" w:hint="default"/>
        </w:rPr>
        <w:t>“</w:t>
      </w:r>
      <w:r>
        <w:rPr/>
        <w:t>总量、五大、</w:t>
      </w:r>
    </w:p>
    <w:p>
      <w:pPr>
        <w:pStyle w:val="Heading3"/>
        <w:spacing w:line="290" w:lineRule="auto" w:before="2"/>
        <w:ind w:right="1132"/>
        <w:jc w:val="both"/>
      </w:pPr>
      <w:r>
        <w:rPr>
          <w:spacing w:val="-2"/>
        </w:rPr>
        <w:t>外贸</w:t>
      </w:r>
      <w:r>
        <w:rPr>
          <w:rFonts w:ascii="Times New Roman" w:hAnsi="Times New Roman" w:cs="Times New Roman" w:eastAsia="Times New Roman" w:hint="default"/>
          <w:spacing w:val="-2"/>
        </w:rPr>
        <w:t>”</w:t>
      </w:r>
      <w:r>
        <w:rPr>
          <w:spacing w:val="-2"/>
        </w:rPr>
        <w:t>三驾马车齐头并举的发展格局，深入经营，勇于创新，与产线发挥相结合，蹄疾步稳推</w:t>
      </w:r>
      <w:r>
        <w:rPr>
          <w:spacing w:val="-107"/>
        </w:rPr>
        <w:t> </w:t>
      </w:r>
      <w:r>
        <w:rPr>
          <w:spacing w:val="-107"/>
        </w:rPr>
      </w:r>
      <w:r>
        <w:rPr/>
        <w:t>进市场开发，提高开发质量和效益，以市场开发的新突破、新业绩、新进展助力发展，确保</w:t>
      </w:r>
      <w:r>
        <w:rPr>
          <w:spacing w:val="-88"/>
        </w:rPr>
        <w:t> </w:t>
      </w:r>
      <w:r>
        <w:rPr>
          <w:spacing w:val="-88"/>
        </w:rPr>
      </w:r>
      <w:r>
        <w:rPr/>
        <w:t>全面完成市场开发目标。</w:t>
      </w:r>
    </w:p>
    <w:p>
      <w:pPr>
        <w:pStyle w:val="Heading3"/>
        <w:spacing w:line="548" w:lineRule="exact" w:before="22"/>
        <w:ind w:left="633" w:right="0"/>
        <w:jc w:val="left"/>
      </w:pPr>
      <w:r>
        <w:rPr>
          <w:rFonts w:ascii="Times New Roman" w:hAnsi="Times New Roman" w:cs="Times New Roman" w:eastAsia="Times New Roman" w:hint="default"/>
        </w:rPr>
        <w:t>3</w:t>
      </w:r>
      <w:r>
        <w:rPr/>
        <w:t>、落实项目建设，持续推进 持续加快项目建设，强支撑、增动能，推动结构提档升级，加快推进</w:t>
      </w:r>
      <w:r>
        <w:rPr>
          <w:rFonts w:ascii="Times New Roman" w:hAnsi="Times New Roman" w:cs="Times New Roman" w:eastAsia="Times New Roman" w:hint="default"/>
        </w:rPr>
        <w:t>30</w:t>
      </w:r>
      <w:r>
        <w:rPr/>
        <w:t>万吨高功能膜项</w:t>
      </w:r>
    </w:p>
    <w:p>
      <w:pPr>
        <w:pStyle w:val="Heading3"/>
        <w:spacing w:line="314" w:lineRule="exact"/>
        <w:ind w:right="0"/>
        <w:jc w:val="both"/>
      </w:pPr>
      <w:r>
        <w:rPr/>
        <w:t>目建设，实现年内规划的项目建设及技术改造目标，增添发展后劲。</w:t>
      </w:r>
    </w:p>
    <w:p>
      <w:pPr>
        <w:spacing w:line="240" w:lineRule="auto" w:before="11"/>
        <w:rPr>
          <w:rFonts w:ascii="宋体" w:hAnsi="宋体" w:cs="宋体" w:eastAsia="宋体" w:hint="default"/>
          <w:sz w:val="17"/>
          <w:szCs w:val="17"/>
        </w:rPr>
      </w:pPr>
    </w:p>
    <w:p>
      <w:pPr>
        <w:pStyle w:val="Heading3"/>
        <w:spacing w:line="393" w:lineRule="auto"/>
        <w:ind w:left="633" w:right="0"/>
        <w:jc w:val="left"/>
      </w:pPr>
      <w:r>
        <w:rPr>
          <w:rFonts w:ascii="Times New Roman" w:hAnsi="Times New Roman" w:cs="Times New Roman" w:eastAsia="Times New Roman" w:hint="default"/>
        </w:rPr>
        <w:t>4</w:t>
      </w:r>
      <w:r>
        <w:rPr/>
        <w:t>、落实创新驱动，结构调整 </w:t>
      </w:r>
      <w:r>
        <w:rPr>
          <w:spacing w:val="-3"/>
        </w:rPr>
        <w:t>深入实施以创新驱动推进产品质量提升，落实科技创新，持续开展技术升级，内部挖潜，</w:t>
      </w:r>
    </w:p>
    <w:p>
      <w:pPr>
        <w:pStyle w:val="Heading3"/>
        <w:spacing w:line="238" w:lineRule="exact"/>
        <w:ind w:right="0"/>
        <w:jc w:val="both"/>
      </w:pPr>
      <w:r>
        <w:rPr/>
        <w:t>解决工艺质量，提高效率，围绕一厚一薄继续做好结构调整，产品开发，围绕单线增加值提</w:t>
      </w:r>
    </w:p>
    <w:p>
      <w:pPr>
        <w:pStyle w:val="Heading3"/>
        <w:spacing w:line="300" w:lineRule="auto" w:before="74"/>
        <w:ind w:right="0"/>
        <w:jc w:val="left"/>
      </w:pPr>
      <w:r>
        <w:rPr>
          <w:spacing w:val="-3"/>
        </w:rPr>
        <w:t>升，继续做好产线结构优化，通过创新补短板，增动力，强化关键瓶颈突破，加大科研投入，</w:t>
      </w:r>
      <w:r>
        <w:rPr>
          <w:spacing w:val="-82"/>
        </w:rPr>
        <w:t> </w:t>
      </w:r>
      <w:r>
        <w:rPr>
          <w:spacing w:val="-82"/>
        </w:rPr>
      </w:r>
      <w:r>
        <w:rPr/>
        <w:t>努力实现更有质量和效益的发展。</w:t>
      </w:r>
    </w:p>
    <w:p>
      <w:pPr>
        <w:pStyle w:val="Heading3"/>
        <w:spacing w:line="548" w:lineRule="exact" w:before="12"/>
        <w:ind w:left="633" w:right="0"/>
        <w:jc w:val="left"/>
      </w:pPr>
      <w:r>
        <w:rPr>
          <w:rFonts w:ascii="Times New Roman" w:hAnsi="Times New Roman" w:cs="Times New Roman" w:eastAsia="Times New Roman" w:hint="default"/>
        </w:rPr>
        <w:t>5</w:t>
      </w:r>
      <w:r>
        <w:rPr/>
        <w:t>、落实管理深化，提高效益 持续加强内部管理；继续深化增加值管理，落实匠心精神，抓好项目增量落实，从加强</w:t>
      </w:r>
    </w:p>
    <w:p>
      <w:pPr>
        <w:pStyle w:val="Heading3"/>
        <w:spacing w:line="290" w:lineRule="auto"/>
        <w:ind w:right="1134"/>
        <w:jc w:val="both"/>
      </w:pPr>
      <w:r>
        <w:rPr/>
        <w:t>内部流程控制，提高效率，降低成本，深化项目生产管理，提高设备运转效率和运行质量，</w:t>
      </w:r>
      <w:r>
        <w:rPr>
          <w:spacing w:val="-91"/>
        </w:rPr>
        <w:t> </w:t>
      </w:r>
      <w:r>
        <w:rPr>
          <w:spacing w:val="-91"/>
        </w:rPr>
      </w:r>
      <w:r>
        <w:rPr/>
        <w:t>提高产品产量，增加人均效益，目标人均贡献最大化，继续围绕创新</w:t>
      </w:r>
      <w:r>
        <w:rPr>
          <w:rFonts w:ascii="Times New Roman" w:hAnsi="Times New Roman" w:cs="Times New Roman" w:eastAsia="Times New Roman" w:hint="default"/>
        </w:rPr>
        <w:t>26</w:t>
      </w:r>
      <w:r>
        <w:rPr/>
        <w:t>项要点开展工作直至</w:t>
      </w:r>
      <w:r>
        <w:rPr>
          <w:spacing w:val="-87"/>
        </w:rPr>
        <w:t> </w:t>
      </w:r>
      <w:r>
        <w:rPr>
          <w:spacing w:val="-87"/>
        </w:rPr>
      </w:r>
      <w:r>
        <w:rPr/>
        <w:t>达到确立目标。</w:t>
      </w:r>
    </w:p>
    <w:p>
      <w:pPr>
        <w:pStyle w:val="Heading3"/>
        <w:spacing w:line="393" w:lineRule="auto" w:before="182"/>
        <w:ind w:left="633" w:right="0"/>
        <w:jc w:val="left"/>
      </w:pPr>
      <w:r>
        <w:rPr>
          <w:rFonts w:ascii="Times New Roman" w:hAnsi="Times New Roman" w:cs="Times New Roman" w:eastAsia="Times New Roman" w:hint="default"/>
        </w:rPr>
        <w:t>6</w:t>
      </w:r>
      <w:r>
        <w:rPr/>
        <w:t>、落实人才队伍建设，集聚优势 继续落实人才招引培用，千方百计集聚人才，激发人才潜能，优化人才成长通道，夯实</w:t>
      </w:r>
    </w:p>
    <w:p>
      <w:pPr>
        <w:pStyle w:val="Heading3"/>
        <w:spacing w:line="238" w:lineRule="exact"/>
        <w:ind w:right="0"/>
        <w:jc w:val="both"/>
      </w:pPr>
      <w:r>
        <w:rPr/>
        <w:t>管理基础，引导完善人才选用机制，用科学合理的方式选用人才，让人才最大程度发挥自身</w:t>
      </w:r>
    </w:p>
    <w:p>
      <w:pPr>
        <w:pStyle w:val="Heading3"/>
        <w:spacing w:line="297" w:lineRule="auto" w:before="74"/>
        <w:ind w:right="1136"/>
        <w:jc w:val="both"/>
      </w:pPr>
      <w:r>
        <w:rPr/>
        <w:t>优势，多措并举壮大人才队伍建设，通过生产能力释放，效益提升，加大绩效与薪酬挂钩力</w:t>
      </w:r>
      <w:r>
        <w:rPr>
          <w:spacing w:val="-89"/>
        </w:rPr>
        <w:t> </w:t>
      </w:r>
      <w:r>
        <w:rPr>
          <w:spacing w:val="-89"/>
        </w:rPr>
      </w:r>
      <w:r>
        <w:rPr/>
        <w:t>度，强化考核，落实责任，向技术创新倾斜，鼓励创新创造，向一线员工倾斜，鼓励大胆开</w:t>
      </w:r>
      <w:r>
        <w:rPr>
          <w:spacing w:val="-91"/>
        </w:rPr>
        <w:t> </w:t>
      </w:r>
      <w:r>
        <w:rPr>
          <w:spacing w:val="-91"/>
        </w:rPr>
      </w:r>
      <w:r>
        <w:rPr/>
        <w:t>发，向营销一线倾斜，大力开拓市场，实现货款回笼效益提升，满足发展需求。</w:t>
      </w:r>
    </w:p>
    <w:p>
      <w:pPr>
        <w:pStyle w:val="Heading3"/>
        <w:spacing w:line="393" w:lineRule="auto" w:before="176"/>
        <w:ind w:left="633" w:right="0"/>
        <w:jc w:val="left"/>
      </w:pPr>
      <w:r>
        <w:rPr>
          <w:rFonts w:ascii="Times New Roman" w:hAnsi="Times New Roman" w:cs="Times New Roman" w:eastAsia="Times New Roman" w:hint="default"/>
        </w:rPr>
        <w:t>7</w:t>
      </w:r>
      <w:r>
        <w:rPr/>
        <w:t>、落实安全生产绿色发展 坚持新发展理念，以安全生产推动绿色发展；切实抓好安全生产；强基础，抓管理，全</w:t>
      </w:r>
    </w:p>
    <w:p>
      <w:pPr>
        <w:pStyle w:val="Heading3"/>
        <w:spacing w:line="238" w:lineRule="exact"/>
        <w:ind w:right="0"/>
        <w:jc w:val="both"/>
      </w:pPr>
      <w:r>
        <w:rPr/>
        <w:t>面落实安全生产长效管理，从夯实安全责任，各尽其责，切实抓好各项工作部署落实落地，</w:t>
      </w:r>
    </w:p>
    <w:p>
      <w:pPr>
        <w:pStyle w:val="Heading3"/>
        <w:spacing w:line="300" w:lineRule="auto" w:before="74"/>
        <w:ind w:right="1135"/>
        <w:jc w:val="both"/>
      </w:pPr>
      <w:r>
        <w:rPr/>
        <w:t>分管领导履职监督，坚持管生产必须管安全，落实安全生产责任和管理制度，日常抓好安全</w:t>
      </w:r>
      <w:r>
        <w:rPr>
          <w:spacing w:val="-91"/>
        </w:rPr>
        <w:t> </w:t>
      </w:r>
      <w:r>
        <w:rPr>
          <w:spacing w:val="-91"/>
        </w:rPr>
      </w:r>
      <w:r>
        <w:rPr/>
        <w:t>巡检，加强重点区域、重点部位、重点场所风险隐患分析研判、巡查排查和问题整改，落实</w:t>
      </w:r>
    </w:p>
    <w:p>
      <w:pPr>
        <w:spacing w:after="0" w:line="300" w:lineRule="auto"/>
        <w:jc w:val="both"/>
        <w:sectPr>
          <w:pgSz w:w="11910" w:h="16840"/>
          <w:pgMar w:header="745" w:footer="980" w:top="1060" w:bottom="1160" w:left="980" w:right="0"/>
        </w:sectPr>
      </w:pPr>
    </w:p>
    <w:p>
      <w:pPr>
        <w:spacing w:line="240" w:lineRule="auto" w:before="7"/>
        <w:rPr>
          <w:rFonts w:ascii="宋体" w:hAnsi="宋体" w:cs="宋体" w:eastAsia="宋体" w:hint="default"/>
          <w:sz w:val="26"/>
          <w:szCs w:val="26"/>
        </w:rPr>
      </w:pPr>
    </w:p>
    <w:p>
      <w:pPr>
        <w:pStyle w:val="Heading3"/>
        <w:spacing w:line="297" w:lineRule="auto" w:before="26"/>
        <w:ind w:right="1139"/>
        <w:jc w:val="both"/>
      </w:pPr>
      <w:r>
        <w:rPr/>
        <w:t>消控室管理、风险防控措施，满足安全生产，定期开展重点领域安全生产大检查、大排查防</w:t>
      </w:r>
      <w:r>
        <w:rPr>
          <w:spacing w:val="-91"/>
        </w:rPr>
        <w:t> </w:t>
      </w:r>
      <w:r>
        <w:rPr>
          <w:spacing w:val="-91"/>
        </w:rPr>
      </w:r>
      <w:r>
        <w:rPr/>
        <w:t>患未然，夯实可持续发展基石。</w:t>
      </w:r>
    </w:p>
    <w:p>
      <w:pPr>
        <w:pStyle w:val="Heading3"/>
        <w:spacing w:line="393" w:lineRule="auto" w:before="175"/>
        <w:ind w:left="633" w:right="0"/>
        <w:jc w:val="left"/>
      </w:pPr>
      <w:r>
        <w:rPr>
          <w:rFonts w:ascii="Times New Roman" w:hAnsi="Times New Roman" w:cs="Times New Roman" w:eastAsia="Times New Roman" w:hint="default"/>
        </w:rPr>
        <w:t>8</w:t>
      </w:r>
      <w:r>
        <w:rPr/>
        <w:t>、落实干部队伍建设 公司结合实际情况制定可量化的绩效考核方案，确定了销售、降本等考核指标，设立了</w:t>
      </w:r>
    </w:p>
    <w:p>
      <w:pPr>
        <w:pStyle w:val="Heading3"/>
        <w:spacing w:line="238" w:lineRule="exact"/>
        <w:ind w:right="0"/>
        <w:jc w:val="both"/>
      </w:pPr>
      <w:r>
        <w:rPr/>
        <w:t>相应的激励、奖励资金，充分调动员工积极性；以人为本，关注员工身心健康，履行企业社</w:t>
      </w:r>
    </w:p>
    <w:p>
      <w:pPr>
        <w:pStyle w:val="Heading3"/>
        <w:spacing w:line="300" w:lineRule="auto" w:before="74"/>
        <w:ind w:right="996"/>
        <w:jc w:val="left"/>
      </w:pPr>
      <w:r>
        <w:rPr>
          <w:spacing w:val="-2"/>
        </w:rPr>
        <w:t>会责任；倡导公司与个人共同持续发展，鼓励和支持员工自我提高；建立长期人才激励机制，</w:t>
      </w:r>
      <w:r>
        <w:rPr/>
        <w:t> 完善劳动者与公司利益共享机制，实现员工与公司价值最大化。</w:t>
      </w:r>
    </w:p>
    <w:p>
      <w:pPr>
        <w:pStyle w:val="Heading2"/>
        <w:spacing w:line="240" w:lineRule="auto" w:before="170"/>
        <w:ind w:left="635" w:right="0"/>
        <w:jc w:val="left"/>
        <w:rPr>
          <w:b w:val="0"/>
          <w:bCs w:val="0"/>
        </w:rPr>
      </w:pPr>
      <w:r>
        <w:rPr/>
        <w:t>（四）未来发展可能面对的风险因素</w:t>
      </w:r>
      <w:r>
        <w:rPr>
          <w:b w:val="0"/>
          <w:bCs w:val="0"/>
        </w:rPr>
      </w:r>
    </w:p>
    <w:p>
      <w:pPr>
        <w:spacing w:line="240" w:lineRule="auto" w:before="11"/>
        <w:rPr>
          <w:rFonts w:ascii="宋体" w:hAnsi="宋体" w:cs="宋体" w:eastAsia="宋体" w:hint="default"/>
          <w:b/>
          <w:bCs/>
          <w:sz w:val="17"/>
          <w:szCs w:val="17"/>
        </w:rPr>
      </w:pPr>
    </w:p>
    <w:p>
      <w:pPr>
        <w:pStyle w:val="Heading3"/>
        <w:spacing w:line="240" w:lineRule="auto"/>
        <w:ind w:left="633" w:right="0"/>
        <w:jc w:val="left"/>
      </w:pPr>
      <w:r>
        <w:rPr>
          <w:rFonts w:ascii="Times New Roman" w:hAnsi="Times New Roman" w:cs="Times New Roman" w:eastAsia="Times New Roman" w:hint="default"/>
        </w:rPr>
        <w:t>1</w:t>
      </w:r>
      <w:r>
        <w:rPr/>
        <w:t>、行业风险</w:t>
      </w:r>
    </w:p>
    <w:p>
      <w:pPr>
        <w:pStyle w:val="Heading3"/>
        <w:spacing w:line="530" w:lineRule="atLeast" w:before="15"/>
        <w:ind w:left="633" w:right="0"/>
        <w:jc w:val="left"/>
      </w:pPr>
      <w:r>
        <w:rPr/>
        <w:t>（</w:t>
      </w:r>
      <w:r>
        <w:rPr>
          <w:rFonts w:ascii="Times New Roman" w:hAnsi="Times New Roman" w:cs="Times New Roman" w:eastAsia="Times New Roman" w:hint="default"/>
        </w:rPr>
        <w:t>1</w:t>
      </w:r>
      <w:r>
        <w:rPr/>
        <w:t>）宏观经济与市场环境变化风险 公司的主要产品为聚酯薄膜等新型功能性薄膜，产品广泛应用于各类食品、饮料、医药</w:t>
      </w:r>
    </w:p>
    <w:p>
      <w:pPr>
        <w:pStyle w:val="Heading3"/>
        <w:spacing w:line="297" w:lineRule="auto" w:before="74"/>
        <w:ind w:right="1139"/>
        <w:jc w:val="both"/>
      </w:pPr>
      <w:r>
        <w:rPr/>
        <w:t>和日用品的包装，并已逐步拓展向液晶显示、智能手机、触摸面板、汽车、建筑节能玻璃、</w:t>
      </w:r>
      <w:r>
        <w:rPr>
          <w:spacing w:val="-91"/>
        </w:rPr>
        <w:t> </w:t>
      </w:r>
      <w:r>
        <w:rPr>
          <w:spacing w:val="-91"/>
        </w:rPr>
      </w:r>
      <w:r>
        <w:rPr/>
        <w:t>光伏新能源等应用领域。上述领域与宏观经济运行状况密切相关，宏观经济的波动对公司主</w:t>
      </w:r>
      <w:r>
        <w:rPr>
          <w:spacing w:val="-91"/>
        </w:rPr>
        <w:t> </w:t>
      </w:r>
      <w:r>
        <w:rPr>
          <w:spacing w:val="-91"/>
        </w:rPr>
      </w:r>
      <w:r>
        <w:rPr/>
        <w:t>要产品的价格和需求有较大影响，聚酯薄膜行业呈现较为明显的周期性，是一个发展前景非</w:t>
      </w:r>
      <w:r>
        <w:rPr>
          <w:spacing w:val="-91"/>
        </w:rPr>
        <w:t> </w:t>
      </w:r>
      <w:r>
        <w:rPr>
          <w:spacing w:val="-91"/>
        </w:rPr>
      </w:r>
      <w:r>
        <w:rPr/>
        <w:t>常广阔的行业，公司所面临的市场环境逐渐好转，但如果未来国内外经济水平趋于恶化或长</w:t>
      </w:r>
      <w:r>
        <w:rPr>
          <w:spacing w:val="-91"/>
        </w:rPr>
        <w:t> </w:t>
      </w:r>
      <w:r>
        <w:rPr>
          <w:spacing w:val="-91"/>
        </w:rPr>
      </w:r>
      <w:r>
        <w:rPr/>
        <w:t>期保持低位，将会对公司生产经营和盈利水平产生不利影响。</w:t>
      </w:r>
    </w:p>
    <w:p>
      <w:pPr>
        <w:pStyle w:val="Heading3"/>
        <w:spacing w:line="393" w:lineRule="auto" w:before="175"/>
        <w:ind w:left="633" w:right="0"/>
        <w:jc w:val="left"/>
      </w:pPr>
      <w:r>
        <w:rPr/>
        <w:t>（</w:t>
      </w:r>
      <w:r>
        <w:rPr>
          <w:rFonts w:ascii="Times New Roman" w:hAnsi="Times New Roman" w:cs="Times New Roman" w:eastAsia="Times New Roman" w:hint="default"/>
        </w:rPr>
        <w:t>2</w:t>
      </w:r>
      <w:r>
        <w:rPr/>
        <w:t>）行业竞争风险 由于聚酯薄膜优异的材料性能，未来需求及应用领域将不断被开发，应用领域广，市场</w:t>
      </w:r>
    </w:p>
    <w:p>
      <w:pPr>
        <w:pStyle w:val="Heading3"/>
        <w:spacing w:line="238" w:lineRule="exact"/>
        <w:ind w:right="0"/>
        <w:jc w:val="both"/>
      </w:pPr>
      <w:r>
        <w:rPr/>
        <w:t>潜力大，前几年，聚酯薄膜企业的生产规模不断扩张，国内聚酯薄膜行业的市场竞争激烈，</w:t>
      </w:r>
    </w:p>
    <w:p>
      <w:pPr>
        <w:pStyle w:val="Heading3"/>
        <w:spacing w:line="297" w:lineRule="auto" w:before="74"/>
        <w:ind w:right="1135"/>
        <w:jc w:val="both"/>
      </w:pPr>
      <w:r>
        <w:rPr/>
        <w:t>可能导致公司产品的利润率下降。尽管公司凭借高质量发展且产品的品种齐全和强大的品牌</w:t>
      </w:r>
      <w:r>
        <w:rPr>
          <w:spacing w:val="-91"/>
        </w:rPr>
        <w:t> </w:t>
      </w:r>
      <w:r>
        <w:rPr>
          <w:spacing w:val="-91"/>
        </w:rPr>
      </w:r>
      <w:r>
        <w:rPr/>
        <w:t>优势位居国内聚酯薄膜行业领跑企业，取得一定的规模和成本的竞争优势，但随着行业的发</w:t>
      </w:r>
      <w:r>
        <w:rPr>
          <w:spacing w:val="-91"/>
        </w:rPr>
        <w:t> </w:t>
      </w:r>
      <w:r>
        <w:rPr>
          <w:spacing w:val="-91"/>
        </w:rPr>
      </w:r>
      <w:r>
        <w:rPr/>
        <w:t>展，公司面临市场竞争不断加大的风险，如果公司不能正确判断、把握行业的市场动态和发</w:t>
      </w:r>
      <w:r>
        <w:rPr>
          <w:spacing w:val="-91"/>
        </w:rPr>
        <w:t> </w:t>
      </w:r>
      <w:r>
        <w:rPr>
          <w:spacing w:val="-91"/>
        </w:rPr>
      </w:r>
      <w:r>
        <w:rPr/>
        <w:t>展趋势，不能根据技术发展和客户需求变化及时推出新产品、优化产品结构，不能进一步提</w:t>
      </w:r>
      <w:r>
        <w:rPr>
          <w:spacing w:val="-91"/>
        </w:rPr>
        <w:t> </w:t>
      </w:r>
      <w:r>
        <w:rPr>
          <w:spacing w:val="-91"/>
        </w:rPr>
      </w:r>
      <w:r>
        <w:rPr/>
        <w:t>高产品质量及经营效率，保持竞争优势，则存在因竞争优势减弱而导致经营业绩不能达到预</w:t>
      </w:r>
      <w:r>
        <w:rPr>
          <w:spacing w:val="-88"/>
        </w:rPr>
        <w:t> </w:t>
      </w:r>
      <w:r>
        <w:rPr>
          <w:spacing w:val="-88"/>
        </w:rPr>
      </w:r>
      <w:r>
        <w:rPr/>
        <w:t>期目标的风险。</w:t>
      </w:r>
    </w:p>
    <w:p>
      <w:pPr>
        <w:pStyle w:val="Heading3"/>
        <w:spacing w:line="240" w:lineRule="auto" w:before="173"/>
        <w:ind w:left="633" w:right="0"/>
        <w:jc w:val="left"/>
      </w:pPr>
      <w:r>
        <w:rPr>
          <w:rFonts w:ascii="Times New Roman" w:hAnsi="Times New Roman" w:cs="Times New Roman" w:eastAsia="Times New Roman" w:hint="default"/>
        </w:rPr>
        <w:t>2</w:t>
      </w:r>
      <w:r>
        <w:rPr/>
        <w:t>、经营风险</w:t>
      </w:r>
    </w:p>
    <w:p>
      <w:pPr>
        <w:pStyle w:val="Heading3"/>
        <w:spacing w:line="393" w:lineRule="auto" w:before="215"/>
        <w:ind w:left="633" w:right="0"/>
        <w:jc w:val="left"/>
      </w:pPr>
      <w:r>
        <w:rPr/>
        <w:t>（</w:t>
      </w:r>
      <w:r>
        <w:rPr>
          <w:rFonts w:ascii="Times New Roman" w:hAnsi="Times New Roman" w:cs="Times New Roman" w:eastAsia="Times New Roman" w:hint="default"/>
        </w:rPr>
        <w:t>1</w:t>
      </w:r>
      <w:r>
        <w:rPr/>
        <w:t>）主要产品价格波动的风险 目前公司主要从事先进高分子复合材料领域产品、光电新材料、光学膜、太阳能电池背</w:t>
      </w:r>
    </w:p>
    <w:p>
      <w:pPr>
        <w:pStyle w:val="Heading3"/>
        <w:spacing w:line="238" w:lineRule="exact"/>
        <w:ind w:right="0"/>
        <w:jc w:val="both"/>
      </w:pPr>
      <w:r>
        <w:rPr/>
        <w:t>板、聚酯电容膜、信息材料、热收缩材料等聚酯薄膜的技术研发、生产和销售，由于受到国</w:t>
      </w:r>
    </w:p>
    <w:p>
      <w:pPr>
        <w:pStyle w:val="Heading3"/>
        <w:spacing w:line="300" w:lineRule="auto" w:before="74"/>
        <w:ind w:right="1139"/>
        <w:jc w:val="both"/>
      </w:pPr>
      <w:r>
        <w:rPr/>
        <w:t>内外整体经济环境影响，聚酯薄膜价格上涨幅度及节奏跟随上游原料价格有一定的波动，公</w:t>
      </w:r>
      <w:r>
        <w:rPr>
          <w:spacing w:val="-91"/>
        </w:rPr>
        <w:t> </w:t>
      </w:r>
      <w:r>
        <w:rPr>
          <w:spacing w:val="-91"/>
        </w:rPr>
      </w:r>
      <w:r>
        <w:rPr/>
        <w:t>司具有从聚酯薄膜上游聚酯切片到下游应用产品相对完整的产业链，丰富了公司聚酯薄膜的</w:t>
      </w:r>
    </w:p>
    <w:p>
      <w:pPr>
        <w:spacing w:after="0" w:line="300" w:lineRule="auto"/>
        <w:jc w:val="both"/>
        <w:sectPr>
          <w:pgSz w:w="11910" w:h="16840"/>
          <w:pgMar w:header="745" w:footer="980" w:top="1060" w:bottom="1160" w:left="980" w:right="0"/>
        </w:sectPr>
      </w:pPr>
    </w:p>
    <w:p>
      <w:pPr>
        <w:spacing w:line="240" w:lineRule="auto" w:before="7"/>
        <w:rPr>
          <w:rFonts w:ascii="宋体" w:hAnsi="宋体" w:cs="宋体" w:eastAsia="宋体" w:hint="default"/>
          <w:sz w:val="26"/>
          <w:szCs w:val="26"/>
        </w:rPr>
      </w:pPr>
    </w:p>
    <w:p>
      <w:pPr>
        <w:pStyle w:val="Heading3"/>
        <w:spacing w:line="297" w:lineRule="auto" w:before="26"/>
        <w:ind w:right="1137"/>
        <w:jc w:val="both"/>
      </w:pPr>
      <w:r>
        <w:rPr/>
        <w:t>产品结构，分散了经营风险，降低了公司聚酯薄膜生产成本，可以在一定程度上减少聚酯薄</w:t>
      </w:r>
      <w:r>
        <w:rPr>
          <w:spacing w:val="-91"/>
        </w:rPr>
        <w:t> </w:t>
      </w:r>
      <w:r>
        <w:rPr>
          <w:spacing w:val="-91"/>
        </w:rPr>
      </w:r>
      <w:r>
        <w:rPr/>
        <w:t>膜价格波动对公司业绩的影响。但如果公司因拓展市场份额、市场竞争加剧等因素影响聚酯</w:t>
      </w:r>
      <w:r>
        <w:rPr>
          <w:spacing w:val="-90"/>
        </w:rPr>
        <w:t> </w:t>
      </w:r>
      <w:r>
        <w:rPr>
          <w:spacing w:val="-90"/>
        </w:rPr>
      </w:r>
      <w:r>
        <w:rPr/>
        <w:t>薄膜价格低位，可能直接影响产品的毛利率，将对公司的盈利能力造成不利影响。</w:t>
      </w:r>
    </w:p>
    <w:p>
      <w:pPr>
        <w:pStyle w:val="Heading3"/>
        <w:spacing w:line="548" w:lineRule="exact" w:before="15"/>
        <w:ind w:left="633" w:right="1126"/>
        <w:jc w:val="left"/>
      </w:pPr>
      <w:r>
        <w:rPr/>
        <w:t>（</w:t>
      </w:r>
      <w:r>
        <w:rPr>
          <w:rFonts w:ascii="Times New Roman" w:hAnsi="Times New Roman" w:cs="Times New Roman" w:eastAsia="Times New Roman" w:hint="default"/>
        </w:rPr>
        <w:t>2</w:t>
      </w:r>
      <w:r>
        <w:rPr/>
        <w:t>）主要原材料价格波动的风险 公司对外采购的原材料主要包括石化产品</w:t>
      </w:r>
      <w:r>
        <w:rPr>
          <w:rFonts w:ascii="Times New Roman" w:hAnsi="Times New Roman" w:cs="Times New Roman" w:eastAsia="Times New Roman" w:hint="default"/>
        </w:rPr>
        <w:t>PTA</w:t>
      </w:r>
      <w:r>
        <w:rPr/>
        <w:t>和</w:t>
      </w:r>
      <w:r>
        <w:rPr>
          <w:rFonts w:ascii="Times New Roman" w:hAnsi="Times New Roman" w:cs="Times New Roman" w:eastAsia="Times New Roman" w:hint="default"/>
        </w:rPr>
        <w:t>MEG</w:t>
      </w:r>
      <w:r>
        <w:rPr/>
        <w:t>，该原料占公司聚酯薄膜产品成本</w:t>
      </w:r>
    </w:p>
    <w:p>
      <w:pPr>
        <w:pStyle w:val="Heading3"/>
        <w:spacing w:line="290" w:lineRule="auto"/>
        <w:ind w:right="996"/>
        <w:jc w:val="left"/>
      </w:pPr>
      <w:r>
        <w:rPr>
          <w:spacing w:val="-1"/>
        </w:rPr>
        <w:t>的比例超过</w:t>
      </w:r>
      <w:r>
        <w:rPr>
          <w:rFonts w:ascii="Times New Roman" w:hAnsi="Times New Roman" w:cs="Times New Roman" w:eastAsia="Times New Roman" w:hint="default"/>
          <w:spacing w:val="-1"/>
        </w:rPr>
        <w:t>70%</w:t>
      </w:r>
      <w:r>
        <w:rPr>
          <w:spacing w:val="-1"/>
        </w:rPr>
        <w:t>，公司采取标杆采购管理，严格控制采购成本，优化工艺设计，采用新原料、</w:t>
      </w:r>
      <w:r>
        <w:rPr/>
        <w:t> 新工艺等综合措施降低生产成本，国际原油价格的较大波动将通过原材料采购价格直接影响</w:t>
      </w:r>
      <w:r>
        <w:rPr>
          <w:spacing w:val="-91"/>
        </w:rPr>
        <w:t> </w:t>
      </w:r>
      <w:r>
        <w:rPr>
          <w:spacing w:val="-91"/>
        </w:rPr>
      </w:r>
      <w:r>
        <w:rPr/>
        <w:t>产品的生产成本，仍将对公司的盈利能力产生影响。</w:t>
      </w:r>
    </w:p>
    <w:p>
      <w:pPr>
        <w:pStyle w:val="Heading3"/>
        <w:spacing w:line="240" w:lineRule="auto" w:before="182"/>
        <w:ind w:left="633" w:right="0"/>
        <w:jc w:val="left"/>
      </w:pPr>
      <w:r>
        <w:rPr>
          <w:rFonts w:ascii="Times New Roman" w:hAnsi="Times New Roman" w:cs="Times New Roman" w:eastAsia="Times New Roman" w:hint="default"/>
        </w:rPr>
        <w:t>3</w:t>
      </w:r>
      <w:r>
        <w:rPr/>
        <w:t>、投资风险</w:t>
      </w:r>
    </w:p>
    <w:p>
      <w:pPr>
        <w:pStyle w:val="Heading3"/>
        <w:spacing w:line="548" w:lineRule="exact" w:before="55"/>
        <w:ind w:left="633" w:right="0"/>
        <w:jc w:val="left"/>
      </w:pPr>
      <w:r>
        <w:rPr/>
        <w:t>（</w:t>
      </w:r>
      <w:r>
        <w:rPr>
          <w:rFonts w:ascii="Times New Roman" w:hAnsi="Times New Roman" w:cs="Times New Roman" w:eastAsia="Times New Roman" w:hint="default"/>
        </w:rPr>
        <w:t>1</w:t>
      </w:r>
      <w:r>
        <w:rPr/>
        <w:t>）产能扩张引致的市场拓展风险 公司近年来主要产品聚酯薄膜的产能扩张较快，目前产能已超过</w:t>
      </w:r>
      <w:r>
        <w:rPr>
          <w:rFonts w:ascii="Times New Roman" w:hAnsi="Times New Roman" w:cs="Times New Roman" w:eastAsia="Times New Roman" w:hint="default"/>
        </w:rPr>
        <w:t>30</w:t>
      </w:r>
      <w:r>
        <w:rPr/>
        <w:t>万吨，产能居于国内</w:t>
      </w:r>
    </w:p>
    <w:p>
      <w:pPr>
        <w:pStyle w:val="Heading3"/>
        <w:spacing w:line="313" w:lineRule="exact"/>
        <w:ind w:right="0"/>
        <w:jc w:val="both"/>
      </w:pPr>
      <w:r>
        <w:rPr/>
        <w:t>领先地位。</w:t>
      </w:r>
    </w:p>
    <w:p>
      <w:pPr>
        <w:spacing w:line="240" w:lineRule="auto" w:before="11"/>
        <w:rPr>
          <w:rFonts w:ascii="宋体" w:hAnsi="宋体" w:cs="宋体" w:eastAsia="宋体" w:hint="default"/>
          <w:sz w:val="17"/>
          <w:szCs w:val="17"/>
        </w:rPr>
      </w:pPr>
    </w:p>
    <w:p>
      <w:pPr>
        <w:pStyle w:val="Heading3"/>
        <w:spacing w:line="297" w:lineRule="auto"/>
        <w:ind w:right="1136" w:firstLine="480"/>
        <w:jc w:val="both"/>
      </w:pPr>
      <w:r>
        <w:rPr/>
        <w:t>尽管随着消费品市场对包装材料需求的增长和聚酯薄膜自身优异性能带动其应用领域的 不断拓展，聚酯薄膜产品具有良好的市场前景。公司也凭借优良的产品性能、多样的产品种</w:t>
      </w:r>
      <w:r>
        <w:rPr>
          <w:spacing w:val="-91"/>
        </w:rPr>
        <w:t> </w:t>
      </w:r>
      <w:r>
        <w:rPr>
          <w:spacing w:val="-91"/>
        </w:rPr>
      </w:r>
      <w:r>
        <w:rPr/>
        <w:t>类、良好的企业品牌获得了市场的认同，建立了广泛的客户基础和客户资源；同时，募集资</w:t>
      </w:r>
      <w:r>
        <w:rPr>
          <w:spacing w:val="-91"/>
        </w:rPr>
        <w:t> </w:t>
      </w:r>
      <w:r>
        <w:rPr>
          <w:spacing w:val="-91"/>
        </w:rPr>
      </w:r>
      <w:r>
        <w:rPr/>
        <w:t>金投资项目的可行性相关结论均是基于当时市场环境、国家产业政策、公司发展战略、国内</w:t>
      </w:r>
      <w:r>
        <w:rPr>
          <w:spacing w:val="-91"/>
        </w:rPr>
        <w:t> </w:t>
      </w:r>
      <w:r>
        <w:rPr>
          <w:spacing w:val="-91"/>
        </w:rPr>
      </w:r>
      <w:r>
        <w:rPr/>
        <w:t>外市场环境和技术水平等条件做出的，公司的募投项目市场前景较好，毛利水平较高。但随</w:t>
      </w:r>
      <w:r>
        <w:rPr>
          <w:spacing w:val="-91"/>
        </w:rPr>
        <w:t> </w:t>
      </w:r>
      <w:r>
        <w:rPr>
          <w:spacing w:val="-91"/>
        </w:rPr>
      </w:r>
      <w:r>
        <w:rPr/>
        <w:t>着项目的建成，如果市场容量增长未达到预期，或者公司在产能提高的同时新市场开拓等方</w:t>
      </w:r>
      <w:r>
        <w:rPr>
          <w:spacing w:val="-89"/>
        </w:rPr>
        <w:t> </w:t>
      </w:r>
      <w:r>
        <w:rPr>
          <w:spacing w:val="-89"/>
        </w:rPr>
      </w:r>
      <w:r>
        <w:rPr/>
        <w:t>面不能达到预期目标消化新增产能，则存在公司产能利用不足的风险。</w:t>
      </w:r>
    </w:p>
    <w:p>
      <w:pPr>
        <w:pStyle w:val="Heading3"/>
        <w:spacing w:line="548" w:lineRule="exact" w:before="15"/>
        <w:ind w:left="633" w:right="0"/>
        <w:jc w:val="left"/>
      </w:pPr>
      <w:r>
        <w:rPr/>
        <w:t>（</w:t>
      </w:r>
      <w:r>
        <w:rPr>
          <w:rFonts w:ascii="Times New Roman" w:hAnsi="Times New Roman" w:cs="Times New Roman" w:eastAsia="Times New Roman" w:hint="default"/>
        </w:rPr>
        <w:t>2</w:t>
      </w:r>
      <w:r>
        <w:rPr/>
        <w:t>）项目能否达到预期收益的风险 公司历次建设项目经过了充分的调查论证，具备良好的技术和市场基础。但公司投资项</w:t>
      </w:r>
    </w:p>
    <w:p>
      <w:pPr>
        <w:pStyle w:val="Heading3"/>
        <w:spacing w:line="297" w:lineRule="auto"/>
        <w:ind w:right="1139"/>
        <w:jc w:val="both"/>
      </w:pPr>
      <w:r>
        <w:rPr/>
        <w:t>目的可行性分析是基于当前市场环境、现有技术基础、发展趋势等因素作出的合理判断。如</w:t>
      </w:r>
      <w:r>
        <w:rPr>
          <w:spacing w:val="-91"/>
        </w:rPr>
        <w:t> </w:t>
      </w:r>
      <w:r>
        <w:rPr>
          <w:spacing w:val="-91"/>
        </w:rPr>
      </w:r>
      <w:r>
        <w:rPr/>
        <w:t>果未来市场环境、国际贸易争端、技术水平出现重大不利变化，或者整体宏观经济形势出现</w:t>
      </w:r>
      <w:r>
        <w:rPr>
          <w:spacing w:val="-91"/>
        </w:rPr>
        <w:t> </w:t>
      </w:r>
      <w:r>
        <w:rPr>
          <w:spacing w:val="-91"/>
        </w:rPr>
      </w:r>
      <w:r>
        <w:rPr/>
        <w:t>大幅度下滑，导致产品单价大幅下降或产能利用率不足的情况，可能在一段时间内对公司募</w:t>
      </w:r>
      <w:r>
        <w:rPr>
          <w:spacing w:val="-91"/>
        </w:rPr>
        <w:t> </w:t>
      </w:r>
      <w:r>
        <w:rPr>
          <w:spacing w:val="-91"/>
        </w:rPr>
      </w:r>
      <w:r>
        <w:rPr/>
        <w:t>投项目预期的盈利水平产生影响。</w:t>
      </w:r>
    </w:p>
    <w:p>
      <w:pPr>
        <w:pStyle w:val="Heading3"/>
        <w:spacing w:line="548" w:lineRule="exact" w:before="15"/>
        <w:ind w:left="633" w:right="0"/>
        <w:jc w:val="left"/>
      </w:pPr>
      <w:r>
        <w:rPr/>
        <w:t>（</w:t>
      </w:r>
      <w:r>
        <w:rPr>
          <w:rFonts w:ascii="Times New Roman" w:hAnsi="Times New Roman" w:cs="Times New Roman" w:eastAsia="Times New Roman" w:hint="default"/>
        </w:rPr>
        <w:t>3</w:t>
      </w:r>
      <w:r>
        <w:rPr/>
        <w:t>）新增固定资产折旧影响未来经营业绩的风险 公司投资项目建成后，固定资产将大幅增加，导致每年新增折旧金额也较大。在项目完</w:t>
      </w:r>
    </w:p>
    <w:p>
      <w:pPr>
        <w:pStyle w:val="Heading3"/>
        <w:spacing w:line="300" w:lineRule="auto"/>
        <w:ind w:right="1139"/>
        <w:jc w:val="both"/>
      </w:pPr>
      <w:r>
        <w:rPr/>
        <w:t>全达产前或不能如期达产并发挥经济效益的情况下，公司存在因折旧增加而导致利润下降的</w:t>
      </w:r>
      <w:r>
        <w:rPr>
          <w:spacing w:val="-91"/>
        </w:rPr>
        <w:t> </w:t>
      </w:r>
      <w:r>
        <w:rPr>
          <w:spacing w:val="-91"/>
        </w:rPr>
      </w:r>
      <w:r>
        <w:rPr/>
        <w:t>风险。</w:t>
      </w:r>
    </w:p>
    <w:p>
      <w:pPr>
        <w:pStyle w:val="Heading3"/>
        <w:spacing w:line="240" w:lineRule="auto" w:before="170"/>
        <w:ind w:left="633" w:right="0"/>
        <w:jc w:val="left"/>
      </w:pPr>
      <w:r>
        <w:rPr>
          <w:rFonts w:ascii="Times New Roman" w:hAnsi="Times New Roman" w:cs="Times New Roman" w:eastAsia="Times New Roman" w:hint="default"/>
        </w:rPr>
        <w:t>4</w:t>
      </w:r>
      <w:r>
        <w:rPr/>
        <w:t>、技术风险</w:t>
      </w:r>
    </w:p>
    <w:p>
      <w:pPr>
        <w:pStyle w:val="Heading3"/>
        <w:spacing w:line="240" w:lineRule="auto" w:before="215"/>
        <w:ind w:left="633" w:right="0"/>
        <w:jc w:val="left"/>
      </w:pPr>
      <w:r>
        <w:rPr/>
        <w:t>（</w:t>
      </w:r>
      <w:r>
        <w:rPr>
          <w:rFonts w:ascii="Times New Roman" w:hAnsi="Times New Roman" w:cs="Times New Roman" w:eastAsia="Times New Roman" w:hint="default"/>
        </w:rPr>
        <w:t>1</w:t>
      </w:r>
      <w:r>
        <w:rPr/>
        <w:t>）核心技术人员流失风险</w:t>
      </w:r>
    </w:p>
    <w:p>
      <w:pPr>
        <w:spacing w:after="0" w:line="240" w:lineRule="auto"/>
        <w:jc w:val="left"/>
        <w:sectPr>
          <w:pgSz w:w="11910" w:h="16840"/>
          <w:pgMar w:header="745" w:footer="980" w:top="1060" w:bottom="1160" w:left="980" w:right="0"/>
        </w:sectPr>
      </w:pPr>
    </w:p>
    <w:p>
      <w:pPr>
        <w:spacing w:line="240" w:lineRule="auto" w:before="7"/>
        <w:rPr>
          <w:rFonts w:ascii="宋体" w:hAnsi="宋体" w:cs="宋体" w:eastAsia="宋体" w:hint="default"/>
          <w:sz w:val="26"/>
          <w:szCs w:val="26"/>
        </w:rPr>
      </w:pPr>
    </w:p>
    <w:p>
      <w:pPr>
        <w:pStyle w:val="Heading3"/>
        <w:spacing w:line="297" w:lineRule="auto" w:before="26"/>
        <w:ind w:right="1139" w:firstLine="480"/>
        <w:jc w:val="both"/>
      </w:pPr>
      <w:r>
        <w:rPr/>
        <w:t>公司拥有较强的研发队伍和优秀的核心技术人员，这是公司技术领先、产品创新的主要 因素之一。公司一贯重视并不断完善技术人员的激励约束机制，制定了向技术人员倾斜的收</w:t>
      </w:r>
      <w:r>
        <w:rPr>
          <w:spacing w:val="-91"/>
        </w:rPr>
        <w:t> </w:t>
      </w:r>
      <w:r>
        <w:rPr>
          <w:spacing w:val="-91"/>
        </w:rPr>
      </w:r>
      <w:r>
        <w:rPr/>
        <w:t>入分配制度。随着市场竞争的加剧，如果公司不能持续完善各类激励机制，可能面临核心技</w:t>
      </w:r>
      <w:r>
        <w:rPr>
          <w:spacing w:val="-91"/>
        </w:rPr>
        <w:t> </w:t>
      </w:r>
      <w:r>
        <w:rPr>
          <w:spacing w:val="-91"/>
        </w:rPr>
      </w:r>
      <w:r>
        <w:rPr/>
        <w:t>术人员流失的风险。</w:t>
      </w:r>
    </w:p>
    <w:p>
      <w:pPr>
        <w:pStyle w:val="Heading3"/>
        <w:spacing w:line="393" w:lineRule="auto" w:before="175"/>
        <w:ind w:left="1017" w:right="1120" w:hanging="384"/>
        <w:jc w:val="left"/>
      </w:pPr>
      <w:r>
        <w:rPr/>
        <w:t>（</w:t>
      </w:r>
      <w:r>
        <w:rPr>
          <w:rFonts w:ascii="Times New Roman" w:hAnsi="Times New Roman" w:cs="Times New Roman" w:eastAsia="Times New Roman" w:hint="default"/>
        </w:rPr>
        <w:t>2</w:t>
      </w:r>
      <w:r>
        <w:rPr/>
        <w:t>）技术泄密的风险 </w:t>
      </w:r>
      <w:r>
        <w:rPr>
          <w:spacing w:val="-3"/>
        </w:rPr>
        <w:t>工艺流程设计和原材料配比是公司技术实力的主要体现，经过多年的研发与生产，公</w:t>
      </w:r>
    </w:p>
    <w:p>
      <w:pPr>
        <w:pStyle w:val="Heading3"/>
        <w:spacing w:line="238" w:lineRule="exact"/>
        <w:ind w:right="0"/>
        <w:jc w:val="both"/>
      </w:pPr>
      <w:r>
        <w:rPr/>
        <w:t>司积累了大量聚酯薄膜生产的技术诀窍，掌握了一整套与薄膜制造相关的关键技术和工艺流</w:t>
      </w:r>
    </w:p>
    <w:p>
      <w:pPr>
        <w:pStyle w:val="Heading3"/>
        <w:spacing w:line="297" w:lineRule="auto" w:before="74"/>
        <w:ind w:right="1139"/>
        <w:jc w:val="both"/>
      </w:pPr>
      <w:r>
        <w:rPr/>
        <w:t>程、设备参数调试等方面的非专利技术，这些专利技术及非专利技术均为公司拥有，但其转</w:t>
      </w:r>
      <w:r>
        <w:rPr>
          <w:spacing w:val="-91"/>
        </w:rPr>
        <w:t> </w:t>
      </w:r>
      <w:r>
        <w:rPr>
          <w:spacing w:val="-91"/>
        </w:rPr>
      </w:r>
      <w:r>
        <w:rPr/>
        <w:t>化为生产力与技术人员和生产人员的熟练掌握程度密切相关。虽然目前公司已采取了多项措</w:t>
      </w:r>
      <w:r>
        <w:rPr>
          <w:spacing w:val="-91"/>
        </w:rPr>
        <w:t> </w:t>
      </w:r>
      <w:r>
        <w:rPr>
          <w:spacing w:val="-91"/>
        </w:rPr>
      </w:r>
      <w:r>
        <w:rPr/>
        <w:t>施以稳定员工队伍，包括主要技术人员持有公司股份等方式使其切身利益与公司的长远发展</w:t>
      </w:r>
      <w:r>
        <w:rPr>
          <w:spacing w:val="-91"/>
        </w:rPr>
        <w:t> </w:t>
      </w:r>
      <w:r>
        <w:rPr>
          <w:spacing w:val="-91"/>
        </w:rPr>
      </w:r>
      <w:r>
        <w:rPr/>
        <w:t>紧密相连，但随着国内聚酯薄膜行业的快速发展，聚酯薄膜企业对专业技术人才的竞争将趋</w:t>
      </w:r>
      <w:r>
        <w:rPr>
          <w:spacing w:val="-91"/>
        </w:rPr>
        <w:t> </w:t>
      </w:r>
      <w:r>
        <w:rPr>
          <w:spacing w:val="-91"/>
        </w:rPr>
      </w:r>
      <w:r>
        <w:rPr/>
        <w:t>于激烈，如果管理不善或核心技术人员流失，仍存在技术泄密的风险。</w:t>
      </w:r>
    </w:p>
    <w:p>
      <w:pPr>
        <w:spacing w:line="240" w:lineRule="auto" w:before="6"/>
        <w:rPr>
          <w:rFonts w:ascii="宋体" w:hAnsi="宋体" w:cs="宋体" w:eastAsia="宋体" w:hint="default"/>
          <w:sz w:val="21"/>
          <w:szCs w:val="21"/>
        </w:rPr>
      </w:pPr>
    </w:p>
    <w:p>
      <w:pPr>
        <w:pStyle w:val="Heading2"/>
        <w:spacing w:line="240" w:lineRule="auto"/>
        <w:ind w:right="0"/>
        <w:jc w:val="both"/>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 资者关系活动记录表</w:t>
            </w:r>
            <w:r>
              <w:rPr>
                <w:rFonts w:ascii="宋体" w:hAnsi="宋体" w:cs="宋体" w:eastAsia="宋体" w:hint="default"/>
                <w:spacing w:val="-2"/>
                <w:sz w:val="18"/>
                <w:szCs w:val="18"/>
              </w:rPr>
              <w:t> </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2019-001</w:t>
            </w:r>
          </w:p>
        </w:tc>
      </w:tr>
    </w:tbl>
    <w:p>
      <w:pPr>
        <w:spacing w:after="0" w:line="316"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219"/>
        <w:jc w:val="center"/>
        <w:rPr>
          <w:b w:val="0"/>
          <w:bCs w:val="0"/>
        </w:rPr>
      </w:pPr>
      <w:bookmarkStart w:name="_bookmark4" w:id="5"/>
      <w:bookmarkEnd w:id="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338" w:lineRule="auto" w:before="117"/>
        <w:ind w:left="152" w:right="7064" w:firstLine="0"/>
        <w:jc w:val="left"/>
        <w:rPr>
          <w:rFonts w:ascii="宋体" w:hAnsi="宋体" w:cs="宋体" w:eastAsia="宋体" w:hint="default"/>
          <w:sz w:val="18"/>
          <w:szCs w:val="18"/>
        </w:rPr>
      </w:pPr>
      <w:r>
        <w:rPr/>
        <w:pict>
          <v:shape style="position:absolute;margin-left:57pt;margin-top:38.621704pt;width:478.7pt;height:141.2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16"/>
                    <w:gridCol w:w="3343"/>
                  </w:tblGrid>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3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3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3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3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16"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12" w:right="-52"/>
                          <w:jc w:val="left"/>
                          <w:rPr>
                            <w:rFonts w:ascii="宋体" w:hAnsi="宋体" w:cs="宋体" w:eastAsia="宋体" w:hint="default"/>
                            <w:sz w:val="18"/>
                            <w:szCs w:val="18"/>
                          </w:rPr>
                        </w:pPr>
                        <w:r>
                          <w:rPr>
                            <w:rFonts w:ascii="宋体" w:hAnsi="宋体" w:cs="宋体" w:eastAsia="宋体" w:hint="default"/>
                            <w:spacing w:val="-2"/>
                            <w:sz w:val="18"/>
                            <w:szCs w:val="18"/>
                          </w:rPr>
                          <w:t>中小股东是否有充分表达意见和诉求的机会，其合法权益是否得到了充分保护：</w:t>
                        </w:r>
                        <w:r>
                          <w:rPr>
                            <w:rFonts w:ascii="宋体" w:hAnsi="宋体" w:cs="宋体" w:eastAsia="宋体" w:hint="default"/>
                            <w:sz w:val="18"/>
                            <w:szCs w:val="18"/>
                          </w:rPr>
                        </w:r>
                      </w:p>
                    </w:tc>
                    <w:tc>
                      <w:tcPr>
                        <w:tcW w:w="3343"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3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公司已于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月完成</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年年度权益分派。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2"/>
          <w:szCs w:val="12"/>
        </w:rPr>
      </w:pPr>
    </w:p>
    <w:p>
      <w:pPr>
        <w:spacing w:line="391" w:lineRule="exact"/>
        <w:ind w:left="6420"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163.7pt;height:19.6pt;mso-position-horizontal-relative:char;mso-position-vertical-relative:line" coordorigin="0,0" coordsize="3274,392">
            <v:group style="position:absolute;left:0;top:0;width:3274;height:392" coordorigin="0,0" coordsize="3274,392">
              <v:shape style="position:absolute;left:0;top:0;width:3274;height:392" coordorigin="0,0" coordsize="3274,392" path="m0,391l3274,391,3274,0,0,0,0,391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spacing w:line="240" w:lineRule="auto" w:before="5"/>
        <w:rPr>
          <w:rFonts w:ascii="宋体" w:hAnsi="宋体" w:cs="宋体" w:eastAsia="宋体" w:hint="default"/>
          <w:sz w:val="12"/>
          <w:szCs w:val="12"/>
        </w:rPr>
      </w:pPr>
    </w:p>
    <w:p>
      <w:pPr>
        <w:pStyle w:val="BodyText"/>
        <w:spacing w:line="256" w:lineRule="auto"/>
        <w:ind w:right="1126" w:firstLine="420"/>
        <w:jc w:val="both"/>
      </w:pPr>
      <w:r>
        <w:rPr>
          <w:spacing w:val="-2"/>
        </w:rPr>
        <w:t>公司</w:t>
      </w:r>
      <w:r>
        <w:rPr>
          <w:rFonts w:ascii="Times New Roman" w:hAnsi="Times New Roman" w:cs="Times New Roman" w:eastAsia="Times New Roman" w:hint="default"/>
          <w:spacing w:val="-2"/>
        </w:rPr>
        <w:t>2017</w:t>
      </w:r>
      <w:r>
        <w:rPr>
          <w:spacing w:val="-2"/>
        </w:rPr>
        <w:t>年度利润分配方案为：以公司总股本</w:t>
      </w:r>
      <w:r>
        <w:rPr>
          <w:rFonts w:ascii="Times New Roman" w:hAnsi="Times New Roman" w:cs="Times New Roman" w:eastAsia="Times New Roman" w:hint="default"/>
          <w:spacing w:val="-2"/>
        </w:rPr>
        <w:t>1,156,278,085.00</w:t>
      </w:r>
      <w:r>
        <w:rPr>
          <w:spacing w:val="-2"/>
        </w:rPr>
        <w:t>股为基数，向全体股东每</w:t>
      </w:r>
      <w:r>
        <w:rPr>
          <w:rFonts w:ascii="Times New Roman" w:hAnsi="Times New Roman" w:cs="Times New Roman" w:eastAsia="Times New Roman" w:hint="default"/>
          <w:spacing w:val="-2"/>
        </w:rPr>
        <w:t>10</w:t>
      </w:r>
      <w:r>
        <w:rPr>
          <w:spacing w:val="-2"/>
        </w:rPr>
        <w:t>股派发现金</w:t>
      </w:r>
      <w:r>
        <w:rPr>
          <w:w w:val="100"/>
        </w:rPr>
        <w:t> </w:t>
      </w:r>
      <w:r>
        <w:rPr/>
        <w:t>红利</w:t>
      </w:r>
      <w:r>
        <w:rPr>
          <w:rFonts w:ascii="Times New Roman" w:hAnsi="Times New Roman" w:cs="Times New Roman" w:eastAsia="Times New Roman" w:hint="default"/>
        </w:rPr>
        <w:t>0.10</w:t>
      </w:r>
      <w:r>
        <w:rPr/>
        <w:t>元（含税），共分配现金红利</w:t>
      </w:r>
      <w:r>
        <w:rPr>
          <w:rFonts w:ascii="Times New Roman" w:hAnsi="Times New Roman" w:cs="Times New Roman" w:eastAsia="Times New Roman" w:hint="default"/>
        </w:rPr>
        <w:t>11,562,780.85</w:t>
      </w:r>
      <w:r>
        <w:rPr/>
        <w:t>元剩余未分配利润暂不分配，结转入下一年度；公司</w:t>
      </w:r>
      <w:r>
        <w:rPr>
          <w:spacing w:val="-28"/>
        </w:rPr>
        <w:t> </w:t>
      </w:r>
      <w:r>
        <w:rPr>
          <w:spacing w:val="-28"/>
        </w:rPr>
      </w:r>
      <w:r>
        <w:rPr>
          <w:rFonts w:ascii="Times New Roman" w:hAnsi="Times New Roman" w:cs="Times New Roman" w:eastAsia="Times New Roman" w:hint="default"/>
        </w:rPr>
        <w:t>2017</w:t>
      </w:r>
      <w:r>
        <w:rPr/>
        <w:t>年度不进行资本公积金转增股本。</w:t>
      </w:r>
    </w:p>
    <w:p>
      <w:pPr>
        <w:pStyle w:val="BodyText"/>
        <w:spacing w:line="256" w:lineRule="auto" w:before="125"/>
        <w:ind w:right="1126" w:firstLine="420"/>
        <w:jc w:val="both"/>
      </w:pPr>
      <w:r>
        <w:rPr>
          <w:spacing w:val="-2"/>
        </w:rPr>
        <w:t>公司</w:t>
      </w:r>
      <w:r>
        <w:rPr>
          <w:rFonts w:ascii="Times New Roman" w:hAnsi="Times New Roman" w:cs="Times New Roman" w:eastAsia="Times New Roman" w:hint="default"/>
          <w:spacing w:val="-2"/>
        </w:rPr>
        <w:t>2018</w:t>
      </w:r>
      <w:r>
        <w:rPr>
          <w:spacing w:val="-2"/>
        </w:rPr>
        <w:t>年度利润分配预案为：以公司总股本</w:t>
      </w:r>
      <w:r>
        <w:rPr>
          <w:rFonts w:ascii="Times New Roman" w:hAnsi="Times New Roman" w:cs="Times New Roman" w:eastAsia="Times New Roman" w:hint="default"/>
          <w:spacing w:val="-2"/>
        </w:rPr>
        <w:t>1,156,278,085.00</w:t>
      </w:r>
      <w:r>
        <w:rPr>
          <w:spacing w:val="-2"/>
        </w:rPr>
        <w:t>股为基数，向全体股东每</w:t>
      </w:r>
      <w:r>
        <w:rPr>
          <w:rFonts w:ascii="Times New Roman" w:hAnsi="Times New Roman" w:cs="Times New Roman" w:eastAsia="Times New Roman" w:hint="default"/>
          <w:spacing w:val="-2"/>
        </w:rPr>
        <w:t>10</w:t>
      </w:r>
      <w:r>
        <w:rPr>
          <w:spacing w:val="-2"/>
        </w:rPr>
        <w:t>股派发现金</w:t>
      </w:r>
      <w:r>
        <w:rPr>
          <w:w w:val="100"/>
        </w:rPr>
        <w:t> </w:t>
      </w:r>
      <w:r>
        <w:rPr>
          <w:spacing w:val="-5"/>
        </w:rPr>
        <w:t>红利</w:t>
      </w:r>
      <w:r>
        <w:rPr>
          <w:rFonts w:ascii="Times New Roman" w:hAnsi="Times New Roman" w:cs="Times New Roman" w:eastAsia="Times New Roman" w:hint="default"/>
          <w:spacing w:val="-5"/>
        </w:rPr>
        <w:t>2</w:t>
      </w:r>
      <w:r>
        <w:rPr>
          <w:spacing w:val="-5"/>
        </w:rPr>
        <w:t>元（含税），共分配现金红利</w:t>
      </w:r>
      <w:r>
        <w:rPr>
          <w:rFonts w:ascii="Times New Roman" w:hAnsi="Times New Roman" w:cs="Times New Roman" w:eastAsia="Times New Roman" w:hint="default"/>
          <w:spacing w:val="-5"/>
        </w:rPr>
        <w:t>231,255,617.00</w:t>
      </w:r>
      <w:r>
        <w:rPr>
          <w:spacing w:val="-5"/>
        </w:rPr>
        <w:t>元剩余未分配利润暂不分配，结转入下一年度；公司</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年度不进行资本公积金转增股本。</w:t>
      </w:r>
    </w:p>
    <w:p>
      <w:pPr>
        <w:pStyle w:val="BodyText"/>
        <w:spacing w:line="256" w:lineRule="auto" w:before="63"/>
        <w:ind w:right="1128" w:firstLine="336"/>
        <w:jc w:val="both"/>
      </w:pPr>
      <w:r>
        <w:rPr/>
        <w:t>公司</w:t>
      </w:r>
      <w:r>
        <w:rPr>
          <w:rFonts w:ascii="Times New Roman" w:hAnsi="Times New Roman" w:cs="Times New Roman" w:eastAsia="Times New Roman" w:hint="default"/>
        </w:rPr>
        <w:t>2019</w:t>
      </w:r>
      <w:r>
        <w:rPr/>
        <w:t>年度利润分配方案为：以公司总股本</w:t>
      </w:r>
      <w:r>
        <w:rPr>
          <w:rFonts w:ascii="Times New Roman" w:hAnsi="Times New Roman" w:cs="Times New Roman" w:eastAsia="Times New Roman" w:hint="default"/>
        </w:rPr>
        <w:t>1,156,278,085.00</w:t>
      </w:r>
      <w:r>
        <w:rPr/>
        <w:t>股为基数，向全体股东每</w:t>
      </w:r>
      <w:r>
        <w:rPr>
          <w:rFonts w:ascii="Times New Roman" w:hAnsi="Times New Roman" w:cs="Times New Roman" w:eastAsia="Times New Roman" w:hint="default"/>
        </w:rPr>
        <w:t>10</w:t>
      </w:r>
      <w:r>
        <w:rPr/>
        <w:t>股派发现金</w:t>
      </w:r>
      <w:r>
        <w:rPr>
          <w:w w:val="100"/>
        </w:rPr>
        <w:t> </w:t>
      </w:r>
      <w:r>
        <w:rPr>
          <w:spacing w:val="-1"/>
        </w:rPr>
        <w:t>红利</w:t>
      </w:r>
      <w:r>
        <w:rPr>
          <w:rFonts w:ascii="Times New Roman" w:hAnsi="Times New Roman" w:cs="Times New Roman" w:eastAsia="Times New Roman" w:hint="default"/>
          <w:spacing w:val="-1"/>
        </w:rPr>
        <w:t>0.30</w:t>
      </w:r>
      <w:r>
        <w:rPr>
          <w:spacing w:val="-1"/>
        </w:rPr>
        <w:t>元（含税），共分配现金红利</w:t>
      </w:r>
      <w:r>
        <w:rPr>
          <w:rFonts w:ascii="Times New Roman" w:hAnsi="Times New Roman" w:cs="Times New Roman" w:eastAsia="Times New Roman" w:hint="default"/>
          <w:spacing w:val="-1"/>
        </w:rPr>
        <w:t>34,688,342.55</w:t>
      </w:r>
      <w:r>
        <w:rPr>
          <w:spacing w:val="-1"/>
        </w:rPr>
        <w:t>元</w:t>
      </w:r>
      <w:r>
        <w:rPr>
          <w:rFonts w:ascii="Times New Roman" w:hAnsi="Times New Roman" w:cs="Times New Roman" w:eastAsia="Times New Roman" w:hint="default"/>
          <w:spacing w:val="-1"/>
        </w:rPr>
        <w:t>,</w:t>
      </w:r>
      <w:r>
        <w:rPr>
          <w:spacing w:val="-1"/>
        </w:rPr>
        <w:t>剩余未分配利润暂不分配，结转入下一年度；公司</w:t>
      </w:r>
      <w:r>
        <w:rPr>
          <w:spacing w:val="-22"/>
        </w:rPr>
        <w:t> </w:t>
      </w:r>
      <w:r>
        <w:rPr>
          <w:spacing w:val="-22"/>
        </w:rPr>
      </w:r>
      <w:r>
        <w:rPr>
          <w:rFonts w:ascii="Times New Roman" w:hAnsi="Times New Roman" w:cs="Times New Roman" w:eastAsia="Times New Roman" w:hint="default"/>
        </w:rPr>
        <w:t>2019</w:t>
      </w:r>
      <w:r>
        <w:rPr/>
        <w:t>年度不进行资本公积金转增股本。</w:t>
      </w:r>
    </w:p>
    <w:p>
      <w:pPr>
        <w:spacing w:before="66"/>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6"/>
        <w:gridCol w:w="1197"/>
        <w:gridCol w:w="1184"/>
        <w:gridCol w:w="1208"/>
        <w:gridCol w:w="1184"/>
      </w:tblGrid>
      <w:tr>
        <w:trPr>
          <w:trHeight w:val="163"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4"/>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23"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7"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34,688,342.55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173,486,372.58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19.99%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34,688,342.55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19.99%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231,255,617.00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321,348,433.81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71.96%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231,255,617.00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71.96%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11,562,780.85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74,651,154.25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15.49%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11,562,780.85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15.49%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二、本报告期利润分配及资本公积金转增股本情况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73"/>
        <w:gridCol w:w="5786"/>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1,156,278,085.00</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34,688,342.55</w:t>
            </w:r>
          </w:p>
        </w:tc>
      </w:tr>
      <w:tr>
        <w:trPr>
          <w:trHeight w:val="401" w:hRule="exact"/>
        </w:trPr>
        <w:tc>
          <w:tcPr>
            <w:tcW w:w="37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6" w:type="dxa"/>
            <w:tcBorders>
              <w:top w:val="single" w:sz="4" w:space="0" w:color="000000"/>
              <w:left w:val="single" w:sz="2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34,688,342.55</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1,114,768,670.18</w:t>
            </w:r>
          </w:p>
        </w:tc>
      </w:tr>
      <w:tr>
        <w:trPr>
          <w:trHeight w:val="715"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以公司总股本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78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股为基数</w:t>
            </w:r>
            <w:r>
              <w:rPr>
                <w:rFonts w:ascii="宋体" w:hAnsi="宋体" w:cs="宋体" w:eastAsia="宋体" w:hint="default"/>
                <w:spacing w:val="-56"/>
                <w:sz w:val="18"/>
                <w:szCs w:val="18"/>
              </w:rPr>
              <w:t>，</w:t>
            </w:r>
            <w:r>
              <w:rPr>
                <w:rFonts w:ascii="宋体" w:hAnsi="宋体" w:cs="宋体" w:eastAsia="宋体" w:hint="default"/>
                <w:sz w:val="18"/>
                <w:szCs w:val="18"/>
              </w:rPr>
              <w:t>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w:t>
            </w:r>
            <w:r>
              <w:rPr>
                <w:rFonts w:ascii="宋体" w:hAnsi="宋体" w:cs="宋体" w:eastAsia="宋体" w:hint="default"/>
                <w:sz w:val="18"/>
                <w:szCs w:val="18"/>
              </w:rPr>
              <w:t>派发现金红利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56"/>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56"/>
                <w:sz w:val="18"/>
                <w:szCs w:val="18"/>
              </w:rPr>
              <w:t>，</w:t>
            </w:r>
            <w:r>
              <w:rPr>
                <w:rFonts w:ascii="宋体" w:hAnsi="宋体" w:cs="宋体" w:eastAsia="宋体" w:hint="default"/>
                <w:sz w:val="18"/>
                <w:szCs w:val="18"/>
              </w:rPr>
              <w:t>共分配现金红利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5</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剩余未分配利润暂不分配，结转入下一年度；公司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年度不进行资本公积金转增股本。</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三、承诺事项履行情况</w:t>
      </w:r>
      <w:r>
        <w:rPr>
          <w:b w:val="0"/>
          <w:bCs w:val="0"/>
        </w:rPr>
      </w:r>
    </w:p>
    <w:p>
      <w:pPr>
        <w:spacing w:line="240" w:lineRule="auto" w:before="10"/>
        <w:rPr>
          <w:rFonts w:ascii="宋体" w:hAnsi="宋体" w:cs="宋体" w:eastAsia="宋体" w:hint="default"/>
          <w:b/>
          <w:bCs/>
          <w:sz w:val="24"/>
          <w:szCs w:val="24"/>
        </w:rPr>
      </w:pPr>
    </w:p>
    <w:p>
      <w:pPr>
        <w:pStyle w:val="Heading4"/>
        <w:spacing w:line="259"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spacing w:line="328" w:lineRule="auto"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公司报告期不存在由公司实际控制人、股东、关联方、收购人以及公司等承诺相关方在报告期内履行完毕及截至报告期末尚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未履行完毕的承诺事项。</w:t>
      </w:r>
    </w:p>
    <w:p>
      <w:pPr>
        <w:spacing w:line="240" w:lineRule="auto" w:before="1"/>
        <w:rPr>
          <w:rFonts w:ascii="宋体" w:hAnsi="宋体" w:cs="宋体" w:eastAsia="宋体" w:hint="default"/>
          <w:sz w:val="22"/>
          <w:szCs w:val="22"/>
        </w:rPr>
      </w:pPr>
    </w:p>
    <w:p>
      <w:pPr>
        <w:pStyle w:val="Heading4"/>
        <w:spacing w:line="259" w:lineRule="auto"/>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0"/>
        </w:rPr>
        <w:t> </w:t>
      </w:r>
      <w:r>
        <w:rPr>
          <w:spacing w:val="-60"/>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44"/>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、财政部于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日修订发布了《企业会计准则第 </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金融工具确认和计量》（财会【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7  </w:t>
      </w:r>
      <w:r>
        <w:rPr>
          <w:rFonts w:ascii="宋体" w:hAnsi="宋体" w:cs="宋体" w:eastAsia="宋体" w:hint="default"/>
          <w:sz w:val="18"/>
          <w:szCs w:val="18"/>
        </w:rPr>
        <w:t>号）、</w:t>
      </w:r>
    </w:p>
    <w:p>
      <w:pPr>
        <w:spacing w:before="139"/>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23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8 </w:t>
      </w:r>
      <w:r>
        <w:rPr>
          <w:rFonts w:ascii="宋体" w:hAnsi="宋体" w:cs="宋体" w:eastAsia="宋体" w:hint="default"/>
          <w:spacing w:val="-3"/>
          <w:sz w:val="18"/>
          <w:szCs w:val="18"/>
        </w:rPr>
        <w:t>号）、《企业会计准则第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p>
    <w:p>
      <w:pPr>
        <w:spacing w:before="142"/>
        <w:ind w:left="152" w:right="0" w:firstLine="0"/>
        <w:jc w:val="left"/>
        <w:rPr>
          <w:rFonts w:ascii="宋体" w:hAnsi="宋体" w:cs="宋体" w:eastAsia="宋体" w:hint="default"/>
          <w:sz w:val="18"/>
          <w:szCs w:val="18"/>
        </w:rPr>
      </w:pPr>
      <w:r>
        <w:rPr>
          <w:rFonts w:ascii="宋体" w:hAnsi="宋体" w:cs="宋体" w:eastAsia="宋体" w:hint="default"/>
          <w:sz w:val="18"/>
          <w:szCs w:val="18"/>
        </w:rPr>
        <w:t>号），于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 </w:t>
      </w:r>
      <w:r>
        <w:rPr>
          <w:rFonts w:ascii="宋体" w:hAnsi="宋体" w:cs="宋体" w:eastAsia="宋体" w:hint="default"/>
          <w:sz w:val="18"/>
          <w:szCs w:val="18"/>
        </w:rPr>
        <w:t>日发布了《企业会计准则第 </w:t>
      </w:r>
      <w:r>
        <w:rPr>
          <w:rFonts w:ascii="Times New Roman" w:hAnsi="Times New Roman" w:cs="Times New Roman" w:eastAsia="Times New Roman" w:hint="default"/>
          <w:sz w:val="18"/>
          <w:szCs w:val="18"/>
        </w:rPr>
        <w:t>37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年修订）》（财会【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14  </w:t>
      </w:r>
      <w:r>
        <w:rPr>
          <w:rFonts w:ascii="宋体" w:hAnsi="宋体" w:cs="宋体" w:eastAsia="宋体" w:hint="default"/>
          <w:sz w:val="18"/>
          <w:szCs w:val="18"/>
        </w:rPr>
        <w:t>号）（上</w:t>
      </w:r>
    </w:p>
    <w:p>
      <w:pPr>
        <w:spacing w:before="139"/>
        <w:ind w:left="152" w:right="0" w:firstLine="0"/>
        <w:jc w:val="left"/>
        <w:rPr>
          <w:rFonts w:ascii="宋体" w:hAnsi="宋体" w:cs="宋体" w:eastAsia="宋体" w:hint="default"/>
          <w:sz w:val="18"/>
          <w:szCs w:val="18"/>
        </w:rPr>
      </w:pPr>
      <w:r>
        <w:rPr>
          <w:rFonts w:ascii="宋体" w:hAnsi="宋体" w:cs="宋体" w:eastAsia="宋体" w:hint="default"/>
          <w:sz w:val="18"/>
          <w:szCs w:val="18"/>
        </w:rPr>
        <w:t>述准则以下统称</w:t>
      </w:r>
      <w:r>
        <w:rPr>
          <w:rFonts w:ascii="Times New Roman" w:hAnsi="Times New Roman" w:cs="Times New Roman" w:eastAsia="Times New Roman" w:hint="default"/>
          <w:sz w:val="18"/>
          <w:szCs w:val="18"/>
        </w:rPr>
        <w:t>“</w:t>
      </w:r>
      <w:r>
        <w:rPr>
          <w:rFonts w:ascii="宋体" w:hAnsi="宋体" w:cs="宋体" w:eastAsia="宋体" w:hint="default"/>
          <w:sz w:val="18"/>
          <w:szCs w:val="18"/>
        </w:rPr>
        <w:t>新金融工具准则</w:t>
      </w:r>
      <w:r>
        <w:rPr>
          <w:rFonts w:ascii="Times New Roman" w:hAnsi="Times New Roman" w:cs="Times New Roman" w:eastAsia="Times New Roman" w:hint="default"/>
          <w:sz w:val="18"/>
          <w:szCs w:val="18"/>
        </w:rPr>
        <w:t>”</w:t>
      </w:r>
      <w:r>
        <w:rPr>
          <w:rFonts w:ascii="宋体" w:hAnsi="宋体" w:cs="宋体" w:eastAsia="宋体" w:hint="default"/>
          <w:sz w:val="18"/>
          <w:szCs w:val="18"/>
        </w:rPr>
        <w:t>）。要求境内上市企业自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日起执行新金融工具准则。本公司于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p>
      <w:pPr>
        <w:spacing w:before="14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日执行上述新金融工具准则，对会计政策的相关内容进行调整。</w:t>
      </w:r>
    </w:p>
    <w:p>
      <w:pPr>
        <w:spacing w:before="140"/>
        <w:ind w:left="513" w:right="0" w:firstLine="0"/>
        <w:jc w:val="left"/>
        <w:rPr>
          <w:rFonts w:ascii="宋体" w:hAnsi="宋体" w:cs="宋体" w:eastAsia="宋体" w:hint="default"/>
          <w:sz w:val="18"/>
          <w:szCs w:val="18"/>
        </w:rPr>
      </w:pPr>
      <w:r>
        <w:rPr>
          <w:rFonts w:ascii="宋体" w:hAnsi="宋体" w:cs="宋体" w:eastAsia="宋体" w:hint="default"/>
          <w:sz w:val="18"/>
          <w:szCs w:val="18"/>
        </w:rPr>
        <w:t>影响：公司自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日起执行新金融工具准则未导致金融工具账面价值产生差额，无需衔接调整。根据新旧</w:t>
      </w:r>
    </w:p>
    <w:p>
      <w:pPr>
        <w:spacing w:line="386" w:lineRule="auto" w:before="142"/>
        <w:ind w:left="152" w:right="1129" w:firstLine="0"/>
        <w:jc w:val="both"/>
        <w:rPr>
          <w:rFonts w:ascii="宋体" w:hAnsi="宋体" w:cs="宋体" w:eastAsia="宋体" w:hint="default"/>
          <w:sz w:val="18"/>
          <w:szCs w:val="18"/>
        </w:rPr>
      </w:pPr>
      <w:r>
        <w:rPr>
          <w:rFonts w:ascii="宋体" w:hAnsi="宋体" w:cs="宋体" w:eastAsia="宋体" w:hint="default"/>
          <w:sz w:val="18"/>
          <w:szCs w:val="18"/>
        </w:rPr>
        <w:t>准则衔接规定，公司无需追溯调整前期可比数据。本次会计政策变更不影响公司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年度相关财务指标。本次会计政策变 </w:t>
      </w:r>
      <w:r>
        <w:rPr>
          <w:rFonts w:ascii="宋体" w:hAnsi="宋体" w:cs="宋体" w:eastAsia="宋体" w:hint="default"/>
          <w:spacing w:val="-2"/>
          <w:sz w:val="18"/>
          <w:szCs w:val="18"/>
        </w:rPr>
        <w:t>更属于国家法律、法规的要求，符合相关规定和公司的实际情况，不存在损害公司及股东利益的情况。本次会计政策变更对</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公司财务状况、经营成果和现金流量无重大影响。</w:t>
      </w:r>
    </w:p>
    <w:p>
      <w:pPr>
        <w:spacing w:line="376" w:lineRule="auto" w:before="43"/>
        <w:ind w:left="513"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日，财政部发布了《企业会计准则第</w:t>
      </w:r>
      <w:r>
        <w:rPr>
          <w:rFonts w:ascii="Times New Roman" w:hAnsi="Times New Roman" w:cs="Times New Roman" w:eastAsia="Times New Roman" w:hint="default"/>
          <w:sz w:val="18"/>
          <w:szCs w:val="18"/>
        </w:rPr>
        <w:t>7</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非货币性资产交换》（财会</w:t>
      </w:r>
      <w:r>
        <w:rPr>
          <w:rFonts w:ascii="Times New Roman" w:hAnsi="Times New Roman" w:cs="Times New Roman" w:eastAsia="Times New Roman" w:hint="default"/>
          <w:sz w:val="18"/>
          <w:szCs w:val="18"/>
        </w:rPr>
        <w:t>[2019]8</w:t>
      </w:r>
      <w:r>
        <w:rPr>
          <w:rFonts w:ascii="宋体" w:hAnsi="宋体" w:cs="宋体" w:eastAsia="宋体" w:hint="default"/>
          <w:sz w:val="18"/>
          <w:szCs w:val="18"/>
        </w:rPr>
        <w:t>号）。 影响：财会〔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号通知要求对</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日至执行日之间发生的非货币性资产交换进行调整，对</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日之</w:t>
      </w:r>
    </w:p>
    <w:p>
      <w:pPr>
        <w:spacing w:line="376" w:lineRule="auto" w:before="26"/>
        <w:ind w:left="513" w:right="1123" w:hanging="361"/>
        <w:jc w:val="left"/>
        <w:rPr>
          <w:rFonts w:ascii="Times New Roman" w:hAnsi="Times New Roman" w:cs="Times New Roman" w:eastAsia="Times New Roman" w:hint="default"/>
          <w:sz w:val="18"/>
          <w:szCs w:val="18"/>
        </w:rPr>
      </w:pPr>
      <w:r>
        <w:rPr>
          <w:rFonts w:ascii="宋体" w:hAnsi="宋体" w:cs="宋体" w:eastAsia="宋体" w:hint="default"/>
          <w:sz w:val="18"/>
          <w:szCs w:val="18"/>
        </w:rPr>
        <w:t>前发生的非货币性资产交换，不进行追溯调整。财会〔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号通知不影响公司财务报表数据。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日，财政部发布了《企业会计准则第</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债务重组》（财</w:t>
      </w:r>
      <w:r>
        <w:rPr>
          <w:rFonts w:ascii="Times New Roman" w:hAnsi="Times New Roman" w:cs="Times New Roman" w:eastAsia="Times New Roman" w:hint="default"/>
          <w:sz w:val="18"/>
          <w:szCs w:val="18"/>
        </w:rPr>
        <w:t>2</w:t>
      </w:r>
      <w:r>
        <w:rPr>
          <w:rFonts w:ascii="宋体" w:hAnsi="宋体" w:cs="宋体" w:eastAsia="宋体" w:hint="default"/>
          <w:sz w:val="18"/>
          <w:szCs w:val="18"/>
        </w:rPr>
        <w:t>会</w:t>
      </w:r>
      <w:r>
        <w:rPr>
          <w:rFonts w:ascii="Times New Roman" w:hAnsi="Times New Roman" w:cs="Times New Roman" w:eastAsia="Times New Roman" w:hint="default"/>
          <w:sz w:val="18"/>
          <w:szCs w:val="18"/>
        </w:rPr>
        <w:t>[2019]9</w:t>
      </w:r>
      <w:r>
        <w:rPr>
          <w:rFonts w:ascii="宋体" w:hAnsi="宋体" w:cs="宋体" w:eastAsia="宋体" w:hint="default"/>
          <w:sz w:val="18"/>
          <w:szCs w:val="18"/>
        </w:rPr>
        <w:t>号）。 影响：财会〔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号通知要求对</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日至执行日之间发生的债务重组，根据本准则进行调整，对</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p>
    <w:p>
      <w:pPr>
        <w:spacing w:before="28"/>
        <w:ind w:left="152" w:right="0" w:firstLine="0"/>
        <w:jc w:val="left"/>
        <w:rPr>
          <w:rFonts w:ascii="宋体" w:hAnsi="宋体" w:cs="宋体" w:eastAsia="宋体" w:hint="default"/>
          <w:sz w:val="18"/>
          <w:szCs w:val="18"/>
        </w:rPr>
      </w:pPr>
      <w:r>
        <w:rPr>
          <w:rFonts w:ascii="宋体" w:hAnsi="宋体" w:cs="宋体" w:eastAsia="宋体" w:hint="default"/>
          <w:sz w:val="18"/>
          <w:szCs w:val="18"/>
        </w:rPr>
        <w:t>日之前发生的债务重组不进行追溯调整。财会〔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号通知不影响公司财务报表数据。</w:t>
      </w:r>
    </w:p>
    <w:p>
      <w:pPr>
        <w:spacing w:line="376" w:lineRule="auto" w:before="140"/>
        <w:ind w:left="152" w:right="115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日，财政部发布《关于修订印发合并财务报表格式（</w:t>
      </w:r>
      <w:r>
        <w:rPr>
          <w:rFonts w:ascii="Times New Roman" w:hAnsi="Times New Roman" w:cs="Times New Roman" w:eastAsia="Times New Roman" w:hint="default"/>
          <w:sz w:val="18"/>
          <w:szCs w:val="18"/>
        </w:rPr>
        <w:t>2019</w:t>
      </w:r>
      <w:r>
        <w:rPr>
          <w:rFonts w:ascii="宋体" w:hAnsi="宋体" w:cs="宋体" w:eastAsia="宋体" w:hint="default"/>
          <w:sz w:val="18"/>
          <w:szCs w:val="18"/>
        </w:rPr>
        <w:t>版）的通知》（财会</w:t>
      </w:r>
      <w:r>
        <w:rPr>
          <w:rFonts w:ascii="Times New Roman" w:hAnsi="Times New Roman" w:cs="Times New Roman" w:eastAsia="Times New Roman" w:hint="default"/>
          <w:sz w:val="18"/>
          <w:szCs w:val="18"/>
        </w:rPr>
        <w:t>[2019]16</w:t>
      </w:r>
      <w:r>
        <w:rPr>
          <w:rFonts w:ascii="宋体" w:hAnsi="宋体" w:cs="宋体" w:eastAsia="宋体" w:hint="default"/>
          <w:sz w:val="18"/>
          <w:szCs w:val="18"/>
        </w:rPr>
        <w:t>号，下称</w:t>
      </w:r>
      <w:r>
        <w:rPr>
          <w:rFonts w:ascii="Times New Roman" w:hAnsi="Times New Roman" w:cs="Times New Roman" w:eastAsia="Times New Roman" w:hint="default"/>
          <w:sz w:val="18"/>
          <w:szCs w:val="18"/>
        </w:rPr>
        <w:t>“</w:t>
      </w:r>
      <w:r>
        <w:rPr>
          <w:rFonts w:ascii="宋体" w:hAnsi="宋体" w:cs="宋体" w:eastAsia="宋体" w:hint="default"/>
          <w:sz w:val="18"/>
          <w:szCs w:val="18"/>
        </w:rPr>
        <w:t>《修 订通知》</w:t>
      </w:r>
      <w:r>
        <w:rPr>
          <w:rFonts w:ascii="Times New Roman" w:hAnsi="Times New Roman" w:cs="Times New Roman" w:eastAsia="Times New Roman" w:hint="default"/>
          <w:sz w:val="18"/>
          <w:szCs w:val="18"/>
        </w:rPr>
        <w:t>”</w:t>
      </w:r>
      <w:r>
        <w:rPr>
          <w:rFonts w:ascii="宋体" w:hAnsi="宋体" w:cs="宋体" w:eastAsia="宋体" w:hint="default"/>
          <w:sz w:val="18"/>
          <w:szCs w:val="18"/>
        </w:rPr>
        <w:t>），对合并财务报表格式进行了修订，要求按照会计准则和《修订通知》的要求编制</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年度合并财务报表及以 后期间的合并财务报表。根据上述《通知》的有关要求，公司对合并财务报表格式进行相应调整。</w:t>
      </w:r>
    </w:p>
    <w:p>
      <w:pPr>
        <w:spacing w:line="374" w:lineRule="auto" w:before="53"/>
        <w:ind w:left="152" w:right="0" w:firstLine="360"/>
        <w:jc w:val="left"/>
        <w:rPr>
          <w:rFonts w:ascii="宋体" w:hAnsi="宋体" w:cs="宋体" w:eastAsia="宋体" w:hint="default"/>
          <w:sz w:val="18"/>
          <w:szCs w:val="18"/>
        </w:rPr>
      </w:pPr>
      <w:r>
        <w:rPr>
          <w:rFonts w:ascii="宋体" w:hAnsi="宋体" w:cs="宋体" w:eastAsia="宋体" w:hint="default"/>
          <w:sz w:val="18"/>
          <w:szCs w:val="18"/>
        </w:rPr>
        <w:t>影响：涉及的科目及调整金额： </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分拆为</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，应收票据本期余额 </w:t>
      </w:r>
      <w:r>
        <w:rPr>
          <w:rFonts w:ascii="Times New Roman" w:hAnsi="Times New Roman" w:cs="Times New Roman" w:eastAsia="Times New Roman" w:hint="default"/>
          <w:spacing w:val="-2"/>
          <w:sz w:val="18"/>
          <w:szCs w:val="18"/>
        </w:rPr>
        <w:t>22,203,927.24</w:t>
      </w:r>
      <w:r>
        <w:rPr>
          <w:rFonts w:ascii="宋体" w:hAnsi="宋体" w:cs="宋体" w:eastAsia="宋体" w:hint="default"/>
          <w:spacing w:val="-2"/>
          <w:sz w:val="18"/>
          <w:szCs w:val="18"/>
        </w:rPr>
        <w:t>元，上期余额</w:t>
      </w:r>
      <w:r>
        <w:rPr>
          <w:rFonts w:ascii="Times New Roman" w:hAnsi="Times New Roman" w:cs="Times New Roman" w:eastAsia="Times New Roman" w:hint="default"/>
          <w:spacing w:val="-2"/>
          <w:sz w:val="18"/>
          <w:szCs w:val="18"/>
        </w:rPr>
        <w:t>232,529,170.92</w:t>
      </w:r>
      <w:r>
        <w:rPr>
          <w:rFonts w:ascii="宋体" w:hAnsi="宋体" w:cs="宋体" w:eastAsia="宋体" w:hint="default"/>
          <w:spacing w:val="-2"/>
          <w:sz w:val="18"/>
          <w:szCs w:val="18"/>
        </w:rPr>
        <w:t>元；应收账款本期余额</w:t>
      </w:r>
      <w:r>
        <w:rPr>
          <w:rFonts w:ascii="Times New Roman" w:hAnsi="Times New Roman" w:cs="Times New Roman" w:eastAsia="Times New Roman" w:hint="default"/>
          <w:spacing w:val="-2"/>
          <w:sz w:val="18"/>
          <w:szCs w:val="18"/>
        </w:rPr>
        <w:t>950,071,327.16</w:t>
      </w:r>
      <w:r>
        <w:rPr>
          <w:rFonts w:ascii="宋体" w:hAnsi="宋体" w:cs="宋体" w:eastAsia="宋体" w:hint="default"/>
          <w:spacing w:val="-2"/>
          <w:sz w:val="18"/>
          <w:szCs w:val="18"/>
        </w:rPr>
        <w:t>元，上期余额</w:t>
      </w:r>
      <w:r>
        <w:rPr>
          <w:rFonts w:ascii="Times New Roman" w:hAnsi="Times New Roman" w:cs="Times New Roman" w:eastAsia="Times New Roman" w:hint="default"/>
          <w:spacing w:val="-2"/>
          <w:sz w:val="18"/>
          <w:szCs w:val="18"/>
        </w:rPr>
        <w:t>921,560,212.41</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应付票据及</w:t>
      </w:r>
      <w:r>
        <w:rPr>
          <w:rFonts w:ascii="宋体" w:hAnsi="宋体" w:cs="宋体" w:eastAsia="宋体" w:hint="default"/>
          <w:spacing w:val="-12"/>
          <w:sz w:val="18"/>
          <w:szCs w:val="18"/>
        </w:rPr>
        <w:t> </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分拆为</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，应付票据本期余额</w:t>
      </w:r>
      <w:r>
        <w:rPr>
          <w:rFonts w:ascii="Times New Roman" w:hAnsi="Times New Roman" w:cs="Times New Roman" w:eastAsia="Times New Roman" w:hint="default"/>
          <w:sz w:val="18"/>
          <w:szCs w:val="18"/>
        </w:rPr>
        <w:t>986,095,498.80</w:t>
      </w:r>
      <w:r>
        <w:rPr>
          <w:rFonts w:ascii="宋体" w:hAnsi="宋体" w:cs="宋体" w:eastAsia="宋体" w:hint="default"/>
          <w:sz w:val="18"/>
          <w:szCs w:val="18"/>
        </w:rPr>
        <w:t>元，上期余额</w:t>
      </w:r>
      <w:r>
        <w:rPr>
          <w:rFonts w:ascii="Times New Roman" w:hAnsi="Times New Roman" w:cs="Times New Roman" w:eastAsia="Times New Roman" w:hint="default"/>
          <w:sz w:val="18"/>
          <w:szCs w:val="18"/>
        </w:rPr>
        <w:t>543,461,940.00</w:t>
      </w:r>
      <w:r>
        <w:rPr>
          <w:rFonts w:ascii="宋体" w:hAnsi="宋体" w:cs="宋体" w:eastAsia="宋体" w:hint="default"/>
          <w:sz w:val="18"/>
          <w:szCs w:val="18"/>
        </w:rPr>
        <w:t>元；应付账款本 期余额</w:t>
      </w:r>
      <w:r>
        <w:rPr>
          <w:rFonts w:ascii="Times New Roman" w:hAnsi="Times New Roman" w:cs="Times New Roman" w:eastAsia="Times New Roman" w:hint="default"/>
          <w:sz w:val="18"/>
          <w:szCs w:val="18"/>
        </w:rPr>
        <w:t>118,408,820.00</w:t>
      </w:r>
      <w:r>
        <w:rPr>
          <w:rFonts w:ascii="宋体" w:hAnsi="宋体" w:cs="宋体" w:eastAsia="宋体" w:hint="default"/>
          <w:sz w:val="18"/>
          <w:szCs w:val="18"/>
        </w:rPr>
        <w:t>元，上期余额</w:t>
      </w:r>
      <w:r>
        <w:rPr>
          <w:rFonts w:ascii="Times New Roman" w:hAnsi="Times New Roman" w:cs="Times New Roman" w:eastAsia="Times New Roman" w:hint="default"/>
          <w:sz w:val="18"/>
          <w:szCs w:val="18"/>
        </w:rPr>
        <w:t>63,316,743.71</w:t>
      </w:r>
      <w:r>
        <w:rPr>
          <w:rFonts w:ascii="宋体" w:hAnsi="宋体" w:cs="宋体" w:eastAsia="宋体" w:hint="default"/>
          <w:sz w:val="18"/>
          <w:szCs w:val="18"/>
        </w:rPr>
        <w:t>元。</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七、报告期内发生重大会计差错更正需追溯重述的情况说明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公司报告期无合并报表范围发生变化的情况。</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莫旭巍、李明</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5"/>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十二、重大诉讼、仲裁事项</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3"/>
        <w:gridCol w:w="682"/>
        <w:gridCol w:w="672"/>
        <w:gridCol w:w="674"/>
        <w:gridCol w:w="675"/>
        <w:gridCol w:w="674"/>
        <w:gridCol w:w="674"/>
        <w:gridCol w:w="674"/>
        <w:gridCol w:w="673"/>
        <w:gridCol w:w="672"/>
        <w:gridCol w:w="641"/>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4"/>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59"/>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3" w:right="149"/>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2"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695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宿迁市双 星国际酒 店有限公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同一受 控方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一般劳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会议费 及餐费</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市场</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102.62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公告名 </w:t>
            </w:r>
            <w:r>
              <w:rPr>
                <w:rFonts w:ascii="宋体" w:hAnsi="宋体" w:cs="宋体" w:eastAsia="宋体" w:hint="default"/>
                <w:spacing w:val="-34"/>
                <w:sz w:val="18"/>
                <w:szCs w:val="18"/>
              </w:rPr>
              <w:t>称：《关</w:t>
            </w:r>
            <w:r>
              <w:rPr>
                <w:rFonts w:ascii="宋体" w:hAnsi="宋体" w:cs="宋体" w:eastAsia="宋体" w:hint="default"/>
                <w:sz w:val="18"/>
                <w:szCs w:val="18"/>
              </w:rPr>
              <w:t> 于公司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度日常 经营性 关联交 易预计 的公 告》公 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2019-0</w:t>
            </w:r>
          </w:p>
          <w:p>
            <w:pPr>
              <w:pStyle w:val="TableParagraph"/>
              <w:spacing w:line="314"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信息 披露媒 </w:t>
            </w:r>
            <w:r>
              <w:rPr>
                <w:rFonts w:ascii="宋体" w:hAnsi="宋体" w:cs="宋体" w:eastAsia="宋体" w:hint="default"/>
                <w:spacing w:val="-34"/>
                <w:sz w:val="18"/>
                <w:szCs w:val="18"/>
              </w:rPr>
              <w:t>体：《证</w:t>
            </w:r>
            <w:r>
              <w:rPr>
                <w:rFonts w:ascii="宋体" w:hAnsi="宋体" w:cs="宋体" w:eastAsia="宋体" w:hint="default"/>
                <w:sz w:val="18"/>
                <w:szCs w:val="18"/>
              </w:rPr>
              <w:t> 券时 </w:t>
            </w:r>
            <w:r>
              <w:rPr>
                <w:rFonts w:ascii="宋体" w:hAnsi="宋体" w:cs="宋体" w:eastAsia="宋体" w:hint="default"/>
                <w:spacing w:val="-31"/>
                <w:sz w:val="18"/>
                <w:szCs w:val="18"/>
              </w:rPr>
              <w:t>报》、</w:t>
            </w:r>
          </w:p>
          <w:p>
            <w:pPr>
              <w:pStyle w:val="TableParagraph"/>
              <w:spacing w:line="316" w:lineRule="auto" w:before="20"/>
              <w:ind w:left="23" w:right="-22"/>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日报》、</w:t>
            </w:r>
            <w:r>
              <w:rPr>
                <w:rFonts w:ascii="宋体" w:hAnsi="宋体" w:cs="宋体" w:eastAsia="宋体" w:hint="default"/>
                <w:sz w:val="18"/>
                <w:szCs w:val="18"/>
              </w:rPr>
              <w:t> 巨潮资 讯网。</w:t>
            </w:r>
          </w:p>
        </w:tc>
      </w:tr>
      <w:tr>
        <w:trPr>
          <w:trHeight w:val="401"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102.62</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1"/>
              <w:jc w:val="right"/>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2"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2"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6"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2"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公司报告期未发生资产或股权收购、出售的关联交易。</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2"/>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1"/>
          <w:szCs w:val="21"/>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公司报告期不存在委托理财。</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2"/>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13"/>
        <w:rPr>
          <w:rFonts w:ascii="宋体" w:hAnsi="宋体" w:cs="宋体" w:eastAsia="宋体" w:hint="default"/>
          <w:b/>
          <w:bCs/>
          <w:sz w:val="25"/>
          <w:szCs w:val="25"/>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12"/>
        <w:rPr>
          <w:rFonts w:ascii="宋体" w:hAnsi="宋体" w:cs="宋体" w:eastAsia="宋体" w:hint="default"/>
          <w:sz w:val="14"/>
          <w:szCs w:val="14"/>
        </w:rPr>
      </w:pPr>
    </w:p>
    <w:p>
      <w:pPr>
        <w:pStyle w:val="Heading2"/>
        <w:spacing w:line="240" w:lineRule="auto"/>
        <w:ind w:right="0"/>
        <w:jc w:val="left"/>
        <w:rPr>
          <w:b w:val="0"/>
          <w:bCs w:val="0"/>
        </w:rPr>
      </w:pP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13"/>
        <w:rPr>
          <w:rFonts w:ascii="宋体" w:hAnsi="宋体" w:cs="宋体" w:eastAsia="宋体" w:hint="default"/>
          <w:b/>
          <w:bCs/>
          <w:sz w:val="24"/>
          <w:szCs w:val="24"/>
        </w:rPr>
      </w:pPr>
    </w:p>
    <w:p>
      <w:pPr>
        <w:pStyle w:val="Heading3"/>
        <w:spacing w:line="312" w:lineRule="exact"/>
        <w:ind w:right="1133" w:firstLine="420"/>
        <w:jc w:val="both"/>
      </w:pPr>
      <w:r>
        <w:rPr>
          <w:spacing w:val="-1"/>
        </w:rPr>
        <w:t>公司坚决贯彻执行国家的各项方针政策，依法经营、诚实守信。秉承</w:t>
      </w:r>
      <w:r>
        <w:rPr>
          <w:rFonts w:ascii="Times New Roman" w:hAnsi="Times New Roman" w:cs="Times New Roman" w:eastAsia="Times New Roman" w:hint="default"/>
          <w:spacing w:val="-1"/>
        </w:rPr>
        <w:t>“</w:t>
      </w:r>
      <w:r>
        <w:rPr>
          <w:spacing w:val="-1"/>
        </w:rPr>
        <w:t>自加压力、争创一</w:t>
      </w:r>
      <w:r>
        <w:rPr/>
        <w:t> </w:t>
      </w:r>
      <w:r>
        <w:rPr>
          <w:spacing w:val="-2"/>
        </w:rPr>
        <w:t>流、加快发展、奉献社会</w:t>
      </w:r>
      <w:r>
        <w:rPr>
          <w:rFonts w:ascii="Times New Roman" w:hAnsi="Times New Roman" w:cs="Times New Roman" w:eastAsia="Times New Roman" w:hint="default"/>
          <w:spacing w:val="-2"/>
        </w:rPr>
        <w:t>”</w:t>
      </w:r>
      <w:r>
        <w:rPr>
          <w:spacing w:val="-2"/>
        </w:rPr>
        <w:t>的企业精神，积极承担社会责任，通过科技创新聚焦市场，立足需</w:t>
      </w:r>
      <w:r>
        <w:rPr>
          <w:spacing w:val="-110"/>
        </w:rPr>
        <w:t> </w:t>
      </w:r>
      <w:r>
        <w:rPr>
          <w:spacing w:val="-110"/>
        </w:rPr>
      </w:r>
      <w:r>
        <w:rPr/>
        <w:t>求，节约资源，降低能耗；始终以强烈的责任感和使命感，扎实做好各项生产经营管理和项 目建设工作，落实</w:t>
      </w:r>
      <w:r>
        <w:rPr>
          <w:rFonts w:ascii="Times New Roman" w:hAnsi="Times New Roman" w:cs="Times New Roman" w:eastAsia="Times New Roman" w:hint="default"/>
        </w:rPr>
        <w:t>“</w:t>
      </w:r>
      <w:r>
        <w:rPr/>
        <w:t>绿色发展、安全生产</w:t>
      </w:r>
      <w:r>
        <w:rPr>
          <w:rFonts w:ascii="Times New Roman" w:hAnsi="Times New Roman" w:cs="Times New Roman" w:eastAsia="Times New Roman" w:hint="default"/>
        </w:rPr>
        <w:t>”</w:t>
      </w:r>
      <w:r>
        <w:rPr/>
        <w:t>，努力做优做强，全力回馈社会。</w:t>
      </w:r>
    </w:p>
    <w:p>
      <w:pPr>
        <w:pStyle w:val="Heading3"/>
        <w:spacing w:line="283" w:lineRule="exact"/>
        <w:ind w:left="669" w:right="0"/>
        <w:jc w:val="left"/>
      </w:pPr>
      <w:r>
        <w:rPr/>
        <w:t>一是做讲诚信的企业，维护公平公正的市场秩序。公司自上市以来，坚持做到对投资者</w:t>
      </w:r>
    </w:p>
    <w:p>
      <w:pPr>
        <w:pStyle w:val="Heading3"/>
        <w:spacing w:line="268" w:lineRule="auto"/>
        <w:ind w:left="633" w:right="0" w:hanging="481"/>
        <w:jc w:val="left"/>
      </w:pPr>
      <w:r>
        <w:rPr/>
        <w:t>持续、稳定的利润分配政策，充分考虑对投资者的回报并兼顾公司长期可持续发展。 二是坚持科学发展，努力保障良好的生产环境；肩负起对职工、投资者、债权人和社会</w:t>
      </w:r>
    </w:p>
    <w:p>
      <w:pPr>
        <w:pStyle w:val="Heading3"/>
        <w:spacing w:line="280" w:lineRule="exact"/>
        <w:ind w:right="0"/>
        <w:jc w:val="left"/>
      </w:pPr>
      <w:r>
        <w:rPr/>
        <w:t>责任；热心公益事业，积极帮助扶持社会弱势群体。积极融入社会活动，实现企业与社会和</w:t>
      </w:r>
    </w:p>
    <w:p>
      <w:pPr>
        <w:pStyle w:val="Heading3"/>
        <w:spacing w:line="313" w:lineRule="exact"/>
        <w:ind w:right="0"/>
        <w:jc w:val="left"/>
      </w:pPr>
      <w:r>
        <w:rPr/>
        <w:t>谐发展。</w:t>
      </w:r>
    </w:p>
    <w:p>
      <w:pPr>
        <w:spacing w:line="240" w:lineRule="auto" w:before="12"/>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1459"/>
        <w:gridCol w:w="4515"/>
      </w:tblGrid>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595"/>
        <w:gridCol w:w="1459"/>
        <w:gridCol w:w="4515"/>
      </w:tblGrid>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4"/>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公司及子公司均不属于环境保护部门公布的重点排污单位。</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1394"/>
        <w:jc w:val="left"/>
        <w:rPr>
          <w:b w:val="0"/>
          <w:bCs w:val="0"/>
        </w:rPr>
      </w:pPr>
      <w:bookmarkStart w:name="_bookmark5" w:id="6"/>
      <w:bookmarkEnd w:id="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232" w:right="1394"/>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232" w:right="1394"/>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947"/>
        <w:gridCol w:w="1144"/>
        <w:gridCol w:w="852"/>
        <w:gridCol w:w="991"/>
        <w:gridCol w:w="710"/>
        <w:gridCol w:w="1001"/>
        <w:gridCol w:w="557"/>
        <w:gridCol w:w="710"/>
        <w:gridCol w:w="1172"/>
        <w:gridCol w:w="794"/>
      </w:tblGrid>
      <w:tr>
        <w:trPr>
          <w:trHeight w:val="242" w:hRule="exact"/>
        </w:trPr>
        <w:tc>
          <w:tcPr>
            <w:tcW w:w="19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7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8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2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79" w:hRule="exact"/>
        </w:trPr>
        <w:tc>
          <w:tcPr>
            <w:tcW w:w="1947" w:type="dxa"/>
            <w:vMerge w:val="restart"/>
            <w:tcBorders>
              <w:top w:val="nil" w:sz="6" w:space="0" w:color="auto"/>
              <w:left w:val="single" w:sz="4" w:space="0" w:color="000000"/>
              <w:right w:val="single" w:sz="4" w:space="0" w:color="000000"/>
            </w:tcBorders>
            <w:shd w:val="clear" w:color="auto" w:fill="D2D2D2"/>
          </w:tcPr>
          <w:p>
            <w:pPr/>
          </w:p>
        </w:tc>
        <w:tc>
          <w:tcPr>
            <w:tcW w:w="1996" w:type="dxa"/>
            <w:gridSpan w:val="2"/>
            <w:vMerge/>
            <w:tcBorders>
              <w:left w:val="single" w:sz="4" w:space="0" w:color="000000"/>
              <w:bottom w:val="single" w:sz="4" w:space="0" w:color="000000"/>
              <w:right w:val="single" w:sz="4" w:space="0" w:color="000000"/>
            </w:tcBorders>
            <w:shd w:val="clear" w:color="auto" w:fill="D2D2D2"/>
          </w:tcPr>
          <w:p>
            <w:pPr/>
          </w:p>
        </w:tc>
        <w:tc>
          <w:tcPr>
            <w:tcW w:w="3970" w:type="dxa"/>
            <w:gridSpan w:val="5"/>
            <w:vMerge/>
            <w:tcBorders>
              <w:left w:val="single" w:sz="4" w:space="0" w:color="000000"/>
              <w:bottom w:val="single" w:sz="4" w:space="0" w:color="000000"/>
              <w:right w:val="single" w:sz="4" w:space="0" w:color="000000"/>
            </w:tcBorders>
            <w:shd w:val="clear" w:color="auto" w:fill="D2D2D2"/>
          </w:tcPr>
          <w:p>
            <w:pPr/>
          </w:p>
        </w:tc>
        <w:tc>
          <w:tcPr>
            <w:tcW w:w="1966" w:type="dxa"/>
            <w:gridSpan w:val="2"/>
            <w:vMerge/>
            <w:tcBorders>
              <w:left w:val="single" w:sz="4" w:space="0" w:color="000000"/>
              <w:bottom w:val="single" w:sz="4" w:space="0" w:color="000000"/>
              <w:right w:val="single" w:sz="4" w:space="0" w:color="000000"/>
            </w:tcBorders>
            <w:shd w:val="clear" w:color="auto" w:fill="D2D2D2"/>
          </w:tcPr>
          <w:p>
            <w:pPr/>
          </w:p>
        </w:tc>
      </w:tr>
      <w:tr>
        <w:trPr>
          <w:trHeight w:val="212" w:hRule="exact"/>
        </w:trPr>
        <w:tc>
          <w:tcPr>
            <w:tcW w:w="1947" w:type="dxa"/>
            <w:vMerge/>
            <w:tcBorders>
              <w:left w:val="single" w:sz="4" w:space="0" w:color="000000"/>
              <w:bottom w:val="nil" w:sz="6" w:space="0" w:color="auto"/>
              <w:right w:val="single" w:sz="4" w:space="0" w:color="000000"/>
            </w:tcBorders>
            <w:shd w:val="clear" w:color="auto" w:fill="D2D2D2"/>
          </w:tcPr>
          <w:p>
            <w:pPr/>
          </w:p>
        </w:tc>
        <w:tc>
          <w:tcPr>
            <w:tcW w:w="11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24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46"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5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7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24" w:hRule="exact"/>
        </w:trPr>
        <w:tc>
          <w:tcPr>
            <w:tcW w:w="19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4"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557"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172"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r>
      <w:tr>
        <w:trPr>
          <w:trHeight w:val="419"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4" w:type="dxa"/>
            <w:tcBorders>
              <w:top w:val="single" w:sz="14" w:space="0" w:color="D2D2D2"/>
              <w:left w:val="single" w:sz="9"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304,085,873</w:t>
            </w:r>
          </w:p>
        </w:tc>
        <w:tc>
          <w:tcPr>
            <w:tcW w:w="852" w:type="dxa"/>
            <w:tcBorders>
              <w:top w:val="single" w:sz="14" w:space="0" w:color="D2D2D2"/>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26.30%</w:t>
            </w:r>
          </w:p>
        </w:tc>
        <w:tc>
          <w:tcPr>
            <w:tcW w:w="991" w:type="dxa"/>
            <w:tcBorders>
              <w:top w:val="single" w:sz="14" w:space="0" w:color="D2D2D2"/>
              <w:left w:val="single" w:sz="4" w:space="0" w:color="000000"/>
              <w:bottom w:val="single" w:sz="4" w:space="0" w:color="000000"/>
              <w:right w:val="single" w:sz="4" w:space="0" w:color="000000"/>
            </w:tcBorders>
          </w:tcPr>
          <w:p>
            <w:pPr/>
          </w:p>
        </w:tc>
        <w:tc>
          <w:tcPr>
            <w:tcW w:w="710" w:type="dxa"/>
            <w:tcBorders>
              <w:top w:val="single" w:sz="14" w:space="0" w:color="D2D2D2"/>
              <w:left w:val="single" w:sz="4" w:space="0" w:color="000000"/>
              <w:bottom w:val="single" w:sz="4" w:space="0" w:color="000000"/>
              <w:right w:val="single" w:sz="4" w:space="0" w:color="000000"/>
            </w:tcBorders>
          </w:tcPr>
          <w:p>
            <w:pPr/>
          </w:p>
        </w:tc>
        <w:tc>
          <w:tcPr>
            <w:tcW w:w="1001" w:type="dxa"/>
            <w:tcBorders>
              <w:top w:val="single" w:sz="14" w:space="0" w:color="D2D2D2"/>
              <w:left w:val="single" w:sz="4" w:space="0" w:color="000000"/>
              <w:bottom w:val="single" w:sz="4" w:space="0" w:color="000000"/>
              <w:right w:val="single" w:sz="4" w:space="0" w:color="000000"/>
            </w:tcBorders>
          </w:tcPr>
          <w:p>
            <w:pPr/>
          </w:p>
        </w:tc>
        <w:tc>
          <w:tcPr>
            <w:tcW w:w="557" w:type="dxa"/>
            <w:tcBorders>
              <w:top w:val="single" w:sz="14" w:space="0" w:color="D2D2D2"/>
              <w:left w:val="single" w:sz="4" w:space="0" w:color="000000"/>
              <w:bottom w:val="single" w:sz="4" w:space="0" w:color="000000"/>
              <w:right w:val="single" w:sz="4" w:space="0" w:color="000000"/>
            </w:tcBorders>
          </w:tcPr>
          <w:p>
            <w:pPr/>
          </w:p>
        </w:tc>
        <w:tc>
          <w:tcPr>
            <w:tcW w:w="710" w:type="dxa"/>
            <w:tcBorders>
              <w:top w:val="single" w:sz="14" w:space="0" w:color="D2D2D2"/>
              <w:left w:val="single" w:sz="4" w:space="0" w:color="000000"/>
              <w:bottom w:val="single" w:sz="4" w:space="0" w:color="000000"/>
              <w:right w:val="single" w:sz="4" w:space="0" w:color="000000"/>
            </w:tcBorders>
          </w:tcPr>
          <w:p>
            <w:pPr/>
          </w:p>
        </w:tc>
        <w:tc>
          <w:tcPr>
            <w:tcW w:w="1172" w:type="dxa"/>
            <w:tcBorders>
              <w:top w:val="single" w:sz="14" w:space="0" w:color="D2D2D2"/>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304,085,873</w:t>
            </w:r>
          </w:p>
        </w:tc>
        <w:tc>
          <w:tcPr>
            <w:tcW w:w="794" w:type="dxa"/>
            <w:tcBorders>
              <w:top w:val="single" w:sz="14" w:space="0" w:color="D2D2D2"/>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26.30%</w:t>
            </w:r>
          </w:p>
        </w:tc>
      </w:tr>
      <w:tr>
        <w:trPr>
          <w:trHeight w:val="403"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304,085,873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26.30%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304,085,873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26.30%</w:t>
            </w:r>
          </w:p>
        </w:tc>
      </w:tr>
      <w:tr>
        <w:trPr>
          <w:trHeight w:val="401"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304,085,873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26.30%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304,085,873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26.30%</w:t>
            </w:r>
          </w:p>
        </w:tc>
      </w:tr>
      <w:tr>
        <w:trPr>
          <w:trHeight w:val="403"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852,192,212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73.70%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852,192,212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73.70%</w:t>
            </w:r>
          </w:p>
        </w:tc>
      </w:tr>
      <w:tr>
        <w:trPr>
          <w:trHeight w:val="401"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852,192,212</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852,192,212</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1,156,278,085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1,156,278,085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232" w:right="1394"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40" w:lineRule="auto" w:before="115"/>
        <w:ind w:left="23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股份变动的批准情况</w:t>
      </w:r>
    </w:p>
    <w:p>
      <w:pPr>
        <w:spacing w:line="338" w:lineRule="auto" w:before="41"/>
        <w:ind w:left="23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line="340" w:lineRule="auto" w:before="44"/>
        <w:ind w:left="23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股份回购的实施进展情况</w:t>
      </w:r>
    </w:p>
    <w:p>
      <w:pPr>
        <w:spacing w:line="340" w:lineRule="auto" w:before="39"/>
        <w:ind w:left="23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采用集中竞价方式减持回购股份的实施进展情况</w:t>
      </w:r>
    </w:p>
    <w:p>
      <w:pPr>
        <w:spacing w:line="338" w:lineRule="auto" w:before="41"/>
        <w:ind w:left="23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40" w:lineRule="auto" w:before="43"/>
        <w:ind w:left="23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before="39"/>
        <w:ind w:left="23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left="232" w:right="1394"/>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5"/>
        <w:rPr>
          <w:rFonts w:ascii="宋体" w:hAnsi="宋体" w:cs="宋体" w:eastAsia="宋体" w:hint="default"/>
          <w:b/>
          <w:bCs/>
          <w:sz w:val="26"/>
          <w:szCs w:val="26"/>
        </w:rPr>
      </w:pPr>
    </w:p>
    <w:p>
      <w:pPr>
        <w:spacing w:before="0"/>
        <w:ind w:left="23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0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34"/>
        <w:gridCol w:w="478"/>
        <w:gridCol w:w="807"/>
        <w:gridCol w:w="131"/>
        <w:gridCol w:w="860"/>
        <w:gridCol w:w="118"/>
        <w:gridCol w:w="734"/>
        <w:gridCol w:w="698"/>
        <w:gridCol w:w="294"/>
        <w:gridCol w:w="667"/>
        <w:gridCol w:w="468"/>
        <w:gridCol w:w="850"/>
        <w:gridCol w:w="414"/>
        <w:gridCol w:w="649"/>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44,597</w:t>
            </w:r>
          </w:p>
        </w:tc>
        <w:tc>
          <w:tcPr>
            <w:tcW w:w="1415"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978"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42,929</w:t>
            </w:r>
          </w:p>
        </w:tc>
        <w:tc>
          <w:tcPr>
            <w:tcW w:w="14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11"/>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5"/>
                <w:sz w:val="18"/>
                <w:szCs w:val="18"/>
              </w:rPr>
              <w:t>东总数（如有）（参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61" w:type="dxa"/>
            <w:gridSpan w:val="2"/>
            <w:vMerge w:val="restart"/>
            <w:tcBorders>
              <w:top w:val="single" w:sz="4" w:space="0" w:color="000000"/>
              <w:left w:val="single" w:sz="12"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73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88"/>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w:t>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64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415"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31"/>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978" w:type="dxa"/>
            <w:gridSpan w:val="2"/>
            <w:vMerge/>
            <w:tcBorders>
              <w:left w:val="single" w:sz="9" w:space="0" w:color="D2D2D2"/>
              <w:right w:val="single" w:sz="10" w:space="0" w:color="D2D2D2"/>
            </w:tcBorders>
          </w:tcPr>
          <w:p>
            <w:pPr/>
          </w:p>
        </w:tc>
        <w:tc>
          <w:tcPr>
            <w:tcW w:w="1432" w:type="dxa"/>
            <w:gridSpan w:val="2"/>
            <w:vMerge/>
            <w:tcBorders>
              <w:left w:val="single" w:sz="4" w:space="0" w:color="000000"/>
              <w:right w:val="single" w:sz="4" w:space="0" w:color="000000"/>
            </w:tcBorders>
            <w:shd w:val="clear" w:color="auto" w:fill="D2D2D2"/>
          </w:tcPr>
          <w:p>
            <w:pPr/>
          </w:p>
        </w:tc>
        <w:tc>
          <w:tcPr>
            <w:tcW w:w="961" w:type="dxa"/>
            <w:gridSpan w:val="2"/>
            <w:vMerge/>
            <w:tcBorders>
              <w:left w:val="single" w:sz="12" w:space="0" w:color="D2D2D2"/>
              <w:right w:val="single" w:sz="13" w:space="0" w:color="D2D2D2"/>
            </w:tcBorders>
          </w:tcPr>
          <w:p>
            <w:pPr/>
          </w:p>
        </w:tc>
        <w:tc>
          <w:tcPr>
            <w:tcW w:w="1732" w:type="dxa"/>
            <w:gridSpan w:val="3"/>
            <w:vMerge/>
            <w:tcBorders>
              <w:left w:val="single" w:sz="4" w:space="0" w:color="000000"/>
              <w:right w:val="single" w:sz="4" w:space="0" w:color="000000"/>
            </w:tcBorders>
            <w:shd w:val="clear" w:color="auto" w:fill="D2D2D2"/>
          </w:tcPr>
          <w:p>
            <w:pPr/>
          </w:p>
        </w:tc>
        <w:tc>
          <w:tcPr>
            <w:tcW w:w="649" w:type="dxa"/>
            <w:vMerge/>
            <w:tcBorders>
              <w:left w:val="single" w:sz="10"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9" w:space="0" w:color="D2D2D2"/>
            </w:tcBorders>
          </w:tcPr>
          <w:p>
            <w:pPr/>
          </w:p>
        </w:tc>
        <w:tc>
          <w:tcPr>
            <w:tcW w:w="1415" w:type="dxa"/>
            <w:gridSpan w:val="3"/>
            <w:vMerge/>
            <w:tcBorders>
              <w:left w:val="single" w:sz="4" w:space="0" w:color="000000"/>
              <w:right w:val="single" w:sz="4" w:space="0" w:color="000000"/>
            </w:tcBorders>
            <w:shd w:val="clear" w:color="auto" w:fill="D2D2D2"/>
          </w:tcPr>
          <w:p>
            <w:pPr/>
          </w:p>
        </w:tc>
        <w:tc>
          <w:tcPr>
            <w:tcW w:w="978" w:type="dxa"/>
            <w:gridSpan w:val="2"/>
            <w:vMerge/>
            <w:tcBorders>
              <w:left w:val="single" w:sz="9" w:space="0" w:color="D2D2D2"/>
              <w:right w:val="single" w:sz="10" w:space="0" w:color="D2D2D2"/>
            </w:tcBorders>
          </w:tcPr>
          <w:p>
            <w:pPr/>
          </w:p>
        </w:tc>
        <w:tc>
          <w:tcPr>
            <w:tcW w:w="1432" w:type="dxa"/>
            <w:gridSpan w:val="2"/>
            <w:vMerge/>
            <w:tcBorders>
              <w:left w:val="single" w:sz="4" w:space="0" w:color="000000"/>
              <w:right w:val="single" w:sz="4" w:space="0" w:color="000000"/>
            </w:tcBorders>
            <w:shd w:val="clear" w:color="auto" w:fill="D2D2D2"/>
          </w:tcPr>
          <w:p>
            <w:pPr/>
          </w:p>
        </w:tc>
        <w:tc>
          <w:tcPr>
            <w:tcW w:w="961" w:type="dxa"/>
            <w:gridSpan w:val="2"/>
            <w:vMerge/>
            <w:tcBorders>
              <w:left w:val="single" w:sz="12" w:space="0" w:color="D2D2D2"/>
              <w:right w:val="single" w:sz="13" w:space="0" w:color="D2D2D2"/>
            </w:tcBorders>
          </w:tcPr>
          <w:p>
            <w:pPr/>
          </w:p>
        </w:tc>
        <w:tc>
          <w:tcPr>
            <w:tcW w:w="1732" w:type="dxa"/>
            <w:gridSpan w:val="3"/>
            <w:vMerge/>
            <w:tcBorders>
              <w:left w:val="single" w:sz="4" w:space="0" w:color="000000"/>
              <w:right w:val="single" w:sz="4" w:space="0" w:color="000000"/>
            </w:tcBorders>
            <w:shd w:val="clear" w:color="auto" w:fill="D2D2D2"/>
          </w:tcPr>
          <w:p>
            <w:pPr/>
          </w:p>
        </w:tc>
        <w:tc>
          <w:tcPr>
            <w:tcW w:w="649" w:type="dxa"/>
            <w:vMerge/>
            <w:tcBorders>
              <w:left w:val="single" w:sz="10" w:space="0" w:color="D2D2D2"/>
              <w:right w:val="single" w:sz="4" w:space="0" w:color="000000"/>
            </w:tcBorders>
          </w:tcPr>
          <w:p>
            <w:pPr/>
          </w:p>
        </w:tc>
      </w:tr>
      <w:tr>
        <w:trPr>
          <w:trHeight w:val="156"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415" w:type="dxa"/>
            <w:gridSpan w:val="3"/>
            <w:vMerge/>
            <w:tcBorders>
              <w:left w:val="single" w:sz="4" w:space="0" w:color="000000"/>
              <w:bottom w:val="nil" w:sz="6" w:space="0" w:color="auto"/>
              <w:right w:val="single" w:sz="4" w:space="0" w:color="000000"/>
            </w:tcBorders>
            <w:shd w:val="clear" w:color="auto" w:fill="D2D2D2"/>
          </w:tcPr>
          <w:p>
            <w:pPr/>
          </w:p>
        </w:tc>
        <w:tc>
          <w:tcPr>
            <w:tcW w:w="978" w:type="dxa"/>
            <w:gridSpan w:val="2"/>
            <w:vMerge/>
            <w:tcBorders>
              <w:left w:val="single" w:sz="9" w:space="0" w:color="D2D2D2"/>
              <w:right w:val="single" w:sz="10" w:space="0" w:color="D2D2D2"/>
            </w:tcBorders>
          </w:tcPr>
          <w:p>
            <w:pPr/>
          </w:p>
        </w:tc>
        <w:tc>
          <w:tcPr>
            <w:tcW w:w="1432" w:type="dxa"/>
            <w:gridSpan w:val="2"/>
            <w:vMerge/>
            <w:tcBorders>
              <w:left w:val="single" w:sz="4" w:space="0" w:color="000000"/>
              <w:right w:val="single" w:sz="4" w:space="0" w:color="000000"/>
            </w:tcBorders>
            <w:shd w:val="clear" w:color="auto" w:fill="D2D2D2"/>
          </w:tcPr>
          <w:p>
            <w:pPr/>
          </w:p>
        </w:tc>
        <w:tc>
          <w:tcPr>
            <w:tcW w:w="961" w:type="dxa"/>
            <w:gridSpan w:val="2"/>
            <w:vMerge/>
            <w:tcBorders>
              <w:left w:val="single" w:sz="12" w:space="0" w:color="D2D2D2"/>
              <w:right w:val="single" w:sz="13" w:space="0" w:color="D2D2D2"/>
            </w:tcBorders>
          </w:tcPr>
          <w:p>
            <w:pPr/>
          </w:p>
        </w:tc>
        <w:tc>
          <w:tcPr>
            <w:tcW w:w="1732" w:type="dxa"/>
            <w:gridSpan w:val="3"/>
            <w:vMerge/>
            <w:tcBorders>
              <w:left w:val="single" w:sz="4" w:space="0" w:color="000000"/>
              <w:right w:val="single" w:sz="4" w:space="0" w:color="000000"/>
            </w:tcBorders>
            <w:shd w:val="clear" w:color="auto" w:fill="D2D2D2"/>
          </w:tcPr>
          <w:p>
            <w:pPr/>
          </w:p>
        </w:tc>
        <w:tc>
          <w:tcPr>
            <w:tcW w:w="649" w:type="dxa"/>
            <w:vMerge/>
            <w:tcBorders>
              <w:left w:val="single" w:sz="10" w:space="0" w:color="D2D2D2"/>
              <w:right w:val="single" w:sz="4" w:space="0" w:color="000000"/>
            </w:tcBorders>
          </w:tcPr>
          <w:p>
            <w:pPr/>
          </w:p>
        </w:tc>
      </w:tr>
      <w:tr>
        <w:trPr>
          <w:trHeight w:val="168"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415"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978" w:type="dxa"/>
            <w:gridSpan w:val="2"/>
            <w:vMerge/>
            <w:tcBorders>
              <w:left w:val="single" w:sz="9" w:space="0" w:color="D2D2D2"/>
              <w:bottom w:val="single" w:sz="4" w:space="0" w:color="000000"/>
              <w:right w:val="single" w:sz="10" w:space="0" w:color="D2D2D2"/>
            </w:tcBorders>
          </w:tcPr>
          <w:p>
            <w:pPr/>
          </w:p>
        </w:tc>
        <w:tc>
          <w:tcPr>
            <w:tcW w:w="1432" w:type="dxa"/>
            <w:gridSpan w:val="2"/>
            <w:vMerge/>
            <w:tcBorders>
              <w:left w:val="single" w:sz="4" w:space="0" w:color="000000"/>
              <w:bottom w:val="single" w:sz="4" w:space="0" w:color="000000"/>
              <w:right w:val="single" w:sz="4" w:space="0" w:color="000000"/>
            </w:tcBorders>
            <w:shd w:val="clear" w:color="auto" w:fill="D2D2D2"/>
          </w:tcPr>
          <w:p>
            <w:pPr/>
          </w:p>
        </w:tc>
        <w:tc>
          <w:tcPr>
            <w:tcW w:w="961" w:type="dxa"/>
            <w:gridSpan w:val="2"/>
            <w:vMerge/>
            <w:tcBorders>
              <w:left w:val="single" w:sz="12" w:space="0" w:color="D2D2D2"/>
              <w:bottom w:val="single" w:sz="4" w:space="0" w:color="000000"/>
              <w:right w:val="single" w:sz="13" w:space="0" w:color="D2D2D2"/>
            </w:tcBorders>
          </w:tcPr>
          <w:p>
            <w:pPr/>
          </w:p>
        </w:tc>
        <w:tc>
          <w:tcPr>
            <w:tcW w:w="1732" w:type="dxa"/>
            <w:gridSpan w:val="3"/>
            <w:vMerge/>
            <w:tcBorders>
              <w:left w:val="single" w:sz="4" w:space="0" w:color="000000"/>
              <w:bottom w:val="single" w:sz="4" w:space="0" w:color="000000"/>
              <w:right w:val="single" w:sz="4" w:space="0" w:color="000000"/>
            </w:tcBorders>
            <w:shd w:val="clear" w:color="auto" w:fill="D2D2D2"/>
          </w:tcPr>
          <w:p>
            <w:pPr/>
          </w:p>
        </w:tc>
        <w:tc>
          <w:tcPr>
            <w:tcW w:w="649" w:type="dxa"/>
            <w:vMerge/>
            <w:tcBorders>
              <w:left w:val="single" w:sz="10" w:space="0" w:color="D2D2D2"/>
              <w:bottom w:val="single" w:sz="4" w:space="0" w:color="000000"/>
              <w:right w:val="single" w:sz="4" w:space="0" w:color="000000"/>
            </w:tcBorders>
          </w:tcPr>
          <w:p>
            <w:pPr/>
          </w:p>
        </w:tc>
      </w:tr>
      <w:tr>
        <w:trPr>
          <w:trHeight w:val="391" w:hRule="exact"/>
        </w:trPr>
        <w:tc>
          <w:tcPr>
            <w:tcW w:w="9571"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807" w:type="dxa"/>
            <w:vMerge w:val="restart"/>
            <w:tcBorders>
              <w:top w:val="single" w:sz="4" w:space="0" w:color="000000"/>
              <w:left w:val="single" w:sz="4" w:space="0" w:color="000000"/>
              <w:right w:val="single" w:sz="4" w:space="0" w:color="000000"/>
            </w:tcBorders>
            <w:shd w:val="clear" w:color="auto" w:fill="D2D2D2"/>
          </w:tcPr>
          <w:p>
            <w:pPr/>
          </w:p>
        </w:tc>
        <w:tc>
          <w:tcPr>
            <w:tcW w:w="9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59" w:right="60"/>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1"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12" w:right="11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807" w:type="dxa"/>
            <w:vMerge/>
            <w:tcBorders>
              <w:left w:val="single" w:sz="4" w:space="0" w:color="000000"/>
              <w:bottom w:val="nil" w:sz="6" w:space="0" w:color="auto"/>
              <w:right w:val="single" w:sz="4" w:space="0" w:color="000000"/>
            </w:tcBorders>
            <w:shd w:val="clear" w:color="auto" w:fill="D2D2D2"/>
          </w:tcPr>
          <w:p>
            <w:pPr/>
          </w:p>
        </w:tc>
        <w:tc>
          <w:tcPr>
            <w:tcW w:w="99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2"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1913" w:type="dxa"/>
            <w:gridSpan w:val="3"/>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1" w:type="dxa"/>
            <w:gridSpan w:val="2"/>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1913"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807" w:type="dxa"/>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807" w:type="dxa"/>
            <w:vMerge w:val="restart"/>
            <w:tcBorders>
              <w:top w:val="nil" w:sz="6" w:space="0" w:color="auto"/>
              <w:left w:val="single" w:sz="4" w:space="0" w:color="000000"/>
              <w:right w:val="single" w:sz="4" w:space="0" w:color="000000"/>
            </w:tcBorders>
            <w:shd w:val="clear" w:color="auto" w:fill="D2D2D2"/>
          </w:tcPr>
          <w:p>
            <w:pPr/>
          </w:p>
        </w:tc>
        <w:tc>
          <w:tcPr>
            <w:tcW w:w="991" w:type="dxa"/>
            <w:gridSpan w:val="2"/>
            <w:vMerge/>
            <w:tcBorders>
              <w:left w:val="single" w:sz="4" w:space="0" w:color="000000"/>
              <w:bottom w:val="nil" w:sz="6" w:space="0" w:color="auto"/>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063"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807" w:type="dxa"/>
            <w:vMerge/>
            <w:tcBorders>
              <w:left w:val="single" w:sz="4" w:space="0" w:color="000000"/>
              <w:bottom w:val="single" w:sz="4" w:space="0" w:color="000000"/>
              <w:right w:val="single" w:sz="4" w:space="0" w:color="000000"/>
            </w:tcBorders>
            <w:shd w:val="clear" w:color="auto" w:fill="D2D2D2"/>
          </w:tcPr>
          <w:p>
            <w:pPr/>
          </w:p>
        </w:tc>
        <w:tc>
          <w:tcPr>
            <w:tcW w:w="9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1135"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063"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2" w:right="0"/>
              <w:jc w:val="left"/>
              <w:rPr>
                <w:rFonts w:ascii="Times New Roman" w:hAnsi="Times New Roman" w:cs="Times New Roman" w:eastAsia="Times New Roman" w:hint="default"/>
                <w:sz w:val="18"/>
                <w:szCs w:val="18"/>
              </w:rPr>
            </w:pPr>
            <w:r>
              <w:rPr>
                <w:rFonts w:ascii="Times New Roman"/>
                <w:sz w:val="18"/>
              </w:rPr>
              <w:t>26.07%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301,388,029</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-14558940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 w:right="0"/>
              <w:jc w:val="left"/>
              <w:rPr>
                <w:rFonts w:ascii="Times New Roman" w:hAnsi="Times New Roman" w:cs="Times New Roman" w:eastAsia="Times New Roman" w:hint="default"/>
                <w:sz w:val="18"/>
                <w:szCs w:val="18"/>
              </w:rPr>
            </w:pPr>
            <w:r>
              <w:rPr>
                <w:rFonts w:ascii="Times New Roman"/>
                <w:sz w:val="18"/>
              </w:rPr>
              <w:t>236,960,227</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5" w:right="0"/>
              <w:jc w:val="left"/>
              <w:rPr>
                <w:rFonts w:ascii="Times New Roman" w:hAnsi="Times New Roman" w:cs="Times New Roman" w:eastAsia="Times New Roman" w:hint="default"/>
                <w:sz w:val="18"/>
                <w:szCs w:val="18"/>
              </w:rPr>
            </w:pPr>
            <w:r>
              <w:rPr>
                <w:rFonts w:ascii="Times New Roman"/>
                <w:sz w:val="18"/>
              </w:rPr>
              <w:t>64,427,802</w:t>
            </w:r>
          </w:p>
        </w:tc>
        <w:tc>
          <w:tcPr>
            <w:tcW w:w="850"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1"/>
              <w:ind w:left="23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43"/>
              <w:ind w:left="76" w:right="0"/>
              <w:jc w:val="left"/>
              <w:rPr>
                <w:rFonts w:ascii="Times New Roman" w:hAnsi="Times New Roman" w:cs="Times New Roman" w:eastAsia="Times New Roman" w:hint="default"/>
                <w:sz w:val="18"/>
                <w:szCs w:val="18"/>
              </w:rPr>
            </w:pPr>
            <w:r>
              <w:rPr>
                <w:rFonts w:ascii="Times New Roman"/>
                <w:sz w:val="18"/>
              </w:rPr>
              <w:t>181,500,000</w:t>
            </w: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吴迪</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5.82%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67,255,646</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67,125,646</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130,000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宿迁市迪智成投 资咨询有限公司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5.26%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60,840,000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60,840,000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宿迁市启恒投资 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5.26%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60,840,000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60,840,000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皓熙股权投资管 </w:t>
            </w:r>
            <w:r>
              <w:rPr>
                <w:rFonts w:ascii="宋体" w:hAnsi="宋体" w:cs="宋体" w:eastAsia="宋体" w:hint="default"/>
                <w:spacing w:val="-4"/>
                <w:sz w:val="18"/>
                <w:szCs w:val="18"/>
              </w:rPr>
              <w:t>理（上海）有限公</w:t>
            </w:r>
            <w:r>
              <w:rPr>
                <w:rFonts w:ascii="宋体" w:hAnsi="宋体" w:cs="宋体" w:eastAsia="宋体" w:hint="default"/>
                <w:sz w:val="18"/>
                <w:szCs w:val="18"/>
              </w:rPr>
              <w:t> 司－南京高科皓 熙定增私募证券 投资基金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2.44%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28,164,368</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28,164,368</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山东省农村经济 开发投资公司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2.00%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23,112,122</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23,112,122</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0.71%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8,222,240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8,222,240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69"/>
        <w:gridCol w:w="1411"/>
        <w:gridCol w:w="807"/>
        <w:gridCol w:w="142"/>
        <w:gridCol w:w="850"/>
        <w:gridCol w:w="852"/>
        <w:gridCol w:w="992"/>
        <w:gridCol w:w="350"/>
        <w:gridCol w:w="785"/>
        <w:gridCol w:w="564"/>
        <w:gridCol w:w="286"/>
        <w:gridCol w:w="1063"/>
      </w:tblGrid>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鹏华基金－招商 银行－中山证券 有限责任公司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6,712,564</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6,712,564</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云南国际信托有 限公司－云南国 际信托有限公司 杭州城投定增</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 集合资金信托计 划</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5,593,802</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5,593,802</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帅武东</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3,613,852</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3,613,852</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10"/>
            <w:tcBorders>
              <w:top w:val="single" w:sz="4" w:space="0" w:color="000000"/>
              <w:left w:val="single" w:sz="10" w:space="0" w:color="D2D2D2"/>
              <w:bottom w:val="single" w:sz="4" w:space="0" w:color="000000"/>
              <w:right w:val="single" w:sz="4" w:space="0" w:color="000000"/>
            </w:tcBorders>
          </w:tcPr>
          <w:p>
            <w:pPr>
              <w:pStyle w:val="TableParagraph"/>
              <w:spacing w:line="316" w:lineRule="auto" w:before="49"/>
              <w:ind w:left="19" w:right="20"/>
              <w:jc w:val="left"/>
              <w:rPr>
                <w:rFonts w:ascii="宋体" w:hAnsi="宋体" w:cs="宋体" w:eastAsia="宋体" w:hint="default"/>
                <w:sz w:val="18"/>
                <w:szCs w:val="18"/>
              </w:rPr>
            </w:pPr>
            <w:r>
              <w:rPr>
                <w:rFonts w:ascii="宋体" w:hAnsi="宋体" w:cs="宋体" w:eastAsia="宋体" w:hint="default"/>
                <w:spacing w:val="-1"/>
                <w:sz w:val="18"/>
                <w:szCs w:val="18"/>
              </w:rPr>
              <w:t>吴培服为宿迁市迪智成投资咨询有限公司和宿迁市启恒投资有限公司控股股东。吴迪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为吴培服之子，视为一致行动人。</w:t>
            </w: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382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044"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3829"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044"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829" w:type="dxa"/>
            <w:gridSpan w:val="4"/>
            <w:vMerge/>
            <w:tcBorders>
              <w:left w:val="single" w:sz="4" w:space="0" w:color="000000"/>
              <w:bottom w:val="nil" w:sz="6" w:space="0" w:color="auto"/>
              <w:right w:val="single" w:sz="4" w:space="0" w:color="000000"/>
            </w:tcBorders>
            <w:shd w:val="clear" w:color="auto" w:fill="D2D2D2"/>
          </w:tcPr>
          <w:p>
            <w:pPr/>
          </w:p>
        </w:tc>
        <w:tc>
          <w:tcPr>
            <w:tcW w:w="3044" w:type="dxa"/>
            <w:gridSpan w:val="4"/>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82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044"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30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64,427,802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4" w:right="0"/>
              <w:jc w:val="left"/>
              <w:rPr>
                <w:rFonts w:ascii="Times New Roman" w:hAnsi="Times New Roman" w:cs="Times New Roman" w:eastAsia="Times New Roman" w:hint="default"/>
                <w:sz w:val="18"/>
                <w:szCs w:val="18"/>
              </w:rPr>
            </w:pPr>
            <w:r>
              <w:rPr>
                <w:rFonts w:ascii="Times New Roman"/>
                <w:sz w:val="18"/>
              </w:rPr>
              <w:t>64,427,802</w:t>
            </w:r>
          </w:p>
        </w:tc>
      </w:tr>
      <w:tr>
        <w:trPr>
          <w:trHeight w:val="403"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宿迁市迪智成投资咨询有限公司</w:t>
            </w:r>
          </w:p>
        </w:tc>
        <w:tc>
          <w:tcPr>
            <w:tcW w:w="30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60,840,000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4" w:right="0"/>
              <w:jc w:val="left"/>
              <w:rPr>
                <w:rFonts w:ascii="Times New Roman" w:hAnsi="Times New Roman" w:cs="Times New Roman" w:eastAsia="Times New Roman" w:hint="default"/>
                <w:sz w:val="18"/>
                <w:szCs w:val="18"/>
              </w:rPr>
            </w:pPr>
            <w:r>
              <w:rPr>
                <w:rFonts w:ascii="Times New Roman"/>
                <w:sz w:val="18"/>
              </w:rPr>
              <w:t>60,840,000</w:t>
            </w:r>
          </w:p>
        </w:tc>
      </w:tr>
      <w:tr>
        <w:trPr>
          <w:trHeight w:val="401"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宿迁市启恒投资有限公司</w:t>
            </w:r>
          </w:p>
        </w:tc>
        <w:tc>
          <w:tcPr>
            <w:tcW w:w="30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60,840,000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4" w:right="0"/>
              <w:jc w:val="left"/>
              <w:rPr>
                <w:rFonts w:ascii="Times New Roman" w:hAnsi="Times New Roman" w:cs="Times New Roman" w:eastAsia="Times New Roman" w:hint="default"/>
                <w:sz w:val="18"/>
                <w:szCs w:val="18"/>
              </w:rPr>
            </w:pPr>
            <w:r>
              <w:rPr>
                <w:rFonts w:ascii="Times New Roman"/>
                <w:sz w:val="18"/>
              </w:rPr>
              <w:t>60,840,000</w:t>
            </w:r>
          </w:p>
        </w:tc>
      </w:tr>
      <w:tr>
        <w:trPr>
          <w:trHeight w:val="716"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皓熙股权投资管理（上海）有限公司－南京高科 皓熙定增私募证券投资基金</w:t>
            </w:r>
          </w:p>
        </w:tc>
        <w:tc>
          <w:tcPr>
            <w:tcW w:w="30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28,164,368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28,164,368</w:t>
            </w:r>
          </w:p>
        </w:tc>
      </w:tr>
      <w:tr>
        <w:trPr>
          <w:trHeight w:val="401"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山东省农村经济开发投资公司</w:t>
            </w:r>
          </w:p>
        </w:tc>
        <w:tc>
          <w:tcPr>
            <w:tcW w:w="30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23,112,122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23,112,122</w:t>
            </w:r>
          </w:p>
        </w:tc>
      </w:tr>
      <w:tr>
        <w:trPr>
          <w:trHeight w:val="403"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0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8,222,240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5" w:right="0"/>
              <w:jc w:val="left"/>
              <w:rPr>
                <w:rFonts w:ascii="Times New Roman" w:hAnsi="Times New Roman" w:cs="Times New Roman" w:eastAsia="Times New Roman" w:hint="default"/>
                <w:sz w:val="18"/>
                <w:szCs w:val="18"/>
              </w:rPr>
            </w:pPr>
            <w:r>
              <w:rPr>
                <w:rFonts w:ascii="Times New Roman"/>
                <w:sz w:val="18"/>
              </w:rPr>
              <w:t>8,222,240</w:t>
            </w:r>
          </w:p>
        </w:tc>
      </w:tr>
      <w:tr>
        <w:trPr>
          <w:trHeight w:val="401"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鹏华基金－招商银行－中山证券有限责任公司</w:t>
            </w:r>
          </w:p>
        </w:tc>
        <w:tc>
          <w:tcPr>
            <w:tcW w:w="30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6,712,564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6,712,564</w:t>
            </w:r>
          </w:p>
        </w:tc>
      </w:tr>
      <w:tr>
        <w:trPr>
          <w:trHeight w:val="715"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3"/>
              <w:jc w:val="left"/>
              <w:rPr>
                <w:rFonts w:ascii="宋体" w:hAnsi="宋体" w:cs="宋体" w:eastAsia="宋体" w:hint="default"/>
                <w:sz w:val="18"/>
                <w:szCs w:val="18"/>
              </w:rPr>
            </w:pPr>
            <w:r>
              <w:rPr>
                <w:rFonts w:ascii="宋体" w:hAnsi="宋体" w:cs="宋体" w:eastAsia="宋体" w:hint="default"/>
                <w:sz w:val="18"/>
                <w:szCs w:val="18"/>
              </w:rPr>
              <w:t>云南国际信托有限公司－云南国际信托有限公 司杭州城投定增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30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5,593,802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5,593,802</w:t>
            </w:r>
          </w:p>
        </w:tc>
      </w:tr>
      <w:tr>
        <w:trPr>
          <w:trHeight w:val="401"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帅武东</w:t>
            </w:r>
          </w:p>
        </w:tc>
        <w:tc>
          <w:tcPr>
            <w:tcW w:w="30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3,613,852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3,613,852</w:t>
            </w:r>
          </w:p>
        </w:tc>
      </w:tr>
      <w:tr>
        <w:trPr>
          <w:trHeight w:val="403"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鹏华基金－邮储银行－建信资本管理有限公司</w:t>
            </w:r>
          </w:p>
        </w:tc>
        <w:tc>
          <w:tcPr>
            <w:tcW w:w="30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3,575,043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5" w:right="0"/>
              <w:jc w:val="left"/>
              <w:rPr>
                <w:rFonts w:ascii="Times New Roman" w:hAnsi="Times New Roman" w:cs="Times New Roman" w:eastAsia="Times New Roman" w:hint="default"/>
                <w:sz w:val="18"/>
                <w:szCs w:val="18"/>
              </w:rPr>
            </w:pPr>
            <w:r>
              <w:rPr>
                <w:rFonts w:ascii="Times New Roman"/>
                <w:sz w:val="18"/>
              </w:rPr>
              <w:t>3,575,043</w:t>
            </w:r>
          </w:p>
        </w:tc>
      </w:tr>
      <w:tr>
        <w:trPr>
          <w:trHeight w:val="1027" w:hRule="exact"/>
        </w:trPr>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w:t>
            </w:r>
          </w:p>
          <w:p>
            <w:pPr>
              <w:pStyle w:val="TableParagraph"/>
              <w:spacing w:line="300" w:lineRule="auto" w:before="63"/>
              <w:ind w:left="24" w:right="101"/>
              <w:jc w:val="left"/>
              <w:rPr>
                <w:rFonts w:ascii="宋体" w:hAnsi="宋体" w:cs="宋体" w:eastAsia="宋体" w:hint="default"/>
                <w:sz w:val="18"/>
                <w:szCs w:val="18"/>
              </w:rPr>
            </w:pPr>
            <w:r>
              <w:rPr>
                <w:rFonts w:ascii="宋体" w:hAnsi="宋体" w:cs="宋体" w:eastAsia="宋体" w:hint="default"/>
                <w:sz w:val="18"/>
                <w:szCs w:val="18"/>
              </w:rPr>
              <w:t>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 一致行动的说明</w:t>
            </w:r>
          </w:p>
        </w:tc>
        <w:tc>
          <w:tcPr>
            <w:tcW w:w="574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6"/>
              <w:jc w:val="left"/>
              <w:rPr>
                <w:rFonts w:ascii="宋体" w:hAnsi="宋体" w:cs="宋体" w:eastAsia="宋体" w:hint="default"/>
                <w:sz w:val="18"/>
                <w:szCs w:val="18"/>
              </w:rPr>
            </w:pPr>
            <w:r>
              <w:rPr>
                <w:rFonts w:ascii="宋体" w:hAnsi="宋体" w:cs="宋体" w:eastAsia="宋体" w:hint="default"/>
                <w:sz w:val="18"/>
                <w:szCs w:val="18"/>
              </w:rPr>
              <w:t>吴培服为宿迁市迪智成投资咨询有限公司和宿迁市启恒投资有限公司控 股股东。</w:t>
            </w:r>
          </w:p>
        </w:tc>
      </w:tr>
      <w:tr>
        <w:trPr>
          <w:trHeight w:val="1026" w:hRule="exact"/>
        </w:trPr>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名普通股股东参与融资融券业务情况说明</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5742" w:type="dxa"/>
            <w:gridSpan w:val="8"/>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4" w:right="23"/>
              <w:jc w:val="both"/>
              <w:rPr>
                <w:rFonts w:ascii="宋体" w:hAnsi="宋体" w:cs="宋体" w:eastAsia="宋体" w:hint="default"/>
                <w:sz w:val="18"/>
                <w:szCs w:val="18"/>
              </w:rPr>
            </w:pPr>
            <w:r>
              <w:rPr>
                <w:rFonts w:ascii="宋体" w:hAnsi="宋体" w:cs="宋体" w:eastAsia="宋体" w:hint="default"/>
                <w:sz w:val="18"/>
                <w:szCs w:val="18"/>
              </w:rPr>
              <w:t>上述前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名无限售条件股东中：皓熙股权投资管理（上海）有限公司－ </w:t>
            </w:r>
            <w:r>
              <w:rPr>
                <w:rFonts w:ascii="宋体" w:hAnsi="宋体" w:cs="宋体" w:eastAsia="宋体" w:hint="default"/>
                <w:spacing w:val="-3"/>
                <w:sz w:val="18"/>
                <w:szCs w:val="18"/>
              </w:rPr>
              <w:t>南京高科皓熙定增私募证券投资基金的投资者信用账户（安信证券股份有</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限公司客户信用交易担保证券账户）持股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28,164,368 </w:t>
            </w:r>
            <w:r>
              <w:rPr>
                <w:rFonts w:ascii="宋体" w:hAnsi="宋体" w:cs="宋体" w:eastAsia="宋体" w:hint="default"/>
                <w:sz w:val="18"/>
                <w:szCs w:val="18"/>
              </w:rPr>
              <w:t>股。</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江苏双星彩塑新材料股份有限公司董事长、总经理</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70"/>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06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江苏双星彩塑新材料股份有限公司董事长、总经理</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70"/>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5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line="5446" w:lineRule="exact"/>
        <w:ind w:left="1679" w:right="0" w:firstLine="0"/>
        <w:rPr>
          <w:rFonts w:ascii="宋体" w:hAnsi="宋体" w:cs="宋体" w:eastAsia="宋体" w:hint="default"/>
          <w:sz w:val="20"/>
          <w:szCs w:val="20"/>
        </w:rPr>
      </w:pPr>
      <w:r>
        <w:rPr>
          <w:rFonts w:ascii="宋体" w:hAnsi="宋体" w:cs="宋体" w:eastAsia="宋体" w:hint="default"/>
          <w:position w:val="-108"/>
          <w:sz w:val="20"/>
          <w:szCs w:val="20"/>
        </w:rPr>
        <w:drawing>
          <wp:inline distT="0" distB="0" distL="0" distR="0">
            <wp:extent cx="4178938" cy="345843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4178938" cy="3458432"/>
                    </a:xfrm>
                    <a:prstGeom prst="rect">
                      <a:avLst/>
                    </a:prstGeom>
                  </pic:spPr>
                </pic:pic>
              </a:graphicData>
            </a:graphic>
          </wp:inline>
        </w:drawing>
      </w:r>
      <w:r>
        <w:rPr>
          <w:rFonts w:ascii="宋体" w:hAnsi="宋体" w:cs="宋体" w:eastAsia="宋体" w:hint="default"/>
          <w:position w:val="-108"/>
          <w:sz w:val="20"/>
          <w:szCs w:val="20"/>
        </w:rPr>
      </w:r>
    </w:p>
    <w:p>
      <w:pPr>
        <w:spacing w:line="240" w:lineRule="auto" w:before="13"/>
        <w:rPr>
          <w:rFonts w:ascii="宋体" w:hAnsi="宋体" w:cs="宋体" w:eastAsia="宋体" w:hint="default"/>
          <w:sz w:val="16"/>
          <w:szCs w:val="16"/>
        </w:rPr>
      </w:pPr>
    </w:p>
    <w:p>
      <w:pPr>
        <w:pStyle w:val="Heading3"/>
        <w:spacing w:line="240" w:lineRule="auto" w:before="26"/>
        <w:ind w:right="0"/>
        <w:jc w:val="left"/>
      </w:pPr>
      <w:r>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0"/>
        <w:jc w:val="left"/>
        <w:rPr>
          <w:b w:val="0"/>
          <w:bCs w:val="0"/>
        </w:rPr>
      </w:pPr>
      <w:bookmarkStart w:name="_bookmark6" w:id="7"/>
      <w:bookmarkEnd w:id="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0"/>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报告期公司不存在可转换公司债券。</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1758" w:right="0"/>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5"/>
        <w:rPr>
          <w:rFonts w:ascii="宋体" w:hAnsi="宋体" w:cs="宋体" w:eastAsia="宋体" w:hint="default"/>
          <w:b/>
          <w:bCs/>
          <w:sz w:val="36"/>
          <w:szCs w:val="36"/>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800"/>
        <w:gridCol w:w="797"/>
      </w:tblGrid>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吴培服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315,946,9</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69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14,558,94</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301,388,0</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29</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315,946,9</w:t>
            </w:r>
          </w:p>
          <w:p>
            <w:pPr>
              <w:pStyle w:val="TableParagraph"/>
              <w:spacing w:line="240" w:lineRule="auto" w:before="102"/>
              <w:ind w:left="4" w:right="0"/>
              <w:jc w:val="center"/>
              <w:rPr>
                <w:rFonts w:ascii="Times New Roman" w:hAnsi="Times New Roman" w:cs="Times New Roman" w:eastAsia="Times New Roman" w:hint="default"/>
                <w:sz w:val="18"/>
                <w:szCs w:val="18"/>
              </w:rPr>
            </w:pPr>
            <w:r>
              <w:rPr>
                <w:rFonts w:ascii="Times New Roman"/>
                <w:sz w:val="18"/>
              </w:rPr>
              <w:t>69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14,558,94</w:t>
            </w:r>
          </w:p>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301,388,0</w:t>
            </w:r>
          </w:p>
          <w:p>
            <w:pPr>
              <w:pStyle w:val="TableParagraph"/>
              <w:spacing w:line="240" w:lineRule="auto" w:before="102"/>
              <w:ind w:left="4" w:right="0"/>
              <w:jc w:val="center"/>
              <w:rPr>
                <w:rFonts w:ascii="Times New Roman" w:hAnsi="Times New Roman" w:cs="Times New Roman" w:eastAsia="Times New Roman" w:hint="default"/>
                <w:sz w:val="18"/>
                <w:szCs w:val="18"/>
              </w:rPr>
            </w:pPr>
            <w:r>
              <w:rPr>
                <w:rFonts w:ascii="Times New Roman"/>
                <w:sz w:val="18"/>
              </w:rPr>
              <w:t>29</w:t>
            </w:r>
          </w:p>
        </w:tc>
      </w:tr>
    </w:tbl>
    <w:p>
      <w:pPr>
        <w:spacing w:line="240" w:lineRule="auto" w:before="4"/>
        <w:rPr>
          <w:rFonts w:ascii="宋体" w:hAnsi="宋体" w:cs="宋体" w:eastAsia="宋体" w:hint="default"/>
          <w:b/>
          <w:bCs/>
          <w:sz w:val="13"/>
          <w:szCs w:val="13"/>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12"/>
        <w:rPr>
          <w:rFonts w:ascii="宋体" w:hAnsi="宋体" w:cs="宋体" w:eastAsia="宋体" w:hint="default"/>
          <w:b/>
          <w:bCs/>
          <w:sz w:val="21"/>
          <w:szCs w:val="21"/>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680"/>
        <w:gridCol w:w="389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葛俊生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李小虎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r>
    </w:tbl>
    <w:p>
      <w:pPr>
        <w:spacing w:line="240" w:lineRule="auto" w:before="4"/>
        <w:rPr>
          <w:rFonts w:ascii="宋体" w:hAnsi="宋体" w:cs="宋体" w:eastAsia="宋体" w:hint="default"/>
          <w:sz w:val="13"/>
          <w:szCs w:val="13"/>
        </w:rPr>
      </w:pPr>
    </w:p>
    <w:p>
      <w:pPr>
        <w:pStyle w:val="Heading2"/>
        <w:spacing w:line="240" w:lineRule="auto" w:before="26"/>
        <w:ind w:right="0"/>
        <w:jc w:val="left"/>
        <w:rPr>
          <w:b w:val="0"/>
          <w:bCs w:val="0"/>
        </w:rPr>
      </w:pPr>
      <w:r>
        <w:rPr/>
        <w:t>三、任职情况</w:t>
      </w:r>
      <w:r>
        <w:rPr>
          <w:b w:val="0"/>
          <w:bCs w:val="0"/>
        </w:rPr>
      </w:r>
    </w:p>
    <w:p>
      <w:pPr>
        <w:spacing w:line="240" w:lineRule="auto" w:before="12"/>
        <w:rPr>
          <w:rFonts w:ascii="宋体" w:hAnsi="宋体" w:cs="宋体" w:eastAsia="宋体" w:hint="default"/>
          <w:b/>
          <w:bCs/>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8"/>
        <w:rPr>
          <w:rFonts w:ascii="宋体" w:hAnsi="宋体" w:cs="宋体" w:eastAsia="宋体" w:hint="default"/>
          <w:sz w:val="13"/>
          <w:szCs w:val="13"/>
        </w:rPr>
      </w:pPr>
    </w:p>
    <w:p>
      <w:pPr>
        <w:pStyle w:val="BodyText"/>
        <w:spacing w:line="240" w:lineRule="auto"/>
        <w:ind w:left="573" w:right="0"/>
        <w:jc w:val="left"/>
      </w:pPr>
      <w:r>
        <w:rPr>
          <w:rFonts w:ascii="Times New Roman" w:hAnsi="Times New Roman" w:cs="Times New Roman" w:eastAsia="Times New Roman" w:hint="default"/>
        </w:rPr>
        <w:t>1</w:t>
      </w:r>
      <w:r>
        <w:rPr/>
        <w:t>、董事</w:t>
      </w:r>
    </w:p>
    <w:p>
      <w:pPr>
        <w:pStyle w:val="BodyText"/>
        <w:spacing w:line="264" w:lineRule="auto" w:before="139"/>
        <w:ind w:right="0" w:firstLine="420"/>
        <w:jc w:val="left"/>
      </w:pPr>
      <w:r>
        <w:rPr>
          <w:spacing w:val="-2"/>
        </w:rPr>
        <w:t>（</w:t>
      </w:r>
      <w:r>
        <w:rPr>
          <w:rFonts w:ascii="Times New Roman" w:hAnsi="Times New Roman" w:cs="Times New Roman" w:eastAsia="Times New Roman" w:hint="default"/>
          <w:spacing w:val="-2"/>
        </w:rPr>
        <w:t>1</w:t>
      </w:r>
      <w:r>
        <w:rPr>
          <w:spacing w:val="-2"/>
        </w:rPr>
        <w:t>）吴培服：男，</w:t>
      </w:r>
      <w:r>
        <w:rPr>
          <w:rFonts w:ascii="Times New Roman" w:hAnsi="Times New Roman" w:cs="Times New Roman" w:eastAsia="Times New Roman" w:hint="default"/>
          <w:spacing w:val="-2"/>
        </w:rPr>
        <w:t>1961</w:t>
      </w:r>
      <w:r>
        <w:rPr>
          <w:spacing w:val="-2"/>
        </w:rPr>
        <w:t>年</w:t>
      </w:r>
      <w:r>
        <w:rPr>
          <w:rFonts w:ascii="Times New Roman" w:hAnsi="Times New Roman" w:cs="Times New Roman" w:eastAsia="Times New Roman" w:hint="default"/>
          <w:spacing w:val="-2"/>
        </w:rPr>
        <w:t>10</w:t>
      </w:r>
      <w:r>
        <w:rPr>
          <w:spacing w:val="-2"/>
        </w:rPr>
        <w:t>月出生，中国籍，无永久境外居留权，大专学历。历任井头综合厂钳工、</w:t>
      </w:r>
      <w:r>
        <w:rPr>
          <w:w w:val="100"/>
        </w:rPr>
        <w:t> </w:t>
      </w:r>
      <w:r>
        <w:rPr>
          <w:spacing w:val="-2"/>
        </w:rPr>
        <w:t>井头乡井头村村长、宿迁市新型包装材料厂厂长、宿迁市铝型材厂厂长、宿迁市电池配件厂厂长、宿迁市</w:t>
      </w:r>
      <w:r>
        <w:rPr>
          <w:spacing w:val="-50"/>
        </w:rPr>
        <w:t> </w:t>
      </w:r>
      <w:r>
        <w:rPr>
          <w:spacing w:val="-50"/>
        </w:rPr>
      </w:r>
      <w:r>
        <w:rPr/>
        <w:t>彩塑包装有限公司执行董事，现任本公司董事长、总经理。</w:t>
      </w:r>
    </w:p>
    <w:p>
      <w:pPr>
        <w:pStyle w:val="BodyText"/>
        <w:spacing w:line="256" w:lineRule="auto" w:before="136"/>
        <w:ind w:right="0" w:firstLine="420"/>
        <w:jc w:val="left"/>
      </w:pPr>
      <w:r>
        <w:rPr>
          <w:spacing w:val="-2"/>
        </w:rPr>
        <w:t>（</w:t>
      </w:r>
      <w:r>
        <w:rPr>
          <w:rFonts w:ascii="Times New Roman" w:hAnsi="Times New Roman" w:cs="Times New Roman" w:eastAsia="Times New Roman" w:hint="default"/>
          <w:spacing w:val="-2"/>
        </w:rPr>
        <w:t>2</w:t>
      </w:r>
      <w:r>
        <w:rPr>
          <w:spacing w:val="-2"/>
        </w:rPr>
        <w:t>）吴迪：男，</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9</w:t>
      </w:r>
      <w:r>
        <w:rPr>
          <w:spacing w:val="-2"/>
        </w:rPr>
        <w:t>月出生，中国籍，无永久境外居留权，本科学历。历任宿迁市彩塑包装有限</w:t>
      </w:r>
      <w:r>
        <w:rPr>
          <w:w w:val="100"/>
        </w:rPr>
        <w:t> </w:t>
      </w:r>
      <w:r>
        <w:rPr/>
        <w:t>公司副总经理。现任本公司董事、董事会秘书、副总经理。</w:t>
      </w:r>
    </w:p>
    <w:p>
      <w:pPr>
        <w:pStyle w:val="BodyText"/>
        <w:spacing w:line="256" w:lineRule="auto" w:before="142"/>
        <w:ind w:right="0" w:firstLine="420"/>
        <w:jc w:val="left"/>
      </w:pPr>
      <w:r>
        <w:rPr>
          <w:spacing w:val="-2"/>
        </w:rPr>
        <w:t>（</w:t>
      </w:r>
      <w:r>
        <w:rPr>
          <w:rFonts w:ascii="Times New Roman" w:hAnsi="Times New Roman" w:cs="Times New Roman" w:eastAsia="Times New Roman" w:hint="default"/>
          <w:spacing w:val="-2"/>
        </w:rPr>
        <w:t>3</w:t>
      </w:r>
      <w:r>
        <w:rPr>
          <w:spacing w:val="-2"/>
        </w:rPr>
        <w:t>）曹薇：女，</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3</w:t>
      </w:r>
      <w:r>
        <w:rPr>
          <w:spacing w:val="-2"/>
        </w:rPr>
        <w:t>月出生，中国籍，无永久境外居留权，大专学历。历任宿迁市彩塑包装有限</w:t>
      </w:r>
      <w:r>
        <w:rPr>
          <w:w w:val="100"/>
        </w:rPr>
        <w:t> </w:t>
      </w:r>
      <w:r>
        <w:rPr/>
        <w:t>公司监事，现任本公司董事。</w:t>
      </w:r>
    </w:p>
    <w:p>
      <w:pPr>
        <w:pStyle w:val="BodyText"/>
        <w:spacing w:line="259" w:lineRule="auto" w:before="142"/>
        <w:ind w:right="0" w:firstLine="420"/>
        <w:jc w:val="left"/>
      </w:pPr>
      <w:r>
        <w:rPr>
          <w:spacing w:val="-2"/>
        </w:rPr>
        <w:t>（</w:t>
      </w:r>
      <w:r>
        <w:rPr>
          <w:rFonts w:ascii="Times New Roman" w:hAnsi="Times New Roman" w:cs="Times New Roman" w:eastAsia="Times New Roman" w:hint="default"/>
          <w:spacing w:val="-2"/>
        </w:rPr>
        <w:t>4</w:t>
      </w:r>
      <w:r>
        <w:rPr>
          <w:spacing w:val="-2"/>
        </w:rPr>
        <w:t>）周海燕：女，</w:t>
      </w:r>
      <w:r>
        <w:rPr>
          <w:rFonts w:ascii="Times New Roman" w:hAnsi="Times New Roman" w:cs="Times New Roman" w:eastAsia="Times New Roman" w:hint="default"/>
          <w:spacing w:val="-2"/>
        </w:rPr>
        <w:t>1975</w:t>
      </w:r>
      <w:r>
        <w:rPr>
          <w:spacing w:val="-2"/>
        </w:rPr>
        <w:t>年</w:t>
      </w:r>
      <w:r>
        <w:rPr>
          <w:rFonts w:ascii="Times New Roman" w:hAnsi="Times New Roman" w:cs="Times New Roman" w:eastAsia="Times New Roman" w:hint="default"/>
          <w:spacing w:val="-2"/>
        </w:rPr>
        <w:t>1</w:t>
      </w:r>
      <w:r>
        <w:rPr>
          <w:spacing w:val="-2"/>
        </w:rPr>
        <w:t>月出生，中国籍，无永久境外居留权，本科学历。历任宿迁市彩塑包装有</w:t>
      </w:r>
      <w:r>
        <w:rPr>
          <w:w w:val="100"/>
        </w:rPr>
        <w:t> </w:t>
      </w:r>
      <w:r>
        <w:rPr/>
        <w:t>限公司副总经理、财务经理。现任本公司董事、副总经理、财务总监。</w:t>
      </w:r>
    </w:p>
    <w:p>
      <w:pPr>
        <w:pStyle w:val="BodyText"/>
        <w:spacing w:line="266" w:lineRule="auto" w:before="140"/>
        <w:ind w:right="1105" w:firstLine="420"/>
        <w:jc w:val="both"/>
      </w:pPr>
      <w:r>
        <w:rPr>
          <w:spacing w:val="-2"/>
        </w:rPr>
        <w:t>（</w:t>
      </w:r>
      <w:r>
        <w:rPr>
          <w:rFonts w:ascii="Times New Roman" w:hAnsi="Times New Roman" w:cs="Times New Roman" w:eastAsia="Times New Roman" w:hint="default"/>
          <w:spacing w:val="-2"/>
        </w:rPr>
        <w:t>5</w:t>
      </w:r>
      <w:r>
        <w:rPr>
          <w:spacing w:val="-2"/>
        </w:rPr>
        <w:t>）蓝海林：男，</w:t>
      </w:r>
      <w:r>
        <w:rPr>
          <w:rFonts w:ascii="Times New Roman" w:hAnsi="Times New Roman" w:cs="Times New Roman" w:eastAsia="Times New Roman" w:hint="default"/>
          <w:spacing w:val="-2"/>
        </w:rPr>
        <w:t>1959</w:t>
      </w:r>
      <w:r>
        <w:rPr>
          <w:spacing w:val="-2"/>
        </w:rPr>
        <w:t>年</w:t>
      </w:r>
      <w:r>
        <w:rPr>
          <w:rFonts w:ascii="Times New Roman" w:hAnsi="Times New Roman" w:cs="Times New Roman" w:eastAsia="Times New Roman" w:hint="default"/>
          <w:spacing w:val="-2"/>
        </w:rPr>
        <w:t>8</w:t>
      </w:r>
      <w:r>
        <w:rPr>
          <w:spacing w:val="-2"/>
        </w:rPr>
        <w:t>月出生，中国籍，无永久境外居留权，博士学历。现为华南理工大学工商</w:t>
      </w:r>
      <w:r>
        <w:rPr>
          <w:w w:val="100"/>
        </w:rPr>
        <w:t> </w:t>
      </w:r>
      <w:r>
        <w:rPr>
          <w:spacing w:val="-2"/>
        </w:rPr>
        <w:t>管理学院教授、博士生导师，同时担任中国企业战略管理研究中心、广东省中小企业研究咨询中心主任，</w:t>
      </w:r>
      <w:r>
        <w:rPr>
          <w:spacing w:val="-21"/>
        </w:rPr>
        <w:t> </w:t>
      </w:r>
      <w:r>
        <w:rPr>
          <w:spacing w:val="-21"/>
        </w:rPr>
      </w:r>
      <w:r>
        <w:rPr/>
        <w:t>国家</w:t>
      </w:r>
      <w:r>
        <w:rPr>
          <w:rFonts w:ascii="Times New Roman" w:hAnsi="Times New Roman" w:cs="Times New Roman" w:eastAsia="Times New Roman" w:hint="default"/>
        </w:rPr>
        <w:t>985</w:t>
      </w:r>
      <w:r>
        <w:rPr/>
        <w:t>二期新型工业化发展创新研究基地管理委员会首席科学家兼委员会主任，政协广东省第九届委员</w:t>
      </w:r>
      <w:r>
        <w:rPr>
          <w:spacing w:val="-26"/>
        </w:rPr>
        <w:t> </w:t>
      </w:r>
      <w:r>
        <w:rPr>
          <w:spacing w:val="-26"/>
        </w:rPr>
      </w:r>
      <w:r>
        <w:rPr>
          <w:spacing w:val="-2"/>
        </w:rPr>
        <w:t>会委员、第十届和第十一届委员会特聘委员等。目前担任广州汽车集团股份有限公司独立董事、广东新宝</w:t>
      </w:r>
      <w:r>
        <w:rPr>
          <w:spacing w:val="-43"/>
        </w:rPr>
        <w:t> </w:t>
      </w:r>
      <w:r>
        <w:rPr>
          <w:spacing w:val="-43"/>
        </w:rPr>
      </w:r>
      <w:r>
        <w:rPr>
          <w:spacing w:val="-2"/>
        </w:rPr>
        <w:t>电器股份有限公司独立董事、珠海市乐通化工股份有限公司独立董事、广发证券监事。现任本公司独立董</w:t>
      </w:r>
      <w:r>
        <w:rPr>
          <w:spacing w:val="-43"/>
        </w:rPr>
        <w:t> </w:t>
      </w:r>
      <w:r>
        <w:rPr>
          <w:spacing w:val="-43"/>
        </w:rPr>
      </w:r>
      <w:r>
        <w:rPr/>
        <w:t>事。</w:t>
      </w:r>
    </w:p>
    <w:p>
      <w:pPr>
        <w:spacing w:after="0" w:line="26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61" w:lineRule="auto" w:before="36"/>
        <w:ind w:right="1126" w:firstLine="420"/>
        <w:jc w:val="both"/>
      </w:pPr>
      <w:r>
        <w:rPr/>
        <w:t>（</w:t>
      </w:r>
      <w:r>
        <w:rPr>
          <w:rFonts w:ascii="Times New Roman" w:hAnsi="Times New Roman" w:cs="Times New Roman" w:eastAsia="Times New Roman" w:hint="default"/>
        </w:rPr>
        <w:t>6</w:t>
      </w:r>
      <w:r>
        <w:rPr/>
        <w:t>）程银春：男，</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6</w:t>
      </w:r>
      <w:r>
        <w:rPr/>
        <w:t>月出生，中国籍，无永久境外居留权，专科学历。</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rFonts w:ascii="Times New Roman" w:hAnsi="Times New Roman" w:cs="Times New Roman" w:eastAsia="Times New Roman" w:hint="default"/>
          <w:w w:val="100"/>
        </w:rPr>
        <w:t> </w:t>
      </w:r>
      <w:r>
        <w:rPr>
          <w:spacing w:val="-2"/>
        </w:rPr>
        <w:t>月担任芜湖会计师事务所项目经理、部门经理、所长助理、副所长，</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10</w:t>
      </w:r>
      <w:r>
        <w:rPr>
          <w:spacing w:val="-2"/>
        </w:rPr>
        <w:t>月至今担任珠海会计师事务</w:t>
      </w:r>
      <w:r>
        <w:rPr>
          <w:spacing w:val="-42"/>
        </w:rPr>
        <w:t> </w:t>
      </w:r>
      <w:r>
        <w:rPr>
          <w:spacing w:val="-42"/>
        </w:rPr>
      </w:r>
      <w:r>
        <w:rPr>
          <w:spacing w:val="-2"/>
        </w:rPr>
        <w:t>所（现为大华会计师事务所）专业标准部经理、所长助理、副所长、合伙人。目前担任蒙娜丽莎集团股份</w:t>
      </w:r>
      <w:r>
        <w:rPr>
          <w:spacing w:val="-41"/>
        </w:rPr>
        <w:t> </w:t>
      </w:r>
      <w:r>
        <w:rPr>
          <w:spacing w:val="-41"/>
        </w:rPr>
      </w:r>
      <w:r>
        <w:rPr/>
        <w:t>有限公司独立董事。现任本公司独立董事。</w:t>
      </w:r>
    </w:p>
    <w:p>
      <w:pPr>
        <w:pStyle w:val="BodyText"/>
        <w:spacing w:line="268" w:lineRule="auto" w:before="138"/>
        <w:ind w:right="1126" w:firstLine="420"/>
        <w:jc w:val="both"/>
      </w:pPr>
      <w:r>
        <w:rPr/>
        <w:t>（</w:t>
      </w:r>
      <w:r>
        <w:rPr>
          <w:rFonts w:ascii="Times New Roman" w:hAnsi="Times New Roman" w:cs="Times New Roman" w:eastAsia="Times New Roman" w:hint="default"/>
        </w:rPr>
        <w:t>7</w:t>
      </w:r>
      <w:r>
        <w:rPr/>
        <w:t>）陈强，男，</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10</w:t>
      </w:r>
      <w:r>
        <w:rPr/>
        <w:t>月出生，中国国籍，学士学位，高级工程师。现任南京大学化学化工学院</w:t>
      </w:r>
      <w:r>
        <w:rPr>
          <w:w w:val="100"/>
        </w:rPr>
        <w:t> </w:t>
      </w:r>
      <w:r>
        <w:rPr>
          <w:spacing w:val="-2"/>
        </w:rPr>
        <w:t>教师、南京大学常州高新技术研究院院长，兼任江苏省复合材料学会功能材料副主任委员、中国化学会产</w:t>
      </w:r>
      <w:r>
        <w:rPr>
          <w:spacing w:val="-45"/>
        </w:rPr>
        <w:t> </w:t>
      </w:r>
      <w:r>
        <w:rPr>
          <w:spacing w:val="-45"/>
        </w:rPr>
      </w:r>
      <w:r>
        <w:rPr>
          <w:spacing w:val="-2"/>
        </w:rPr>
        <w:t>学研合作与促进工作委员会副主任委员等职务；曾获江苏省十大青年科技之星、国家火炬计划创业导师等</w:t>
      </w:r>
      <w:r>
        <w:rPr>
          <w:spacing w:val="-44"/>
        </w:rPr>
        <w:t> </w:t>
      </w:r>
      <w:r>
        <w:rPr>
          <w:spacing w:val="-44"/>
        </w:rPr>
      </w:r>
      <w:r>
        <w:rPr>
          <w:spacing w:val="-2"/>
        </w:rPr>
        <w:t>称号，目前担任江苏雅克科技股份有限公司独立董事、常州丰盛光电科技股份有限公司独立董事、江苏丰</w:t>
      </w:r>
      <w:r>
        <w:rPr>
          <w:spacing w:val="-44"/>
        </w:rPr>
        <w:t> </w:t>
      </w:r>
      <w:r>
        <w:rPr>
          <w:spacing w:val="-44"/>
        </w:rPr>
      </w:r>
      <w:r>
        <w:rPr/>
        <w:t>华生物制药有限公司独立董事。现任本公司独立董事。</w:t>
      </w:r>
    </w:p>
    <w:p>
      <w:pPr>
        <w:pStyle w:val="BodyText"/>
        <w:spacing w:line="240" w:lineRule="auto" w:before="132"/>
        <w:ind w:left="573" w:right="0"/>
        <w:jc w:val="left"/>
      </w:pPr>
      <w:r>
        <w:rPr>
          <w:rFonts w:ascii="Times New Roman" w:hAnsi="Times New Roman" w:cs="Times New Roman" w:eastAsia="Times New Roman" w:hint="default"/>
        </w:rPr>
        <w:t>2</w:t>
      </w:r>
      <w:r>
        <w:rPr/>
        <w:t>、监事</w:t>
      </w:r>
    </w:p>
    <w:p>
      <w:pPr>
        <w:pStyle w:val="BodyText"/>
        <w:spacing w:line="256" w:lineRule="auto" w:before="141"/>
        <w:ind w:right="0" w:firstLine="420"/>
        <w:jc w:val="left"/>
      </w:pPr>
      <w:r>
        <w:rPr>
          <w:spacing w:val="-2"/>
        </w:rPr>
        <w:t>（</w:t>
      </w:r>
      <w:r>
        <w:rPr>
          <w:rFonts w:ascii="Times New Roman" w:hAnsi="Times New Roman" w:cs="Times New Roman" w:eastAsia="Times New Roman" w:hint="default"/>
          <w:spacing w:val="-2"/>
        </w:rPr>
        <w:t>1</w:t>
      </w:r>
      <w:r>
        <w:rPr>
          <w:spacing w:val="-2"/>
        </w:rPr>
        <w:t>）金叶：女，</w:t>
      </w:r>
      <w:r>
        <w:rPr>
          <w:rFonts w:ascii="Times New Roman" w:hAnsi="Times New Roman" w:cs="Times New Roman" w:eastAsia="Times New Roman" w:hint="default"/>
          <w:spacing w:val="-2"/>
        </w:rPr>
        <w:t>1987</w:t>
      </w:r>
      <w:r>
        <w:rPr>
          <w:spacing w:val="-2"/>
        </w:rPr>
        <w:t>年</w:t>
      </w:r>
      <w:r>
        <w:rPr>
          <w:rFonts w:ascii="Times New Roman" w:hAnsi="Times New Roman" w:cs="Times New Roman" w:eastAsia="Times New Roman" w:hint="default"/>
          <w:spacing w:val="-2"/>
        </w:rPr>
        <w:t>1</w:t>
      </w:r>
      <w:r>
        <w:rPr>
          <w:spacing w:val="-2"/>
        </w:rPr>
        <w:t>月出生，中国籍，无永久境外居留权，本科学历。</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月为</w:t>
      </w:r>
      <w:r>
        <w:rPr>
          <w:w w:val="100"/>
        </w:rPr>
        <w:t> </w:t>
      </w:r>
      <w:r>
        <w:rPr/>
        <w:t>宿迁市彩塑包装有限公司员工。现任本公司监事会主席。</w:t>
      </w:r>
    </w:p>
    <w:p>
      <w:pPr>
        <w:pStyle w:val="BodyText"/>
        <w:spacing w:line="256" w:lineRule="auto" w:before="143"/>
        <w:ind w:right="0" w:firstLine="420"/>
        <w:jc w:val="left"/>
      </w:pPr>
      <w:r>
        <w:rPr>
          <w:spacing w:val="-2"/>
        </w:rPr>
        <w:t>（</w:t>
      </w:r>
      <w:r>
        <w:rPr>
          <w:rFonts w:ascii="Times New Roman" w:hAnsi="Times New Roman" w:cs="Times New Roman" w:eastAsia="Times New Roman" w:hint="default"/>
          <w:spacing w:val="-2"/>
        </w:rPr>
        <w:t>2</w:t>
      </w:r>
      <w:r>
        <w:rPr>
          <w:spacing w:val="-2"/>
        </w:rPr>
        <w:t>）池卫，女，</w:t>
      </w:r>
      <w:r>
        <w:rPr>
          <w:rFonts w:ascii="Times New Roman" w:hAnsi="Times New Roman" w:cs="Times New Roman" w:eastAsia="Times New Roman" w:hint="default"/>
          <w:spacing w:val="-2"/>
        </w:rPr>
        <w:t>1985</w:t>
      </w:r>
      <w:r>
        <w:rPr>
          <w:spacing w:val="-2"/>
        </w:rPr>
        <w:t>年</w:t>
      </w:r>
      <w:r>
        <w:rPr>
          <w:rFonts w:ascii="Times New Roman" w:hAnsi="Times New Roman" w:cs="Times New Roman" w:eastAsia="Times New Roman" w:hint="default"/>
          <w:spacing w:val="-2"/>
        </w:rPr>
        <w:t>11</w:t>
      </w:r>
      <w:r>
        <w:rPr>
          <w:spacing w:val="-2"/>
        </w:rPr>
        <w:t>月出生，中国籍，无永久境外居留权，本科学历。</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月为宿</w:t>
      </w:r>
      <w:r>
        <w:rPr>
          <w:w w:val="100"/>
        </w:rPr>
        <w:t> </w:t>
      </w:r>
      <w:r>
        <w:rPr/>
        <w:t>迁市彩塑包装有限公司员工。现任本公司知识产权部部长、监事。</w:t>
      </w:r>
    </w:p>
    <w:p>
      <w:pPr>
        <w:pStyle w:val="BodyText"/>
        <w:spacing w:line="256" w:lineRule="auto" w:before="142"/>
        <w:ind w:right="0" w:firstLine="420"/>
        <w:jc w:val="left"/>
      </w:pPr>
      <w:r>
        <w:rPr/>
        <w:t>（</w:t>
      </w:r>
      <w:r>
        <w:rPr>
          <w:rFonts w:ascii="Times New Roman" w:hAnsi="Times New Roman" w:cs="Times New Roman" w:eastAsia="Times New Roman" w:hint="default"/>
        </w:rPr>
        <w:t>3</w:t>
      </w:r>
      <w:r>
        <w:rPr/>
        <w:t>）郑卫：男，</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6</w:t>
      </w:r>
      <w:r>
        <w:rPr/>
        <w:t>月出生，中国籍，无永久境外居留权，本科学历。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w w:val="100"/>
        </w:rPr>
        <w:t> </w:t>
      </w:r>
      <w:r>
        <w:rPr/>
        <w:t>为宿迁市彩塑包装有限公司员工。现任本公司监事。</w:t>
      </w:r>
    </w:p>
    <w:p>
      <w:pPr>
        <w:pStyle w:val="BodyText"/>
        <w:spacing w:line="240" w:lineRule="auto" w:before="142"/>
        <w:ind w:left="573" w:right="0"/>
        <w:jc w:val="left"/>
      </w:pPr>
      <w:r>
        <w:rPr>
          <w:rFonts w:ascii="Times New Roman" w:hAnsi="Times New Roman" w:cs="Times New Roman" w:eastAsia="Times New Roman" w:hint="default"/>
        </w:rPr>
        <w:t>3</w:t>
      </w:r>
      <w:r>
        <w:rPr/>
        <w:t>、高级管理人员</w:t>
      </w:r>
    </w:p>
    <w:p>
      <w:pPr>
        <w:pStyle w:val="BodyText"/>
        <w:spacing w:line="264" w:lineRule="auto" w:before="141"/>
        <w:ind w:right="0" w:firstLine="420"/>
        <w:jc w:val="left"/>
      </w:pPr>
      <w:r>
        <w:rPr>
          <w:spacing w:val="-2"/>
        </w:rPr>
        <w:t>（</w:t>
      </w:r>
      <w:r>
        <w:rPr>
          <w:rFonts w:ascii="Times New Roman" w:hAnsi="Times New Roman" w:cs="Times New Roman" w:eastAsia="Times New Roman" w:hint="default"/>
          <w:spacing w:val="-2"/>
        </w:rPr>
        <w:t>1</w:t>
      </w:r>
      <w:r>
        <w:rPr>
          <w:spacing w:val="-2"/>
        </w:rPr>
        <w:t>）吴培服：男，</w:t>
      </w:r>
      <w:r>
        <w:rPr>
          <w:rFonts w:ascii="Times New Roman" w:hAnsi="Times New Roman" w:cs="Times New Roman" w:eastAsia="Times New Roman" w:hint="default"/>
          <w:spacing w:val="-2"/>
        </w:rPr>
        <w:t>1961</w:t>
      </w:r>
      <w:r>
        <w:rPr>
          <w:spacing w:val="-2"/>
        </w:rPr>
        <w:t>年</w:t>
      </w:r>
      <w:r>
        <w:rPr>
          <w:rFonts w:ascii="Times New Roman" w:hAnsi="Times New Roman" w:cs="Times New Roman" w:eastAsia="Times New Roman" w:hint="default"/>
          <w:spacing w:val="-2"/>
        </w:rPr>
        <w:t>10</w:t>
      </w:r>
      <w:r>
        <w:rPr>
          <w:spacing w:val="-2"/>
        </w:rPr>
        <w:t>月出生，中国籍，无永久境外居留权，大专学历。历任井头综合厂钳工、</w:t>
      </w:r>
      <w:r>
        <w:rPr>
          <w:w w:val="100"/>
        </w:rPr>
        <w:t> </w:t>
      </w:r>
      <w:r>
        <w:rPr>
          <w:spacing w:val="-2"/>
        </w:rPr>
        <w:t>井头乡井头村村长、宿迁市新型包装材料厂厂长、宿迁市铝型材厂厂长、宿迁市电池配件厂厂长、宿迁市</w:t>
      </w:r>
      <w:r>
        <w:rPr>
          <w:spacing w:val="-50"/>
        </w:rPr>
        <w:t> </w:t>
      </w:r>
      <w:r>
        <w:rPr>
          <w:spacing w:val="-50"/>
        </w:rPr>
      </w:r>
      <w:r>
        <w:rPr/>
        <w:t>彩塑包装有限公司执行董事，现任本公司董事长、总经理。</w:t>
      </w:r>
    </w:p>
    <w:p>
      <w:pPr>
        <w:pStyle w:val="BodyText"/>
        <w:spacing w:line="256" w:lineRule="auto" w:before="136"/>
        <w:ind w:right="0" w:firstLine="420"/>
        <w:jc w:val="left"/>
      </w:pPr>
      <w:r>
        <w:rPr>
          <w:spacing w:val="-2"/>
        </w:rPr>
        <w:t>（</w:t>
      </w:r>
      <w:r>
        <w:rPr>
          <w:rFonts w:ascii="Times New Roman" w:hAnsi="Times New Roman" w:cs="Times New Roman" w:eastAsia="Times New Roman" w:hint="default"/>
          <w:spacing w:val="-2"/>
        </w:rPr>
        <w:t>2</w:t>
      </w:r>
      <w:r>
        <w:rPr>
          <w:spacing w:val="-2"/>
        </w:rPr>
        <w:t>）吴迪：男，</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9</w:t>
      </w:r>
      <w:r>
        <w:rPr>
          <w:spacing w:val="-2"/>
        </w:rPr>
        <w:t>月出生，中国籍，无永久境外居留权，本科学历。历任宿迁市彩塑包装有限</w:t>
      </w:r>
      <w:r>
        <w:rPr>
          <w:w w:val="100"/>
        </w:rPr>
        <w:t> </w:t>
      </w:r>
      <w:r>
        <w:rPr/>
        <w:t>公司副总经理。现任本公司董事、董事会秘书、副总经理。</w:t>
      </w:r>
    </w:p>
    <w:p>
      <w:pPr>
        <w:pStyle w:val="BodyText"/>
        <w:spacing w:line="256" w:lineRule="auto" w:before="143"/>
        <w:ind w:right="0" w:firstLine="420"/>
        <w:jc w:val="left"/>
      </w:pPr>
      <w:r>
        <w:rPr>
          <w:spacing w:val="-2"/>
        </w:rPr>
        <w:t>（</w:t>
      </w:r>
      <w:r>
        <w:rPr>
          <w:rFonts w:ascii="Times New Roman" w:hAnsi="Times New Roman" w:cs="Times New Roman" w:eastAsia="Times New Roman" w:hint="default"/>
          <w:spacing w:val="-2"/>
        </w:rPr>
        <w:t>3</w:t>
      </w:r>
      <w:r>
        <w:rPr>
          <w:spacing w:val="-2"/>
        </w:rPr>
        <w:t>）周海燕：女，</w:t>
      </w:r>
      <w:r>
        <w:rPr>
          <w:rFonts w:ascii="Times New Roman" w:hAnsi="Times New Roman" w:cs="Times New Roman" w:eastAsia="Times New Roman" w:hint="default"/>
          <w:spacing w:val="-2"/>
        </w:rPr>
        <w:t>1975</w:t>
      </w:r>
      <w:r>
        <w:rPr>
          <w:spacing w:val="-2"/>
        </w:rPr>
        <w:t>年</w:t>
      </w:r>
      <w:r>
        <w:rPr>
          <w:rFonts w:ascii="Times New Roman" w:hAnsi="Times New Roman" w:cs="Times New Roman" w:eastAsia="Times New Roman" w:hint="default"/>
          <w:spacing w:val="-2"/>
        </w:rPr>
        <w:t>1</w:t>
      </w:r>
      <w:r>
        <w:rPr>
          <w:spacing w:val="-2"/>
        </w:rPr>
        <w:t>月出生，中国籍，无永久境外居留权，本科学历。历任宿迁市彩塑包装有</w:t>
      </w:r>
      <w:r>
        <w:rPr>
          <w:w w:val="100"/>
        </w:rPr>
        <w:t> </w:t>
      </w:r>
      <w:r>
        <w:rPr/>
        <w:t>限公司副总经理、财务经理。现任本公司董事、副总经理、财务总监。</w:t>
      </w:r>
    </w:p>
    <w:p>
      <w:pPr>
        <w:pStyle w:val="BodyText"/>
        <w:spacing w:line="256" w:lineRule="auto" w:before="142"/>
        <w:ind w:right="0" w:firstLine="420"/>
        <w:jc w:val="left"/>
      </w:pPr>
      <w:r>
        <w:rPr/>
        <w:t>（</w:t>
      </w:r>
      <w:r>
        <w:rPr>
          <w:rFonts w:ascii="Times New Roman" w:hAnsi="Times New Roman" w:cs="Times New Roman" w:eastAsia="Times New Roman" w:hint="default"/>
        </w:rPr>
        <w:t>4</w:t>
      </w:r>
      <w:r>
        <w:rPr/>
        <w:t>）潘建忠：男，</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11</w:t>
      </w:r>
      <w:r>
        <w:rPr/>
        <w:t>月出生，中国籍，无永久境外居留权，本科学历。历任宁波包装材料有</w:t>
      </w:r>
      <w:r>
        <w:rPr>
          <w:w w:val="100"/>
        </w:rPr>
        <w:t> </w:t>
      </w:r>
      <w:r>
        <w:rPr>
          <w:spacing w:val="-5"/>
        </w:rPr>
        <w:t>限公司技术部副经理、江苏琼花集团副总经理、宿迁市彩塑包装有限公司副总经理。现任本公司副总经理。</w:t>
      </w:r>
    </w:p>
    <w:p>
      <w:pPr>
        <w:pStyle w:val="BodyText"/>
        <w:spacing w:line="256" w:lineRule="auto" w:before="142"/>
        <w:ind w:right="0" w:firstLine="420"/>
        <w:jc w:val="left"/>
      </w:pPr>
      <w:r>
        <w:rPr>
          <w:spacing w:val="-4"/>
        </w:rPr>
        <w:t>（</w:t>
      </w:r>
      <w:r>
        <w:rPr>
          <w:rFonts w:ascii="Times New Roman" w:hAnsi="Times New Roman" w:cs="Times New Roman" w:eastAsia="Times New Roman" w:hint="default"/>
          <w:spacing w:val="-4"/>
        </w:rPr>
        <w:t>5</w:t>
      </w:r>
      <w:r>
        <w:rPr>
          <w:spacing w:val="-4"/>
        </w:rPr>
        <w:t>）邹兆云：男，</w:t>
      </w:r>
      <w:r>
        <w:rPr>
          <w:rFonts w:ascii="Times New Roman" w:hAnsi="Times New Roman" w:cs="Times New Roman" w:eastAsia="Times New Roman" w:hint="default"/>
          <w:spacing w:val="-4"/>
        </w:rPr>
        <w:t>1966</w:t>
      </w:r>
      <w:r>
        <w:rPr>
          <w:spacing w:val="-4"/>
        </w:rPr>
        <w:t>年</w:t>
      </w:r>
      <w:r>
        <w:rPr>
          <w:rFonts w:ascii="Times New Roman" w:hAnsi="Times New Roman" w:cs="Times New Roman" w:eastAsia="Times New Roman" w:hint="default"/>
          <w:spacing w:val="-4"/>
        </w:rPr>
        <w:t>4</w:t>
      </w:r>
      <w:r>
        <w:rPr>
          <w:spacing w:val="-4"/>
        </w:rPr>
        <w:t>月出生，中国籍，无永久境外居留权，高中学历。历任宿迁市卫生局员工、</w:t>
      </w:r>
      <w:r>
        <w:rPr>
          <w:w w:val="100"/>
        </w:rPr>
        <w:t> </w:t>
      </w:r>
      <w:r>
        <w:rPr/>
        <w:t>宿迁市彩塑包装有限公司副总经理、营销部主管。现任本公司副总经理。</w:t>
      </w:r>
    </w:p>
    <w:p>
      <w:pPr>
        <w:pStyle w:val="BodyText"/>
        <w:spacing w:line="256" w:lineRule="auto" w:before="142"/>
        <w:ind w:right="0" w:firstLine="420"/>
        <w:jc w:val="left"/>
      </w:pPr>
      <w:r>
        <w:rPr>
          <w:spacing w:val="-2"/>
        </w:rPr>
        <w:t>（</w:t>
      </w:r>
      <w:r>
        <w:rPr>
          <w:rFonts w:ascii="Times New Roman" w:hAnsi="Times New Roman" w:cs="Times New Roman" w:eastAsia="Times New Roman" w:hint="default"/>
          <w:spacing w:val="-2"/>
        </w:rPr>
        <w:t>6</w:t>
      </w:r>
      <w:r>
        <w:rPr>
          <w:spacing w:val="-2"/>
        </w:rPr>
        <w:t>）杨淑侠：女，</w:t>
      </w:r>
      <w:r>
        <w:rPr>
          <w:rFonts w:ascii="Times New Roman" w:hAnsi="Times New Roman" w:cs="Times New Roman" w:eastAsia="Times New Roman" w:hint="default"/>
          <w:spacing w:val="-2"/>
        </w:rPr>
        <w:t>1966</w:t>
      </w:r>
      <w:r>
        <w:rPr>
          <w:spacing w:val="-2"/>
        </w:rPr>
        <w:t>年</w:t>
      </w:r>
      <w:r>
        <w:rPr>
          <w:rFonts w:ascii="Times New Roman" w:hAnsi="Times New Roman" w:cs="Times New Roman" w:eastAsia="Times New Roman" w:hint="default"/>
          <w:spacing w:val="-2"/>
        </w:rPr>
        <w:t>1</w:t>
      </w:r>
      <w:r>
        <w:rPr>
          <w:spacing w:val="-2"/>
        </w:rPr>
        <w:t>月出生，中国籍，无永久境外居留权，高中学历。历任宿迁市彩塑包装有</w:t>
      </w:r>
      <w:r>
        <w:rPr>
          <w:w w:val="100"/>
        </w:rPr>
        <w:t> </w:t>
      </w:r>
      <w:r>
        <w:rPr/>
        <w:t>限公司副总经理。现任本公司副总经理。</w:t>
      </w:r>
    </w:p>
    <w:p>
      <w:pPr>
        <w:pStyle w:val="BodyText"/>
        <w:spacing w:line="256" w:lineRule="auto" w:before="142"/>
        <w:ind w:right="0" w:firstLine="420"/>
        <w:jc w:val="left"/>
      </w:pPr>
      <w:r>
        <w:rPr/>
        <w:t>（</w:t>
      </w:r>
      <w:r>
        <w:rPr>
          <w:rFonts w:ascii="Times New Roman" w:hAnsi="Times New Roman" w:cs="Times New Roman" w:eastAsia="Times New Roman" w:hint="default"/>
        </w:rPr>
        <w:t>7</w:t>
      </w:r>
      <w:r>
        <w:rPr/>
        <w:t>）葛林：男，</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10</w:t>
      </w:r>
      <w:r>
        <w:rPr/>
        <w:t>月出生，中国籍，无永久境外居留权，专科学历。历任宿迁市制鞋总厂车</w:t>
      </w:r>
      <w:r>
        <w:rPr>
          <w:w w:val="100"/>
        </w:rPr>
        <w:t> </w:t>
      </w:r>
      <w:r>
        <w:rPr/>
        <w:t>间主任、宿迁市彩塑包装有限公司副总经理。现任本公司副总经理。</w:t>
      </w:r>
    </w:p>
    <w:p>
      <w:pPr>
        <w:pStyle w:val="BodyText"/>
        <w:spacing w:line="256" w:lineRule="auto" w:before="143"/>
        <w:ind w:right="0" w:firstLine="420"/>
        <w:jc w:val="left"/>
      </w:pPr>
      <w:r>
        <w:rPr/>
        <w:t>（</w:t>
      </w:r>
      <w:r>
        <w:rPr>
          <w:rFonts w:ascii="Times New Roman" w:hAnsi="Times New Roman" w:cs="Times New Roman" w:eastAsia="Times New Roman" w:hint="default"/>
        </w:rPr>
        <w:t>8</w:t>
      </w:r>
      <w:r>
        <w:rPr/>
        <w:t>）陆敬权：男，</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10</w:t>
      </w:r>
      <w:r>
        <w:rPr/>
        <w:t>月出生，中国籍，无永久境外居留权，专科学历。历任宿迁市彩塑包装</w:t>
      </w:r>
      <w:r>
        <w:rPr>
          <w:w w:val="100"/>
        </w:rPr>
        <w:t> </w:t>
      </w:r>
      <w:r>
        <w:rPr/>
        <w:t>有限公司项目经理。现任本公司副总经理。</w:t>
      </w:r>
    </w:p>
    <w:p>
      <w:pPr>
        <w:pStyle w:val="BodyText"/>
        <w:spacing w:line="256" w:lineRule="auto" w:before="142"/>
        <w:ind w:right="0" w:firstLine="420"/>
        <w:jc w:val="left"/>
      </w:pPr>
      <w:r>
        <w:rPr>
          <w:spacing w:val="-2"/>
        </w:rPr>
        <w:t>（</w:t>
      </w:r>
      <w:r>
        <w:rPr>
          <w:rFonts w:ascii="Times New Roman" w:hAnsi="Times New Roman" w:cs="Times New Roman" w:eastAsia="Times New Roman" w:hint="default"/>
          <w:spacing w:val="-2"/>
        </w:rPr>
        <w:t>9</w:t>
      </w:r>
      <w:r>
        <w:rPr>
          <w:spacing w:val="-2"/>
        </w:rPr>
        <w:t>）孙化斌：男，</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9</w:t>
      </w:r>
      <w:r>
        <w:rPr>
          <w:spacing w:val="-2"/>
        </w:rPr>
        <w:t>月出生，中国籍，无永久境外居留权，高中学历。历任宿迁市铝合金厂电</w:t>
      </w:r>
      <w:r>
        <w:rPr>
          <w:w w:val="100"/>
        </w:rPr>
        <w:t> </w:t>
      </w:r>
      <w:r>
        <w:rPr/>
        <w:t>工、宿迁市彩塑包装有限公司车间主任、项目经理。现任本公司副总经理。</w:t>
      </w:r>
    </w:p>
    <w:p>
      <w:pPr>
        <w:pStyle w:val="BodyText"/>
        <w:spacing w:line="256" w:lineRule="auto" w:before="142"/>
        <w:ind w:right="0" w:firstLine="420"/>
        <w:jc w:val="left"/>
      </w:pPr>
      <w:r>
        <w:rPr/>
        <w:t>（</w:t>
      </w:r>
      <w:r>
        <w:rPr>
          <w:rFonts w:ascii="Times New Roman" w:hAnsi="Times New Roman" w:cs="Times New Roman" w:eastAsia="Times New Roman" w:hint="default"/>
        </w:rPr>
        <w:t>10</w:t>
      </w:r>
      <w:r>
        <w:rPr/>
        <w:t>）李平：女，</w:t>
      </w:r>
      <w:r>
        <w:rPr>
          <w:rFonts w:ascii="Times New Roman" w:hAnsi="Times New Roman" w:cs="Times New Roman" w:eastAsia="Times New Roman" w:hint="default"/>
        </w:rPr>
        <w:t>1983</w:t>
      </w:r>
      <w:r>
        <w:rPr/>
        <w:t>年</w:t>
      </w:r>
      <w:r>
        <w:rPr>
          <w:rFonts w:ascii="Times New Roman" w:hAnsi="Times New Roman" w:cs="Times New Roman" w:eastAsia="Times New Roman" w:hint="default"/>
        </w:rPr>
        <w:t>6</w:t>
      </w:r>
      <w:r>
        <w:rPr/>
        <w:t>月出生，中国籍，无永久境外居留权，本科学历。历任宿迁市彩塑包装有</w:t>
      </w:r>
      <w:r>
        <w:rPr>
          <w:w w:val="100"/>
        </w:rPr>
        <w:t> </w:t>
      </w:r>
      <w:r>
        <w:rPr/>
        <w:t>限公司总经理助理，现任公司副总经理。</w:t>
      </w:r>
    </w:p>
    <w:p>
      <w:pPr>
        <w:spacing w:after="0" w:line="25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66" w:lineRule="auto" w:before="36"/>
        <w:ind w:right="1129" w:firstLine="420"/>
        <w:jc w:val="both"/>
      </w:pPr>
      <w:r>
        <w:rPr/>
        <w:t>（</w:t>
      </w:r>
      <w:r>
        <w:rPr>
          <w:rFonts w:ascii="Times New Roman" w:hAnsi="Times New Roman" w:cs="Times New Roman" w:eastAsia="Times New Roman" w:hint="default"/>
        </w:rPr>
        <w:t>11</w:t>
      </w:r>
      <w:r>
        <w:rPr/>
        <w:t>）朱小磊：男，</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3</w:t>
      </w:r>
      <w:r>
        <w:rPr/>
        <w:t>月出生，中国籍，无永久境外居留权，研究生学历。历任江苏双星彩塑</w:t>
      </w:r>
      <w:r>
        <w:rPr>
          <w:w w:val="100"/>
        </w:rPr>
        <w:t> </w:t>
      </w:r>
      <w:r>
        <w:rPr>
          <w:spacing w:val="-2"/>
        </w:rPr>
        <w:t>新材料股份有限公司工程技术中心工程师、光学膜研究所主任、项目经理、总经理助理，现任公司副总经</w:t>
      </w:r>
      <w:r>
        <w:rPr>
          <w:spacing w:val="-47"/>
        </w:rPr>
        <w:t> </w:t>
      </w:r>
      <w:r>
        <w:rPr>
          <w:spacing w:val="-47"/>
        </w:rPr>
      </w:r>
      <w:r>
        <w:rPr/>
        <w:t>理。</w:t>
      </w:r>
    </w:p>
    <w:p>
      <w:pPr>
        <w:pStyle w:val="BodyText"/>
        <w:spacing w:line="256" w:lineRule="auto" w:before="134"/>
        <w:ind w:right="1128" w:firstLine="420"/>
        <w:jc w:val="both"/>
      </w:pPr>
      <w:r>
        <w:rPr>
          <w:spacing w:val="-2"/>
        </w:rPr>
        <w:t>（</w:t>
      </w:r>
      <w:r>
        <w:rPr>
          <w:rFonts w:ascii="Times New Roman" w:hAnsi="Times New Roman" w:cs="Times New Roman" w:eastAsia="Times New Roman" w:hint="default"/>
          <w:spacing w:val="-2"/>
        </w:rPr>
        <w:t>12</w:t>
      </w:r>
      <w:r>
        <w:rPr>
          <w:spacing w:val="-2"/>
        </w:rPr>
        <w:t>）丁炎森：男，</w:t>
      </w:r>
      <w:r>
        <w:rPr>
          <w:rFonts w:ascii="Times New Roman" w:hAnsi="Times New Roman" w:cs="Times New Roman" w:eastAsia="Times New Roman" w:hint="default"/>
          <w:spacing w:val="-2"/>
        </w:rPr>
        <w:t>1984</w:t>
      </w:r>
      <w:r>
        <w:rPr>
          <w:spacing w:val="-2"/>
        </w:rPr>
        <w:t>年</w:t>
      </w:r>
      <w:r>
        <w:rPr>
          <w:rFonts w:ascii="Times New Roman" w:hAnsi="Times New Roman" w:cs="Times New Roman" w:eastAsia="Times New Roman" w:hint="default"/>
          <w:spacing w:val="-2"/>
        </w:rPr>
        <w:t>10</w:t>
      </w:r>
      <w:r>
        <w:rPr>
          <w:spacing w:val="-2"/>
        </w:rPr>
        <w:t>月出生，中国籍，无永久境外居留权，本科学历。历任江苏双星彩塑新</w:t>
      </w:r>
      <w:r>
        <w:rPr>
          <w:w w:val="100"/>
        </w:rPr>
        <w:t> </w:t>
      </w:r>
      <w:r>
        <w:rPr/>
        <w:t>材料股份有限公司项目主管、总经办副主任。现任公司副总经理。</w:t>
      </w:r>
    </w:p>
    <w:p>
      <w:pPr>
        <w:spacing w:before="163"/>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2329"/>
        <w:gridCol w:w="1418"/>
        <w:gridCol w:w="1558"/>
        <w:gridCol w:w="1562"/>
        <w:gridCol w:w="1486"/>
      </w:tblGrid>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4" w:right="72"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7" w:right="10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启恒投资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迪智成投资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周海燕</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启恒投资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吴迪</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迪智成投资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2878"/>
        <w:gridCol w:w="1491"/>
        <w:gridCol w:w="1229"/>
        <w:gridCol w:w="1361"/>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9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0" w:right="108"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4"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蓝海林</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华南理工大学工商管理学院</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教授、博士生导师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蓝海林</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广州汽车集团股份有限公司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蓝海林</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广东新宝电器股份有限公司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蓝海林</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珠海市乐通化工股份有限公司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蓝海林</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广发证券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程银春</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副所长、合伙人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程银春</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蒙娜丽莎集团股份有限公司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南京大学</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南京大学常州高新技术研究院</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江苏雅克科技股份有限公司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常州丰盛光电科技股份有限公司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江苏丰华生物制药有限公司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273" w:lineRule="auto" w:before="94"/>
        <w:ind w:right="0"/>
        <w:jc w:val="left"/>
      </w:pPr>
      <w:r>
        <w:rPr>
          <w:spacing w:val="-2"/>
        </w:rPr>
        <w:t>根据公司《公司董事、监事及高级管理人员薪酬考核办法》等相关规定，公司按不同的职务、不同的岗位</w:t>
      </w:r>
      <w:r>
        <w:rPr>
          <w:spacing w:val="-43"/>
        </w:rPr>
        <w:t> </w:t>
      </w:r>
      <w:r>
        <w:rPr>
          <w:spacing w:val="-43"/>
        </w:rPr>
      </w:r>
      <w:r>
        <w:rPr/>
        <w:t>职责，结合个人工作业绩以及完成任务的情况确认公司高管人员的报酬。</w:t>
      </w:r>
    </w:p>
    <w:p>
      <w:pPr>
        <w:spacing w:after="0" w:line="273"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1" w:firstLine="0"/>
        <w:jc w:val="right"/>
        <w:rPr>
          <w:rFonts w:ascii="宋体" w:hAnsi="宋体" w:cs="宋体" w:eastAsia="宋体" w:hint="default"/>
          <w:sz w:val="18"/>
          <w:szCs w:val="18"/>
        </w:rPr>
      </w:pPr>
      <w:r>
        <w:rPr/>
        <w:pict>
          <v:group style="position:absolute;margin-left:193.820007pt;margin-top:115.001747pt;width:67.850pt;height:27.9pt;mso-position-horizontal-relative:page;mso-position-vertical-relative:paragraph;z-index:-917440" coordorigin="3876,2300" coordsize="1357,558">
            <v:group style="position:absolute;left:3876;top:2300;width:1357;height:156" coordorigin="3876,2300" coordsize="1357,156">
              <v:shape style="position:absolute;left:3876;top:2300;width:1357;height:156" coordorigin="3876,2300" coordsize="1357,156" path="m3876,2456l5233,2456,5233,2300,3876,2300,3876,2456xe" filled="true" fillcolor="#ffffff" stroked="false">
                <v:path arrowok="t"/>
                <v:fill type="solid"/>
              </v:shape>
            </v:group>
            <v:group style="position:absolute;left:3887;top:2456;width:2;height:392" coordorigin="3887,2456" coordsize="2,392">
              <v:shape style="position:absolute;left:3887;top:2456;width:2;height:392" coordorigin="3887,2456" coordsize="0,392" path="m3887,2456l3887,2847e" filled="false" stroked="true" strokeweight="1.08pt" strokecolor="#ffffff">
                <v:path arrowok="t"/>
              </v:shape>
            </v:group>
            <v:group style="position:absolute;left:3898;top:2456;width:1311;height:392" coordorigin="3898,2456" coordsize="1311,392">
              <v:shape style="position:absolute;left:3898;top:2456;width:1311;height:392" coordorigin="3898,2456" coordsize="1311,392" path="m3898,2847l5209,2847,5209,2456,3898,2456,3898,2847xe" filled="true" fillcolor="#ffffff" stroked="false">
                <v:path arrowok="t"/>
                <v:fill type="solid"/>
              </v:shape>
            </v:group>
            <w10:wrap type="none"/>
          </v:group>
        </w:pict>
      </w: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8"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吴培服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2"/>
                <w:sz w:val="18"/>
                <w:szCs w:val="18"/>
              </w:rPr>
              <w:t> </w:t>
            </w:r>
            <w:r>
              <w:rPr>
                <w:rFonts w:ascii="宋体" w:hAnsi="宋体" w:cs="宋体" w:eastAsia="宋体" w:hint="default"/>
                <w:sz w:val="18"/>
                <w:szCs w:val="18"/>
              </w:rPr>
              <w:t>迪</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41" w:right="47" w:hanging="92"/>
              <w:jc w:val="left"/>
              <w:rPr>
                <w:rFonts w:ascii="宋体" w:hAnsi="宋体" w:cs="宋体" w:eastAsia="宋体" w:hint="default"/>
                <w:sz w:val="18"/>
                <w:szCs w:val="18"/>
              </w:rPr>
            </w:pPr>
            <w:r>
              <w:rPr>
                <w:rFonts w:ascii="宋体" w:hAnsi="宋体" w:cs="宋体" w:eastAsia="宋体" w:hint="default"/>
                <w:sz w:val="18"/>
                <w:szCs w:val="18"/>
              </w:rPr>
              <w:t>董事、董事会秘 书、副总经理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周海燕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21" w:right="108" w:hanging="296"/>
              <w:jc w:val="left"/>
              <w:rPr>
                <w:rFonts w:ascii="宋体" w:hAnsi="宋体" w:cs="宋体" w:eastAsia="宋体" w:hint="default"/>
                <w:sz w:val="18"/>
                <w:szCs w:val="18"/>
              </w:rPr>
            </w:pPr>
            <w:r>
              <w:rPr>
                <w:rFonts w:ascii="宋体" w:hAnsi="宋体" w:cs="宋体" w:eastAsia="宋体" w:hint="default"/>
                <w:spacing w:val="-6"/>
                <w:sz w:val="18"/>
                <w:szCs w:val="18"/>
              </w:rPr>
              <w:t>董事、财务总监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曹 </w:t>
            </w:r>
            <w:r>
              <w:rPr>
                <w:rFonts w:ascii="宋体" w:hAnsi="宋体" w:cs="宋体" w:eastAsia="宋体" w:hint="default"/>
                <w:spacing w:val="2"/>
                <w:sz w:val="18"/>
                <w:szCs w:val="18"/>
              </w:rPr>
              <w:t> </w:t>
            </w:r>
            <w:r>
              <w:rPr>
                <w:rFonts w:ascii="宋体" w:hAnsi="宋体" w:cs="宋体" w:eastAsia="宋体" w:hint="default"/>
                <w:sz w:val="18"/>
                <w:szCs w:val="18"/>
              </w:rPr>
              <w:t>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蓝海林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程银春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池 </w:t>
            </w:r>
            <w:r>
              <w:rPr>
                <w:rFonts w:ascii="宋体" w:hAnsi="宋体" w:cs="宋体" w:eastAsia="宋体" w:hint="default"/>
                <w:spacing w:val="2"/>
                <w:sz w:val="18"/>
                <w:szCs w:val="18"/>
              </w:rPr>
              <w:t> </w:t>
            </w:r>
            <w:r>
              <w:rPr>
                <w:rFonts w:ascii="宋体" w:hAnsi="宋体" w:cs="宋体" w:eastAsia="宋体" w:hint="default"/>
                <w:sz w:val="18"/>
                <w:szCs w:val="18"/>
              </w:rPr>
              <w:t>卫</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郑 </w:t>
            </w:r>
            <w:r>
              <w:rPr>
                <w:rFonts w:ascii="宋体" w:hAnsi="宋体" w:cs="宋体" w:eastAsia="宋体" w:hint="default"/>
                <w:spacing w:val="2"/>
                <w:sz w:val="18"/>
                <w:szCs w:val="18"/>
              </w:rPr>
              <w:t> </w:t>
            </w:r>
            <w:r>
              <w:rPr>
                <w:rFonts w:ascii="宋体" w:hAnsi="宋体" w:cs="宋体" w:eastAsia="宋体" w:hint="default"/>
                <w:sz w:val="18"/>
                <w:szCs w:val="18"/>
              </w:rPr>
              <w:t>卫</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潘建忠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邹兆云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杨淑侠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葛 </w:t>
            </w:r>
            <w:r>
              <w:rPr>
                <w:rFonts w:ascii="宋体" w:hAnsi="宋体" w:cs="宋体" w:eastAsia="宋体" w:hint="default"/>
                <w:spacing w:val="2"/>
                <w:sz w:val="18"/>
                <w:szCs w:val="18"/>
              </w:rPr>
              <w:t> </w:t>
            </w:r>
            <w:r>
              <w:rPr>
                <w:rFonts w:ascii="宋体" w:hAnsi="宋体" w:cs="宋体" w:eastAsia="宋体" w:hint="default"/>
                <w:sz w:val="18"/>
                <w:szCs w:val="18"/>
              </w:rPr>
              <w:t>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陆敬权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孙化斌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朱小磊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丁炎森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528.55</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1,303</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39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932</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353</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1,433</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120</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970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1,433</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根据公司薪酬与绩效考核管理的相应制度进行。</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26"/>
          <w:szCs w:val="26"/>
        </w:rPr>
      </w:pPr>
    </w:p>
    <w:p>
      <w:pPr>
        <w:spacing w:line="316" w:lineRule="auto" w:before="0"/>
        <w:ind w:left="152" w:right="1034" w:firstLine="360"/>
        <w:jc w:val="left"/>
        <w:rPr>
          <w:rFonts w:ascii="宋体" w:hAnsi="宋体" w:cs="宋体" w:eastAsia="宋体" w:hint="default"/>
          <w:sz w:val="18"/>
          <w:szCs w:val="18"/>
        </w:rPr>
      </w:pPr>
      <w:r>
        <w:rPr>
          <w:rFonts w:ascii="宋体" w:hAnsi="宋体" w:cs="宋体" w:eastAsia="宋体" w:hint="default"/>
          <w:spacing w:val="-2"/>
          <w:sz w:val="18"/>
          <w:szCs w:val="18"/>
        </w:rPr>
        <w:t>围绕公司发展战略指导思想和经营目标，结合企业实际情况，为满足公司战略发展对人力资源的要求，为员工职业</w:t>
      </w:r>
      <w:r>
        <w:rPr>
          <w:rFonts w:ascii="宋体" w:hAnsi="宋体" w:cs="宋体" w:eastAsia="宋体" w:hint="default"/>
          <w:color w:val="212121"/>
          <w:spacing w:val="-2"/>
          <w:sz w:val="18"/>
          <w:szCs w:val="18"/>
        </w:rPr>
        <w:t>生涯</w:t>
      </w:r>
      <w:r>
        <w:rPr>
          <w:rFonts w:ascii="宋体" w:hAnsi="宋体" w:cs="宋体" w:eastAsia="宋体" w:hint="default"/>
          <w:color w:val="212121"/>
          <w:sz w:val="18"/>
          <w:szCs w:val="18"/>
        </w:rPr>
        <w:t> </w:t>
      </w:r>
      <w:r>
        <w:rPr>
          <w:rFonts w:ascii="宋体" w:hAnsi="宋体" w:cs="宋体" w:eastAsia="宋体" w:hint="default"/>
          <w:color w:val="212121"/>
          <w:spacing w:val="-2"/>
          <w:sz w:val="18"/>
          <w:szCs w:val="18"/>
        </w:rPr>
        <w:t>规划提供方向，为企业发展提供人才保证。公司</w:t>
      </w:r>
      <w:r>
        <w:rPr>
          <w:rFonts w:ascii="宋体" w:hAnsi="宋体" w:cs="宋体" w:eastAsia="宋体" w:hint="default"/>
          <w:spacing w:val="-2"/>
          <w:sz w:val="18"/>
          <w:szCs w:val="18"/>
        </w:rPr>
        <w:t>以入职培训、岗位技能培训、经营理念培训为重点，以素质和能力建设为核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心，逐步形成与企业发展相适应、符合员工成长规律的多层次、多类别、多形式、重实效的培训格局，建设一支学习型、实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干型、创新型的员工队伍。一是一线员工技术、技能掊训使其进一步提高；二是营销模式创新，加强营销售人员培训，激发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活力。三是管理人员业务技能培训，提升业务水平和技能。四是创新及精细化管理培训，提高执行力。四是开展全员培训， 确保安全生产。</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219"/>
        <w:jc w:val="center"/>
        <w:rPr>
          <w:b w:val="0"/>
          <w:bCs w:val="0"/>
        </w:rPr>
      </w:pPr>
      <w:bookmarkStart w:name="_bookmark9" w:id="10"/>
      <w:bookmarkEnd w:id="1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一、公司治理的基本状况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0" w:firstLine="420"/>
        <w:jc w:val="left"/>
      </w:pPr>
      <w:r>
        <w:rPr/>
        <w:t>报告期内，公司严格按照《公司法》、《证券法》、《上市公司治理准则》、《深圳证券交易所股票</w:t>
      </w:r>
      <w:r>
        <w:rPr>
          <w:w w:val="100"/>
        </w:rPr>
        <w:t> </w:t>
      </w:r>
      <w:r>
        <w:rPr>
          <w:spacing w:val="-5"/>
        </w:rPr>
        <w:t>上市规则》、《深圳证券交易所中小企业板上市公司规范运作指引》和中国证监会有关法律法规等的要求，</w:t>
      </w:r>
      <w:r>
        <w:rPr>
          <w:spacing w:val="-9"/>
        </w:rPr>
        <w:t> </w:t>
      </w:r>
      <w:r>
        <w:rPr>
          <w:spacing w:val="-9"/>
        </w:rPr>
      </w:r>
      <w:r>
        <w:rPr>
          <w:spacing w:val="-2"/>
        </w:rPr>
        <w:t>不断完善公司治理结构，建立健全内部管理和控制制度，持续深入开展公司治理活动，以进一步规范公司</w:t>
      </w:r>
      <w:r>
        <w:rPr>
          <w:spacing w:val="-44"/>
        </w:rPr>
        <w:t> </w:t>
      </w:r>
      <w:r>
        <w:rPr>
          <w:spacing w:val="-44"/>
        </w:rPr>
      </w:r>
      <w:r>
        <w:rPr/>
        <w:t>运作，提高了公司治理水平。</w:t>
      </w:r>
    </w:p>
    <w:p>
      <w:pPr>
        <w:spacing w:before="6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0" w:firstLine="420"/>
        <w:jc w:val="left"/>
      </w:pPr>
      <w:r>
        <w:rPr/>
        <w:t>公司自成立以来，严格按照《公司法》、《证券法》等有关法律、法规和《公司章程》的要求规范运</w:t>
      </w:r>
      <w:r>
        <w:rPr>
          <w:w w:val="100"/>
        </w:rPr>
        <w:t> </w:t>
      </w:r>
      <w:r>
        <w:rPr>
          <w:spacing w:val="-5"/>
        </w:rPr>
        <w:t>作，与控股股东在业务、人员、资产、机构、财务等方面完全分开，具有独立完整的业务及自主经营能力。</w:t>
      </w:r>
    </w:p>
    <w:p>
      <w:pPr>
        <w:pStyle w:val="BodyText"/>
        <w:spacing w:line="273" w:lineRule="auto" w:before="7"/>
        <w:ind w:right="0"/>
        <w:jc w:val="left"/>
      </w:pPr>
      <w:r>
        <w:rPr/>
        <w:t>（一）业务独立情况：公司业务独立于控股股东及其下属企业，拥有独立完整的供应、生产和销售系统，</w:t>
      </w:r>
      <w:r>
        <w:rPr>
          <w:w w:val="100"/>
        </w:rPr>
        <w:t> </w:t>
      </w:r>
      <w:r>
        <w:rPr>
          <w:spacing w:val="-2"/>
        </w:rPr>
        <w:t>独立开展业务，不依赖于股东或其它任何关联方。公司股东及其他关联方目前业务均与本公司不同，而且</w:t>
      </w:r>
      <w:r>
        <w:rPr>
          <w:spacing w:val="-43"/>
        </w:rPr>
        <w:t> </w:t>
      </w:r>
      <w:r>
        <w:rPr>
          <w:spacing w:val="-43"/>
        </w:rPr>
      </w:r>
      <w:r>
        <w:rPr>
          <w:spacing w:val="-2"/>
        </w:rPr>
        <w:t>向本公司出具了《避免同业竞争的承诺函》。（二）人员独立情况：公司人员、劳动、人事及工资完全独</w:t>
      </w:r>
      <w:r>
        <w:rPr>
          <w:spacing w:val="-49"/>
        </w:rPr>
        <w:t> </w:t>
      </w:r>
      <w:r>
        <w:rPr>
          <w:spacing w:val="-49"/>
        </w:rPr>
      </w:r>
      <w:r>
        <w:rPr>
          <w:spacing w:val="-2"/>
        </w:rPr>
        <w:t>立。公司总经理、副总经理、董事会秘书、财务负责人等高级管理人员均在公司工作并领取薪酬，未在控</w:t>
      </w:r>
      <w:r>
        <w:rPr>
          <w:spacing w:val="-42"/>
        </w:rPr>
        <w:t> </w:t>
      </w:r>
      <w:r>
        <w:rPr>
          <w:spacing w:val="-42"/>
        </w:rPr>
      </w:r>
      <w:r>
        <w:rPr>
          <w:spacing w:val="-2"/>
        </w:rPr>
        <w:t>股股东及其下属企业担任职务和领取报酬。（三）资产独立情况：公司拥有独立于控股股东的生产经营场</w:t>
      </w:r>
      <w:r>
        <w:rPr>
          <w:spacing w:val="-44"/>
        </w:rPr>
        <w:t> </w:t>
      </w:r>
      <w:r>
        <w:rPr>
          <w:spacing w:val="-44"/>
        </w:rPr>
      </w:r>
      <w:r>
        <w:rPr>
          <w:spacing w:val="-2"/>
        </w:rPr>
        <w:t>所，拥有独立完整的资产结构，拥有独立的生产系统、辅助生产系统和配套设施、土地使用权、房屋所有</w:t>
      </w:r>
      <w:r>
        <w:rPr>
          <w:spacing w:val="-43"/>
        </w:rPr>
        <w:t> </w:t>
      </w:r>
      <w:r>
        <w:rPr>
          <w:spacing w:val="-43"/>
        </w:rPr>
      </w:r>
      <w:r>
        <w:rPr>
          <w:spacing w:val="-2"/>
        </w:rPr>
        <w:t>权等资产，拥有独立的采购和销售系统。（四）机构独立情况：公司设立了健全的组织机构体系，独立运</w:t>
      </w:r>
      <w:r>
        <w:rPr>
          <w:spacing w:val="-45"/>
        </w:rPr>
        <w:t> </w:t>
      </w:r>
      <w:r>
        <w:rPr>
          <w:spacing w:val="-45"/>
        </w:rPr>
      </w:r>
      <w:r>
        <w:rPr>
          <w:spacing w:val="-5"/>
        </w:rPr>
        <w:t>作，不存在与控股股东或其职能部门之间的从属关系。（五）财务独立情况：公司有独立的财务会计部门，</w:t>
      </w:r>
      <w:r>
        <w:rPr>
          <w:spacing w:val="-3"/>
        </w:rPr>
        <w:t> </w:t>
      </w:r>
      <w:r>
        <w:rPr>
          <w:spacing w:val="-3"/>
        </w:rPr>
      </w:r>
      <w:r>
        <w:rPr/>
        <w:t>建立了独立的会计核算体系和财务管理制度，独立进行财务决策。公司独立开设银行账户，独立纳税。</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238"/>
        <w:gridCol w:w="1419"/>
        <w:gridCol w:w="1560"/>
        <w:gridCol w:w="1558"/>
        <w:gridCol w:w="2269"/>
      </w:tblGrid>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年年股东大会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98"/>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833" w:right="0"/>
              <w:jc w:val="left"/>
              <w:rPr>
                <w:rFonts w:ascii="Times New Roman" w:hAnsi="Times New Roman" w:cs="Times New Roman" w:eastAsia="Times New Roman" w:hint="default"/>
                <w:sz w:val="18"/>
                <w:szCs w:val="18"/>
              </w:rPr>
            </w:pPr>
            <w:r>
              <w:rPr>
                <w:rFonts w:ascii="Times New Roman"/>
                <w:sz w:val="18"/>
              </w:rPr>
              <w:t>45.26%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宋体" w:hAnsi="宋体" w:cs="宋体" w:eastAsia="宋体" w:hint="default"/>
                <w:spacing w:val="-10"/>
                <w:sz w:val="18"/>
                <w:szCs w:val="18"/>
              </w:rPr>
              <w:t>公告名称：《江苏双星彩塑新</w:t>
            </w:r>
            <w:r>
              <w:rPr>
                <w:rFonts w:ascii="宋体" w:hAnsi="宋体" w:cs="宋体" w:eastAsia="宋体" w:hint="default"/>
                <w:sz w:val="18"/>
                <w:szCs w:val="18"/>
              </w:rPr>
              <w:t> 材料股份有限公司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年年 度股东大会决议公告</w:t>
            </w:r>
            <w:r>
              <w:rPr>
                <w:rFonts w:ascii="宋体" w:hAnsi="宋体" w:cs="宋体" w:eastAsia="宋体" w:hint="default"/>
                <w:spacing w:val="1"/>
                <w:sz w:val="18"/>
                <w:szCs w:val="18"/>
              </w:rPr>
              <w:t> </w:t>
            </w:r>
            <w:r>
              <w:rPr>
                <w:rFonts w:ascii="宋体" w:hAnsi="宋体" w:cs="宋体" w:eastAsia="宋体" w:hint="default"/>
                <w:spacing w:val="-13"/>
                <w:sz w:val="18"/>
                <w:szCs w:val="18"/>
              </w:rPr>
              <w:t>》公告</w:t>
            </w:r>
            <w:r>
              <w:rPr>
                <w:rFonts w:ascii="宋体" w:hAnsi="宋体" w:cs="宋体" w:eastAsia="宋体" w:hint="default"/>
                <w:sz w:val="18"/>
                <w:szCs w:val="18"/>
              </w:rPr>
              <w:t> 编号：</w:t>
            </w:r>
            <w:r>
              <w:rPr>
                <w:rFonts w:ascii="Times New Roman" w:hAnsi="Times New Roman" w:cs="Times New Roman" w:eastAsia="Times New Roman" w:hint="default"/>
                <w:sz w:val="18"/>
                <w:szCs w:val="18"/>
              </w:rPr>
              <w:t>2019-017 </w:t>
            </w:r>
            <w:r>
              <w:rPr>
                <w:rFonts w:ascii="宋体" w:hAnsi="宋体" w:cs="宋体" w:eastAsia="宋体" w:hint="default"/>
                <w:sz w:val="18"/>
                <w:szCs w:val="18"/>
              </w:rPr>
              <w:t>信息披露媒 </w:t>
            </w:r>
            <w:r>
              <w:rPr>
                <w:rFonts w:ascii="宋体" w:hAnsi="宋体" w:cs="宋体" w:eastAsia="宋体" w:hint="default"/>
                <w:spacing w:val="-21"/>
                <w:sz w:val="18"/>
                <w:szCs w:val="18"/>
              </w:rPr>
              <w:t>体：《证券时报》、《证券日</w:t>
            </w:r>
            <w:r>
              <w:rPr>
                <w:rFonts w:ascii="宋体" w:hAnsi="宋体" w:cs="宋体" w:eastAsia="宋体" w:hint="default"/>
                <w:sz w:val="18"/>
                <w:szCs w:val="18"/>
              </w:rPr>
              <w:t> </w:t>
            </w:r>
            <w:r>
              <w:rPr>
                <w:rFonts w:ascii="宋体" w:hAnsi="宋体" w:cs="宋体" w:eastAsia="宋体" w:hint="default"/>
                <w:spacing w:val="-11"/>
                <w:sz w:val="18"/>
                <w:szCs w:val="18"/>
              </w:rPr>
              <w:t>报》、巨潮资讯网。</w:t>
            </w:r>
          </w:p>
        </w:tc>
      </w:tr>
    </w:tbl>
    <w:p>
      <w:pPr>
        <w:spacing w:after="0" w:line="312"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238"/>
        <w:gridCol w:w="1419"/>
        <w:gridCol w:w="1560"/>
        <w:gridCol w:w="1558"/>
        <w:gridCol w:w="2269"/>
      </w:tblGrid>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833" w:right="0"/>
              <w:jc w:val="left"/>
              <w:rPr>
                <w:rFonts w:ascii="Times New Roman" w:hAnsi="Times New Roman" w:cs="Times New Roman" w:eastAsia="Times New Roman" w:hint="default"/>
                <w:sz w:val="18"/>
                <w:szCs w:val="18"/>
              </w:rPr>
            </w:pPr>
            <w:r>
              <w:rPr>
                <w:rFonts w:ascii="Times New Roman"/>
                <w:sz w:val="18"/>
              </w:rPr>
              <w:t>43.73%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pacing w:val="-10"/>
                <w:sz w:val="18"/>
                <w:szCs w:val="18"/>
              </w:rPr>
              <w:t>公告名称：《江苏双星彩塑新</w:t>
            </w:r>
            <w:r>
              <w:rPr>
                <w:rFonts w:ascii="宋体" w:hAnsi="宋体" w:cs="宋体" w:eastAsia="宋体" w:hint="default"/>
                <w:sz w:val="18"/>
                <w:szCs w:val="18"/>
              </w:rPr>
              <w:t> 材料股份有限公司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年第 一次临时股东大会决议公</w:t>
            </w:r>
          </w:p>
          <w:p>
            <w:pPr>
              <w:pStyle w:val="TableParagraph"/>
              <w:spacing w:line="300" w:lineRule="auto" w:before="24"/>
              <w:ind w:left="23" w:right="17"/>
              <w:jc w:val="both"/>
              <w:rPr>
                <w:rFonts w:ascii="宋体" w:hAnsi="宋体" w:cs="宋体" w:eastAsia="宋体" w:hint="default"/>
                <w:sz w:val="18"/>
                <w:szCs w:val="18"/>
              </w:rPr>
            </w:pPr>
            <w:r>
              <w:rPr>
                <w:rFonts w:ascii="宋体" w:hAnsi="宋体" w:cs="宋体" w:eastAsia="宋体" w:hint="default"/>
                <w:sz w:val="18"/>
                <w:szCs w:val="18"/>
              </w:rPr>
              <w:t>告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2019-029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信 </w:t>
            </w:r>
            <w:r>
              <w:rPr>
                <w:rFonts w:ascii="宋体" w:hAnsi="宋体" w:cs="宋体" w:eastAsia="宋体" w:hint="default"/>
                <w:spacing w:val="-14"/>
                <w:sz w:val="18"/>
                <w:szCs w:val="18"/>
              </w:rPr>
              <w:t>息披露媒体：《证券时报》、</w:t>
            </w:r>
          </w:p>
          <w:p>
            <w:pPr>
              <w:pStyle w:val="TableParagraph"/>
              <w:spacing w:line="240" w:lineRule="auto" w:before="31"/>
              <w:ind w:left="23" w:right="0"/>
              <w:jc w:val="both"/>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、巨潮资讯网。</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蓝海林</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程银春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李小虎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陈强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5"/>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5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 无</w:t>
      </w:r>
    </w:p>
    <w:p>
      <w:pPr>
        <w:spacing w:line="240" w:lineRule="auto" w:before="12"/>
        <w:rPr>
          <w:rFonts w:ascii="宋体" w:hAnsi="宋体" w:cs="宋体" w:eastAsia="宋体" w:hint="default"/>
          <w:sz w:val="18"/>
          <w:szCs w:val="18"/>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573" w:right="0"/>
        <w:jc w:val="left"/>
      </w:pPr>
      <w:r>
        <w:rPr>
          <w:rFonts w:ascii="Times New Roman" w:hAnsi="Times New Roman" w:cs="Times New Roman" w:eastAsia="Times New Roman" w:hint="default"/>
        </w:rPr>
        <w:t>1</w:t>
      </w:r>
      <w:r>
        <w:rPr/>
        <w:t>、董事会审计委员会的履职情况</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firstLine="420"/>
        <w:jc w:val="both"/>
      </w:pPr>
      <w:r>
        <w:rPr>
          <w:spacing w:val="-2"/>
        </w:rPr>
        <w:t>报告期内，审计委员会根据《董事会审计委员会实施细则》赋予的职责和权限，认真履行职责，切实</w:t>
      </w:r>
      <w:r>
        <w:rPr>
          <w:w w:val="100"/>
        </w:rPr>
        <w:t> </w:t>
      </w:r>
      <w:r>
        <w:rPr/>
        <w:t>发挥了审计委员会的专业职能。</w:t>
      </w:r>
    </w:p>
    <w:p>
      <w:pPr>
        <w:pStyle w:val="BodyText"/>
        <w:spacing w:line="273" w:lineRule="auto" w:before="127"/>
        <w:ind w:right="1126" w:firstLine="420"/>
        <w:jc w:val="both"/>
      </w:pPr>
      <w:r>
        <w:rPr>
          <w:spacing w:val="-2"/>
        </w:rPr>
        <w:t>日常工作：审议公司审计部提交的审计计划和工作报告、审核公司的财务信息及其披露、监督公司的</w:t>
      </w:r>
      <w:r>
        <w:rPr>
          <w:w w:val="100"/>
        </w:rPr>
        <w:t> </w:t>
      </w:r>
      <w:r>
        <w:rPr/>
        <w:t>内部审计制度及实施、负责内部审计与外部审计沟通。</w:t>
      </w:r>
    </w:p>
    <w:p>
      <w:pPr>
        <w:pStyle w:val="BodyText"/>
        <w:spacing w:line="240" w:lineRule="auto" w:before="127"/>
        <w:ind w:left="573" w:right="0"/>
        <w:jc w:val="left"/>
      </w:pPr>
      <w:r>
        <w:rPr>
          <w:rFonts w:ascii="Times New Roman" w:hAnsi="Times New Roman" w:cs="Times New Roman" w:eastAsia="Times New Roman" w:hint="default"/>
        </w:rPr>
        <w:t>2019</w:t>
      </w:r>
      <w:r>
        <w:rPr/>
        <w:t>年年报审计工作：在与</w:t>
      </w:r>
      <w:r>
        <w:rPr>
          <w:rFonts w:ascii="Times New Roman" w:hAnsi="Times New Roman" w:cs="Times New Roman" w:eastAsia="Times New Roman" w:hint="default"/>
        </w:rPr>
        <w:t>2019</w:t>
      </w:r>
      <w:r>
        <w:rPr/>
        <w:t>年年度审计机构上海众华沪银会计师事务所充分沟通的基础上，确定</w:t>
      </w:r>
    </w:p>
    <w:p>
      <w:pPr>
        <w:pStyle w:val="BodyText"/>
        <w:spacing w:line="266" w:lineRule="auto" w:before="21"/>
        <w:ind w:right="1126"/>
        <w:jc w:val="both"/>
      </w:pPr>
      <w:r>
        <w:rPr>
          <w:rFonts w:ascii="Times New Roman" w:hAnsi="Times New Roman" w:cs="Times New Roman" w:eastAsia="Times New Roman" w:hint="default"/>
          <w:spacing w:val="-2"/>
        </w:rPr>
        <w:t>2018</w:t>
      </w:r>
      <w:r>
        <w:rPr>
          <w:spacing w:val="-2"/>
        </w:rPr>
        <w:t>年度财务报告审计工作的进度安排；审计委员会在年审注册会计师进场前审阅了公司编制的财务会计</w:t>
      </w:r>
      <w:r>
        <w:rPr>
          <w:spacing w:val="-39"/>
        </w:rPr>
        <w:t> </w:t>
      </w:r>
      <w:r>
        <w:rPr>
          <w:spacing w:val="-39"/>
        </w:rPr>
      </w:r>
      <w:r>
        <w:rPr>
          <w:spacing w:val="-2"/>
        </w:rPr>
        <w:t>报告后，同意将公司按照《企业会计准则》及有关补充规定编制的财务报告提交会计师事务所审计；审计</w:t>
      </w:r>
      <w:r>
        <w:rPr>
          <w:spacing w:val="-47"/>
        </w:rPr>
        <w:t> </w:t>
      </w:r>
      <w:r>
        <w:rPr>
          <w:spacing w:val="-47"/>
        </w:rPr>
      </w:r>
      <w:r>
        <w:rPr>
          <w:spacing w:val="-2"/>
        </w:rPr>
        <w:t>委员会审阅了注册会计师出具的初步审计意见后形成书面审核意见：经会计师事务所初步审计，同意审计</w:t>
      </w:r>
      <w:r>
        <w:rPr>
          <w:spacing w:val="-43"/>
        </w:rPr>
        <w:t> </w:t>
      </w:r>
      <w:r>
        <w:rPr>
          <w:spacing w:val="-43"/>
        </w:rPr>
      </w:r>
      <w:r>
        <w:rPr/>
        <w:t>结果，确保了审计的独立性和审计工作的如期完成。</w:t>
      </w:r>
    </w:p>
    <w:p>
      <w:pPr>
        <w:pStyle w:val="BodyText"/>
        <w:spacing w:line="432" w:lineRule="exact" w:before="33"/>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、薪酬与考核委员会</w:t>
      </w:r>
      <w:r>
        <w:rPr>
          <w:w w:val="100"/>
        </w:rPr>
        <w:t> </w:t>
      </w:r>
      <w:r>
        <w:rPr>
          <w:spacing w:val="-7"/>
        </w:rPr>
        <w:t>严格按照公司《董事会薪酬与考核委员会实施细则》开展工作，对公司董事、监事和高级管理人员</w:t>
      </w:r>
      <w:r>
        <w:rPr>
          <w:rFonts w:ascii="Times New Roman" w:hAnsi="Times New Roman" w:cs="Times New Roman" w:eastAsia="Times New Roman" w:hint="default"/>
          <w:spacing w:val="-7"/>
        </w:rPr>
        <w:t>2019</w:t>
      </w:r>
    </w:p>
    <w:p>
      <w:pPr>
        <w:pStyle w:val="BodyText"/>
        <w:spacing w:line="255" w:lineRule="exact"/>
        <w:ind w:right="0"/>
        <w:jc w:val="both"/>
      </w:pPr>
      <w:r>
        <w:rPr/>
        <w:t>年度的薪酬进行了核查，认为：薪酬数据合理、真实，公司为董事、独立董事、监事、高级管理人员所发</w:t>
      </w:r>
    </w:p>
    <w:p>
      <w:pPr>
        <w:pStyle w:val="BodyText"/>
        <w:spacing w:line="240" w:lineRule="auto" w:before="37"/>
        <w:ind w:right="0"/>
        <w:jc w:val="both"/>
      </w:pPr>
      <w:r>
        <w:rPr/>
        <w:t>放的薪酬符合规定，与其履职尽责情况匹配。</w:t>
      </w:r>
    </w:p>
    <w:p>
      <w:pPr>
        <w:pStyle w:val="BodyText"/>
        <w:spacing w:line="357" w:lineRule="auto" w:before="157"/>
        <w:ind w:left="573" w:right="0"/>
        <w:jc w:val="left"/>
      </w:pPr>
      <w:r>
        <w:rPr>
          <w:rFonts w:ascii="Times New Roman" w:hAnsi="Times New Roman" w:cs="Times New Roman" w:eastAsia="Times New Roman" w:hint="default"/>
        </w:rPr>
        <w:t>3</w:t>
      </w:r>
      <w:r>
        <w:rPr/>
        <w:t>、提名委员会</w:t>
      </w:r>
      <w:r>
        <w:rPr>
          <w:w w:val="100"/>
        </w:rPr>
        <w:t> </w:t>
      </w:r>
      <w:r>
        <w:rPr>
          <w:spacing w:val="-3"/>
        </w:rPr>
        <w:t>严格按照公司《董事会提名委员会实施细则》开展工作，对公司管理层成员的选聘提交了方案，为公</w:t>
      </w:r>
    </w:p>
    <w:p>
      <w:pPr>
        <w:pStyle w:val="BodyText"/>
        <w:spacing w:line="209" w:lineRule="exact"/>
        <w:ind w:right="0"/>
        <w:jc w:val="both"/>
      </w:pPr>
      <w:r>
        <w:rPr/>
        <w:t>司提供了业务素质与职业道德高且任职资格合法合规的管理层人选。</w:t>
      </w:r>
    </w:p>
    <w:p>
      <w:pPr>
        <w:pStyle w:val="BodyText"/>
        <w:spacing w:line="357" w:lineRule="auto" w:before="157"/>
        <w:ind w:left="573" w:right="0"/>
        <w:jc w:val="left"/>
      </w:pPr>
      <w:r>
        <w:rPr>
          <w:rFonts w:ascii="Times New Roman" w:hAnsi="Times New Roman" w:cs="Times New Roman" w:eastAsia="Times New Roman" w:hint="default"/>
        </w:rPr>
        <w:t>4</w:t>
      </w:r>
      <w:r>
        <w:rPr/>
        <w:t>、战略委员会</w:t>
      </w:r>
      <w:r>
        <w:rPr>
          <w:w w:val="100"/>
        </w:rPr>
        <w:t> </w:t>
      </w:r>
      <w:r>
        <w:rPr>
          <w:spacing w:val="-3"/>
        </w:rPr>
        <w:t>严格按照公司《董事会战略委员会实施细则》开展工作，对公司的发展战略提交了方案，为公司提供</w:t>
      </w:r>
    </w:p>
    <w:p>
      <w:pPr>
        <w:pStyle w:val="BodyText"/>
        <w:spacing w:line="209" w:lineRule="exact"/>
        <w:ind w:right="0"/>
        <w:jc w:val="both"/>
      </w:pPr>
      <w:r>
        <w:rPr/>
        <w:t>了适应公司发展的有效战略。</w:t>
      </w:r>
    </w:p>
    <w:p>
      <w:pPr>
        <w:spacing w:line="240" w:lineRule="auto" w:before="11"/>
        <w:rPr>
          <w:rFonts w:ascii="宋体" w:hAnsi="宋体" w:cs="宋体" w:eastAsia="宋体" w:hint="default"/>
          <w:sz w:val="23"/>
          <w:szCs w:val="23"/>
        </w:rPr>
      </w:pPr>
    </w:p>
    <w:p>
      <w:pPr>
        <w:pStyle w:val="Heading2"/>
        <w:spacing w:line="240" w:lineRule="auto"/>
        <w:ind w:right="0"/>
        <w:jc w:val="both"/>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126" w:firstLine="420"/>
        <w:jc w:val="both"/>
      </w:pPr>
      <w:r>
        <w:rPr>
          <w:spacing w:val="-2"/>
        </w:rPr>
        <w:t>公司建立了高级管理人员的选择、考评、激励与约束机制并不断完善。公司高级管理人员全部由董事</w:t>
      </w:r>
      <w:r>
        <w:rPr>
          <w:w w:val="100"/>
        </w:rPr>
        <w:t> </w:t>
      </w:r>
      <w:r>
        <w:rPr>
          <w:spacing w:val="-2"/>
        </w:rPr>
        <w:t>会聘任，直接对董事会负责，承担董事会下达的经营指标。董事会下设的薪酬与考核委员会负责对高级管</w:t>
      </w:r>
      <w:r>
        <w:rPr>
          <w:spacing w:val="-42"/>
        </w:rPr>
        <w:t> </w:t>
      </w:r>
      <w:r>
        <w:rPr>
          <w:spacing w:val="-42"/>
        </w:rPr>
      </w:r>
      <w:r>
        <w:rPr>
          <w:spacing w:val="-2"/>
        </w:rPr>
        <w:t>理人员的工作能力、履职情况、责任目标完成情况，制定薪酬方案并报董事会审批。报告期内，高级管理</w:t>
      </w:r>
      <w:r>
        <w:rPr>
          <w:spacing w:val="-43"/>
        </w:rPr>
        <w:t> </w:t>
      </w:r>
      <w:r>
        <w:rPr>
          <w:spacing w:val="-43"/>
        </w:rPr>
      </w:r>
      <w:r>
        <w:rPr>
          <w:spacing w:val="-2"/>
        </w:rPr>
        <w:t>人员能够严格按照《公司法》、《公司章程》及国家有关法律法规认真履行职责，积极落实公司股东大会</w:t>
      </w:r>
      <w:r>
        <w:rPr>
          <w:spacing w:val="-45"/>
        </w:rPr>
        <w:t> </w:t>
      </w:r>
      <w:r>
        <w:rPr>
          <w:spacing w:val="-45"/>
        </w:rPr>
      </w:r>
      <w:r>
        <w:rPr>
          <w:spacing w:val="-2"/>
        </w:rPr>
        <w:t>和董事会相关决议，在董事会的正确指导下积极调整经营思路，优化产品结构，不断加强内部管理，较好</w:t>
      </w:r>
      <w:r>
        <w:rPr>
          <w:spacing w:val="-47"/>
        </w:rPr>
        <w:t> </w:t>
      </w:r>
      <w:r>
        <w:rPr>
          <w:spacing w:val="-47"/>
        </w:rPr>
      </w:r>
      <w:r>
        <w:rPr/>
        <w:t>地完成了本年度的各项任务。</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r>
        <w:rPr/>
        <w:pict>
          <v:shape style="position:absolute;margin-left:57pt;margin-top:102.739983pt;width:478.7pt;height:665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3"/>
                    <w:gridCol w:w="3322"/>
                    <w:gridCol w:w="3053"/>
                  </w:tblGrid>
                  <w:tr>
                    <w:trPr>
                      <w:trHeight w:val="401"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161"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5" w:type="dxa"/>
                        <w:gridSpan w:val="2"/>
                        <w:vMerge w:val="restart"/>
                        <w:tcBorders>
                          <w:top w:val="single" w:sz="4" w:space="0" w:color="000000"/>
                          <w:left w:val="single" w:sz="9" w:space="0" w:color="D2D2D2"/>
                          <w:right w:val="single" w:sz="4" w:space="0" w:color="000000"/>
                        </w:tcBorders>
                      </w:tcPr>
                      <w:p>
                        <w:pPr>
                          <w:pStyle w:val="TableParagraph"/>
                          <w:spacing w:line="300" w:lineRule="auto" w:before="49"/>
                          <w:ind w:left="18" w:right="44"/>
                          <w:jc w:val="left"/>
                          <w:rPr>
                            <w:rFonts w:ascii="宋体" w:hAnsi="宋体" w:cs="宋体" w:eastAsia="宋体" w:hint="default"/>
                            <w:sz w:val="18"/>
                            <w:szCs w:val="18"/>
                          </w:rPr>
                        </w:pPr>
                        <w:r>
                          <w:rPr>
                            <w:rFonts w:ascii="宋体" w:hAnsi="宋体" w:cs="宋体" w:eastAsia="宋体" w:hint="default"/>
                            <w:sz w:val="18"/>
                            <w:szCs w:val="18"/>
                          </w:rPr>
                          <w:t>刊登在巨潮资讯网</w:t>
                        </w:r>
                        <w:r>
                          <w:rPr>
                            <w:rFonts w:ascii="宋体" w:hAnsi="宋体" w:cs="宋体" w:eastAsia="宋体" w:hint="default"/>
                            <w:spacing w:val="-53"/>
                            <w:sz w:val="18"/>
                            <w:szCs w:val="18"/>
                          </w:rPr>
                          <w:t> </w:t>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上的《江苏双星彩塑新材料股份有限 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年度内部控制评价报告》</w:t>
                        </w:r>
                      </w:p>
                    </w:tc>
                  </w:tr>
                  <w:tr>
                    <w:trPr>
                      <w:trHeight w:val="394"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gridSpan w:val="2"/>
                        <w:vMerge/>
                        <w:tcBorders>
                          <w:left w:val="single" w:sz="9" w:space="0" w:color="D2D2D2"/>
                          <w:right w:val="single" w:sz="4" w:space="0" w:color="000000"/>
                        </w:tcBorders>
                      </w:tcPr>
                      <w:p>
                        <w:pPr/>
                      </w:p>
                    </w:tc>
                  </w:tr>
                  <w:tr>
                    <w:trPr>
                      <w:trHeight w:val="161"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5" w:type="dxa"/>
                        <w:gridSpan w:val="2"/>
                        <w:vMerge/>
                        <w:tcBorders>
                          <w:left w:val="single" w:sz="9" w:space="0" w:color="D2D2D2"/>
                          <w:bottom w:val="single" w:sz="4" w:space="0" w:color="000000"/>
                          <w:right w:val="single" w:sz="4" w:space="0" w:color="000000"/>
                        </w:tcBorders>
                      </w:tcPr>
                      <w:p>
                        <w:pPr/>
                      </w:p>
                    </w:tc>
                  </w:tr>
                  <w:tr>
                    <w:trPr>
                      <w:trHeight w:val="713"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2"/>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89"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9" w:space="0" w:color="D2D2D2"/>
                          <w:right w:val="single" w:sz="4" w:space="0" w:color="000000"/>
                        </w:tcBorders>
                      </w:tcPr>
                      <w:p>
                        <w:pPr>
                          <w:pStyle w:val="TableParagraph"/>
                          <w:spacing w:line="316" w:lineRule="auto" w:before="49"/>
                          <w:ind w:left="18" w:right="46"/>
                          <w:jc w:val="left"/>
                          <w:rPr>
                            <w:rFonts w:ascii="宋体" w:hAnsi="宋体" w:cs="宋体" w:eastAsia="宋体" w:hint="default"/>
                            <w:sz w:val="18"/>
                            <w:szCs w:val="18"/>
                          </w:rPr>
                        </w:pPr>
                        <w:r>
                          <w:rPr>
                            <w:rFonts w:ascii="宋体" w:hAnsi="宋体" w:cs="宋体" w:eastAsia="宋体" w:hint="default"/>
                            <w:sz w:val="18"/>
                            <w:szCs w:val="18"/>
                          </w:rPr>
                          <w:t>公司董事、监事和高级管理人员的舞弊行 为；公司更正已公布的财务报告；注册会 计师发现的却未被公司目标控制识别的当 期财务报告中的重大错报；审计委员会和 审计部对公司的对外财务报告和财务报告 内部控制监督无效；公司主要会计政策、 会计估计变更或会计差错更正事项未按规 定披露。财务报告重要缺陷的迹象包括： 未依照公认会计准则选择和应用会计政 策；未建立反舞弊程序和控制措施；对于 非常规和特殊交易的账务处理没有建立相 应的控制机制或没有实施且没有相应的补 偿性控制；对于期末财务报告过程的控制 存在一项或多项缺陷且不能合理保证编制 的财务报表达到真实、完整的目标。</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非财务报告的缺陷认定主要以缺陷对 </w:t>
                        </w:r>
                        <w:r>
                          <w:rPr>
                            <w:rFonts w:ascii="宋体" w:hAnsi="宋体" w:cs="宋体" w:eastAsia="宋体" w:hint="default"/>
                            <w:spacing w:val="-4"/>
                            <w:sz w:val="18"/>
                            <w:szCs w:val="18"/>
                          </w:rPr>
                          <w:t>业务流程的影响程度、发生的可能性作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判定。如果缺陷发生的可能性较小，会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降低工作效率或效果，或加大效果的不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确定性、或使之偏离预期目标为一般缺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陷；如果缺陷发生的可能性较高，会显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著降低工作效率或效果，或显著加大效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果的不确定性、或使之显著偏离预期目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标为重要缺陷；如果缺陷发生的可能性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高，会严重降低工作效率或效果，或严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重加大效果的不确定性、或使之严重偏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离预期目标为重大缺陷。</w:t>
                        </w:r>
                      </w:p>
                    </w:tc>
                  </w:tr>
                  <w:tr>
                    <w:trPr>
                      <w:trHeight w:val="391"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189"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2189"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18" w:right="17"/>
                          <w:jc w:val="both"/>
                          <w:rPr>
                            <w:rFonts w:ascii="宋体" w:hAnsi="宋体" w:cs="宋体" w:eastAsia="宋体" w:hint="default"/>
                            <w:sz w:val="18"/>
                            <w:szCs w:val="18"/>
                          </w:rPr>
                        </w:pPr>
                        <w:r>
                          <w:rPr>
                            <w:rFonts w:ascii="宋体" w:hAnsi="宋体" w:cs="宋体" w:eastAsia="宋体" w:hint="default"/>
                            <w:sz w:val="18"/>
                            <w:szCs w:val="18"/>
                          </w:rPr>
                          <w:t>内部控制缺陷可能导致或导致的损失与利 润相关的，以税前利润指标衡量：如果该 缺陷单独或连同其他缺陷可能导致的财务 报告错报金额小于税前利润的</w:t>
                        </w:r>
                        <w:r>
                          <w:rPr>
                            <w:rFonts w:ascii="宋体" w:hAnsi="宋体" w:cs="宋体" w:eastAsia="宋体" w:hint="default"/>
                            <w:spacing w:val="-44"/>
                            <w:sz w:val="18"/>
                            <w:szCs w:val="18"/>
                          </w:rPr>
                          <w:t> </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，则认定</w:t>
                        </w:r>
                        <w:r>
                          <w:rPr>
                            <w:rFonts w:ascii="宋体" w:hAnsi="宋体" w:cs="宋体" w:eastAsia="宋体" w:hint="default"/>
                            <w:sz w:val="18"/>
                            <w:szCs w:val="18"/>
                          </w:rPr>
                          <w:t> </w:t>
                        </w:r>
                        <w:r>
                          <w:rPr>
                            <w:rFonts w:ascii="宋体" w:hAnsi="宋体" w:cs="宋体" w:eastAsia="宋体" w:hint="default"/>
                            <w:spacing w:val="-3"/>
                            <w:sz w:val="18"/>
                            <w:szCs w:val="18"/>
                          </w:rPr>
                          <w:t>为一般缺陷；如果超过税前利润</w:t>
                        </w:r>
                        <w:r>
                          <w:rPr>
                            <w:rFonts w:ascii="宋体" w:hAnsi="宋体" w:cs="宋体" w:eastAsia="宋体" w:hint="default"/>
                            <w:spacing w:val="-43"/>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，小于</w:t>
                        </w:r>
                        <w:r>
                          <w:rPr>
                            <w:rFonts w:ascii="宋体" w:hAnsi="宋体" w:cs="宋体" w:eastAsia="宋体" w:hint="default"/>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认定为重要缺陷；如果超过税前利润</w:t>
                        </w:r>
                      </w:p>
                      <w:p>
                        <w:pPr>
                          <w:pStyle w:val="TableParagraph"/>
                          <w:spacing w:line="307" w:lineRule="auto" w:before="3"/>
                          <w:ind w:left="18"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则认定为重大缺陷。内部控制缺陷可</w:t>
                        </w:r>
                        <w:r>
                          <w:rPr>
                            <w:rFonts w:ascii="宋体" w:hAnsi="宋体" w:cs="宋体" w:eastAsia="宋体" w:hint="default"/>
                            <w:w w:val="99"/>
                            <w:sz w:val="18"/>
                            <w:szCs w:val="18"/>
                          </w:rPr>
                          <w:t> </w:t>
                        </w:r>
                        <w:r>
                          <w:rPr>
                            <w:rFonts w:ascii="宋体" w:hAnsi="宋体" w:cs="宋体" w:eastAsia="宋体" w:hint="default"/>
                            <w:sz w:val="18"/>
                            <w:szCs w:val="18"/>
                          </w:rPr>
                          <w:t>能导致或导致的损失与资产管理相关的，</w:t>
                        </w:r>
                        <w:r>
                          <w:rPr>
                            <w:rFonts w:ascii="宋体" w:hAnsi="宋体" w:cs="宋体" w:eastAsia="宋体" w:hint="default"/>
                            <w:w w:val="99"/>
                            <w:sz w:val="18"/>
                            <w:szCs w:val="18"/>
                          </w:rPr>
                          <w:t> </w:t>
                        </w:r>
                        <w:r>
                          <w:rPr>
                            <w:rFonts w:ascii="宋体" w:hAnsi="宋体" w:cs="宋体" w:eastAsia="宋体" w:hint="default"/>
                            <w:sz w:val="18"/>
                            <w:szCs w:val="18"/>
                          </w:rPr>
                          <w:t>以资产总额指标衡量：如果该缺陷单独或</w:t>
                        </w:r>
                        <w:r>
                          <w:rPr>
                            <w:rFonts w:ascii="宋体" w:hAnsi="宋体" w:cs="宋体" w:eastAsia="宋体" w:hint="default"/>
                            <w:w w:val="99"/>
                            <w:sz w:val="18"/>
                            <w:szCs w:val="18"/>
                          </w:rPr>
                          <w:t> </w:t>
                        </w:r>
                        <w:r>
                          <w:rPr>
                            <w:rFonts w:ascii="宋体" w:hAnsi="宋体" w:cs="宋体" w:eastAsia="宋体" w:hint="default"/>
                            <w:sz w:val="18"/>
                            <w:szCs w:val="18"/>
                          </w:rPr>
                          <w:t>连同其他缺陷可能导致的财务报告错报金</w:t>
                        </w:r>
                        <w:r>
                          <w:rPr>
                            <w:rFonts w:ascii="宋体" w:hAnsi="宋体" w:cs="宋体" w:eastAsia="宋体" w:hint="default"/>
                            <w:w w:val="99"/>
                            <w:sz w:val="18"/>
                            <w:szCs w:val="18"/>
                          </w:rPr>
                          <w:t> </w:t>
                        </w:r>
                        <w:r>
                          <w:rPr>
                            <w:rFonts w:ascii="宋体" w:hAnsi="宋体" w:cs="宋体" w:eastAsia="宋体" w:hint="default"/>
                            <w:sz w:val="18"/>
                            <w:szCs w:val="18"/>
                          </w:rPr>
                          <w:t>额小于资产总额的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，则认定为一般缺</w:t>
                        </w:r>
                        <w:r>
                          <w:rPr>
                            <w:rFonts w:ascii="宋体" w:hAnsi="宋体" w:cs="宋体" w:eastAsia="宋体" w:hint="default"/>
                            <w:w w:val="99"/>
                            <w:sz w:val="18"/>
                            <w:szCs w:val="18"/>
                          </w:rPr>
                          <w:t> </w:t>
                        </w:r>
                        <w:r>
                          <w:rPr>
                            <w:rFonts w:ascii="宋体" w:hAnsi="宋体" w:cs="宋体" w:eastAsia="宋体" w:hint="default"/>
                            <w:sz w:val="18"/>
                            <w:szCs w:val="18"/>
                          </w:rPr>
                          <w:t>陷；如果超过资产总额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w:t>
                        </w:r>
                        <w:r>
                          <w:rPr>
                            <w:rFonts w:ascii="宋体" w:hAnsi="宋体" w:cs="宋体" w:eastAsia="宋体" w:hint="default"/>
                            <w:w w:val="99"/>
                            <w:sz w:val="18"/>
                            <w:szCs w:val="18"/>
                          </w:rPr>
                          <w:t> </w:t>
                        </w:r>
                        <w:r>
                          <w:rPr>
                            <w:rFonts w:ascii="宋体" w:hAnsi="宋体" w:cs="宋体" w:eastAsia="宋体" w:hint="default"/>
                            <w:spacing w:val="-6"/>
                            <w:w w:val="99"/>
                            <w:sz w:val="18"/>
                            <w:szCs w:val="18"/>
                          </w:rPr>
                          <w:t>定为重要缺陷；如果超过资产总额</w:t>
                        </w:r>
                        <w:r>
                          <w:rPr>
                            <w:rFonts w:ascii="宋体" w:hAnsi="宋体" w:cs="宋体" w:eastAsia="宋体" w:hint="default"/>
                            <w:spacing w:val="-33"/>
                            <w:w w:val="99"/>
                            <w:sz w:val="18"/>
                            <w:szCs w:val="18"/>
                          </w:rPr>
                          <w:t> </w:t>
                        </w:r>
                        <w:r>
                          <w:rPr>
                            <w:rFonts w:ascii="Times New Roman" w:hAnsi="Times New Roman" w:cs="Times New Roman" w:eastAsia="Times New Roman" w:hint="default"/>
                            <w:spacing w:val="-1"/>
                            <w:w w:val="99"/>
                            <w:sz w:val="18"/>
                            <w:szCs w:val="18"/>
                          </w:rPr>
                          <w:t>1%</w:t>
                        </w:r>
                        <w:r>
                          <w:rPr>
                            <w:rFonts w:ascii="宋体" w:hAnsi="宋体" w:cs="宋体" w:eastAsia="宋体" w:hint="default"/>
                            <w:spacing w:val="-1"/>
                            <w:w w:val="99"/>
                            <w:sz w:val="18"/>
                            <w:szCs w:val="18"/>
                          </w:rPr>
                          <w:t>则认</w:t>
                        </w:r>
                        <w:r>
                          <w:rPr>
                            <w:rFonts w:ascii="宋体" w:hAnsi="宋体" w:cs="宋体" w:eastAsia="宋体" w:hint="default"/>
                            <w:spacing w:val="-86"/>
                            <w:w w:val="99"/>
                            <w:sz w:val="18"/>
                            <w:szCs w:val="18"/>
                          </w:rPr>
                          <w:t> </w:t>
                        </w:r>
                        <w:r>
                          <w:rPr>
                            <w:rFonts w:ascii="宋体" w:hAnsi="宋体" w:cs="宋体" w:eastAsia="宋体" w:hint="default"/>
                            <w:sz w:val="18"/>
                            <w:szCs w:val="18"/>
                          </w:rPr>
                          <w:t>定为重大缺陷。</w:t>
                        </w:r>
                      </w:p>
                    </w:tc>
                    <w:tc>
                      <w:tcPr>
                        <w:tcW w:w="3053" w:type="dxa"/>
                        <w:vMerge w:val="restart"/>
                        <w:tcBorders>
                          <w:top w:val="single" w:sz="4" w:space="0" w:color="000000"/>
                          <w:left w:val="single" w:sz="4" w:space="0" w:color="000000"/>
                          <w:right w:val="single" w:sz="4" w:space="0" w:color="000000"/>
                        </w:tcBorders>
                      </w:tcPr>
                      <w:p>
                        <w:pPr>
                          <w:pStyle w:val="TableParagraph"/>
                          <w:spacing w:line="309" w:lineRule="auto" w:before="49"/>
                          <w:ind w:left="26" w:right="-43"/>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 与利润相关的，以税前利润指标衡量： 如果该缺陷单独或连同其他缺陷可能 导致的直接财产损失小于税前利润的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，则认定为一般缺陷；如果超过税 前利润</w:t>
                        </w:r>
                        <w:r>
                          <w:rPr>
                            <w:rFonts w:ascii="宋体" w:hAnsi="宋体" w:cs="宋体" w:eastAsia="宋体" w:hint="default"/>
                            <w:spacing w:val="-46"/>
                            <w:sz w:val="18"/>
                            <w:szCs w:val="18"/>
                          </w:rPr>
                          <w:t> </w:t>
                        </w:r>
                        <w:r>
                          <w:rPr>
                            <w:rFonts w:ascii="Times New Roman" w:hAnsi="Times New Roman" w:cs="Times New Roman" w:eastAsia="Times New Roman" w:hint="default"/>
                            <w:spacing w:val="-19"/>
                            <w:sz w:val="18"/>
                            <w:szCs w:val="18"/>
                          </w:rPr>
                          <w:t>5%</w:t>
                        </w:r>
                        <w:r>
                          <w:rPr>
                            <w:rFonts w:ascii="宋体" w:hAnsi="宋体" w:cs="宋体" w:eastAsia="宋体" w:hint="default"/>
                            <w:spacing w:val="-19"/>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认定为重要缺陷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如果超过税前利润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则认定为重大 </w:t>
                        </w:r>
                        <w:r>
                          <w:rPr>
                            <w:rFonts w:ascii="宋体" w:hAnsi="宋体" w:cs="宋体" w:eastAsia="宋体" w:hint="default"/>
                            <w:spacing w:val="-4"/>
                            <w:sz w:val="18"/>
                            <w:szCs w:val="18"/>
                          </w:rPr>
                          <w:t>缺陷。内部控制缺陷可能导致或导致的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损失与资产管理相关的，以资产总额指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标衡量：如果该缺陷单独或连同其他缺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陷可能导致的直接财产损失小于资产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 果超过资产总额</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0.5%</w:t>
                        </w:r>
                        <w:r>
                          <w:rPr>
                            <w:rFonts w:ascii="宋体" w:hAnsi="宋体" w:cs="宋体" w:eastAsia="宋体" w:hint="default"/>
                            <w:spacing w:val="-8"/>
                            <w:sz w:val="18"/>
                            <w:szCs w:val="18"/>
                          </w:rPr>
                          <w:t>，小于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 重要缺陷；如果超过资产总额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 定为重大缺陷。</w:t>
                        </w:r>
                      </w:p>
                    </w:tc>
                  </w:tr>
                  <w:tr>
                    <w:trPr>
                      <w:trHeight w:val="394"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187"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03"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p>
    <w:p>
      <w:pPr>
        <w:pStyle w:val="Heading4"/>
        <w:spacing w:line="240" w:lineRule="auto" w:before="36"/>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6"/>
          <w:szCs w:val="26"/>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0"/>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0"/>
        <w:jc w:val="left"/>
        <w:rPr>
          <w:b w:val="0"/>
          <w:bCs w:val="0"/>
        </w:rPr>
      </w:pPr>
      <w:bookmarkStart w:name="_bookmark11" w:id="12"/>
      <w:bookmarkEnd w:id="12"/>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众会字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莫旭巍、李明</w:t>
            </w:r>
          </w:p>
        </w:tc>
      </w:tr>
    </w:tbl>
    <w:p>
      <w:pPr>
        <w:spacing w:before="49"/>
        <w:ind w:left="2241" w:right="3219"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28"/>
        <w:ind w:left="2241" w:right="3219" w:firstLine="0"/>
        <w:jc w:val="center"/>
        <w:rPr>
          <w:rFonts w:ascii="宋体" w:hAnsi="宋体" w:cs="宋体" w:eastAsia="宋体" w:hint="default"/>
          <w:sz w:val="48"/>
          <w:szCs w:val="48"/>
        </w:rPr>
      </w:pPr>
      <w:r>
        <w:rPr>
          <w:rFonts w:ascii="宋体" w:hAnsi="宋体" w:cs="宋体" w:eastAsia="宋体" w:hint="default"/>
          <w:b/>
          <w:bCs/>
          <w:sz w:val="48"/>
          <w:szCs w:val="48"/>
        </w:rPr>
        <w:t>审计报告</w:t>
      </w:r>
      <w:r>
        <w:rPr>
          <w:rFonts w:ascii="宋体" w:hAnsi="宋体" w:cs="宋体" w:eastAsia="宋体" w:hint="default"/>
          <w:sz w:val="48"/>
          <w:szCs w:val="48"/>
        </w:rPr>
      </w:r>
    </w:p>
    <w:p>
      <w:pPr>
        <w:spacing w:line="240" w:lineRule="auto" w:before="0"/>
        <w:rPr>
          <w:rFonts w:ascii="宋体" w:hAnsi="宋体" w:cs="宋体" w:eastAsia="宋体" w:hint="default"/>
          <w:b/>
          <w:bCs/>
          <w:sz w:val="20"/>
          <w:szCs w:val="20"/>
        </w:rPr>
      </w:pPr>
    </w:p>
    <w:p>
      <w:pPr>
        <w:pStyle w:val="BodyText"/>
        <w:spacing w:line="240" w:lineRule="auto" w:before="191"/>
        <w:ind w:left="0" w:right="1128"/>
        <w:jc w:val="right"/>
      </w:pPr>
      <w:r>
        <w:rPr>
          <w:spacing w:val="-1"/>
        </w:rPr>
        <w:t>众会字</w:t>
      </w:r>
      <w:r>
        <w:rPr>
          <w:rFonts w:ascii="Times New Roman" w:hAnsi="Times New Roman" w:cs="Times New Roman" w:eastAsia="Times New Roman" w:hint="default"/>
          <w:spacing w:val="-1"/>
        </w:rPr>
        <w:t>(2020)</w:t>
      </w:r>
      <w:r>
        <w:rPr>
          <w:spacing w:val="-1"/>
        </w:rPr>
        <w:t>第</w:t>
      </w:r>
      <w:r>
        <w:rPr>
          <w:rFonts w:ascii="Times New Roman" w:hAnsi="Times New Roman" w:cs="Times New Roman" w:eastAsia="Times New Roman" w:hint="default"/>
          <w:spacing w:val="-1"/>
        </w:rPr>
        <w:t>2186</w:t>
      </w:r>
      <w:r>
        <w:rPr>
          <w:spacing w:val="-1"/>
        </w:rPr>
        <w:t>号</w:t>
      </w:r>
    </w:p>
    <w:p>
      <w:pPr>
        <w:spacing w:line="240" w:lineRule="auto" w:before="12"/>
        <w:rPr>
          <w:rFonts w:ascii="宋体" w:hAnsi="宋体" w:cs="宋体" w:eastAsia="宋体" w:hint="default"/>
          <w:sz w:val="28"/>
          <w:szCs w:val="28"/>
        </w:rPr>
      </w:pPr>
    </w:p>
    <w:p>
      <w:pPr>
        <w:pStyle w:val="Heading4"/>
        <w:spacing w:line="240" w:lineRule="auto" w:before="36"/>
        <w:ind w:right="0"/>
        <w:jc w:val="both"/>
        <w:rPr>
          <w:b w:val="0"/>
          <w:bCs w:val="0"/>
        </w:rPr>
      </w:pPr>
      <w:r>
        <w:rPr/>
        <w:t>江苏双星彩塑新材料股份有限公司全体股东：</w:t>
      </w:r>
      <w:r>
        <w:rPr>
          <w:b w:val="0"/>
          <w:bCs w:val="0"/>
        </w:rPr>
      </w:r>
    </w:p>
    <w:p>
      <w:pPr>
        <w:spacing w:line="240" w:lineRule="auto" w:before="0"/>
        <w:rPr>
          <w:rFonts w:ascii="宋体" w:hAnsi="宋体" w:cs="宋体" w:eastAsia="宋体" w:hint="default"/>
          <w:b/>
          <w:bCs/>
          <w:sz w:val="20"/>
          <w:szCs w:val="20"/>
        </w:rPr>
      </w:pPr>
    </w:p>
    <w:p>
      <w:pPr>
        <w:pStyle w:val="BodyText"/>
        <w:spacing w:line="307" w:lineRule="auto" w:before="166"/>
        <w:ind w:left="573" w:right="1123" w:firstLine="2"/>
        <w:jc w:val="left"/>
      </w:pPr>
      <w:r>
        <w:rPr>
          <w:rFonts w:ascii="宋体" w:hAnsi="宋体" w:cs="宋体" w:eastAsia="宋体" w:hint="default"/>
          <w:b/>
          <w:bCs/>
        </w:rPr>
        <w:t>一、审计意见</w:t>
      </w:r>
      <w:r>
        <w:rPr>
          <w:rFonts w:ascii="宋体" w:hAnsi="宋体" w:cs="宋体" w:eastAsia="宋体" w:hint="default"/>
          <w:b/>
          <w:bCs/>
          <w:w w:val="100"/>
        </w:rPr>
        <w:t> </w:t>
      </w:r>
      <w:r>
        <w:rPr>
          <w:spacing w:val="-8"/>
          <w:w w:val="100"/>
        </w:rPr>
        <w:t>我们审计了江苏双星彩塑新材料股份有限公司（以下简称</w:t>
      </w:r>
      <w:r>
        <w:rPr>
          <w:rFonts w:ascii="Times New Roman" w:hAnsi="Times New Roman" w:cs="Times New Roman" w:eastAsia="Times New Roman" w:hint="default"/>
          <w:spacing w:val="-8"/>
          <w:w w:val="100"/>
        </w:rPr>
        <w:t>“</w:t>
      </w:r>
      <w:r>
        <w:rPr>
          <w:spacing w:val="-8"/>
          <w:w w:val="100"/>
        </w:rPr>
        <w:t>双星新材</w:t>
      </w:r>
      <w:r>
        <w:rPr>
          <w:rFonts w:ascii="Times New Roman" w:hAnsi="Times New Roman" w:cs="Times New Roman" w:eastAsia="Times New Roman" w:hint="default"/>
          <w:spacing w:val="-8"/>
          <w:w w:val="100"/>
        </w:rPr>
        <w:t>”</w:t>
      </w:r>
      <w:r>
        <w:rPr>
          <w:spacing w:val="-8"/>
          <w:w w:val="100"/>
        </w:rPr>
        <w:t>）财务报表，包括</w:t>
      </w:r>
      <w:r>
        <w:rPr>
          <w:rFonts w:ascii="Times New Roman" w:hAnsi="Times New Roman" w:cs="Times New Roman" w:eastAsia="Times New Roman" w:hint="default"/>
          <w:spacing w:val="-8"/>
          <w:w w:val="100"/>
        </w:rPr>
        <w:t>2019</w:t>
      </w:r>
      <w:r>
        <w:rPr>
          <w:spacing w:val="-8"/>
          <w:w w:val="100"/>
        </w:rPr>
        <w:t>年</w:t>
      </w:r>
      <w:r>
        <w:rPr>
          <w:rFonts w:ascii="Times New Roman" w:hAnsi="Times New Roman" w:cs="Times New Roman" w:eastAsia="Times New Roman" w:hint="default"/>
          <w:spacing w:val="-8"/>
          <w:w w:val="100"/>
        </w:rPr>
        <w:t>12</w:t>
      </w:r>
      <w:r>
        <w:rPr>
          <w:spacing w:val="-8"/>
          <w:w w:val="100"/>
        </w:rPr>
        <w:t>月</w:t>
      </w:r>
      <w:r>
        <w:rPr>
          <w:rFonts w:ascii="Times New Roman" w:hAnsi="Times New Roman" w:cs="Times New Roman" w:eastAsia="Times New Roman" w:hint="default"/>
          <w:spacing w:val="-8"/>
          <w:w w:val="100"/>
        </w:rPr>
        <w:t>31</w:t>
      </w:r>
      <w:r>
        <w:rPr>
          <w:rFonts w:ascii="Times New Roman" w:hAnsi="Times New Roman" w:cs="Times New Roman" w:eastAsia="Times New Roman" w:hint="default"/>
          <w:w w:val="100"/>
        </w:rPr>
        <w:t> </w:t>
      </w:r>
      <w:r>
        <w:rPr>
          <w:rFonts w:ascii="Times New Roman" w:hAnsi="Times New Roman" w:cs="Times New Roman" w:eastAsia="Times New Roman" w:hint="default"/>
          <w:spacing w:val="16"/>
          <w:w w:val="100"/>
        </w:rPr>
        <w:t> </w:t>
      </w:r>
      <w:r>
        <w:rPr>
          <w:w w:val="100"/>
        </w:rPr>
        <w:t>日</w:t>
      </w:r>
    </w:p>
    <w:p>
      <w:pPr>
        <w:pStyle w:val="BodyText"/>
        <w:spacing w:line="247" w:lineRule="exact"/>
        <w:ind w:right="0"/>
        <w:jc w:val="both"/>
      </w:pPr>
      <w:r>
        <w:rPr/>
        <w:t>的合并及公司资产负债表，</w:t>
      </w:r>
      <w:r>
        <w:rPr>
          <w:rFonts w:ascii="Times New Roman" w:hAnsi="Times New Roman" w:cs="Times New Roman" w:eastAsia="Times New Roman" w:hint="default"/>
        </w:rPr>
        <w:t>2019</w:t>
      </w:r>
      <w:r>
        <w:rPr/>
        <w:t>年度的合并及公司利润表、合并及公司现金流量表、合并及公司所有者权</w:t>
      </w:r>
    </w:p>
    <w:p>
      <w:pPr>
        <w:pStyle w:val="BodyText"/>
        <w:spacing w:line="307" w:lineRule="auto" w:before="21"/>
        <w:ind w:left="573" w:right="0" w:hanging="421"/>
        <w:jc w:val="left"/>
        <w:rPr>
          <w:rFonts w:ascii="Times New Roman" w:hAnsi="Times New Roman" w:cs="Times New Roman" w:eastAsia="Times New Roman" w:hint="default"/>
        </w:rPr>
      </w:pPr>
      <w:r>
        <w:rPr/>
        <w:t>益变动表以及相关财务报表附注。</w:t>
      </w:r>
      <w:r>
        <w:rPr>
          <w:w w:val="100"/>
        </w:rPr>
        <w:t> </w:t>
      </w:r>
      <w:r>
        <w:rPr>
          <w:spacing w:val="-2"/>
        </w:rPr>
        <w:t>我们认为，后附的财务报表在所有重大方面按照企业会计准则的规定编制，公允反映了双星新材</w:t>
      </w:r>
      <w:r>
        <w:rPr>
          <w:rFonts w:ascii="Times New Roman" w:hAnsi="Times New Roman" w:cs="Times New Roman" w:eastAsia="Times New Roman" w:hint="default"/>
          <w:spacing w:val="-2"/>
        </w:rPr>
        <w:t>2019</w:t>
      </w:r>
    </w:p>
    <w:p>
      <w:pPr>
        <w:pStyle w:val="BodyText"/>
        <w:spacing w:line="247" w:lineRule="exact"/>
        <w:ind w:right="0"/>
        <w:jc w:val="both"/>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2019</w:t>
      </w:r>
      <w:r>
        <w:rPr/>
        <w:t>年度的合并及公司经营成果和现金流量。</w:t>
      </w:r>
    </w:p>
    <w:p>
      <w:pPr>
        <w:spacing w:line="307" w:lineRule="auto" w:before="62"/>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z w:val="21"/>
          <w:szCs w:val="21"/>
        </w:rPr>
        <w:t>我们按照中国注册会计师审计准则的规定执行了审计工作。审计报告的</w:t>
      </w:r>
      <w:r>
        <w:rPr>
          <w:rFonts w:ascii="Times New Roman" w:hAnsi="Times New Roman" w:cs="Times New Roman" w:eastAsia="Times New Roman" w:hint="default"/>
          <w:sz w:val="21"/>
          <w:szCs w:val="21"/>
        </w:rPr>
        <w:t>“</w:t>
      </w:r>
      <w:r>
        <w:rPr>
          <w:rFonts w:ascii="宋体" w:hAnsi="宋体" w:cs="宋体" w:eastAsia="宋体" w:hint="default"/>
          <w:sz w:val="21"/>
          <w:szCs w:val="21"/>
        </w:rPr>
        <w:t>注册会计师对财务报表审计</w:t>
      </w:r>
    </w:p>
    <w:p>
      <w:pPr>
        <w:pStyle w:val="BodyText"/>
        <w:spacing w:line="247" w:lineRule="exact"/>
        <w:ind w:right="0"/>
        <w:jc w:val="both"/>
      </w:pP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部分进一步阐述了我们在这些准则下的责任。按照中国注册会计师职业道德守则，我们独立于双</w:t>
      </w:r>
    </w:p>
    <w:p>
      <w:pPr>
        <w:pStyle w:val="BodyText"/>
        <w:spacing w:line="273" w:lineRule="auto" w:before="21"/>
        <w:ind w:right="0"/>
        <w:jc w:val="left"/>
      </w:pPr>
      <w:r>
        <w:rPr>
          <w:spacing w:val="-2"/>
        </w:rPr>
        <w:t>星新材，并履行了职业道德方面的其他责任。我们相信，我们获取的审计证据是充分、适当的，为发表审</w:t>
      </w:r>
      <w:r>
        <w:rPr>
          <w:spacing w:val="-43"/>
        </w:rPr>
        <w:t> </w:t>
      </w:r>
      <w:r>
        <w:rPr>
          <w:spacing w:val="-43"/>
        </w:rPr>
      </w:r>
      <w:r>
        <w:rPr/>
        <w:t>计意见提供了基础。</w:t>
      </w:r>
    </w:p>
    <w:p>
      <w:pPr>
        <w:pStyle w:val="BodyText"/>
        <w:spacing w:line="307" w:lineRule="auto" w:before="46"/>
        <w:ind w:left="573" w:right="0"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关键审计事项是我们根据职业判断，认为对本期财务报表审计最为重要的事项。这些事项的应对以对</w:t>
      </w:r>
    </w:p>
    <w:p>
      <w:pPr>
        <w:pStyle w:val="BodyText"/>
        <w:spacing w:line="253" w:lineRule="exact"/>
        <w:ind w:right="0"/>
        <w:jc w:val="both"/>
      </w:pPr>
      <w:r>
        <w:rPr/>
        <w:t>财务报表整体进行审计并形成审计意见为背景，我们不对这些事项单独发表意见。</w:t>
      </w:r>
    </w:p>
    <w:p>
      <w:pPr>
        <w:pStyle w:val="BodyText"/>
        <w:spacing w:line="307" w:lineRule="auto" w:before="78"/>
        <w:ind w:left="573" w:right="0"/>
        <w:jc w:val="left"/>
      </w:pPr>
      <w:r>
        <w:rPr/>
        <w:t>关键审计事项（一）：</w:t>
      </w:r>
      <w:r>
        <w:rPr>
          <w:w w:val="100"/>
        </w:rPr>
        <w:t> </w:t>
      </w:r>
      <w:r>
        <w:rPr>
          <w:spacing w:val="-4"/>
        </w:rPr>
        <w:t>双星新材</w:t>
      </w:r>
      <w:r>
        <w:rPr>
          <w:rFonts w:ascii="Times New Roman" w:hAnsi="Times New Roman" w:cs="Times New Roman" w:eastAsia="Times New Roman" w:hint="default"/>
          <w:spacing w:val="-4"/>
        </w:rPr>
        <w:t>2019</w:t>
      </w:r>
      <w:r>
        <w:rPr>
          <w:spacing w:val="-4"/>
        </w:rPr>
        <w:t>年度合并财务报表中营业收入为</w:t>
      </w:r>
      <w:r>
        <w:rPr>
          <w:rFonts w:ascii="Times New Roman" w:hAnsi="Times New Roman" w:cs="Times New Roman" w:eastAsia="Times New Roman" w:hint="default"/>
          <w:spacing w:val="-4"/>
        </w:rPr>
        <w:t>44.72</w:t>
      </w:r>
      <w:r>
        <w:rPr>
          <w:spacing w:val="-4"/>
        </w:rPr>
        <w:t>亿元，较上年同期增长</w:t>
      </w:r>
      <w:r>
        <w:rPr>
          <w:rFonts w:ascii="Times New Roman" w:hAnsi="Times New Roman" w:cs="Times New Roman" w:eastAsia="Times New Roman" w:hint="default"/>
          <w:spacing w:val="-4"/>
        </w:rPr>
        <w:t>15.94%</w:t>
      </w:r>
      <w:r>
        <w:rPr>
          <w:spacing w:val="-4"/>
        </w:rPr>
        <w:t>，主要为聚酯薄膜销</w:t>
      </w:r>
    </w:p>
    <w:p>
      <w:pPr>
        <w:pStyle w:val="BodyText"/>
        <w:spacing w:line="231" w:lineRule="exact"/>
        <w:ind w:right="0"/>
        <w:jc w:val="both"/>
      </w:pPr>
      <w:r>
        <w:rPr/>
        <w:t>售收入。公司对于国内销售收入是在商品所有权上的风险和报酬已转移至客户，公司不再对该商品实施继</w:t>
      </w:r>
    </w:p>
    <w:p>
      <w:pPr>
        <w:pStyle w:val="BodyText"/>
        <w:spacing w:line="273" w:lineRule="auto" w:before="37"/>
        <w:ind w:right="1126"/>
        <w:jc w:val="both"/>
      </w:pPr>
      <w:r>
        <w:rPr>
          <w:spacing w:val="-2"/>
        </w:rPr>
        <w:t>续管理权和实际控制权，与交易相关的经济利益很可能流入企业，并且与销售该商品相关的收入和成本能</w:t>
      </w:r>
      <w:r>
        <w:rPr>
          <w:spacing w:val="-42"/>
        </w:rPr>
        <w:t> </w:t>
      </w:r>
      <w:r>
        <w:rPr>
          <w:spacing w:val="-42"/>
        </w:rPr>
      </w:r>
      <w:r>
        <w:rPr>
          <w:spacing w:val="-2"/>
        </w:rPr>
        <w:t>够可靠地计量时，确认营业收入的实现。根据国内销售合同约定，通常以聚脂薄膜在所有权和管理权发生</w:t>
      </w:r>
      <w:r>
        <w:rPr>
          <w:spacing w:val="-45"/>
        </w:rPr>
        <w:t> </w:t>
      </w:r>
      <w:r>
        <w:rPr>
          <w:spacing w:val="-45"/>
        </w:rPr>
      </w:r>
      <w:r>
        <w:rPr>
          <w:spacing w:val="-2"/>
        </w:rPr>
        <w:t>转移时点作为销售收入的确认时点。根据出口销售合同约定，在所有权和管理权发生转移时点确认产品销</w:t>
      </w:r>
      <w:r>
        <w:rPr>
          <w:spacing w:val="-41"/>
        </w:rPr>
        <w:t> </w:t>
      </w:r>
      <w:r>
        <w:rPr>
          <w:spacing w:val="-41"/>
        </w:rPr>
      </w:r>
      <w:r>
        <w:rPr>
          <w:spacing w:val="-2"/>
        </w:rPr>
        <w:t>售收入，一般情况下在出口业务办妥出口手续时确认收入。由于收入是双星新材的关键业绩指标之一，从</w:t>
      </w:r>
    </w:p>
    <w:p>
      <w:pPr>
        <w:spacing w:after="0" w:line="273"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而存在管理层为了达到特定目标或期望而操纵收入确认时点的固有风险，我们将收入确认识别为关键审计</w:t>
      </w:r>
      <w:r>
        <w:rPr>
          <w:spacing w:val="-43"/>
        </w:rPr>
        <w:t> </w:t>
      </w:r>
      <w:r>
        <w:rPr>
          <w:spacing w:val="-43"/>
        </w:rPr>
      </w:r>
      <w:r>
        <w:rPr/>
        <w:t>事项。</w:t>
      </w:r>
    </w:p>
    <w:p>
      <w:pPr>
        <w:pStyle w:val="BodyText"/>
        <w:spacing w:line="240" w:lineRule="auto" w:before="48"/>
        <w:ind w:left="573" w:right="0"/>
        <w:jc w:val="left"/>
      </w:pPr>
      <w:r>
        <w:rPr/>
        <w:t>公司与营业收入相关的信息披露在财务报告的</w:t>
      </w:r>
      <w:r>
        <w:rPr>
          <w:rFonts w:ascii="Times New Roman" w:hAnsi="Times New Roman" w:cs="Times New Roman" w:eastAsia="Times New Roman" w:hint="default"/>
        </w:rPr>
        <w:t>“</w:t>
      </w:r>
      <w:r>
        <w:rPr/>
        <w:t>五、合并财务报表项目注释</w:t>
      </w:r>
      <w:r>
        <w:rPr>
          <w:rFonts w:ascii="Times New Roman" w:hAnsi="Times New Roman" w:cs="Times New Roman" w:eastAsia="Times New Roman" w:hint="default"/>
        </w:rPr>
        <w:t>/31”</w:t>
      </w:r>
      <w:r>
        <w:rPr/>
        <w:t>。</w:t>
      </w:r>
    </w:p>
    <w:p>
      <w:pPr>
        <w:spacing w:line="240" w:lineRule="auto" w:before="7"/>
        <w:rPr>
          <w:rFonts w:ascii="宋体" w:hAnsi="宋体" w:cs="宋体" w:eastAsia="宋体" w:hint="default"/>
          <w:sz w:val="31"/>
          <w:szCs w:val="31"/>
        </w:rPr>
      </w:pPr>
    </w:p>
    <w:p>
      <w:pPr>
        <w:pStyle w:val="BodyText"/>
        <w:spacing w:line="240" w:lineRule="auto"/>
        <w:ind w:left="573" w:right="0"/>
        <w:jc w:val="left"/>
      </w:pPr>
      <w:r>
        <w:rPr/>
        <w:t>该事项在审计中如何应对：</w:t>
      </w:r>
    </w:p>
    <w:p>
      <w:pPr>
        <w:pStyle w:val="BodyText"/>
        <w:spacing w:line="240" w:lineRule="auto" w:before="78"/>
        <w:ind w:left="573" w:right="0"/>
        <w:jc w:val="left"/>
      </w:pPr>
      <w:r>
        <w:rPr>
          <w:rFonts w:ascii="Times New Roman" w:hAnsi="Times New Roman" w:cs="Times New Roman" w:eastAsia="Times New Roman" w:hint="default"/>
        </w:rPr>
        <w:t>•</w:t>
      </w:r>
      <w:r>
        <w:rPr/>
        <w:t>了解和评价管理层与收入确认相关的关键内部控制的设计和运行有效性；</w:t>
      </w:r>
    </w:p>
    <w:p>
      <w:pPr>
        <w:pStyle w:val="BodyText"/>
        <w:spacing w:line="256" w:lineRule="auto" w:before="59"/>
        <w:ind w:right="0" w:firstLine="420"/>
        <w:jc w:val="left"/>
      </w:pPr>
      <w:r>
        <w:rPr>
          <w:rFonts w:ascii="Times New Roman" w:hAnsi="Times New Roman" w:cs="Times New Roman" w:eastAsia="Times New Roman" w:hint="default"/>
          <w:spacing w:val="-4"/>
        </w:rPr>
        <w:t>•</w:t>
      </w:r>
      <w:r>
        <w:rPr>
          <w:spacing w:val="-4"/>
        </w:rPr>
        <w:t>选取样本检查销售合同，识别与商品所有权上的风险和报酬转移相关的合同条款与条件，评价双星新</w:t>
      </w:r>
      <w:r>
        <w:rPr>
          <w:w w:val="100"/>
        </w:rPr>
        <w:t> </w:t>
      </w:r>
      <w:r>
        <w:rPr/>
        <w:t>材的收入确认时点是否符合企业会计准则的要求；</w:t>
      </w:r>
    </w:p>
    <w:p>
      <w:pPr>
        <w:pStyle w:val="BodyText"/>
        <w:spacing w:line="256" w:lineRule="auto" w:before="63"/>
        <w:ind w:right="0" w:firstLine="420"/>
        <w:jc w:val="left"/>
      </w:pPr>
      <w:r>
        <w:rPr>
          <w:rFonts w:ascii="Times New Roman" w:hAnsi="Times New Roman" w:cs="Times New Roman" w:eastAsia="Times New Roman" w:hint="default"/>
          <w:spacing w:val="-4"/>
        </w:rPr>
        <w:t>•</w:t>
      </w:r>
      <w:r>
        <w:rPr>
          <w:spacing w:val="-4"/>
        </w:rPr>
        <w:t>对本年记录的收入交易选取样本，核对发票、销售合同及出库单，评价相关收入确认是否符合双星新</w:t>
      </w:r>
      <w:r>
        <w:rPr>
          <w:w w:val="100"/>
        </w:rPr>
        <w:t> </w:t>
      </w:r>
      <w:r>
        <w:rPr/>
        <w:t>材收入确认的会计政策；</w:t>
      </w:r>
    </w:p>
    <w:p>
      <w:pPr>
        <w:pStyle w:val="BodyText"/>
        <w:spacing w:line="256" w:lineRule="auto" w:before="63"/>
        <w:ind w:right="0" w:firstLine="420"/>
        <w:jc w:val="left"/>
      </w:pPr>
      <w:r>
        <w:rPr>
          <w:rFonts w:ascii="Times New Roman" w:hAnsi="Times New Roman" w:cs="Times New Roman" w:eastAsia="Times New Roman" w:hint="default"/>
          <w:spacing w:val="-4"/>
        </w:rPr>
        <w:t>•</w:t>
      </w:r>
      <w:r>
        <w:rPr>
          <w:spacing w:val="-4"/>
        </w:rPr>
        <w:t>就资产负债表日前后记录的收入交易，选取样本，核对出库单及其他支持性文件，以评价收入是否被</w:t>
      </w:r>
      <w:r>
        <w:rPr>
          <w:w w:val="100"/>
        </w:rPr>
        <w:t> </w:t>
      </w:r>
      <w:r>
        <w:rPr/>
        <w:t>记录于恰当的会计期间；</w:t>
      </w:r>
    </w:p>
    <w:p>
      <w:pPr>
        <w:pStyle w:val="BodyText"/>
        <w:spacing w:line="290" w:lineRule="auto" w:before="61"/>
        <w:ind w:left="573" w:right="0"/>
        <w:jc w:val="left"/>
      </w:pPr>
      <w:r>
        <w:rPr>
          <w:rFonts w:ascii="Times New Roman" w:hAnsi="Times New Roman" w:cs="Times New Roman" w:eastAsia="Times New Roman" w:hint="default"/>
          <w:spacing w:val="-2"/>
        </w:rPr>
        <w:t>•</w:t>
      </w:r>
      <w:r>
        <w:rPr>
          <w:spacing w:val="-2"/>
        </w:rPr>
        <w:t>检查本年度重大或满足其他特定风险标准的与收入确认相关的手工会计分录的相关支持性文件。</w:t>
      </w:r>
      <w:r>
        <w:rPr>
          <w:spacing w:val="-25"/>
        </w:rPr>
        <w:t> </w:t>
      </w:r>
      <w:r>
        <w:rPr>
          <w:spacing w:val="-25"/>
        </w:rPr>
      </w:r>
      <w:r>
        <w:rPr/>
        <w:t>我们发现，根据所得凭证，管理层对营业收入的确认是合理的。</w:t>
      </w:r>
    </w:p>
    <w:p>
      <w:pPr>
        <w:spacing w:line="240" w:lineRule="auto" w:before="5"/>
        <w:rPr>
          <w:rFonts w:ascii="宋体" w:hAnsi="宋体" w:cs="宋体" w:eastAsia="宋体" w:hint="default"/>
          <w:sz w:val="29"/>
          <w:szCs w:val="29"/>
        </w:rPr>
      </w:pPr>
    </w:p>
    <w:p>
      <w:pPr>
        <w:pStyle w:val="BodyText"/>
        <w:spacing w:line="307" w:lineRule="auto"/>
        <w:ind w:left="573" w:right="0"/>
        <w:jc w:val="left"/>
      </w:pPr>
      <w:r>
        <w:rPr/>
        <w:t>关键审计事项（二）：</w:t>
      </w:r>
      <w:r>
        <w:rPr>
          <w:w w:val="100"/>
        </w:rPr>
        <w:t> </w:t>
      </w:r>
      <w:r>
        <w:rPr>
          <w:spacing w:val="-2"/>
        </w:rPr>
        <w:t>双星新材自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日适用修订后的《企业会计准则第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金融工具确认和计量》，并搭建了</w:t>
      </w:r>
    </w:p>
    <w:p>
      <w:pPr>
        <w:pStyle w:val="BodyText"/>
        <w:spacing w:line="231" w:lineRule="exact"/>
        <w:ind w:right="0"/>
        <w:jc w:val="both"/>
      </w:pPr>
      <w:r>
        <w:rPr/>
        <w:t>新的金融资产减值模型。公司运用预期信用损失模型确定应收款项的减值测试的过程中涉及到若干关键参</w:t>
      </w:r>
    </w:p>
    <w:p>
      <w:pPr>
        <w:pStyle w:val="BodyText"/>
        <w:spacing w:line="273" w:lineRule="auto" w:before="37"/>
        <w:ind w:right="1105"/>
        <w:jc w:val="both"/>
      </w:pPr>
      <w:r>
        <w:rPr>
          <w:spacing w:val="-2"/>
        </w:rPr>
        <w:t>数和假设的应用，同时考虑前瞻性调整及其他调整因素等，在这些参数的选取和假设的应用过程中涉及较</w:t>
      </w:r>
      <w:r>
        <w:rPr>
          <w:spacing w:val="-44"/>
        </w:rPr>
        <w:t> </w:t>
      </w:r>
      <w:r>
        <w:rPr>
          <w:spacing w:val="-44"/>
        </w:rPr>
      </w:r>
      <w:r>
        <w:rPr>
          <w:spacing w:val="-2"/>
        </w:rPr>
        <w:t>多的管理层判断。外部宏观环境和公司内部信用风险管理策略对预期信用损失模型的确定有很大的影响。</w:t>
      </w:r>
      <w:r>
        <w:rPr>
          <w:spacing w:val="-21"/>
        </w:rPr>
        <w:t> </w:t>
      </w:r>
      <w:r>
        <w:rPr>
          <w:spacing w:val="-21"/>
        </w:rPr>
      </w:r>
      <w:r>
        <w:rPr>
          <w:spacing w:val="-2"/>
        </w:rPr>
        <w:t>在评估关键参数和假设时，公司对于应收款项所考虑的因素包括历史损失率、内部信用评级、外部信用评</w:t>
      </w:r>
      <w:r>
        <w:rPr>
          <w:spacing w:val="-44"/>
        </w:rPr>
        <w:t> </w:t>
      </w:r>
      <w:r>
        <w:rPr>
          <w:spacing w:val="-44"/>
        </w:rPr>
      </w:r>
      <w:r>
        <w:rPr>
          <w:spacing w:val="-2"/>
        </w:rPr>
        <w:t>级及其他调整因素。在运用判断确定预期信用损失率时，管理层会考虑多种因素。这些因素包括客户的信</w:t>
      </w:r>
      <w:r>
        <w:rPr>
          <w:spacing w:val="-44"/>
        </w:rPr>
        <w:t> </w:t>
      </w:r>
      <w:r>
        <w:rPr>
          <w:spacing w:val="-44"/>
        </w:rPr>
      </w:r>
      <w:r>
        <w:rPr>
          <w:spacing w:val="-2"/>
        </w:rPr>
        <w:t>用状况、合同期限、市场宏观经济影响等。由于应收款项的减值模型的确定存在固有不确定性以及涉及到</w:t>
      </w:r>
      <w:r>
        <w:rPr>
          <w:spacing w:val="-44"/>
        </w:rPr>
        <w:t> </w:t>
      </w:r>
      <w:r>
        <w:rPr>
          <w:spacing w:val="-44"/>
        </w:rPr>
      </w:r>
      <w:r>
        <w:rPr>
          <w:spacing w:val="-2"/>
        </w:rPr>
        <w:t>管理层判断，同时其对公司的经营状况和资本状况会产生重要影响，我们将应收款项的减值模型的确定识</w:t>
      </w:r>
      <w:r>
        <w:rPr>
          <w:spacing w:val="-44"/>
        </w:rPr>
        <w:t> </w:t>
      </w:r>
      <w:r>
        <w:rPr>
          <w:spacing w:val="-44"/>
        </w:rPr>
      </w:r>
      <w:r>
        <w:rPr/>
        <w:t>别为关键审计事项。</w:t>
      </w:r>
    </w:p>
    <w:p>
      <w:pPr>
        <w:pStyle w:val="BodyText"/>
        <w:spacing w:line="256" w:lineRule="auto" w:before="48"/>
        <w:ind w:right="1129" w:firstLine="420"/>
        <w:jc w:val="both"/>
      </w:pPr>
      <w:r>
        <w:rPr>
          <w:spacing w:val="-3"/>
        </w:rPr>
        <w:t>公司与应收款项相关的信息披露在财务报告的</w:t>
      </w:r>
      <w:r>
        <w:rPr>
          <w:rFonts w:ascii="Times New Roman" w:hAnsi="Times New Roman" w:cs="Times New Roman" w:eastAsia="Times New Roman" w:hint="default"/>
          <w:spacing w:val="-3"/>
        </w:rPr>
        <w:t>“</w:t>
      </w:r>
      <w:r>
        <w:rPr>
          <w:spacing w:val="-3"/>
        </w:rPr>
        <w:t>五、合并财务报表项目注释</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w:t>
      </w:r>
      <w:r>
        <w:rPr>
          <w:spacing w:val="-3"/>
        </w:rPr>
        <w:t>五、合并财务报表项</w:t>
      </w:r>
      <w:r>
        <w:rPr>
          <w:w w:val="100"/>
        </w:rPr>
        <w:t> </w:t>
      </w:r>
      <w:r>
        <w:rPr>
          <w:spacing w:val="-2"/>
        </w:rPr>
        <w:t>目注释</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w:t>
      </w:r>
      <w:r>
        <w:rPr>
          <w:spacing w:val="-2"/>
        </w:rPr>
        <w:t>五、合并财务报表项目注释</w:t>
      </w:r>
      <w:r>
        <w:rPr>
          <w:rFonts w:ascii="Times New Roman" w:hAnsi="Times New Roman" w:cs="Times New Roman" w:eastAsia="Times New Roman" w:hint="default"/>
          <w:spacing w:val="-2"/>
        </w:rPr>
        <w:t>/7”</w:t>
      </w:r>
      <w:r>
        <w:rPr>
          <w:spacing w:val="-2"/>
        </w:rPr>
        <w:t>及</w:t>
      </w:r>
      <w:r>
        <w:rPr>
          <w:rFonts w:ascii="Times New Roman" w:hAnsi="Times New Roman" w:cs="Times New Roman" w:eastAsia="Times New Roman" w:hint="default"/>
          <w:spacing w:val="-2"/>
        </w:rPr>
        <w:t>“</w:t>
      </w:r>
      <w:r>
        <w:rPr>
          <w:spacing w:val="-2"/>
        </w:rPr>
        <w:t>十三、母公司财务报表主要项目注释</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w:t>
      </w:r>
      <w:r>
        <w:rPr>
          <w:spacing w:val="-2"/>
        </w:rPr>
        <w:t>十三、母公司财</w:t>
      </w:r>
      <w:r>
        <w:rPr>
          <w:spacing w:val="-38"/>
        </w:rPr>
        <w:t> </w:t>
      </w:r>
      <w:r>
        <w:rPr>
          <w:spacing w:val="-38"/>
        </w:rPr>
      </w:r>
      <w:r>
        <w:rPr/>
        <w:t>务报表主要项目注释</w:t>
      </w:r>
      <w:r>
        <w:rPr>
          <w:rFonts w:ascii="Times New Roman" w:hAnsi="Times New Roman" w:cs="Times New Roman" w:eastAsia="Times New Roman" w:hint="default"/>
        </w:rPr>
        <w:t>/2”</w:t>
      </w:r>
      <w:r>
        <w:rPr/>
        <w:t>。</w:t>
      </w:r>
    </w:p>
    <w:p>
      <w:pPr>
        <w:spacing w:line="240" w:lineRule="auto" w:before="4"/>
        <w:rPr>
          <w:rFonts w:ascii="宋体" w:hAnsi="宋体" w:cs="宋体" w:eastAsia="宋体" w:hint="default"/>
          <w:sz w:val="30"/>
          <w:szCs w:val="30"/>
        </w:rPr>
      </w:pPr>
    </w:p>
    <w:p>
      <w:pPr>
        <w:pStyle w:val="BodyText"/>
        <w:spacing w:line="240" w:lineRule="auto"/>
        <w:ind w:left="573" w:right="0"/>
        <w:jc w:val="left"/>
      </w:pPr>
      <w:r>
        <w:rPr/>
        <w:t>该事项在审计中如何应对：</w:t>
      </w:r>
    </w:p>
    <w:p>
      <w:pPr>
        <w:pStyle w:val="BodyText"/>
        <w:tabs>
          <w:tab w:pos="993" w:val="left" w:leader="none"/>
        </w:tabs>
        <w:spacing w:line="256" w:lineRule="auto" w:before="78"/>
        <w:ind w:right="1126" w:firstLine="420"/>
        <w:jc w:val="left"/>
      </w:pPr>
      <w:r>
        <w:rPr>
          <w:rFonts w:ascii="Times New Roman" w:hAnsi="Times New Roman" w:cs="Times New Roman" w:eastAsia="Times New Roman" w:hint="default"/>
        </w:rPr>
        <w:t>•</w:t>
        <w:tab/>
      </w:r>
      <w:r>
        <w:rPr>
          <w:spacing w:val="-2"/>
        </w:rPr>
        <w:t>对信用政策、应收款项管理相关内部控制及预期信用减值损失模型的设计和运行有效性进行了评</w:t>
      </w:r>
      <w:r>
        <w:rPr>
          <w:w w:val="100"/>
        </w:rPr>
        <w:t> </w:t>
      </w:r>
      <w:r>
        <w:rPr/>
        <w:t>估和测试；</w:t>
      </w:r>
    </w:p>
    <w:p>
      <w:pPr>
        <w:pStyle w:val="BodyText"/>
        <w:tabs>
          <w:tab w:pos="993" w:val="left" w:leader="none"/>
        </w:tabs>
        <w:spacing w:line="256" w:lineRule="auto" w:before="61"/>
        <w:ind w:right="1126" w:firstLine="420"/>
        <w:jc w:val="left"/>
      </w:pPr>
      <w:r>
        <w:rPr>
          <w:rFonts w:ascii="Times New Roman" w:hAnsi="Times New Roman" w:cs="Times New Roman" w:eastAsia="Times New Roman" w:hint="default"/>
        </w:rPr>
        <w:t>•</w:t>
        <w:tab/>
      </w:r>
      <w:r>
        <w:rPr>
          <w:spacing w:val="-2"/>
        </w:rPr>
        <w:t>分析预期信用损失会计估计的合理性，包括确定应收款项组合的依据、金额重大的判断、单独计</w:t>
      </w:r>
      <w:r>
        <w:rPr>
          <w:w w:val="100"/>
        </w:rPr>
        <w:t> </w:t>
      </w:r>
      <w:r>
        <w:rPr/>
        <w:t>提坏账准备的判断以及前瞻性合理性的判断等；</w:t>
      </w:r>
    </w:p>
    <w:p>
      <w:pPr>
        <w:pStyle w:val="BodyText"/>
        <w:tabs>
          <w:tab w:pos="993" w:val="left" w:leader="none"/>
        </w:tabs>
        <w:spacing w:line="259" w:lineRule="auto" w:before="63"/>
        <w:ind w:right="1126" w:firstLine="420"/>
        <w:jc w:val="left"/>
      </w:pPr>
      <w:r>
        <w:rPr>
          <w:rFonts w:ascii="Times New Roman" w:hAnsi="Times New Roman" w:cs="Times New Roman" w:eastAsia="Times New Roman" w:hint="default"/>
        </w:rPr>
        <w:t>•</w:t>
        <w:tab/>
      </w:r>
      <w:r>
        <w:rPr>
          <w:spacing w:val="-2"/>
        </w:rPr>
        <w:t>分析计算资产负债表日坏账准备金额与应收款项余额之间的比率，比较前期坏账准备计提数和实</w:t>
      </w:r>
      <w:r>
        <w:rPr>
          <w:w w:val="100"/>
        </w:rPr>
        <w:t> </w:t>
      </w:r>
      <w:r>
        <w:rPr/>
        <w:t>际发生数，分析应收账款坏账准备计提是否充分；</w:t>
      </w:r>
    </w:p>
    <w:p>
      <w:pPr>
        <w:pStyle w:val="BodyText"/>
        <w:tabs>
          <w:tab w:pos="993" w:val="left" w:leader="none"/>
        </w:tabs>
        <w:spacing w:line="256" w:lineRule="auto" w:before="61"/>
        <w:ind w:right="1126" w:firstLine="420"/>
        <w:jc w:val="left"/>
      </w:pPr>
      <w:r>
        <w:rPr>
          <w:rFonts w:ascii="Times New Roman" w:hAnsi="Times New Roman" w:cs="Times New Roman" w:eastAsia="Times New Roman" w:hint="default"/>
        </w:rPr>
        <w:t>•</w:t>
        <w:tab/>
      </w:r>
      <w:r>
        <w:rPr>
          <w:spacing w:val="-2"/>
        </w:rPr>
        <w:t>通过分析应收账款的账龄和客户信誉情况，并执行应收账款函证程序及检查期后回款情况，评价</w:t>
      </w:r>
      <w:r>
        <w:rPr>
          <w:w w:val="100"/>
        </w:rPr>
        <w:t> </w:t>
      </w:r>
      <w:r>
        <w:rPr/>
        <w:t>应收账款坏账准备计提的合理性；</w:t>
      </w:r>
    </w:p>
    <w:p>
      <w:pPr>
        <w:pStyle w:val="BodyText"/>
        <w:tabs>
          <w:tab w:pos="993" w:val="left" w:leader="none"/>
        </w:tabs>
        <w:spacing w:line="256" w:lineRule="auto" w:before="61"/>
        <w:ind w:right="1126" w:firstLine="420"/>
        <w:jc w:val="left"/>
      </w:pPr>
      <w:r>
        <w:rPr>
          <w:rFonts w:ascii="Times New Roman" w:hAnsi="Times New Roman" w:cs="Times New Roman" w:eastAsia="Times New Roman" w:hint="default"/>
        </w:rPr>
        <w:t>•</w:t>
        <w:tab/>
      </w:r>
      <w:r>
        <w:rPr>
          <w:spacing w:val="-2"/>
        </w:rPr>
        <w:t>获取预期信用损失计算表，检查计提方法是否按照预期信用损失政策执行；重新计算坏账计提金</w:t>
      </w:r>
      <w:r>
        <w:rPr>
          <w:w w:val="100"/>
        </w:rPr>
        <w:t> </w:t>
      </w:r>
      <w:r>
        <w:rPr/>
        <w:t>额是否准确。</w:t>
      </w:r>
    </w:p>
    <w:p>
      <w:pPr>
        <w:pStyle w:val="BodyText"/>
        <w:spacing w:line="240" w:lineRule="auto" w:before="63"/>
        <w:ind w:left="573" w:right="0"/>
        <w:jc w:val="left"/>
      </w:pPr>
      <w:r>
        <w:rPr/>
        <w:t>我们发现，根据所得凭证，管理层对应收账款的坏账准备及账面价值的计算是合理的。</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309" w:lineRule="auto" w:before="36"/>
        <w:ind w:left="573" w:right="0" w:firstLine="2"/>
        <w:jc w:val="left"/>
      </w:pPr>
      <w:r>
        <w:rPr>
          <w:rFonts w:ascii="宋体" w:hAnsi="宋体" w:cs="宋体" w:eastAsia="宋体" w:hint="default"/>
          <w:b/>
          <w:bCs/>
        </w:rPr>
        <w:t>四、其他信息</w:t>
      </w:r>
      <w:r>
        <w:rPr>
          <w:rFonts w:ascii="宋体" w:hAnsi="宋体" w:cs="宋体" w:eastAsia="宋体" w:hint="default"/>
          <w:b/>
          <w:bCs/>
          <w:w w:val="100"/>
        </w:rPr>
        <w:t> </w:t>
      </w:r>
      <w:r>
        <w:rPr>
          <w:spacing w:val="-2"/>
        </w:rPr>
        <w:t>双星新材管理层（以下简称管理层）对其他信息负责。其他信息包括双星新材</w:t>
      </w:r>
      <w:r>
        <w:rPr>
          <w:rFonts w:ascii="Times New Roman" w:hAnsi="Times New Roman" w:cs="Times New Roman" w:eastAsia="Times New Roman" w:hint="default"/>
          <w:spacing w:val="-2"/>
        </w:rPr>
        <w:t>2019</w:t>
      </w:r>
      <w:r>
        <w:rPr>
          <w:spacing w:val="-2"/>
        </w:rPr>
        <w:t>年度报告中涵盖的</w:t>
      </w:r>
    </w:p>
    <w:p>
      <w:pPr>
        <w:pStyle w:val="BodyText"/>
        <w:spacing w:line="229" w:lineRule="exact"/>
        <w:ind w:right="0"/>
        <w:jc w:val="left"/>
      </w:pPr>
      <w:r>
        <w:rPr/>
        <w:t>信息，但不包括财务报表和我们的审计报告。</w:t>
      </w:r>
    </w:p>
    <w:p>
      <w:pPr>
        <w:pStyle w:val="BodyText"/>
        <w:spacing w:line="307" w:lineRule="auto" w:before="75"/>
        <w:ind w:left="573" w:right="0"/>
        <w:jc w:val="left"/>
      </w:pPr>
      <w:r>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结合我们对财务报表的审计，我们的责任是阅读其他信息，在此过程中，考虑其他信息是否与财务报</w:t>
      </w:r>
    </w:p>
    <w:p>
      <w:pPr>
        <w:pStyle w:val="BodyText"/>
        <w:spacing w:line="253" w:lineRule="exact"/>
        <w:ind w:right="0"/>
        <w:jc w:val="left"/>
      </w:pPr>
      <w:r>
        <w:rPr/>
        <w:t>表或我们在审计过程中了解到的情况存在重大不一致或者似乎存在重大错报。</w:t>
      </w:r>
    </w:p>
    <w:p>
      <w:pPr>
        <w:pStyle w:val="BodyText"/>
        <w:spacing w:line="273" w:lineRule="auto" w:before="78"/>
        <w:ind w:right="0" w:firstLine="420"/>
        <w:jc w:val="left"/>
      </w:pPr>
      <w:r>
        <w:rPr>
          <w:spacing w:val="-2"/>
        </w:rPr>
        <w:t>基于我们已执行的工作，如果我们确定其他信息存在重大错报，我们应当报告该事实。在这方面，我</w:t>
      </w:r>
      <w:r>
        <w:rPr>
          <w:w w:val="100"/>
        </w:rPr>
        <w:t> </w:t>
      </w:r>
      <w:r>
        <w:rPr/>
        <w:t>们无任何事项需要报告。</w:t>
      </w:r>
    </w:p>
    <w:p>
      <w:pPr>
        <w:spacing w:line="307" w:lineRule="auto" w:before="46"/>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5"/>
          <w:sz w:val="21"/>
          <w:szCs w:val="21"/>
        </w:rPr>
        <w:t>双星新材管理层（以下简称管理层）负责按照企业会计准则的规定编制财务报表，使其实现公允反映，</w:t>
      </w:r>
    </w:p>
    <w:p>
      <w:pPr>
        <w:pStyle w:val="BodyText"/>
        <w:spacing w:line="253" w:lineRule="exact"/>
        <w:ind w:right="0"/>
        <w:jc w:val="left"/>
      </w:pPr>
      <w:r>
        <w:rPr/>
        <w:t>并设计、执行和维护必要的内部控制，以使财务报表不存在由于舞弊或错误导致的重大错报。</w:t>
      </w:r>
    </w:p>
    <w:p>
      <w:pPr>
        <w:pStyle w:val="BodyText"/>
        <w:spacing w:line="273" w:lineRule="auto" w:before="78"/>
        <w:ind w:right="0" w:firstLine="420"/>
        <w:jc w:val="left"/>
      </w:pPr>
      <w:r>
        <w:rPr>
          <w:spacing w:val="-2"/>
        </w:rPr>
        <w:t>在编制财务报表时，管理层负责评估双星新材的持续经营能力，披露与持续经营相关的事项，并运用</w:t>
      </w:r>
      <w:r>
        <w:rPr>
          <w:w w:val="100"/>
        </w:rPr>
        <w:t> </w:t>
      </w:r>
      <w:r>
        <w:rPr/>
        <w:t>持续经营假设，除非管理层计划清算双星新材、终止运营或别无其他现实的选择。</w:t>
      </w:r>
    </w:p>
    <w:p>
      <w:pPr>
        <w:spacing w:line="307" w:lineRule="auto" w:before="46"/>
        <w:ind w:left="575" w:right="4554" w:hanging="3"/>
        <w:jc w:val="left"/>
        <w:rPr>
          <w:rFonts w:ascii="宋体" w:hAnsi="宋体" w:cs="宋体" w:eastAsia="宋体" w:hint="default"/>
          <w:sz w:val="21"/>
          <w:szCs w:val="21"/>
        </w:rPr>
      </w:pPr>
      <w:r>
        <w:rPr>
          <w:rFonts w:ascii="宋体" w:hAnsi="宋体" w:cs="宋体" w:eastAsia="宋体" w:hint="default"/>
          <w:spacing w:val="-2"/>
          <w:sz w:val="21"/>
          <w:szCs w:val="21"/>
        </w:rPr>
        <w:t>治理层负责监督双星新材的财务报告过程。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273" w:lineRule="auto" w:before="19"/>
        <w:ind w:right="1126" w:firstLine="420"/>
        <w:jc w:val="both"/>
      </w:pPr>
      <w:r>
        <w:rPr>
          <w:spacing w:val="-2"/>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BodyText"/>
        <w:spacing w:line="273" w:lineRule="auto" w:before="46"/>
        <w:ind w:right="1126" w:firstLine="420"/>
        <w:jc w:val="left"/>
      </w:pPr>
      <w:r>
        <w:rPr>
          <w:spacing w:val="-2"/>
        </w:rPr>
        <w:t>在按照审计准则执行审计工作的过程中，我们运用职业判断，并保持职业怀疑。同时，我们也执行以</w:t>
      </w:r>
      <w:r>
        <w:rPr>
          <w:w w:val="100"/>
        </w:rPr>
        <w:t> </w:t>
      </w:r>
      <w:r>
        <w:rPr/>
        <w:t>下工作：</w:t>
      </w:r>
    </w:p>
    <w:p>
      <w:pPr>
        <w:pStyle w:val="BodyText"/>
        <w:spacing w:line="268" w:lineRule="auto" w:before="48"/>
        <w:ind w:right="0" w:firstLine="42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 </w:t>
      </w:r>
      <w:r>
        <w:rPr>
          <w:spacing w:val="-5"/>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BodyText"/>
        <w:spacing w:line="256" w:lineRule="auto" w:before="52"/>
        <w:ind w:right="1126" w:firstLine="42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w:t>
      </w:r>
      <w:r>
        <w:rPr>
          <w:w w:val="100"/>
        </w:rPr>
        <w:t> </w:t>
      </w:r>
      <w:r>
        <w:rPr/>
        <w:t>见。</w:t>
      </w:r>
    </w:p>
    <w:p>
      <w:pPr>
        <w:pStyle w:val="BodyText"/>
        <w:spacing w:line="240" w:lineRule="auto" w:before="61"/>
        <w:ind w:left="573"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68" w:lineRule="auto" w:before="62"/>
        <w:ind w:right="1126" w:firstLine="42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）对管理层使用持续经营假设的恰当性得出结论。同时，根据获取的审计证据，就可能导致对双</w:t>
      </w:r>
      <w:r>
        <w:rPr>
          <w:w w:val="100"/>
        </w:rPr>
        <w:t> </w:t>
      </w:r>
      <w:r>
        <w:rPr>
          <w:spacing w:val="-2"/>
        </w:rPr>
        <w:t>星新材持续经营能力产生重大疑虑的事项或情况是否存在重大不确定性得出结论。如果我们得出结论认为</w:t>
      </w:r>
      <w:r>
        <w:rPr>
          <w:spacing w:val="-43"/>
        </w:rPr>
        <w:t> </w:t>
      </w:r>
      <w:r>
        <w:rPr>
          <w:spacing w:val="-43"/>
        </w:rPr>
      </w:r>
      <w:r>
        <w:rPr>
          <w:spacing w:val="-2"/>
        </w:rPr>
        <w:t>存在重大不确定性，审计准则要求我们在审计报告中提请报表使用者注意财务报表中的相关披露；如果披</w:t>
      </w:r>
      <w:r>
        <w:rPr>
          <w:spacing w:val="-43"/>
        </w:rPr>
        <w:t> </w:t>
      </w:r>
      <w:r>
        <w:rPr>
          <w:spacing w:val="-43"/>
        </w:rPr>
      </w:r>
      <w:r>
        <w:rPr>
          <w:spacing w:val="-2"/>
        </w:rPr>
        <w:t>露不充分，我们应当发表非无保留意见。我们的结论基于截至审计报告日可获得的信息。然而，未来的事</w:t>
      </w:r>
      <w:r>
        <w:rPr>
          <w:spacing w:val="-47"/>
        </w:rPr>
        <w:t> </w:t>
      </w:r>
      <w:r>
        <w:rPr>
          <w:spacing w:val="-47"/>
        </w:rPr>
      </w:r>
      <w:r>
        <w:rPr/>
        <w:t>项或情况可能导致双星新材不能持续经营。</w:t>
      </w:r>
    </w:p>
    <w:p>
      <w:pPr>
        <w:pStyle w:val="BodyText"/>
        <w:spacing w:line="256" w:lineRule="auto" w:before="52"/>
        <w:ind w:right="1126" w:firstLine="42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w:t>
      </w:r>
      <w:r>
        <w:rPr>
          <w:w w:val="100"/>
        </w:rPr>
        <w:t> </w:t>
      </w:r>
      <w:r>
        <w:rPr/>
        <w:t>和事项。</w:t>
      </w:r>
    </w:p>
    <w:p>
      <w:pPr>
        <w:pStyle w:val="BodyText"/>
        <w:spacing w:line="256" w:lineRule="auto" w:before="61"/>
        <w:ind w:right="0" w:firstLine="420"/>
        <w:jc w:val="left"/>
      </w:pPr>
      <w:r>
        <w:rPr/>
        <w:t>（</w:t>
      </w:r>
      <w:r>
        <w:rPr>
          <w:rFonts w:ascii="Times New Roman" w:hAnsi="Times New Roman" w:cs="Times New Roman" w:eastAsia="Times New Roman" w:hint="default"/>
        </w:rPr>
        <w:t>6</w:t>
      </w:r>
      <w:r>
        <w:rPr/>
        <w:t>）就双星新材中实体或业务活动的财务信息获取充分、适当的审计证据，以对财务报表发表审计</w:t>
      </w:r>
      <w:r>
        <w:rPr>
          <w:w w:val="100"/>
        </w:rPr>
        <w:t> </w:t>
      </w:r>
      <w:r>
        <w:rPr/>
        <w:t>意见。我们负责指导、监督和执行集团审计，并对审计意见承担全部责任。</w:t>
      </w:r>
    </w:p>
    <w:p>
      <w:pPr>
        <w:pStyle w:val="BodyText"/>
        <w:spacing w:line="273" w:lineRule="auto" w:before="63"/>
        <w:ind w:right="0" w:firstLine="420"/>
        <w:jc w:val="left"/>
      </w:pPr>
      <w:r>
        <w:rPr>
          <w:spacing w:val="-2"/>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290" w:lineRule="auto" w:before="48"/>
        <w:ind w:right="0" w:firstLine="420"/>
        <w:jc w:val="left"/>
      </w:pPr>
      <w:r>
        <w:rPr>
          <w:spacing w:val="-2"/>
        </w:rPr>
        <w:t>我们还就已遵守与独立性相关的职业道德要求向治理层提供声明，并与治理层沟通可能被合理认为影</w:t>
      </w:r>
      <w:r>
        <w:rPr>
          <w:w w:val="100"/>
        </w:rPr>
        <w:t> </w:t>
      </w:r>
      <w:r>
        <w:rPr/>
        <w:t>响我们独立性的所有关系和其他事项，以及相关的防范措施。</w:t>
      </w:r>
      <w:r>
        <w:rPr>
          <w:w w:val="100"/>
        </w:rPr>
        <w:t> </w:t>
      </w:r>
      <w:r>
        <w:rPr>
          <w:spacing w:val="-2"/>
        </w:rPr>
        <w:t>从与治理层沟通过的事项中，我们确定哪些事项对本期财务报表审计最为重要，因而构成关键审计事项。</w:t>
      </w:r>
    </w:p>
    <w:p>
      <w:pPr>
        <w:spacing w:after="0" w:line="29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我们在审计报告中描述这些事项，除非法律法规禁止公开披露这些事项，或在极少数情形下，如果合理预</w:t>
      </w:r>
      <w:r>
        <w:rPr>
          <w:spacing w:val="-44"/>
        </w:rPr>
        <w:t> </w:t>
      </w:r>
      <w:r>
        <w:rPr>
          <w:spacing w:val="-44"/>
        </w:rPr>
      </w:r>
      <w:r>
        <w:rPr>
          <w:spacing w:val="-2"/>
        </w:rPr>
        <w:t>期在审计报告中沟通某事项造成的负面后果超过在公众利益方面产生的益处，我们确定不应在审计报告中</w:t>
      </w:r>
      <w:r>
        <w:rPr>
          <w:spacing w:val="-43"/>
        </w:rPr>
        <w:t> </w:t>
      </w:r>
      <w:r>
        <w:rPr>
          <w:spacing w:val="-43"/>
        </w:rPr>
      </w:r>
      <w:r>
        <w:rPr/>
        <w:t>沟通该事项。</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编制单位：江苏双星彩塑新材料股份有限公司</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749,310,709.56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621,264,238.56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22,203,927.24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232,529,170.92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950,071,327.16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921,560,212.41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307,836,938.16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739,652,887.24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681,659,765.07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2,983,958.80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8,807,547.55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1,216,300,790.59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1,446,550,380.65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26,782,041.60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1,091,439,170.17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4,515,142,580.35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5,003,810,485.33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403,194,200.00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415,714,784.96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3,154,553,777.99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3,329,463,894.91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656,570,989.75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224,747,061.08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152,017,945.63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127,430,768.03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24,398,421.41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2,856,068.64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18,942,423.47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14,692,396.22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58,077,167.92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176,472,736.35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4,480,275,511.13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4,298,857,125.23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8,995,418,091.48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9,302,667,610.56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986,095,498.80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543,461,940.00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118,408,820.00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63,316,743.71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79,600,349.43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41,899,137.40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32,820,178.91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21,977,141.98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7,119,247.14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13,324,241.78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125,538,077.31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118,583,361.97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1,349,582,171.59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802,562,566.84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798,282,967.15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1,878,087.74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514,583.33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609,583.33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2,392,671.07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798,892,550.48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1,351,974,842.66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1,601,455,117.32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1,156,278,085.00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1,156,278,085.00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5,185,545,435.71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5,185,545,435.71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186,851,057.93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167,340,850.69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1,114,768,670.18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1,192,048,121.84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7,643,443,248.82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7,701,212,493.24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7,643,443,248.82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7,701,212,493.24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8,995,418,091.48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9,302,667,610.56</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1223" w:firstLine="0"/>
        <w:jc w:val="right"/>
        <w:rPr>
          <w:rFonts w:ascii="宋体" w:hAnsi="宋体" w:cs="宋体" w:eastAsia="宋体" w:hint="default"/>
          <w:sz w:val="18"/>
          <w:szCs w:val="18"/>
        </w:rPr>
      </w:pPr>
      <w:r>
        <w:rPr>
          <w:rFonts w:ascii="宋体" w:hAnsi="宋体" w:cs="宋体" w:eastAsia="宋体" w:hint="default"/>
          <w:sz w:val="18"/>
          <w:szCs w:val="18"/>
        </w:rPr>
        <w:t>法定代表人：吴培服</w:t>
        <w:tab/>
      </w:r>
      <w:r>
        <w:rPr>
          <w:rFonts w:ascii="宋体" w:hAnsi="宋体" w:cs="宋体" w:eastAsia="宋体" w:hint="default"/>
          <w:spacing w:val="-1"/>
          <w:sz w:val="18"/>
          <w:szCs w:val="18"/>
        </w:rPr>
        <w:t>主管会计工作负责人：邹雪梅</w:t>
        <w:tab/>
      </w:r>
      <w:r>
        <w:rPr>
          <w:rFonts w:ascii="宋体" w:hAnsi="宋体" w:cs="宋体" w:eastAsia="宋体" w:hint="default"/>
          <w:sz w:val="18"/>
          <w:szCs w:val="18"/>
        </w:rPr>
        <w:t>会计机构负责人：胡立群</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741,635,828.76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617,190,751.10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22,203,927.24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232,529,170.92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965,502,971.87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941,418,873.87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307,836,938.16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735,125,276.47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672,847,386.75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2,791,312.11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8,464,317.27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0"/>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20"/>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1,151,058,905.02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1,364,383,351.67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26,698,091.19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1,090,603,040.35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4,452,853,250.82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4,927,436,891.93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403,194,200.00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95,100,955.61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115,100,955.61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415,714,784.96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3,107,980,080.14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3,277,087,682.47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655,790,499.95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223,694,026.67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149,373,754.95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124,706,773.75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24,398,421.41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2,856,068.64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14,424,165.27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12,939,709.97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58,077,167.92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176,472,736.35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4,520,859,830.21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4,336,052,153.46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8,973,713,081.03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9,263,489,045.39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986,095,498.80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543,461,940.00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108,511,482.42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57,760,340.01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73,746,884.68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36,098,765.88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32,800,178.91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21,977,141.98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6,538,262.91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12,803,963.11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125,478,616.95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118,286,314.08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1,333,170,924.67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790,388,465.06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798,282,967.15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1,878,087.74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1,878,087.74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798,282,967.15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1,335,049,012.41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1,588,671,432.21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1,156,278,085.00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1,156,278,085.00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5,185,545,435.71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5,185,545,435.71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186,851,057.93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167,340,850.69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1,109,989,489.98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1,165,653,241.78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7,638,664,068.62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7,674,817,613.18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8,973,713,081.03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9,263,489,045.39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4,472,306,660.48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3,857,565,344.01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4,472,306,660.48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3,857,565,344.01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4,274,044,223.03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3,523,919,313.01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3,893,604,449.79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3,191,060,934.15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15,867,043.74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10,910,016.83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113,750,500.61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111,570,405.43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83,389,984.41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61,362,885.30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145,203,795.81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121,508,267.11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22,228,448.67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27,506,804.19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28,747,152.00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33,322,119.48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8,178,902.05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3,565,842.25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7,312,823.00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8,024,300.00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27,227,984.96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57,131,260.52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161.479980pt;width:158.9pt;height:20.65pt;mso-position-horizontal-relative:page;mso-position-vertical-relative:page;z-index:-917392" coordorigin="4220,3230" coordsize="3178,413">
            <v:group style="position:absolute;left:4231;top:3240;width:2;height:392" coordorigin="4231,3240" coordsize="2,392">
              <v:shape style="position:absolute;left:4231;top:3240;width:2;height:392" coordorigin="4231,3240" coordsize="0,392" path="m4231,3240l4231,3632e" filled="false" stroked="true" strokeweight="1.08pt" strokecolor="#ffffff">
                <v:path arrowok="t"/>
              </v:shape>
            </v:group>
            <v:group style="position:absolute;left:4242;top:3240;width:3157;height:392" coordorigin="4242,3240" coordsize="3157,392">
              <v:shape style="position:absolute;left:4242;top:3240;width:3157;height:392" coordorigin="4242,3240" coordsize="3157,392" path="m4242,3632l7398,3632,7398,3240,4242,3240,4242,3632xe" filled="true" fillcolor="#ffffff" stroked="false">
                <v:path arrowok="t"/>
                <v:fill type="solid"/>
              </v:shape>
            </v:group>
            <w10:wrap type="none"/>
          </v:group>
        </w:pict>
      </w:r>
      <w:r>
        <w:rPr/>
        <w:pict>
          <v:group style="position:absolute;margin-left:211.009995pt;margin-top:420.349976pt;width:158.9pt;height:20.8pt;mso-position-horizontal-relative:page;mso-position-vertical-relative:page;z-index:-917368" coordorigin="4220,8407" coordsize="3178,416">
            <v:group style="position:absolute;left:4231;top:8418;width:2;height:394" coordorigin="4231,8418" coordsize="2,394">
              <v:shape style="position:absolute;left:4231;top:8418;width:2;height:394" coordorigin="4231,8418" coordsize="0,394" path="m4231,8418l4231,8811e" filled="false" stroked="true" strokeweight="1.08pt" strokecolor="#ffffff">
                <v:path arrowok="t"/>
              </v:shape>
            </v:group>
            <v:group style="position:absolute;left:4242;top:8418;width:3157;height:394" coordorigin="4242,8418" coordsize="3157,394">
              <v:shape style="position:absolute;left:4242;top:8418;width:3157;height:394" coordorigin="4242,8418" coordsize="3157,394" path="m4242,8811l7398,8811,7398,8418,4242,8418,4242,881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071"/>
        <w:gridCol w:w="2151"/>
        <w:gridCol w:w="3277"/>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12,520,584.96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6" w:right="0"/>
              <w:jc w:val="left"/>
              <w:rPr>
                <w:rFonts w:ascii="Times New Roman" w:hAnsi="Times New Roman" w:cs="Times New Roman" w:eastAsia="Times New Roman" w:hint="default"/>
                <w:sz w:val="18"/>
                <w:szCs w:val="18"/>
              </w:rPr>
            </w:pPr>
            <w:r>
              <w:rPr>
                <w:rFonts w:ascii="Times New Roman"/>
                <w:sz w:val="18"/>
              </w:rPr>
              <w:t>-16,435,607.01</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6" w:right="0"/>
              <w:jc w:val="left"/>
              <w:rPr>
                <w:rFonts w:ascii="Times New Roman" w:hAnsi="Times New Roman" w:cs="Times New Roman" w:eastAsia="Times New Roman" w:hint="default"/>
                <w:sz w:val="18"/>
                <w:szCs w:val="18"/>
              </w:rPr>
            </w:pPr>
            <w:r>
              <w:rPr>
                <w:rFonts w:ascii="Times New Roman"/>
                <w:sz w:val="18"/>
              </w:rPr>
              <w:t>-31,897,907.95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-35,418,321.21</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196,990,315.41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363,383,270.31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212,102.54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2,938,975.31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70,380.15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289,391.31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197,132,037.80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366,032,854.31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23,645,665.22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44,684,420.50</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173,486,372.58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321,348,433.81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173,486,372.58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321,348,433.81</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173,486,372.58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321,348,433.81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2"/>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173,486,372.58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321,348,433.81</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173,486,372.58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321,348,433.81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0.28</w:t>
            </w:r>
          </w:p>
        </w:tc>
      </w:tr>
    </w:tbl>
    <w:p>
      <w:pPr>
        <w:tabs>
          <w:tab w:pos="3578" w:val="left" w:leader="none"/>
          <w:tab w:pos="7721" w:val="left" w:leader="none"/>
        </w:tabs>
        <w:spacing w:line="621" w:lineRule="auto" w:before="49"/>
        <w:ind w:left="152" w:right="1223"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法定代表人：吴培服</w:t>
        <w:tab/>
      </w:r>
      <w:r>
        <w:rPr>
          <w:rFonts w:ascii="宋体" w:hAnsi="宋体" w:cs="宋体" w:eastAsia="宋体" w:hint="default"/>
          <w:spacing w:val="-1"/>
          <w:sz w:val="18"/>
          <w:szCs w:val="18"/>
        </w:rPr>
        <w:t>主管会计工作负责人：邹雪梅</w:t>
        <w:tab/>
      </w:r>
      <w:r>
        <w:rPr>
          <w:rFonts w:ascii="宋体" w:hAnsi="宋体" w:cs="宋体" w:eastAsia="宋体" w:hint="default"/>
          <w:sz w:val="18"/>
          <w:szCs w:val="18"/>
        </w:rPr>
        <w:t>会计机构负责人：胡立群</w:t>
      </w:r>
    </w:p>
    <w:p>
      <w:pPr>
        <w:spacing w:after="0" w:line="621"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4,406,519,817.02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3,792,473,018.58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3,837,595,582.96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3,144,162,637.67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15,058,721.06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10,028,480.20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110,335,252.50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108,320,306.80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79,603,980.29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55,936,731.96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136,520,944.49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116,196,063.32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22,260,734.29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27,512,881.90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28,747,152.00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33,322,119.48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8,178,902.05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3,565,842.25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6,361,000.00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6,943,200.00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27,227,984.96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57,131,260.52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0"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12,520,584.96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-9,896,368.63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-30,912,177.58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221,357,802.72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363,478,199.67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1,967,600.00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171,855.32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221,496,652.72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365,273,944.35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26,394,580.28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45,973,036.50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195,102,072.44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319,300,907.85</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195,102,072.44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319,300,907.85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195,102,072.44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319,300,907.85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4,577,575,218.96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3,384,414,185.06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125,701,587.79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89,195,784.18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22,135,215.50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33,166,419.10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4,725,412,022.25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3,506,776,388.34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3,208,528,055.02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2,984,944,214.68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121,866,891.92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111,463,193.76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49,977,086.81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61,443,080.32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278,967,042.98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175,461,772.57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3,659,339,076.73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3,333,312,261.33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1,066,072,945.52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173,464,127.01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31,291,318.29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64,999,145.55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4,250,002,439.00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1,931,291,318.29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4,315,001,584.55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464,553,574.12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598,428,146.16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3,709,994,629.50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1,864,553,574.12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4,308,422,775.66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66,737,744.17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6,578,808.89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264,022,941.66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44,282,780.85</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1,064,022,941.66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44,282,780.85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-1,064,022,941.66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-44,282,780.85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2,276,201.83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3,590,074.84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71,063,949.86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139,350,229.89</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524,733,845.79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385,383,615.90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595,797,795.65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524,733,845.79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4,484,140,345.68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3,268,198,236.80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125,517,613.81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89,195,784.18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20,339,135.69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30,651,284.71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4,629,997,095.18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3,388,045,305.69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3,142,634,981.11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2,894,428,878.36</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113,141,510.72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101,159,909.97</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47,552,165.49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56,186,826.04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pacing w:val="-1"/>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268,298,830.07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168,419,697.30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3,571,627,487.39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3,220,195,311.67</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1,058,369,607.79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167,849,994.02</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31,291,318.29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64,999,145.55</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4,250,002,439.00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1,931,291,318.29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4,315,001,584.55</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460,422,429.98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595,049,591.97</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3,709,994,629.50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1,860,422,429.98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4,305,044,221.47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70,868,888.31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9,957,363.08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264,022,941.66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44,282,780.85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1,064,022,941.66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44,282,780.85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-1,064,022,941.66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-44,282,780.85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2,247,002.08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3,587,502.44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67,462,556.52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137,112,078.69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617,190,751.10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383,548,279.64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684,653,307.62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520,660,358.33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69"/>
        <w:gridCol w:w="583"/>
        <w:gridCol w:w="586"/>
        <w:gridCol w:w="583"/>
        <w:gridCol w:w="583"/>
        <w:gridCol w:w="584"/>
        <w:gridCol w:w="583"/>
        <w:gridCol w:w="586"/>
        <w:gridCol w:w="583"/>
        <w:gridCol w:w="584"/>
        <w:gridCol w:w="586"/>
        <w:gridCol w:w="578"/>
      </w:tblGrid>
      <w:tr>
        <w:trPr>
          <w:trHeight w:val="401"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41" w:type="dxa"/>
            <w:vMerge/>
            <w:tcBorders>
              <w:left w:val="single" w:sz="4" w:space="0" w:color="000000"/>
              <w:bottom w:val="single" w:sz="4" w:space="0" w:color="FFFFFF"/>
              <w:right w:val="single" w:sz="4" w:space="0" w:color="000000"/>
            </w:tcBorders>
            <w:shd w:val="clear" w:color="auto" w:fill="D2D2D2"/>
          </w:tcPr>
          <w:p>
            <w:pPr/>
          </w:p>
        </w:tc>
        <w:tc>
          <w:tcPr>
            <w:tcW w:w="7149" w:type="dxa"/>
            <w:gridSpan w:val="13"/>
            <w:vMerge/>
            <w:tcBorders>
              <w:left w:val="single" w:sz="4" w:space="0" w:color="000000"/>
              <w:bottom w:val="single" w:sz="4" w:space="0" w:color="FFFFFF"/>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4" w:hRule="exact"/>
        </w:trPr>
        <w:tc>
          <w:tcPr>
            <w:tcW w:w="124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FFFFFF"/>
              <w:left w:val="single" w:sz="4" w:space="0" w:color="000000"/>
              <w:right w:val="single" w:sz="4" w:space="0" w:color="000000"/>
            </w:tcBorders>
            <w:shd w:val="clear" w:color="auto" w:fill="D2D2D2"/>
          </w:tcPr>
          <w:p>
            <w:pPr/>
          </w:p>
        </w:tc>
        <w:tc>
          <w:tcPr>
            <w:tcW w:w="140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6"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4"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4" w:type="dxa"/>
            <w:vMerge w:val="restart"/>
            <w:tcBorders>
              <w:top w:val="single" w:sz="4" w:space="0" w:color="FFFFFF"/>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9"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3"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9"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9"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9"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,278,</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085.0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9"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5,185,</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545,43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5.71</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22" w:space="0" w:color="D2D2D2"/>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167,34</w:t>
            </w:r>
          </w:p>
          <w:p>
            <w:pPr>
              <w:pStyle w:val="TableParagraph"/>
              <w:spacing w:line="240" w:lineRule="auto" w:before="102"/>
              <w:ind w:left="101" w:right="0"/>
              <w:jc w:val="left"/>
              <w:rPr>
                <w:rFonts w:ascii="Times New Roman" w:hAnsi="Times New Roman" w:cs="Times New Roman" w:eastAsia="Times New Roman" w:hint="default"/>
                <w:sz w:val="18"/>
                <w:szCs w:val="18"/>
              </w:rPr>
            </w:pPr>
            <w:r>
              <w:rPr>
                <w:rFonts w:ascii="Times New Roman"/>
                <w:sz w:val="18"/>
              </w:rPr>
              <w:t>0,850.</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69</w:t>
            </w:r>
          </w:p>
        </w:tc>
        <w:tc>
          <w:tcPr>
            <w:tcW w:w="583" w:type="dxa"/>
            <w:vMerge w:val="restart"/>
            <w:tcBorders>
              <w:top w:val="single" w:sz="22" w:space="0" w:color="D2D2D2"/>
              <w:left w:val="single" w:sz="4" w:space="0" w:color="000000"/>
              <w:right w:val="single" w:sz="4" w:space="0" w:color="000000"/>
            </w:tcBorders>
          </w:tcPr>
          <w:p>
            <w:pPr/>
          </w:p>
        </w:tc>
        <w:tc>
          <w:tcPr>
            <w:tcW w:w="586"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1,192,</w:t>
            </w:r>
          </w:p>
          <w:p>
            <w:pPr>
              <w:pStyle w:val="TableParagraph"/>
              <w:spacing w:line="240" w:lineRule="auto" w:before="102"/>
              <w:ind w:left="39" w:right="0"/>
              <w:jc w:val="center"/>
              <w:rPr>
                <w:rFonts w:ascii="Times New Roman" w:hAnsi="Times New Roman" w:cs="Times New Roman" w:eastAsia="Times New Roman" w:hint="default"/>
                <w:sz w:val="18"/>
                <w:szCs w:val="18"/>
              </w:rPr>
            </w:pPr>
            <w:r>
              <w:rPr>
                <w:rFonts w:ascii="Times New Roman"/>
                <w:sz w:val="18"/>
              </w:rPr>
              <w:t>048,12</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1.84</w:t>
            </w: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7,701,</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212,49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3.24</w:t>
            </w: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0" w:space="0" w:color="D2D2D2"/>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7,701,</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212,49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3.24</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17"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9"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6"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7" w:firstLine="720"/>
              <w:jc w:val="left"/>
              <w:rPr>
                <w:rFonts w:ascii="宋体" w:hAnsi="宋体" w:cs="宋体" w:eastAsia="宋体" w:hint="default"/>
                <w:sz w:val="18"/>
                <w:szCs w:val="18"/>
              </w:rPr>
            </w:pPr>
            <w:r>
              <w:rPr>
                <w:rFonts w:ascii="宋体" w:hAnsi="宋体" w:cs="宋体" w:eastAsia="宋体" w:hint="default"/>
                <w:sz w:val="18"/>
                <w:szCs w:val="18"/>
              </w:rPr>
              <w:t>同一 控制下企业合</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9"/>
        <w:gridCol w:w="583"/>
        <w:gridCol w:w="586"/>
        <w:gridCol w:w="583"/>
        <w:gridCol w:w="583"/>
        <w:gridCol w:w="584"/>
        <w:gridCol w:w="583"/>
        <w:gridCol w:w="586"/>
        <w:gridCol w:w="583"/>
        <w:gridCol w:w="584"/>
        <w:gridCol w:w="586"/>
        <w:gridCol w:w="578"/>
      </w:tblGrid>
      <w:tr>
        <w:trPr>
          <w:trHeight w:val="362"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,278,</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085.0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5,185,</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545,43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5.71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167,34</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0,850.</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69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1,192,</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048,12</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1.84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7,701,</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212,49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3.24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7,701,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212,49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3.24</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-77,27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9,451.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-57,76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9,244.</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42</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-57,76</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9,244.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42</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173,48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6,372.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173,48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6,372.</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58</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173,48</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6,372.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58</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-250,7</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65,824</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.24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-231,2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55,617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-231,2</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55,617</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.00</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-19,51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0,207.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-231,2</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55,617</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-231,2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55,617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-231,2</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55,617</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9"/>
        <w:gridCol w:w="583"/>
        <w:gridCol w:w="586"/>
        <w:gridCol w:w="583"/>
        <w:gridCol w:w="583"/>
        <w:gridCol w:w="584"/>
        <w:gridCol w:w="583"/>
        <w:gridCol w:w="586"/>
        <w:gridCol w:w="583"/>
        <w:gridCol w:w="584"/>
        <w:gridCol w:w="586"/>
        <w:gridCol w:w="578"/>
      </w:tblGrid>
      <w:tr>
        <w:trPr>
          <w:trHeight w:val="362"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,278,</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085.0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5,185,</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545,43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5.71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186,85</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1,057.</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93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1,114,</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768,67</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0.18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7,643,</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443,24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8.82</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7,643,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443,24</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8.82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12"/>
        <w:gridCol w:w="490"/>
        <w:gridCol w:w="449"/>
        <w:gridCol w:w="449"/>
        <w:gridCol w:w="493"/>
        <w:gridCol w:w="576"/>
        <w:gridCol w:w="576"/>
        <w:gridCol w:w="578"/>
        <w:gridCol w:w="576"/>
        <w:gridCol w:w="576"/>
        <w:gridCol w:w="578"/>
        <w:gridCol w:w="588"/>
        <w:gridCol w:w="566"/>
        <w:gridCol w:w="569"/>
        <w:gridCol w:w="641"/>
        <w:gridCol w:w="653"/>
      </w:tblGrid>
      <w:tr>
        <w:trPr>
          <w:trHeight w:val="402" w:hRule="exact"/>
        </w:trPr>
        <w:tc>
          <w:tcPr>
            <w:tcW w:w="1212" w:type="dxa"/>
            <w:vMerge w:val="restart"/>
            <w:tcBorders>
              <w:top w:val="single" w:sz="4" w:space="0" w:color="000000"/>
              <w:left w:val="single" w:sz="4" w:space="0" w:color="000000"/>
              <w:right w:val="single" w:sz="4" w:space="0" w:color="000000"/>
            </w:tcBorders>
            <w:shd w:val="clear" w:color="auto" w:fill="D2D2D2"/>
          </w:tcPr>
          <w:p>
            <w:pP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1" w:hRule="exact"/>
        </w:trPr>
        <w:tc>
          <w:tcPr>
            <w:tcW w:w="1212" w:type="dxa"/>
            <w:vMerge/>
            <w:tcBorders>
              <w:left w:val="single" w:sz="4" w:space="0" w:color="000000"/>
              <w:right w:val="single" w:sz="4" w:space="0" w:color="000000"/>
            </w:tcBorders>
            <w:shd w:val="clear" w:color="auto" w:fill="D2D2D2"/>
          </w:tcPr>
          <w:p>
            <w:pPr/>
          </w:p>
        </w:tc>
        <w:tc>
          <w:tcPr>
            <w:tcW w:w="706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212" w:type="dxa"/>
            <w:vMerge/>
            <w:tcBorders>
              <w:left w:val="single" w:sz="4" w:space="0" w:color="000000"/>
              <w:bottom w:val="single" w:sz="4" w:space="0" w:color="FFFFFF"/>
              <w:right w:val="single" w:sz="4" w:space="0" w:color="000000"/>
            </w:tcBorders>
            <w:shd w:val="clear" w:color="auto" w:fill="D2D2D2"/>
          </w:tcPr>
          <w:p>
            <w:pPr/>
          </w:p>
        </w:tc>
        <w:tc>
          <w:tcPr>
            <w:tcW w:w="7065" w:type="dxa"/>
            <w:gridSpan w:val="13"/>
            <w:vMerge/>
            <w:tcBorders>
              <w:left w:val="single" w:sz="4" w:space="0" w:color="000000"/>
              <w:bottom w:val="single" w:sz="4" w:space="0" w:color="FFFFFF"/>
              <w:right w:val="single" w:sz="4" w:space="0" w:color="000000"/>
            </w:tcBorders>
            <w:shd w:val="clear" w:color="auto" w:fill="D2D2D2"/>
          </w:tcPr>
          <w:p>
            <w:pPr/>
          </w:p>
        </w:tc>
        <w:tc>
          <w:tcPr>
            <w:tcW w:w="641" w:type="dxa"/>
            <w:vMerge/>
            <w:tcBorders>
              <w:left w:val="single" w:sz="4" w:space="0" w:color="000000"/>
              <w:bottom w:val="single" w:sz="4" w:space="0" w:color="FFFFFF"/>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21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0" w:type="dxa"/>
            <w:vMerge w:val="restart"/>
            <w:tcBorders>
              <w:top w:val="single" w:sz="4" w:space="0" w:color="FFFFFF"/>
              <w:left w:val="single" w:sz="4" w:space="0" w:color="000000"/>
              <w:right w:val="single" w:sz="4" w:space="0" w:color="000000"/>
            </w:tcBorders>
            <w:shd w:val="clear" w:color="auto" w:fill="D2D2D2"/>
          </w:tcPr>
          <w:p>
            <w:pPr/>
          </w:p>
        </w:tc>
        <w:tc>
          <w:tcPr>
            <w:tcW w:w="139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6" w:type="dxa"/>
            <w:vMerge w:val="restart"/>
            <w:tcBorders>
              <w:top w:val="single" w:sz="4" w:space="0" w:color="FFFFFF"/>
              <w:left w:val="single" w:sz="4" w:space="0" w:color="000000"/>
              <w:right w:val="single" w:sz="4" w:space="0" w:color="000000"/>
            </w:tcBorders>
            <w:shd w:val="clear" w:color="auto" w:fill="D2D2D2"/>
          </w:tcPr>
          <w:p>
            <w:pPr/>
          </w:p>
        </w:tc>
        <w:tc>
          <w:tcPr>
            <w:tcW w:w="569" w:type="dxa"/>
            <w:vMerge w:val="restart"/>
            <w:tcBorders>
              <w:top w:val="single" w:sz="4" w:space="0" w:color="FFFFFF"/>
              <w:left w:val="single" w:sz="4" w:space="0" w:color="000000"/>
              <w:right w:val="single" w:sz="4" w:space="0" w:color="000000"/>
            </w:tcBorders>
            <w:shd w:val="clear" w:color="auto" w:fill="D2D2D2"/>
          </w:tcPr>
          <w:p>
            <w:pPr/>
          </w:p>
        </w:tc>
        <w:tc>
          <w:tcPr>
            <w:tcW w:w="641"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49"/>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5" w:hRule="exact"/>
        </w:trPr>
        <w:tc>
          <w:tcPr>
            <w:tcW w:w="1212"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3" w:hRule="exact"/>
        </w:trPr>
        <w:tc>
          <w:tcPr>
            <w:tcW w:w="1212" w:type="dxa"/>
            <w:vMerge w:val="restart"/>
            <w:tcBorders>
              <w:top w:val="nil" w:sz="6" w:space="0" w:color="auto"/>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0" w:hRule="exact"/>
        </w:trPr>
        <w:tc>
          <w:tcPr>
            <w:tcW w:w="1212"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3"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212"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,278,</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085.0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5,185,</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545,43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5.71</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22" w:space="0" w:color="D2D2D2"/>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135,41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0,759.</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90</w:t>
            </w:r>
          </w:p>
        </w:tc>
        <w:tc>
          <w:tcPr>
            <w:tcW w:w="578" w:type="dxa"/>
            <w:vMerge w:val="restart"/>
            <w:tcBorders>
              <w:top w:val="single" w:sz="22" w:space="0" w:color="D2D2D2"/>
              <w:left w:val="single" w:sz="4" w:space="0" w:color="000000"/>
              <w:right w:val="single" w:sz="4" w:space="0" w:color="000000"/>
            </w:tcBorders>
          </w:tcPr>
          <w:p>
            <w:pPr/>
          </w:p>
        </w:tc>
        <w:tc>
          <w:tcPr>
            <w:tcW w:w="58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914,19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2,559.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67</w:t>
            </w: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7,391,</w:t>
            </w:r>
          </w:p>
          <w:p>
            <w:pPr>
              <w:pStyle w:val="TableParagraph"/>
              <w:spacing w:line="240" w:lineRule="auto" w:before="105"/>
              <w:ind w:left="16" w:right="0"/>
              <w:jc w:val="center"/>
              <w:rPr>
                <w:rFonts w:ascii="Times New Roman" w:hAnsi="Times New Roman" w:cs="Times New Roman" w:eastAsia="Times New Roman" w:hint="default"/>
                <w:sz w:val="18"/>
                <w:szCs w:val="18"/>
              </w:rPr>
            </w:pPr>
            <w:r>
              <w:rPr>
                <w:rFonts w:ascii="Times New Roman"/>
                <w:sz w:val="18"/>
              </w:rPr>
              <w:t>426,84</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0.28</w:t>
            </w: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26,840.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r>
      <w:tr>
        <w:trPr>
          <w:trHeight w:val="703" w:hRule="exact"/>
        </w:trPr>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17" w:hRule="exact"/>
        </w:trPr>
        <w:tc>
          <w:tcPr>
            <w:tcW w:w="1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6" w:firstLine="720"/>
              <w:jc w:val="left"/>
              <w:rPr>
                <w:rFonts w:ascii="宋体" w:hAnsi="宋体" w:cs="宋体" w:eastAsia="宋体" w:hint="default"/>
                <w:sz w:val="18"/>
                <w:szCs w:val="18"/>
              </w:rPr>
            </w:pPr>
            <w:r>
              <w:rPr>
                <w:rFonts w:ascii="宋体" w:hAnsi="宋体" w:cs="宋体" w:eastAsia="宋体" w:hint="default"/>
                <w:sz w:val="18"/>
                <w:szCs w:val="18"/>
              </w:rPr>
              <w:t>同一 控制下企业合</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6"/>
        <w:gridCol w:w="569"/>
        <w:gridCol w:w="641"/>
        <w:gridCol w:w="653"/>
      </w:tblGrid>
      <w:tr>
        <w:trPr>
          <w:trHeight w:val="362"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,278,</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5,185,</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545,43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5.71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135,41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0,759.</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90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914,19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2,559.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7,391,</w:t>
            </w:r>
          </w:p>
          <w:p>
            <w:pPr>
              <w:pStyle w:val="TableParagraph"/>
              <w:spacing w:line="240" w:lineRule="auto" w:before="105"/>
              <w:ind w:left="16" w:right="0"/>
              <w:jc w:val="center"/>
              <w:rPr>
                <w:rFonts w:ascii="Times New Roman" w:hAnsi="Times New Roman" w:cs="Times New Roman" w:eastAsia="Times New Roman" w:hint="default"/>
                <w:sz w:val="18"/>
                <w:szCs w:val="18"/>
              </w:rPr>
            </w:pPr>
            <w:r>
              <w:rPr>
                <w:rFonts w:ascii="Times New Roman"/>
                <w:sz w:val="18"/>
              </w:rPr>
              <w:t>426,84</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0.28</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26,840.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277,85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5,562.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309,78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5,652.</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96</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309,785</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,652.96</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321,34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8,433.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321,34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8,433.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81</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321,348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,433.81</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-43,49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2,871.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2,780.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85</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-11,562,</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780.85</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-31,93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0,090.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2,780.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2,780.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85</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-11,562,</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780.85</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6"/>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,278,</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5,185,</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545,43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5.71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167,34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0,850.</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69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1,192,</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048,12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1.84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7,701,</w:t>
            </w:r>
          </w:p>
          <w:p>
            <w:pPr>
              <w:pStyle w:val="TableParagraph"/>
              <w:spacing w:line="240" w:lineRule="auto" w:before="105"/>
              <w:ind w:left="16" w:right="0"/>
              <w:jc w:val="center"/>
              <w:rPr>
                <w:rFonts w:ascii="Times New Roman" w:hAnsi="Times New Roman" w:cs="Times New Roman" w:eastAsia="Times New Roman" w:hint="default"/>
                <w:sz w:val="18"/>
                <w:szCs w:val="18"/>
              </w:rPr>
            </w:pPr>
            <w:r>
              <w:rPr>
                <w:rFonts w:ascii="Times New Roman"/>
                <w:sz w:val="18"/>
              </w:rPr>
              <w:t>212,49</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3.24</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12,493.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94"/>
        <w:gridCol w:w="629"/>
        <w:gridCol w:w="605"/>
        <w:gridCol w:w="603"/>
        <w:gridCol w:w="605"/>
        <w:gridCol w:w="727"/>
        <w:gridCol w:w="727"/>
        <w:gridCol w:w="725"/>
        <w:gridCol w:w="727"/>
        <w:gridCol w:w="727"/>
        <w:gridCol w:w="614"/>
        <w:gridCol w:w="711"/>
        <w:gridCol w:w="862"/>
      </w:tblGrid>
      <w:tr>
        <w:trPr>
          <w:trHeight w:val="40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19"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94" w:type="dxa"/>
            <w:vMerge/>
            <w:tcBorders>
              <w:left w:val="single" w:sz="4" w:space="0" w:color="000000"/>
              <w:bottom w:val="nil" w:sz="6" w:space="0" w:color="auto"/>
              <w:right w:val="single" w:sz="4" w:space="0" w:color="000000"/>
            </w:tcBorders>
            <w:shd w:val="clear" w:color="auto" w:fill="D2D2D2"/>
          </w:tcPr>
          <w:p>
            <w:pPr/>
          </w:p>
        </w:tc>
        <w:tc>
          <w:tcPr>
            <w:tcW w:w="6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199" w:hRule="exact"/>
        </w:trPr>
        <w:tc>
          <w:tcPr>
            <w:tcW w:w="1294" w:type="dxa"/>
            <w:vMerge w:val="restart"/>
            <w:tcBorders>
              <w:top w:val="nil" w:sz="6" w:space="0" w:color="auto"/>
              <w:left w:val="single" w:sz="4" w:space="0" w:color="000000"/>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4" w:hRule="exact"/>
        </w:trPr>
        <w:tc>
          <w:tcPr>
            <w:tcW w:w="1294"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114"/>
              <w:ind w:left="48" w:right="0"/>
              <w:jc w:val="left"/>
              <w:rPr>
                <w:rFonts w:ascii="Times New Roman" w:hAnsi="Times New Roman" w:cs="Times New Roman" w:eastAsia="Times New Roman" w:hint="default"/>
                <w:sz w:val="18"/>
                <w:szCs w:val="18"/>
              </w:rPr>
            </w:pPr>
            <w:r>
              <w:rPr>
                <w:rFonts w:ascii="Times New Roman"/>
                <w:sz w:val="18"/>
              </w:rPr>
              <w:t>1,156,2</w:t>
            </w:r>
          </w:p>
          <w:p>
            <w:pPr>
              <w:pStyle w:val="TableParagraph"/>
              <w:spacing w:line="240" w:lineRule="auto" w:before="105"/>
              <w:ind w:left="48" w:right="0"/>
              <w:jc w:val="left"/>
              <w:rPr>
                <w:rFonts w:ascii="Times New Roman" w:hAnsi="Times New Roman" w:cs="Times New Roman" w:eastAsia="Times New Roman" w:hint="default"/>
                <w:sz w:val="18"/>
                <w:szCs w:val="18"/>
              </w:rPr>
            </w:pPr>
            <w:r>
              <w:rPr>
                <w:rFonts w:ascii="Times New Roman"/>
                <w:sz w:val="18"/>
              </w:rPr>
              <w:t>78,085.</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00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5,185,54</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5,435.71</w:t>
            </w:r>
          </w:p>
        </w:tc>
        <w:tc>
          <w:tcPr>
            <w:tcW w:w="727" w:type="dxa"/>
            <w:vMerge w:val="restart"/>
            <w:tcBorders>
              <w:top w:val="single" w:sz="22" w:space="0" w:color="D2D2D2"/>
              <w:left w:val="single" w:sz="4" w:space="0" w:color="000000"/>
              <w:right w:val="single" w:sz="4" w:space="0" w:color="000000"/>
            </w:tcBorders>
          </w:tcPr>
          <w:p>
            <w:pPr/>
          </w:p>
        </w:tc>
        <w:tc>
          <w:tcPr>
            <w:tcW w:w="725" w:type="dxa"/>
            <w:vMerge w:val="restart"/>
            <w:tcBorders>
              <w:top w:val="single" w:sz="22" w:space="0" w:color="D2D2D2"/>
              <w:left w:val="single" w:sz="4" w:space="0" w:color="000000"/>
              <w:right w:val="single" w:sz="4" w:space="0" w:color="000000"/>
            </w:tcBorders>
          </w:tcPr>
          <w:p>
            <w:pPr/>
          </w:p>
        </w:tc>
        <w:tc>
          <w:tcPr>
            <w:tcW w:w="727" w:type="dxa"/>
            <w:vMerge w:val="restart"/>
            <w:tcBorders>
              <w:top w:val="single" w:sz="22" w:space="0" w:color="D2D2D2"/>
              <w:left w:val="single" w:sz="4" w:space="0" w:color="000000"/>
              <w:right w:val="single" w:sz="4" w:space="0" w:color="000000"/>
            </w:tcBorders>
          </w:tcPr>
          <w:p>
            <w:pPr/>
          </w:p>
        </w:tc>
        <w:tc>
          <w:tcPr>
            <w:tcW w:w="727"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167,340,</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850.69</w:t>
            </w:r>
          </w:p>
        </w:tc>
        <w:tc>
          <w:tcPr>
            <w:tcW w:w="614" w:type="dxa"/>
            <w:vMerge w:val="restart"/>
            <w:tcBorders>
              <w:top w:val="single" w:sz="22" w:space="0" w:color="D2D2D2"/>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53,241.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711"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7,674,817,</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613.18</w:t>
            </w:r>
          </w:p>
        </w:tc>
      </w:tr>
      <w:tr>
        <w:trPr>
          <w:trHeight w:val="706"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7"/>
        <w:gridCol w:w="725"/>
        <w:gridCol w:w="727"/>
        <w:gridCol w:w="727"/>
        <w:gridCol w:w="614"/>
        <w:gridCol w:w="711"/>
        <w:gridCol w:w="862"/>
      </w:tblGrid>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1,156,2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78,085.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5,185,54</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5,435.71</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167,340,</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850.69</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1,165,6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53,241.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7,674,817,</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613.18</w:t>
            </w: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19,510,2</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07.24</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-55,663</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,751.80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-36,153,54</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4.56</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195,10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2,072.4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195,102,0</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72.44</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19,510,2</w:t>
            </w:r>
          </w:p>
          <w:p>
            <w:pPr>
              <w:pStyle w:val="TableParagraph"/>
              <w:spacing w:line="240" w:lineRule="auto" w:before="103"/>
              <w:ind w:left="287" w:right="0"/>
              <w:jc w:val="left"/>
              <w:rPr>
                <w:rFonts w:ascii="Times New Roman" w:hAnsi="Times New Roman" w:cs="Times New Roman" w:eastAsia="Times New Roman" w:hint="default"/>
                <w:sz w:val="18"/>
                <w:szCs w:val="18"/>
              </w:rPr>
            </w:pPr>
            <w:r>
              <w:rPr>
                <w:rFonts w:ascii="Times New Roman"/>
                <w:sz w:val="18"/>
              </w:rPr>
              <w:t>07.24</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-250,76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5,824.2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-231,255,6</w:t>
            </w:r>
          </w:p>
          <w:p>
            <w:pPr>
              <w:pStyle w:val="TableParagraph"/>
              <w:spacing w:line="240" w:lineRule="auto" w:before="103"/>
              <w:ind w:left="424" w:right="0"/>
              <w:jc w:val="left"/>
              <w:rPr>
                <w:rFonts w:ascii="Times New Roman" w:hAnsi="Times New Roman" w:cs="Times New Roman" w:eastAsia="Times New Roman" w:hint="default"/>
                <w:sz w:val="18"/>
                <w:szCs w:val="18"/>
              </w:rPr>
            </w:pPr>
            <w:r>
              <w:rPr>
                <w:rFonts w:ascii="Times New Roman"/>
                <w:sz w:val="18"/>
              </w:rPr>
              <w:t>17.00</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19,510,2</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07.24</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-19,510</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,207.24</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-231,25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5,617.0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-231,255,6</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17.00</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7"/>
        <w:gridCol w:w="725"/>
        <w:gridCol w:w="727"/>
        <w:gridCol w:w="727"/>
        <w:gridCol w:w="614"/>
        <w:gridCol w:w="711"/>
        <w:gridCol w:w="862"/>
      </w:tblGrid>
      <w:tr>
        <w:trPr>
          <w:trHeight w:val="362"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78,085.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5,185,54</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5,435.71</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186,851,</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057.93</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89,489.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7,638,664,</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068.62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9"/>
        <w:gridCol w:w="604"/>
        <w:gridCol w:w="574"/>
        <w:gridCol w:w="572"/>
        <w:gridCol w:w="571"/>
        <w:gridCol w:w="686"/>
        <w:gridCol w:w="686"/>
        <w:gridCol w:w="684"/>
        <w:gridCol w:w="782"/>
        <w:gridCol w:w="665"/>
        <w:gridCol w:w="797"/>
        <w:gridCol w:w="797"/>
        <w:gridCol w:w="931"/>
      </w:tblGrid>
      <w:tr>
        <w:trPr>
          <w:trHeight w:val="402" w:hRule="exact"/>
        </w:trPr>
        <w:tc>
          <w:tcPr>
            <w:tcW w:w="1209" w:type="dxa"/>
            <w:vMerge w:val="restart"/>
            <w:tcBorders>
              <w:top w:val="single" w:sz="4" w:space="0" w:color="000000"/>
              <w:left w:val="single" w:sz="4" w:space="0" w:color="000000"/>
              <w:right w:val="single" w:sz="4" w:space="0" w:color="000000"/>
            </w:tcBorders>
            <w:shd w:val="clear" w:color="auto" w:fill="D2D2D2"/>
          </w:tcPr>
          <w:p>
            <w:pPr/>
          </w:p>
        </w:tc>
        <w:tc>
          <w:tcPr>
            <w:tcW w:w="835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4"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4"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304" w:right="31"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2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7" w:hRule="exact"/>
        </w:trPr>
        <w:tc>
          <w:tcPr>
            <w:tcW w:w="1209" w:type="dxa"/>
            <w:vMerge w:val="restart"/>
            <w:tcBorders>
              <w:top w:val="nil" w:sz="6" w:space="0" w:color="auto"/>
              <w:left w:val="single" w:sz="4" w:space="0" w:color="000000"/>
              <w:right w:val="single" w:sz="4" w:space="0" w:color="000000"/>
            </w:tcBorders>
            <w:shd w:val="clear" w:color="auto" w:fill="D2D2D2"/>
          </w:tcPr>
          <w:p>
            <w:pPr/>
          </w:p>
        </w:tc>
        <w:tc>
          <w:tcPr>
            <w:tcW w:w="604"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09" w:type="dxa"/>
            <w:vMerge/>
            <w:tcBorders>
              <w:left w:val="single" w:sz="4" w:space="0" w:color="000000"/>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209" w:type="dxa"/>
            <w:vMerge/>
            <w:tcBorders>
              <w:left w:val="single" w:sz="4" w:space="0" w:color="000000"/>
              <w:bottom w:val="single" w:sz="4" w:space="0" w:color="000000"/>
              <w:right w:val="single" w:sz="4" w:space="0" w:color="000000"/>
            </w:tcBorders>
            <w:shd w:val="clear" w:color="auto" w:fill="D2D2D2"/>
          </w:tcPr>
          <w:p>
            <w:pPr/>
          </w:p>
        </w:tc>
        <w:tc>
          <w:tcPr>
            <w:tcW w:w="604"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4"/>
              <w:ind w:left="94" w:right="0"/>
              <w:jc w:val="center"/>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2"/>
              <w:ind w:left="51" w:right="0"/>
              <w:jc w:val="center"/>
              <w:rPr>
                <w:rFonts w:ascii="Times New Roman" w:hAnsi="Times New Roman" w:cs="Times New Roman" w:eastAsia="Times New Roman" w:hint="default"/>
                <w:sz w:val="18"/>
                <w:szCs w:val="18"/>
              </w:rPr>
            </w:pPr>
            <w:r>
              <w:rPr>
                <w:rFonts w:ascii="Times New Roman"/>
                <w:sz w:val="18"/>
              </w:rPr>
              <w:t>278,08</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5.00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5,185,5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45,435.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135,410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,759.90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889,845,2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05.57</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7,367,079,4</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86.18</w:t>
            </w:r>
          </w:p>
        </w:tc>
      </w:tr>
      <w:tr>
        <w:trPr>
          <w:trHeight w:val="704"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4"/>
              <w:jc w:val="right"/>
              <w:rPr>
                <w:rFonts w:ascii="宋体" w:hAnsi="宋体" w:cs="宋体" w:eastAsia="宋体" w:hint="default"/>
                <w:sz w:val="18"/>
                <w:szCs w:val="18"/>
              </w:rPr>
            </w:pPr>
            <w:r>
              <w:rPr>
                <w:rFonts w:ascii="宋体" w:hAnsi="宋体" w:cs="宋体" w:eastAsia="宋体" w:hint="default"/>
                <w:sz w:val="18"/>
                <w:szCs w:val="18"/>
              </w:rPr>
              <w:t>其他</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3"/>
              <w:ind w:left="94" w:right="0"/>
              <w:jc w:val="center"/>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2"/>
              <w:ind w:left="51" w:right="0"/>
              <w:jc w:val="center"/>
              <w:rPr>
                <w:rFonts w:ascii="Times New Roman" w:hAnsi="Times New Roman" w:cs="Times New Roman" w:eastAsia="Times New Roman" w:hint="default"/>
                <w:sz w:val="18"/>
                <w:szCs w:val="18"/>
              </w:rPr>
            </w:pPr>
            <w:r>
              <w:rPr>
                <w:rFonts w:ascii="Times New Roman"/>
                <w:sz w:val="18"/>
              </w:rPr>
              <w:t>278,08</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5.00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5,185,5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45,435.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135,410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,759.90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889,845,2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05.57</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7,367,079,4</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86.18</w:t>
            </w:r>
          </w:p>
        </w:tc>
      </w:tr>
      <w:tr>
        <w:trPr>
          <w:trHeight w:val="703"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02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31,930,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090.79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275,808,0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36.21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307,738,12</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7.00</w:t>
            </w:r>
          </w:p>
        </w:tc>
      </w:tr>
      <w:tr>
        <w:trPr>
          <w:trHeight w:val="71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319,300,9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07.85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319,300,90</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7.85</w:t>
            </w:r>
          </w:p>
        </w:tc>
      </w:tr>
      <w:tr>
        <w:trPr>
          <w:trHeight w:val="40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9"/>
              <w:jc w:val="righ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所有者投</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362"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31,930,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090.79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-43,492,8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71.64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-11,562,780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31,930,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090.79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-31,930,0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90.79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-11,562,7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80.85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-11,562,780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278,08</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5.00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5,185,5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45,435.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167,340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,850.69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1,165,653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,241.78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7,674,817,6</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13.18</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三、公司基本情况</w:t>
      </w:r>
      <w:r>
        <w:rPr>
          <w:b w:val="0"/>
          <w:bCs w:val="0"/>
        </w:rPr>
      </w:r>
    </w:p>
    <w:p>
      <w:pPr>
        <w:spacing w:line="240" w:lineRule="auto" w:before="9"/>
        <w:rPr>
          <w:rFonts w:ascii="宋体" w:hAnsi="宋体" w:cs="宋体" w:eastAsia="宋体" w:hint="default"/>
          <w:b/>
          <w:bCs/>
          <w:sz w:val="24"/>
          <w:szCs w:val="24"/>
        </w:rPr>
      </w:pPr>
    </w:p>
    <w:p>
      <w:pPr>
        <w:pStyle w:val="BodyText"/>
        <w:spacing w:line="367" w:lineRule="auto"/>
        <w:ind w:left="909" w:right="2654" w:hanging="651"/>
        <w:jc w:val="left"/>
      </w:pPr>
      <w:r>
        <w:rPr/>
        <w:t>（一）公司注册地址、组织形式、总部地址及注册资本</w:t>
      </w:r>
      <w:r>
        <w:rPr>
          <w:w w:val="100"/>
        </w:rPr>
        <w:t> </w:t>
      </w:r>
      <w:r>
        <w:rPr>
          <w:spacing w:val="-2"/>
        </w:rPr>
        <w:t>注册地址：江苏省宿迁市宿豫区彩塑工业园区井头街</w:t>
      </w:r>
      <w:r>
        <w:rPr>
          <w:rFonts w:ascii="Times New Roman" w:hAnsi="Times New Roman" w:cs="Times New Roman" w:eastAsia="Times New Roman" w:hint="default"/>
          <w:spacing w:val="-2"/>
        </w:rPr>
        <w:t>1</w:t>
      </w:r>
      <w:r>
        <w:rPr>
          <w:spacing w:val="-2"/>
        </w:rPr>
        <w:t>号</w:t>
      </w:r>
      <w:r>
        <w:rPr>
          <w:w w:val="100"/>
        </w:rPr>
        <w:t> </w:t>
      </w:r>
      <w:r>
        <w:rPr/>
        <w:t>组织形式：股份有限公司（上市公司）</w:t>
      </w:r>
      <w:r>
        <w:rPr>
          <w:w w:val="100"/>
        </w:rPr>
        <w:t> </w:t>
      </w:r>
      <w:r>
        <w:rPr>
          <w:spacing w:val="-2"/>
        </w:rPr>
        <w:t>总部地址：江苏省宿迁市宿豫区彩塑工业园区井头街</w:t>
      </w:r>
      <w:r>
        <w:rPr>
          <w:rFonts w:ascii="Times New Roman" w:hAnsi="Times New Roman" w:cs="Times New Roman" w:eastAsia="Times New Roman" w:hint="default"/>
          <w:spacing w:val="-2"/>
        </w:rPr>
        <w:t>1</w:t>
      </w:r>
      <w:r>
        <w:rPr>
          <w:spacing w:val="-2"/>
        </w:rPr>
        <w:t>号</w:t>
      </w:r>
      <w:r>
        <w:rPr>
          <w:w w:val="100"/>
        </w:rPr>
        <w:t> </w:t>
      </w:r>
      <w:r>
        <w:rPr/>
        <w:t>注册资本：</w:t>
      </w:r>
      <w:r>
        <w:rPr>
          <w:rFonts w:ascii="Times New Roman" w:hAnsi="Times New Roman" w:cs="Times New Roman" w:eastAsia="Times New Roman" w:hint="default"/>
        </w:rPr>
        <w:t>1,156,278,085</w:t>
      </w:r>
      <w:r>
        <w:rPr/>
        <w:t>元</w:t>
      </w:r>
    </w:p>
    <w:p>
      <w:pPr>
        <w:pStyle w:val="BodyText"/>
        <w:spacing w:line="240" w:lineRule="auto" w:before="18"/>
        <w:ind w:right="0"/>
        <w:jc w:val="left"/>
      </w:pPr>
      <w:r>
        <w:rPr/>
        <w:t>（二）公司设立情况</w:t>
      </w:r>
    </w:p>
    <w:p>
      <w:pPr>
        <w:pStyle w:val="BodyText"/>
        <w:spacing w:line="256" w:lineRule="auto" w:before="157"/>
        <w:ind w:right="1126" w:firstLine="504"/>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月，根据</w:t>
      </w:r>
      <w:r>
        <w:rPr>
          <w:rFonts w:ascii="Times New Roman" w:hAnsi="Times New Roman" w:cs="Times New Roman" w:eastAsia="Times New Roman" w:hint="default"/>
          <w:spacing w:val="-2"/>
        </w:rPr>
        <w:t>2010</w:t>
      </w:r>
      <w:r>
        <w:rPr>
          <w:spacing w:val="-2"/>
        </w:rPr>
        <w:t>年度第三次临时股东大会决议和中国证券监督管理委员会《关于核准江苏双星</w:t>
      </w:r>
      <w:r>
        <w:rPr>
          <w:w w:val="100"/>
        </w:rPr>
        <w:t> </w:t>
      </w:r>
      <w:r>
        <w:rPr>
          <w:spacing w:val="-2"/>
        </w:rPr>
        <w:t>彩塑新材料股份有限公司首次公开发行股票的批复》（证监许可［</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713</w:t>
      </w:r>
      <w:r>
        <w:rPr>
          <w:spacing w:val="-2"/>
        </w:rPr>
        <w:t>号</w:t>
      </w:r>
      <w:r>
        <w:rPr>
          <w:rFonts w:ascii="Times New Roman" w:hAnsi="Times New Roman" w:cs="Times New Roman" w:eastAsia="Times New Roman" w:hint="default"/>
          <w:spacing w:val="-2"/>
        </w:rPr>
        <w:t>)</w:t>
      </w:r>
      <w:r>
        <w:rPr>
          <w:spacing w:val="-2"/>
        </w:rPr>
        <w:t>的核准，并经深圳证券交</w:t>
      </w:r>
      <w:r>
        <w:rPr>
          <w:spacing w:val="-13"/>
        </w:rPr>
        <w:t> </w:t>
      </w:r>
      <w:r>
        <w:rPr>
          <w:spacing w:val="-13"/>
        </w:rPr>
      </w:r>
      <w:r>
        <w:rPr>
          <w:spacing w:val="-3"/>
        </w:rPr>
        <w:t>易所同意，双星新材向社会公开发行人民币普通股股票</w:t>
      </w:r>
      <w:r>
        <w:rPr>
          <w:rFonts w:ascii="Times New Roman" w:hAnsi="Times New Roman" w:cs="Times New Roman" w:eastAsia="Times New Roman" w:hint="default"/>
          <w:spacing w:val="-3"/>
        </w:rPr>
        <w:t>5,200</w:t>
      </w:r>
      <w:r>
        <w:rPr>
          <w:spacing w:val="-3"/>
        </w:rPr>
        <w:t>万股，每股面值壹元（</w:t>
      </w:r>
      <w:r>
        <w:rPr>
          <w:rFonts w:ascii="Times New Roman" w:hAnsi="Times New Roman" w:cs="Times New Roman" w:eastAsia="Times New Roman" w:hint="default"/>
          <w:spacing w:val="-3"/>
        </w:rPr>
        <w:t>CNY </w:t>
      </w:r>
      <w:r>
        <w:rPr>
          <w:rFonts w:ascii="Times New Roman" w:hAnsi="Times New Roman" w:cs="Times New Roman" w:eastAsia="Times New Roman" w:hint="default"/>
          <w:spacing w:val="-5"/>
        </w:rPr>
        <w:t>1.00</w:t>
      </w:r>
      <w:r>
        <w:rPr>
          <w:spacing w:val="-5"/>
        </w:rPr>
        <w:t>），每股发行</w:t>
      </w:r>
      <w:r>
        <w:rPr>
          <w:spacing w:val="-85"/>
        </w:rPr>
        <w:t> </w:t>
      </w:r>
      <w:r>
        <w:rPr>
          <w:spacing w:val="-85"/>
        </w:rPr>
      </w:r>
      <w:r>
        <w:rPr>
          <w:spacing w:val="-10"/>
          <w:w w:val="100"/>
        </w:rPr>
        <w:t>价为人民币伍拾伍元（</w:t>
      </w:r>
      <w:r>
        <w:rPr>
          <w:rFonts w:ascii="Times New Roman" w:hAnsi="Times New Roman" w:cs="Times New Roman" w:eastAsia="Times New Roman" w:hint="default"/>
          <w:spacing w:val="-10"/>
          <w:w w:val="100"/>
        </w:rPr>
        <w:t>CNY</w:t>
      </w:r>
      <w:r>
        <w:rPr>
          <w:rFonts w:ascii="Times New Roman" w:hAnsi="Times New Roman" w:cs="Times New Roman" w:eastAsia="Times New Roman" w:hint="default"/>
          <w:w w:val="100"/>
        </w:rPr>
        <w:t> </w:t>
      </w:r>
      <w:r>
        <w:rPr>
          <w:rFonts w:ascii="Times New Roman" w:hAnsi="Times New Roman" w:cs="Times New Roman" w:eastAsia="Times New Roman" w:hint="default"/>
          <w:spacing w:val="-12"/>
          <w:w w:val="100"/>
        </w:rPr>
        <w:t>55.00</w:t>
      </w:r>
      <w:r>
        <w:rPr>
          <w:spacing w:val="-12"/>
          <w:w w:val="100"/>
        </w:rPr>
        <w:t>），可募集资金总额为人民币贰拾捌亿陆仟万元整（</w:t>
      </w:r>
      <w:r>
        <w:rPr>
          <w:rFonts w:ascii="Times New Roman" w:hAnsi="Times New Roman" w:cs="Times New Roman" w:eastAsia="Times New Roman" w:hint="default"/>
          <w:spacing w:val="-12"/>
          <w:w w:val="100"/>
        </w:rPr>
        <w:t>CNY</w:t>
      </w:r>
      <w:r>
        <w:rPr>
          <w:rFonts w:ascii="Times New Roman" w:hAnsi="Times New Roman" w:cs="Times New Roman" w:eastAsia="Times New Roman" w:hint="default"/>
          <w:spacing w:val="7"/>
          <w:w w:val="100"/>
        </w:rPr>
        <w:t> </w:t>
      </w:r>
      <w:r>
        <w:rPr>
          <w:rFonts w:ascii="Times New Roman" w:hAnsi="Times New Roman" w:cs="Times New Roman" w:eastAsia="Times New Roman" w:hint="default"/>
          <w:spacing w:val="-13"/>
          <w:w w:val="100"/>
        </w:rPr>
        <w:t>2,860,000,000.00</w:t>
      </w:r>
      <w:r>
        <w:rPr>
          <w:spacing w:val="-13"/>
          <w:w w:val="100"/>
        </w:rPr>
        <w:t>）。</w:t>
      </w:r>
      <w:r>
        <w:rPr>
          <w:spacing w:val="-97"/>
          <w:w w:val="100"/>
        </w:rPr>
        <w:t> </w:t>
      </w:r>
      <w:r>
        <w:rPr/>
        <w:t>双星新材于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日取得宿迁市工商行政管理局核发的</w:t>
      </w:r>
      <w:r>
        <w:rPr>
          <w:rFonts w:ascii="Times New Roman" w:hAnsi="Times New Roman" w:cs="Times New Roman" w:eastAsia="Times New Roman" w:hint="default"/>
        </w:rPr>
        <w:t>321300000005816</w:t>
      </w:r>
      <w:r>
        <w:rPr/>
        <w:t>号《企业法人营业执照》。</w:t>
      </w:r>
    </w:p>
    <w:p>
      <w:pPr>
        <w:pStyle w:val="BodyText"/>
        <w:spacing w:line="240" w:lineRule="auto" w:before="125"/>
        <w:ind w:left="657"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日，根据</w:t>
      </w:r>
      <w:r>
        <w:rPr>
          <w:rFonts w:ascii="Times New Roman" w:hAnsi="Times New Roman" w:cs="Times New Roman" w:eastAsia="Times New Roman" w:hint="default"/>
        </w:rPr>
        <w:t>2011</w:t>
      </w:r>
      <w:r>
        <w:rPr/>
        <w:t>年度股东大会决议和修改后章程的规定，公司申请转增注册资本人民币</w:t>
      </w:r>
    </w:p>
    <w:p>
      <w:pPr>
        <w:pStyle w:val="BodyText"/>
        <w:spacing w:line="240" w:lineRule="auto" w:before="21"/>
        <w:ind w:right="0"/>
        <w:jc w:val="left"/>
      </w:pPr>
      <w:r>
        <w:rPr>
          <w:rFonts w:ascii="Times New Roman" w:hAnsi="Times New Roman" w:cs="Times New Roman" w:eastAsia="Times New Roman" w:hint="default"/>
        </w:rPr>
        <w:t>208,000,000</w:t>
      </w:r>
      <w:r>
        <w:rPr/>
        <w:t>元，公司以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日的总股本</w:t>
      </w:r>
      <w:r>
        <w:rPr>
          <w:rFonts w:ascii="Times New Roman" w:hAnsi="Times New Roman" w:cs="Times New Roman" w:eastAsia="Times New Roman" w:hint="default"/>
        </w:rPr>
        <w:t>208,000,000</w:t>
      </w:r>
      <w:r>
        <w:rPr/>
        <w:t>股为基数，以资本公积向全体股东每</w:t>
      </w:r>
      <w:r>
        <w:rPr>
          <w:rFonts w:ascii="Times New Roman" w:hAnsi="Times New Roman" w:cs="Times New Roman" w:eastAsia="Times New Roman" w:hint="default"/>
        </w:rPr>
        <w:t>10</w:t>
      </w:r>
      <w:r>
        <w:rPr/>
        <w:t>股转增</w:t>
      </w:r>
    </w:p>
    <w:p>
      <w:pPr>
        <w:pStyle w:val="BodyText"/>
        <w:spacing w:line="240" w:lineRule="auto" w:before="21"/>
        <w:ind w:right="0"/>
        <w:jc w:val="left"/>
        <w:rPr>
          <w:rFonts w:ascii="Times New Roman" w:hAnsi="Times New Roman" w:cs="Times New Roman" w:eastAsia="Times New Roman" w:hint="default"/>
        </w:rPr>
      </w:pP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208,000,000</w:t>
      </w:r>
      <w:r>
        <w:rPr/>
        <w:t>股。资本公积金转增股本实施后，公司股本总数为</w:t>
      </w:r>
      <w:r>
        <w:rPr>
          <w:rFonts w:ascii="Times New Roman" w:hAnsi="Times New Roman" w:cs="Times New Roman" w:eastAsia="Times New Roman" w:hint="default"/>
        </w:rPr>
        <w:t>416,000,000</w:t>
      </w:r>
      <w:r>
        <w:rPr/>
        <w:t>股，每股面值</w:t>
      </w:r>
      <w:r>
        <w:rPr>
          <w:rFonts w:ascii="Times New Roman" w:hAnsi="Times New Roman" w:cs="Times New Roman" w:eastAsia="Times New Roman" w:hint="default"/>
        </w:rPr>
        <w:t>1</w:t>
      </w:r>
    </w:p>
    <w:p>
      <w:pPr>
        <w:pStyle w:val="BodyText"/>
        <w:spacing w:line="240" w:lineRule="auto" w:before="21"/>
        <w:ind w:right="0"/>
        <w:jc w:val="left"/>
      </w:pPr>
      <w:r>
        <w:rPr/>
        <w:t>元，共计</w:t>
      </w:r>
      <w:r>
        <w:rPr>
          <w:rFonts w:ascii="Times New Roman" w:hAnsi="Times New Roman" w:cs="Times New Roman" w:eastAsia="Times New Roman" w:hint="default"/>
        </w:rPr>
        <w:t>416,000,000</w:t>
      </w:r>
      <w:r>
        <w:rPr/>
        <w:t>元。双星新材于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日取得宿迁市工商行政管理局核发的</w:t>
      </w:r>
      <w:r>
        <w:rPr>
          <w:rFonts w:ascii="Times New Roman" w:hAnsi="Times New Roman" w:cs="Times New Roman" w:eastAsia="Times New Roman" w:hint="default"/>
        </w:rPr>
        <w:t>321300000005816</w:t>
      </w:r>
      <w:r>
        <w:rPr/>
        <w:t>号</w:t>
      </w:r>
    </w:p>
    <w:p>
      <w:pPr>
        <w:pStyle w:val="BodyText"/>
        <w:spacing w:line="240" w:lineRule="auto" w:before="21"/>
        <w:ind w:right="0"/>
        <w:jc w:val="left"/>
      </w:pPr>
      <w:r>
        <w:rPr/>
        <w:t>《企业法人营业执照》。</w:t>
      </w:r>
    </w:p>
    <w:p>
      <w:pPr>
        <w:pStyle w:val="BodyText"/>
        <w:spacing w:line="256" w:lineRule="auto" w:before="157"/>
        <w:ind w:right="0" w:firstLine="420"/>
        <w:jc w:val="left"/>
      </w:pPr>
      <w:r>
        <w:rPr>
          <w:spacing w:val="-2"/>
        </w:rPr>
        <w:t>根据公司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w:t>
      </w:r>
      <w:r>
        <w:rPr>
          <w:rFonts w:ascii="Times New Roman" w:hAnsi="Times New Roman" w:cs="Times New Roman" w:eastAsia="Times New Roman" w:hint="default"/>
          <w:spacing w:val="-2"/>
        </w:rPr>
        <w:t>2013</w:t>
      </w:r>
      <w:r>
        <w:rPr>
          <w:spacing w:val="-2"/>
        </w:rPr>
        <w:t>年度第二次临时股东大会决议和中国证券监督管理委员会核准（证监许</w:t>
      </w:r>
      <w:r>
        <w:rPr>
          <w:w w:val="100"/>
        </w:rPr>
        <w:t> </w:t>
      </w:r>
      <w:r>
        <w:rPr/>
        <w:t>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612</w:t>
      </w:r>
      <w:r>
        <w:rPr/>
        <w:t>号），同意公司非公开发行人民币普通股，增加注册资本人民币</w:t>
      </w:r>
      <w:r>
        <w:rPr>
          <w:rFonts w:ascii="Times New Roman" w:hAnsi="Times New Roman" w:cs="Times New Roman" w:eastAsia="Times New Roman" w:hint="default"/>
        </w:rPr>
        <w:t>135,790,494.00</w:t>
      </w:r>
      <w:r>
        <w:rPr/>
        <w:t>元，变更后</w:t>
      </w:r>
      <w:r>
        <w:rPr>
          <w:w w:val="100"/>
        </w:rPr>
        <w:t> </w:t>
      </w:r>
      <w:r>
        <w:rPr>
          <w:spacing w:val="-4"/>
        </w:rPr>
        <w:t>的注册资本为人民币</w:t>
      </w:r>
      <w:r>
        <w:rPr>
          <w:rFonts w:ascii="Times New Roman" w:hAnsi="Times New Roman" w:cs="Times New Roman" w:eastAsia="Times New Roman" w:hint="default"/>
          <w:spacing w:val="-4"/>
        </w:rPr>
        <w:t>551,790,494</w:t>
      </w:r>
      <w:r>
        <w:rPr>
          <w:spacing w:val="-4"/>
        </w:rPr>
        <w:t>元。此次非公开发行股票募集资金净额为人民币</w:t>
      </w:r>
      <w:r>
        <w:rPr>
          <w:rFonts w:ascii="Times New Roman" w:hAnsi="Times New Roman" w:cs="Times New Roman" w:eastAsia="Times New Roman" w:hint="default"/>
          <w:spacing w:val="-4"/>
        </w:rPr>
        <w:t>1,367,939,377.08</w:t>
      </w:r>
      <w:r>
        <w:rPr>
          <w:spacing w:val="-4"/>
        </w:rPr>
        <w:t>元，其中：</w:t>
      </w:r>
      <w:r>
        <w:rPr>
          <w:spacing w:val="5"/>
        </w:rPr>
        <w:t> </w:t>
      </w:r>
      <w:r>
        <w:rPr>
          <w:spacing w:val="5"/>
        </w:rPr>
      </w:r>
      <w:r>
        <w:rPr>
          <w:spacing w:val="-3"/>
        </w:rPr>
        <w:t>新增股本人民币</w:t>
      </w:r>
      <w:r>
        <w:rPr>
          <w:rFonts w:ascii="Times New Roman" w:hAnsi="Times New Roman" w:cs="Times New Roman" w:eastAsia="Times New Roman" w:hint="default"/>
          <w:spacing w:val="-3"/>
        </w:rPr>
        <w:t>135,790,494.00</w:t>
      </w:r>
      <w:r>
        <w:rPr>
          <w:spacing w:val="-3"/>
        </w:rPr>
        <w:t>元；出资额溢价部分为人民币</w:t>
      </w:r>
      <w:r>
        <w:rPr>
          <w:rFonts w:ascii="Times New Roman" w:hAnsi="Times New Roman" w:cs="Times New Roman" w:eastAsia="Times New Roman" w:hint="default"/>
          <w:spacing w:val="-3"/>
        </w:rPr>
        <w:t>1,232,148,883.08</w:t>
      </w:r>
      <w:r>
        <w:rPr>
          <w:spacing w:val="-3"/>
        </w:rPr>
        <w:t>元，全部计入资本公积。此次</w:t>
      </w:r>
      <w:r>
        <w:rPr>
          <w:spacing w:val="-5"/>
        </w:rPr>
        <w:t> </w:t>
      </w:r>
      <w:r>
        <w:rPr>
          <w:spacing w:val="-5"/>
        </w:rPr>
      </w:r>
      <w:r>
        <w:rPr/>
        <w:t>发行新股业经众华会计师事务所（特殊普通合伙）出具的众会验字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4614</w:t>
      </w:r>
      <w:r>
        <w:rPr/>
        <w:t>号《验资报告》验证。双</w:t>
      </w:r>
      <w:r>
        <w:rPr>
          <w:w w:val="100"/>
        </w:rPr>
        <w:t> </w:t>
      </w:r>
      <w:r>
        <w:rPr>
          <w:spacing w:val="-4"/>
        </w:rPr>
        <w:t>星新材于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8</w:t>
      </w:r>
      <w:r>
        <w:rPr>
          <w:spacing w:val="-4"/>
        </w:rPr>
        <w:t>日取得江苏省宿迁工商行政管理局核发的</w:t>
      </w:r>
      <w:r>
        <w:rPr>
          <w:rFonts w:ascii="Times New Roman" w:hAnsi="Times New Roman" w:cs="Times New Roman" w:eastAsia="Times New Roman" w:hint="default"/>
          <w:spacing w:val="-4"/>
        </w:rPr>
        <w:t>321300000005816</w:t>
      </w:r>
      <w:r>
        <w:rPr>
          <w:spacing w:val="-4"/>
        </w:rPr>
        <w:t>号《企业法人营业执照》。</w:t>
      </w:r>
    </w:p>
    <w:p>
      <w:pPr>
        <w:pStyle w:val="BodyText"/>
        <w:spacing w:line="256" w:lineRule="auto" w:before="125"/>
        <w:ind w:right="0"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日，根据</w:t>
      </w:r>
      <w:r>
        <w:rPr>
          <w:rFonts w:ascii="Times New Roman" w:hAnsi="Times New Roman" w:cs="Times New Roman" w:eastAsia="Times New Roman" w:hint="default"/>
        </w:rPr>
        <w:t>2015</w:t>
      </w:r>
      <w:r>
        <w:rPr/>
        <w:t>年度股东大会决议和修改后章程的规定，公司申请新增的注册资本为人民</w:t>
      </w:r>
      <w:r>
        <w:rPr>
          <w:w w:val="100"/>
        </w:rPr>
        <w:t> </w:t>
      </w:r>
      <w:r>
        <w:rPr>
          <w:spacing w:val="-2"/>
        </w:rPr>
        <w:t>币</w:t>
      </w:r>
      <w:r>
        <w:rPr>
          <w:rFonts w:ascii="Times New Roman" w:hAnsi="Times New Roman" w:cs="Times New Roman" w:eastAsia="Times New Roman" w:hint="default"/>
          <w:spacing w:val="-2"/>
        </w:rPr>
        <w:t>165,537,148</w:t>
      </w:r>
      <w:r>
        <w:rPr>
          <w:spacing w:val="-2"/>
        </w:rPr>
        <w:t>元，公司以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8</w:t>
      </w:r>
      <w:r>
        <w:rPr>
          <w:spacing w:val="-2"/>
        </w:rPr>
        <w:t>日的总股本</w:t>
      </w:r>
      <w:r>
        <w:rPr>
          <w:rFonts w:ascii="Times New Roman" w:hAnsi="Times New Roman" w:cs="Times New Roman" w:eastAsia="Times New Roman" w:hint="default"/>
          <w:spacing w:val="-2"/>
        </w:rPr>
        <w:t>551,790,494</w:t>
      </w:r>
      <w:r>
        <w:rPr>
          <w:spacing w:val="-2"/>
        </w:rPr>
        <w:t>股为基数，以资本公积向全体股东每</w:t>
      </w:r>
      <w:r>
        <w:rPr>
          <w:rFonts w:ascii="Times New Roman" w:hAnsi="Times New Roman" w:cs="Times New Roman" w:eastAsia="Times New Roman" w:hint="default"/>
          <w:spacing w:val="-2"/>
        </w:rPr>
        <w:t>10</w:t>
      </w:r>
      <w:r>
        <w:rPr>
          <w:spacing w:val="-2"/>
        </w:rPr>
        <w:t>股转增</w:t>
      </w:r>
      <w:r>
        <w:rPr>
          <w:spacing w:val="-20"/>
        </w:rPr>
        <w:t> </w:t>
      </w:r>
      <w:r>
        <w:rPr>
          <w:spacing w:val="-20"/>
        </w:rPr>
      </w:r>
      <w:r>
        <w:rPr>
          <w:rFonts w:ascii="Times New Roman" w:hAnsi="Times New Roman" w:cs="Times New Roman" w:eastAsia="Times New Roman" w:hint="default"/>
          <w:spacing w:val="-4"/>
        </w:rPr>
        <w:t>3</w:t>
      </w:r>
      <w:r>
        <w:rPr>
          <w:spacing w:val="-4"/>
        </w:rPr>
        <w:t>股，共计转增</w:t>
      </w:r>
      <w:r>
        <w:rPr>
          <w:rFonts w:ascii="Times New Roman" w:hAnsi="Times New Roman" w:cs="Times New Roman" w:eastAsia="Times New Roman" w:hint="default"/>
          <w:spacing w:val="-4"/>
        </w:rPr>
        <w:t>165,537,148</w:t>
      </w:r>
      <w:r>
        <w:rPr>
          <w:spacing w:val="-4"/>
        </w:rPr>
        <w:t>股。资本公积金转增股本实施后，公司股本总数为</w:t>
      </w:r>
      <w:r>
        <w:rPr>
          <w:rFonts w:ascii="Times New Roman" w:hAnsi="Times New Roman" w:cs="Times New Roman" w:eastAsia="Times New Roman" w:hint="default"/>
          <w:spacing w:val="-4"/>
        </w:rPr>
        <w:t>717,327,642</w:t>
      </w:r>
      <w:r>
        <w:rPr>
          <w:spacing w:val="-4"/>
        </w:rPr>
        <w:t>股，每股面值</w:t>
      </w:r>
      <w:r>
        <w:rPr>
          <w:rFonts w:ascii="Times New Roman" w:hAnsi="Times New Roman" w:cs="Times New Roman" w:eastAsia="Times New Roman" w:hint="default"/>
          <w:spacing w:val="-4"/>
        </w:rPr>
        <w:t>1</w:t>
      </w:r>
      <w:r>
        <w:rPr>
          <w:spacing w:val="-4"/>
        </w:rPr>
        <w:t>元， </w:t>
      </w:r>
      <w:r>
        <w:rPr>
          <w:spacing w:val="-2"/>
        </w:rPr>
        <w:t>共计</w:t>
      </w:r>
      <w:r>
        <w:rPr>
          <w:rFonts w:ascii="Times New Roman" w:hAnsi="Times New Roman" w:cs="Times New Roman" w:eastAsia="Times New Roman" w:hint="default"/>
          <w:spacing w:val="-2"/>
        </w:rPr>
        <w:t>717,327,642</w:t>
      </w:r>
      <w:r>
        <w:rPr>
          <w:spacing w:val="-2"/>
        </w:rPr>
        <w:t>元。双星新材于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日取得江苏省宿迁工商行政管理局核发的</w:t>
      </w:r>
      <w:r>
        <w:rPr>
          <w:rFonts w:ascii="Times New Roman" w:hAnsi="Times New Roman" w:cs="Times New Roman" w:eastAsia="Times New Roman" w:hint="default"/>
          <w:spacing w:val="-2"/>
        </w:rPr>
        <w:t>321300000005816</w:t>
      </w:r>
      <w:r>
        <w:rPr>
          <w:spacing w:val="-2"/>
        </w:rPr>
        <w:t>号</w:t>
      </w:r>
    </w:p>
    <w:p>
      <w:pPr>
        <w:pStyle w:val="BodyText"/>
        <w:spacing w:line="240" w:lineRule="auto" w:before="5"/>
        <w:ind w:right="0"/>
        <w:jc w:val="left"/>
      </w:pPr>
      <w:r>
        <w:rPr/>
        <w:t>《企业法人营业执照》。</w:t>
      </w:r>
    </w:p>
    <w:p>
      <w:pPr>
        <w:pStyle w:val="BodyText"/>
        <w:spacing w:line="256" w:lineRule="auto" w:before="157"/>
        <w:ind w:right="0" w:firstLine="588"/>
        <w:jc w:val="left"/>
      </w:pPr>
      <w:r>
        <w:rPr>
          <w:spacing w:val="-8"/>
        </w:rPr>
        <w:t>根据公司</w:t>
      </w:r>
      <w:r>
        <w:rPr>
          <w:rFonts w:ascii="Times New Roman" w:hAnsi="Times New Roman" w:cs="Times New Roman" w:eastAsia="Times New Roman" w:hint="default"/>
          <w:spacing w:val="-8"/>
        </w:rPr>
        <w:t>2015</w:t>
      </w:r>
      <w:r>
        <w:rPr>
          <w:spacing w:val="-8"/>
        </w:rPr>
        <w:t>年第二次临时股东大会决议和中国证券监督管理委员会核准（证监许可〔</w:t>
      </w:r>
      <w:r>
        <w:rPr>
          <w:rFonts w:ascii="Times New Roman" w:hAnsi="Times New Roman" w:cs="Times New Roman" w:eastAsia="Times New Roman" w:hint="default"/>
          <w:spacing w:val="-8"/>
        </w:rPr>
        <w:t>2017</w:t>
      </w:r>
      <w:r>
        <w:rPr>
          <w:spacing w:val="-8"/>
        </w:rPr>
        <w:t>〕</w:t>
      </w:r>
      <w:r>
        <w:rPr>
          <w:rFonts w:ascii="Times New Roman" w:hAnsi="Times New Roman" w:cs="Times New Roman" w:eastAsia="Times New Roman" w:hint="default"/>
          <w:spacing w:val="-8"/>
        </w:rPr>
        <w:t>55</w:t>
      </w:r>
      <w:r>
        <w:rPr>
          <w:spacing w:val="-8"/>
        </w:rPr>
        <w:t>号），</w:t>
      </w:r>
      <w:r>
        <w:rPr>
          <w:w w:val="100"/>
        </w:rPr>
        <w:t> </w:t>
      </w:r>
      <w:r>
        <w:rPr>
          <w:spacing w:val="5"/>
        </w:rPr>
        <w:t>同意公司非公开发行人民币普通股，增加注册资本人民币</w:t>
      </w:r>
      <w:r>
        <w:rPr>
          <w:rFonts w:ascii="Times New Roman" w:hAnsi="Times New Roman" w:cs="Times New Roman" w:eastAsia="Times New Roman" w:hint="default"/>
          <w:spacing w:val="5"/>
        </w:rPr>
        <w:t>172,117,039</w:t>
      </w:r>
      <w:r>
        <w:rPr>
          <w:spacing w:val="5"/>
        </w:rPr>
        <w:t>元，变更后的注册资本为人民币</w:t>
      </w:r>
      <w:r>
        <w:rPr>
          <w:spacing w:val="20"/>
        </w:rPr>
        <w:t> </w:t>
      </w:r>
      <w:r>
        <w:rPr>
          <w:spacing w:val="20"/>
        </w:rPr>
      </w:r>
      <w:r>
        <w:rPr>
          <w:rFonts w:ascii="Times New Roman" w:hAnsi="Times New Roman" w:cs="Times New Roman" w:eastAsia="Times New Roman" w:hint="default"/>
          <w:spacing w:val="-2"/>
        </w:rPr>
        <w:t>889,444,681</w:t>
      </w:r>
      <w:r>
        <w:rPr>
          <w:spacing w:val="-2"/>
        </w:rPr>
        <w:t>元。此次非公开发行股票实际募集资金净额人民币</w:t>
      </w:r>
      <w:r>
        <w:rPr>
          <w:rFonts w:ascii="Times New Roman" w:hAnsi="Times New Roman" w:cs="Times New Roman" w:eastAsia="Times New Roman" w:hint="default"/>
          <w:spacing w:val="-2"/>
        </w:rPr>
        <w:t>1,967,572,876.23</w:t>
      </w:r>
      <w:r>
        <w:rPr>
          <w:spacing w:val="-2"/>
        </w:rPr>
        <w:t>元，其中：新增注册资本人</w:t>
      </w:r>
      <w:r>
        <w:rPr>
          <w:spacing w:val="-18"/>
        </w:rPr>
        <w:t> </w:t>
      </w:r>
      <w:r>
        <w:rPr>
          <w:spacing w:val="-18"/>
        </w:rPr>
      </w:r>
      <w:r>
        <w:rPr/>
        <w:t>民币</w:t>
      </w:r>
      <w:r>
        <w:rPr>
          <w:rFonts w:ascii="Times New Roman" w:hAnsi="Times New Roman" w:cs="Times New Roman" w:eastAsia="Times New Roman" w:hint="default"/>
        </w:rPr>
        <w:t>172,117,039.00</w:t>
      </w:r>
      <w:r>
        <w:rPr/>
        <w:t>元，增加其他流动资产（待抵扣进项税）人民币</w:t>
      </w:r>
      <w:r>
        <w:rPr>
          <w:rFonts w:ascii="Times New Roman" w:hAnsi="Times New Roman" w:cs="Times New Roman" w:eastAsia="Times New Roman" w:hint="default"/>
        </w:rPr>
        <w:t>1,733,773.58</w:t>
      </w:r>
      <w:r>
        <w:rPr/>
        <w:t>元，增加资本公积人民币</w:t>
      </w:r>
      <w:r>
        <w:rPr>
          <w:spacing w:val="-32"/>
        </w:rPr>
        <w:t> </w:t>
      </w:r>
      <w:r>
        <w:rPr>
          <w:spacing w:val="-32"/>
        </w:rPr>
      </w:r>
      <w:r>
        <w:rPr>
          <w:rFonts w:ascii="Times New Roman" w:hAnsi="Times New Roman" w:cs="Times New Roman" w:eastAsia="Times New Roman" w:hint="default"/>
        </w:rPr>
        <w:t>1,797,189,610.81</w:t>
      </w:r>
      <w:r>
        <w:rPr/>
        <w:t>元。众华会计师事务所（特殊普通合伙）出具了</w:t>
      </w:r>
      <w:r>
        <w:rPr>
          <w:rFonts w:ascii="Times New Roman" w:hAnsi="Times New Roman" w:cs="Times New Roman" w:eastAsia="Times New Roman" w:hint="default"/>
        </w:rPr>
        <w:t>“</w:t>
      </w:r>
      <w:r>
        <w:rPr/>
        <w:t>众会字（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2244</w:t>
      </w:r>
      <w:r>
        <w:rPr/>
        <w:t>号</w:t>
      </w:r>
      <w:r>
        <w:rPr>
          <w:rFonts w:ascii="Times New Roman" w:hAnsi="Times New Roman" w:cs="Times New Roman" w:eastAsia="Times New Roman" w:hint="default"/>
        </w:rPr>
        <w:t>”</w:t>
      </w:r>
      <w:r>
        <w:rPr/>
        <w:t>验资报告，确</w:t>
      </w:r>
      <w:r>
        <w:rPr>
          <w:w w:val="100"/>
        </w:rPr>
        <w:t> </w:t>
      </w:r>
      <w:r>
        <w:rPr/>
        <w:t>认本次发行的新增注册资本及股本情况。</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日，根据</w:t>
      </w:r>
      <w:r>
        <w:rPr>
          <w:rFonts w:ascii="Times New Roman" w:hAnsi="Times New Roman" w:cs="Times New Roman" w:eastAsia="Times New Roman" w:hint="default"/>
        </w:rPr>
        <w:t>2016</w:t>
      </w:r>
      <w:r>
        <w:rPr/>
        <w:t>年年度股东大会决议和修改后章程的</w:t>
      </w:r>
      <w:r>
        <w:rPr>
          <w:spacing w:val="-27"/>
        </w:rPr>
        <w:t> </w:t>
      </w:r>
      <w:r>
        <w:rPr>
          <w:spacing w:val="-27"/>
        </w:rPr>
      </w:r>
      <w:r>
        <w:rPr/>
        <w:t>规定，以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日总股本</w:t>
      </w:r>
      <w:r>
        <w:rPr>
          <w:rFonts w:ascii="Times New Roman" w:hAnsi="Times New Roman" w:cs="Times New Roman" w:eastAsia="Times New Roman" w:hint="default"/>
        </w:rPr>
        <w:t>889,444,681</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0.2</w:t>
      </w:r>
      <w:r>
        <w:rPr/>
        <w:t>元（含税），共</w:t>
      </w:r>
    </w:p>
    <w:p>
      <w:pPr>
        <w:spacing w:after="0" w:line="25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56" w:lineRule="auto" w:before="36"/>
        <w:ind w:right="1128"/>
        <w:jc w:val="both"/>
      </w:pPr>
      <w:r>
        <w:rPr/>
        <w:t>分配现金红利</w:t>
      </w:r>
      <w:r>
        <w:rPr>
          <w:rFonts w:ascii="Times New Roman" w:hAnsi="Times New Roman" w:cs="Times New Roman" w:eastAsia="Times New Roman" w:hint="default"/>
        </w:rPr>
        <w:t>17,788,893.62</w:t>
      </w:r>
      <w:r>
        <w:rPr/>
        <w:t>元；以公司总股本</w:t>
      </w:r>
      <w:r>
        <w:rPr>
          <w:rFonts w:ascii="Times New Roman" w:hAnsi="Times New Roman" w:cs="Times New Roman" w:eastAsia="Times New Roman" w:hint="default"/>
        </w:rPr>
        <w:t>889,444,681</w:t>
      </w:r>
      <w:r>
        <w:rPr/>
        <w:t>股为基数，以资本公积转增股本，每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spacing w:val="-2"/>
        </w:rPr>
        <w:t>股，共计转增</w:t>
      </w:r>
      <w:r>
        <w:rPr>
          <w:rFonts w:ascii="Times New Roman" w:hAnsi="Times New Roman" w:cs="Times New Roman" w:eastAsia="Times New Roman" w:hint="default"/>
          <w:spacing w:val="-2"/>
        </w:rPr>
        <w:t>266,833,404</w:t>
      </w:r>
      <w:r>
        <w:rPr>
          <w:rFonts w:ascii="Times New Roman" w:hAnsi="Times New Roman" w:cs="Times New Roman" w:eastAsia="Times New Roman" w:hint="default"/>
        </w:rPr>
        <w:t> </w:t>
      </w:r>
      <w:r>
        <w:rPr>
          <w:spacing w:val="-2"/>
        </w:rPr>
        <w:t>股，转增后公司总股本增至</w:t>
      </w:r>
      <w:r>
        <w:rPr>
          <w:rFonts w:ascii="Times New Roman" w:hAnsi="Times New Roman" w:cs="Times New Roman" w:eastAsia="Times New Roman" w:hint="default"/>
          <w:spacing w:val="-2"/>
        </w:rPr>
        <w:t>1,156,278,085</w:t>
      </w:r>
      <w:r>
        <w:rPr>
          <w:spacing w:val="-2"/>
        </w:rPr>
        <w:t>股。双星新材于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日取得江苏</w:t>
      </w:r>
      <w:r>
        <w:rPr>
          <w:spacing w:val="-69"/>
        </w:rPr>
        <w:t> </w:t>
      </w:r>
      <w:r>
        <w:rPr>
          <w:spacing w:val="-69"/>
        </w:rPr>
      </w:r>
      <w:r>
        <w:rPr/>
        <w:t>省宿迁工商行政管理局核发的</w:t>
      </w:r>
      <w:r>
        <w:rPr>
          <w:rFonts w:ascii="Times New Roman" w:hAnsi="Times New Roman" w:cs="Times New Roman" w:eastAsia="Times New Roman" w:hint="default"/>
        </w:rPr>
        <w:t>321300000005816</w:t>
      </w:r>
      <w:r>
        <w:rPr/>
        <w:t>号《企业法人营业执照》。</w:t>
      </w:r>
    </w:p>
    <w:p>
      <w:pPr>
        <w:pStyle w:val="BodyText"/>
        <w:spacing w:line="271" w:lineRule="auto" w:before="127"/>
        <w:ind w:right="0" w:firstLine="504"/>
        <w:jc w:val="left"/>
      </w:pPr>
      <w:r>
        <w:rPr>
          <w:spacing w:val="-2"/>
        </w:rPr>
        <w:t>业务性质：本公司从事高分子复合材料、新型塑料包装薄膜以及光学膜的研发、生产和销售，主要</w:t>
      </w:r>
      <w:r>
        <w:rPr>
          <w:w w:val="100"/>
        </w:rPr>
        <w:t> </w:t>
      </w:r>
      <w:r>
        <w:rPr/>
        <w:t>产品为聚酯薄膜等新型塑料薄膜。</w:t>
      </w:r>
    </w:p>
    <w:p>
      <w:pPr>
        <w:pStyle w:val="BodyText"/>
        <w:spacing w:line="273" w:lineRule="auto" w:before="130"/>
        <w:ind w:right="1126" w:firstLine="420"/>
        <w:jc w:val="both"/>
      </w:pPr>
      <w:r>
        <w:rPr>
          <w:spacing w:val="-2"/>
        </w:rPr>
        <w:t>本公司经营范围：光电新材料、光学膜、太阳能电池背材膜、聚酯电容膜、聚酯工业基材；高分子复</w:t>
      </w:r>
      <w:r>
        <w:rPr>
          <w:w w:val="100"/>
        </w:rPr>
        <w:t> </w:t>
      </w:r>
      <w:r>
        <w:rPr>
          <w:spacing w:val="-2"/>
        </w:rPr>
        <w:t>合材料技术研发；包装材料生产、化工材料（除化学危险品）销售；包装装潢印刷品印刷、其他印刷品印</w:t>
      </w:r>
      <w:r>
        <w:rPr>
          <w:spacing w:val="-42"/>
        </w:rPr>
        <w:t> </w:t>
      </w:r>
      <w:r>
        <w:rPr>
          <w:spacing w:val="-42"/>
        </w:rPr>
      </w:r>
      <w:r>
        <w:rPr>
          <w:spacing w:val="-2"/>
        </w:rPr>
        <w:t>刷；经营本企业自产产品及技术的出口业务；经营本企业生产、科研所需的原辅材料、仪器仪表、机械设</w:t>
      </w:r>
      <w:r>
        <w:rPr>
          <w:spacing w:val="-43"/>
        </w:rPr>
        <w:t> </w:t>
      </w:r>
      <w:r>
        <w:rPr>
          <w:spacing w:val="-43"/>
        </w:rPr>
      </w:r>
      <w:r>
        <w:rPr>
          <w:spacing w:val="-2"/>
        </w:rPr>
        <w:t>备、零配件及技术的进口业务（国家限定公司经营和国家禁止进出口的商品及技术除外）；经营进料加工</w:t>
      </w:r>
      <w:r>
        <w:rPr>
          <w:spacing w:val="-47"/>
        </w:rPr>
        <w:t> </w:t>
      </w:r>
      <w:r>
        <w:rPr>
          <w:spacing w:val="-47"/>
        </w:rPr>
      </w:r>
      <w:r>
        <w:rPr/>
        <w:t>和</w:t>
      </w:r>
      <w:r>
        <w:rPr>
          <w:rFonts w:ascii="Times New Roman" w:hAnsi="Times New Roman" w:cs="Times New Roman" w:eastAsia="Times New Roman" w:hint="default"/>
        </w:rPr>
        <w:t>“</w:t>
      </w:r>
      <w:r>
        <w:rPr/>
        <w:t>三来一补</w:t>
      </w:r>
      <w:r>
        <w:rPr>
          <w:rFonts w:ascii="Times New Roman" w:hAnsi="Times New Roman" w:cs="Times New Roman" w:eastAsia="Times New Roman" w:hint="default"/>
        </w:rPr>
        <w:t>”</w:t>
      </w:r>
      <w:r>
        <w:rPr/>
        <w:t>业务。道路普通货物运输。</w:t>
      </w:r>
    </w:p>
    <w:p>
      <w:pPr>
        <w:pStyle w:val="BodyText"/>
        <w:spacing w:line="357" w:lineRule="auto" w:before="108"/>
        <w:ind w:left="825" w:right="0" w:hanging="252"/>
        <w:jc w:val="left"/>
      </w:pPr>
      <w:r>
        <w:rPr/>
        <w:pict>
          <v:shape style="position:absolute;margin-left:56.279999pt;margin-top:45.293682pt;width:454.8pt;height:103.1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55"/>
                    <w:gridCol w:w="2060"/>
                    <w:gridCol w:w="2057"/>
                  </w:tblGrid>
                  <w:tr>
                    <w:trPr>
                      <w:trHeight w:val="346" w:hRule="exact"/>
                    </w:trPr>
                    <w:tc>
                      <w:tcPr>
                        <w:tcW w:w="4955" w:type="dxa"/>
                        <w:vMerge w:val="restart"/>
                        <w:tcBorders>
                          <w:top w:val="single" w:sz="6" w:space="0" w:color="000000"/>
                          <w:left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17" w:type="dxa"/>
                        <w:gridSpan w:val="2"/>
                        <w:tcBorders>
                          <w:top w:val="single" w:sz="6" w:space="0" w:color="000000"/>
                          <w:left w:val="single" w:sz="6" w:space="0" w:color="000000"/>
                          <w:bottom w:val="single" w:sz="6" w:space="0" w:color="000000"/>
                          <w:right w:val="single" w:sz="7" w:space="0" w:color="000000"/>
                        </w:tcBorders>
                      </w:tcPr>
                      <w:p>
                        <w:pPr>
                          <w:pStyle w:val="TableParagraph"/>
                          <w:spacing w:line="272" w:lineRule="exact"/>
                          <w:ind w:left="25" w:right="0"/>
                          <w:jc w:val="center"/>
                          <w:rPr>
                            <w:rFonts w:ascii="宋体" w:hAnsi="宋体" w:cs="宋体" w:eastAsia="宋体" w:hint="default"/>
                            <w:sz w:val="21"/>
                            <w:szCs w:val="21"/>
                          </w:rPr>
                        </w:pPr>
                        <w:r>
                          <w:rPr>
                            <w:rFonts w:ascii="宋体" w:hAnsi="宋体" w:cs="宋体" w:eastAsia="宋体" w:hint="default"/>
                            <w:sz w:val="21"/>
                            <w:szCs w:val="21"/>
                          </w:rPr>
                          <w:t>是否合并</w:t>
                        </w:r>
                      </w:p>
                    </w:tc>
                  </w:tr>
                  <w:tr>
                    <w:trPr>
                      <w:trHeight w:val="348" w:hRule="exact"/>
                    </w:trPr>
                    <w:tc>
                      <w:tcPr>
                        <w:tcW w:w="4955" w:type="dxa"/>
                        <w:vMerge/>
                        <w:tcBorders>
                          <w:left w:val="single" w:sz="6" w:space="0" w:color="000000"/>
                          <w:bottom w:val="single" w:sz="6" w:space="0" w:color="000000"/>
                          <w:right w:val="single" w:sz="6" w:space="0" w:color="000000"/>
                        </w:tcBorders>
                      </w:tcPr>
                      <w:p>
                        <w:pP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年度</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年度</w:t>
                        </w:r>
                      </w:p>
                    </w:tc>
                  </w:tr>
                  <w:tr>
                    <w:trPr>
                      <w:trHeight w:val="346" w:hRule="exact"/>
                    </w:trPr>
                    <w:tc>
                      <w:tcPr>
                        <w:tcW w:w="49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江西科为薄膜新型材料有限公司</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48" w:hRule="exact"/>
                    </w:trPr>
                    <w:tc>
                      <w:tcPr>
                        <w:tcW w:w="4955" w:type="dxa"/>
                        <w:tcBorders>
                          <w:top w:val="single" w:sz="6" w:space="0" w:color="000000"/>
                          <w:left w:val="single" w:sz="6" w:space="0" w:color="000000"/>
                          <w:bottom w:val="single" w:sz="6" w:space="0" w:color="000000"/>
                          <w:right w:val="single" w:sz="6" w:space="0" w:color="000000"/>
                        </w:tcBorders>
                      </w:tcPr>
                      <w:p>
                        <w:pPr/>
                      </w:p>
                    </w:tc>
                    <w:tc>
                      <w:tcPr>
                        <w:tcW w:w="2060" w:type="dxa"/>
                        <w:tcBorders>
                          <w:top w:val="single" w:sz="6" w:space="0" w:color="000000"/>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90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3"/>
                          <w:jc w:val="left"/>
                          <w:rPr>
                            <w:rFonts w:ascii="宋体" w:hAnsi="宋体" w:cs="宋体" w:eastAsia="宋体" w:hint="default"/>
                            <w:sz w:val="21"/>
                            <w:szCs w:val="21"/>
                          </w:rPr>
                        </w:pPr>
                        <w:r>
                          <w:rPr>
                            <w:rFonts w:ascii="宋体" w:hAnsi="宋体" w:cs="宋体" w:eastAsia="宋体" w:hint="default"/>
                            <w:spacing w:val="-3"/>
                            <w:sz w:val="21"/>
                            <w:szCs w:val="21"/>
                          </w:rPr>
                          <w:t>注：江西科为薄膜新型材料有限公司系公司于</w:t>
                        </w: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日完成收购的全资子公司，自</w:t>
                        </w: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月起</w:t>
                        </w:r>
                        <w:r>
                          <w:rPr>
                            <w:rFonts w:ascii="宋体" w:hAnsi="宋体" w:cs="宋体" w:eastAsia="宋体" w:hint="default"/>
                            <w:spacing w:val="-52"/>
                            <w:sz w:val="21"/>
                            <w:szCs w:val="21"/>
                          </w:rPr>
                          <w:t> </w:t>
                        </w:r>
                        <w:r>
                          <w:rPr>
                            <w:rFonts w:ascii="宋体" w:hAnsi="宋体" w:cs="宋体" w:eastAsia="宋体" w:hint="default"/>
                            <w:sz w:val="21"/>
                            <w:szCs w:val="21"/>
                          </w:rPr>
                          <w:t>纳入公司合并财务报表范围。</w:t>
                        </w:r>
                      </w:p>
                    </w:tc>
                  </w:tr>
                </w:tbl>
                <w:p>
                  <w:pPr/>
                </w:p>
              </w:txbxContent>
            </v:textbox>
            <w10:wrap type="none"/>
          </v:shape>
        </w:pict>
      </w:r>
      <w:r>
        <w:rPr>
          <w:spacing w:val="-2"/>
        </w:rPr>
        <w:t>本公司主要产品包括聚酯薄膜、真空镀铝膜、</w:t>
      </w:r>
      <w:r>
        <w:rPr>
          <w:rFonts w:ascii="Times New Roman" w:hAnsi="Times New Roman" w:cs="Times New Roman" w:eastAsia="Times New Roman" w:hint="default"/>
          <w:spacing w:val="-2"/>
        </w:rPr>
        <w:t>PVC</w:t>
      </w:r>
      <w:r>
        <w:rPr>
          <w:spacing w:val="-2"/>
        </w:rPr>
        <w:t>功能薄膜、光学膜等。</w:t>
      </w:r>
      <w:r>
        <w:rPr>
          <w:spacing w:val="-44"/>
        </w:rPr>
        <w:t> </w:t>
      </w:r>
      <w:r>
        <w:rPr>
          <w:spacing w:val="-44"/>
        </w:rPr>
      </w:r>
      <w:r>
        <w:rPr/>
        <w:t>本财务报告的批准报出日：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2"/>
        <w:spacing w:line="240" w:lineRule="auto" w:before="26"/>
        <w:ind w:right="0"/>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0"/>
        <w:jc w:val="left"/>
      </w:pPr>
      <w:r>
        <w:rPr>
          <w:spacing w:val="-2"/>
        </w:rPr>
        <w:t>本公司以持续经营为基础，根据实际发生的交易和事项，按照《企业会计准则</w:t>
      </w:r>
      <w:r>
        <w:rPr>
          <w:rFonts w:ascii="Times New Roman" w:hAnsi="Times New Roman" w:cs="Times New Roman" w:eastAsia="Times New Roman" w:hint="default"/>
          <w:spacing w:val="-2"/>
        </w:rPr>
        <w:t>—</w:t>
      </w:r>
      <w:r>
        <w:rPr>
          <w:spacing w:val="-2"/>
        </w:rPr>
        <w:t>基本准则》和其他各项会</w:t>
      </w:r>
      <w:r>
        <w:rPr>
          <w:spacing w:val="-47"/>
        </w:rPr>
        <w:t> </w:t>
      </w:r>
      <w:r>
        <w:rPr>
          <w:spacing w:val="-47"/>
        </w:rPr>
      </w:r>
      <w:r>
        <w:rPr/>
        <w:t>计准则的规定进行确认和计量，在此基础上编制财务报表。</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0"/>
        <w:jc w:val="left"/>
      </w:pPr>
      <w:r>
        <w:rPr>
          <w:spacing w:val="-2"/>
        </w:rPr>
        <w:t>经本公司评估，自本报告期末起的</w:t>
      </w:r>
      <w:r>
        <w:rPr>
          <w:rFonts w:ascii="Times New Roman" w:hAnsi="Times New Roman" w:cs="Times New Roman" w:eastAsia="Times New Roman" w:hint="default"/>
          <w:spacing w:val="-2"/>
        </w:rPr>
        <w:t>12</w:t>
      </w:r>
      <w:r>
        <w:rPr>
          <w:spacing w:val="-2"/>
        </w:rPr>
        <w:t>个月内，本公司持续经营能力良好，不存在导致对本公司持续经营能</w:t>
      </w:r>
      <w:r>
        <w:rPr>
          <w:spacing w:val="-42"/>
        </w:rPr>
        <w:t> </w:t>
      </w:r>
      <w:r>
        <w:rPr>
          <w:spacing w:val="-42"/>
        </w:rPr>
      </w:r>
      <w:r>
        <w:rPr/>
        <w:t>力产生重大怀疑的因素。</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 本年度无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spacing w:val="-2"/>
        </w:rPr>
        <w:t>本公司所编制的财务报表符合企业会计准则的要求，真实、完整地反映了本公司的财务状况、经营成果、</w:t>
      </w:r>
      <w:r>
        <w:rPr>
          <w:spacing w:val="-21"/>
        </w:rPr>
        <w:t> </w:t>
      </w:r>
      <w:r>
        <w:rPr>
          <w:spacing w:val="-21"/>
        </w:rPr>
      </w:r>
      <w:r>
        <w:rPr/>
        <w:t>所有者权益变动和现金流量等有关信息。</w:t>
      </w:r>
    </w:p>
    <w:p>
      <w:pPr>
        <w:spacing w:after="0" w:line="273"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line="506" w:lineRule="auto" w:before="36"/>
        <w:ind w:left="152" w:right="57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2"/>
          <w:sz w:val="21"/>
          <w:szCs w:val="21"/>
        </w:rPr>
        <w:t>会计期间为自公历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日起至</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506" w:lineRule="auto" w:before="63"/>
        <w:ind w:left="152" w:right="7694" w:firstLine="0"/>
        <w:jc w:val="left"/>
        <w:rPr>
          <w:rFonts w:ascii="宋体" w:hAnsi="宋体" w:cs="宋体" w:eastAsia="宋体" w:hint="default"/>
          <w:sz w:val="21"/>
          <w:szCs w:val="21"/>
        </w:rPr>
      </w:pPr>
      <w:r>
        <w:rPr>
          <w:rFonts w:ascii="宋体" w:hAnsi="宋体" w:cs="宋体" w:eastAsia="宋体" w:hint="default"/>
          <w:sz w:val="21"/>
          <w:szCs w:val="21"/>
        </w:rPr>
        <w:t>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pacing w:val="-2"/>
          <w:sz w:val="21"/>
          <w:szCs w:val="21"/>
        </w:rPr>
        <w:t>记账本位币为人民币。</w:t>
      </w:r>
    </w:p>
    <w:p>
      <w:pPr>
        <w:pStyle w:val="Heading4"/>
        <w:spacing w:line="240" w:lineRule="auto" w:before="104"/>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left="573" w:right="0"/>
        <w:jc w:val="left"/>
      </w:pPr>
      <w:r>
        <w:rPr>
          <w:rFonts w:ascii="Times New Roman" w:hAnsi="Times New Roman" w:cs="Times New Roman" w:eastAsia="Times New Roman" w:hint="default"/>
        </w:rPr>
        <w:t>5.1</w:t>
      </w:r>
      <w:r>
        <w:rPr>
          <w:rFonts w:ascii="Times New Roman" w:hAnsi="Times New Roman" w:cs="Times New Roman" w:eastAsia="Times New Roman" w:hint="default"/>
          <w:spacing w:val="31"/>
        </w:rPr>
        <w:t> </w:t>
      </w:r>
      <w:r>
        <w:rPr/>
        <w:t>同一控制下的企业合并</w:t>
      </w:r>
      <w:r>
        <w:rPr>
          <w:w w:val="100"/>
        </w:rPr>
        <w:t> </w:t>
      </w:r>
      <w:r>
        <w:rPr>
          <w:spacing w:val="-2"/>
        </w:rPr>
        <w:t>参与合并的企业在合并前后均受同一方或相同的多方最终控制且该控制并非暂时性的，认定为同一控</w:t>
      </w:r>
    </w:p>
    <w:p>
      <w:pPr>
        <w:pStyle w:val="BodyText"/>
        <w:spacing w:line="273" w:lineRule="auto" w:before="22"/>
        <w:ind w:left="573" w:right="0" w:hanging="421"/>
        <w:jc w:val="left"/>
      </w:pPr>
      <w:r>
        <w:rPr/>
        <w:t>制下的企业合并。</w:t>
      </w:r>
      <w:r>
        <w:rPr>
          <w:w w:val="100"/>
        </w:rPr>
        <w:t> </w:t>
      </w:r>
      <w:r>
        <w:rPr>
          <w:spacing w:val="-2"/>
        </w:rPr>
        <w:t>合并方以支付现金、转让非现金资产或承担债务方式作为合并对价的，在合并日按照被合并方所有者</w:t>
      </w:r>
    </w:p>
    <w:p>
      <w:pPr>
        <w:pStyle w:val="BodyText"/>
        <w:spacing w:line="273" w:lineRule="auto" w:before="7"/>
        <w:ind w:right="1126"/>
        <w:jc w:val="both"/>
      </w:pPr>
      <w:r>
        <w:rPr>
          <w:spacing w:val="-2"/>
        </w:rPr>
        <w:t>权益在最终控制方合并财务报表中的账面价值的份额作为长期股权投资的初始投资成本。长期股权投资初</w:t>
      </w:r>
      <w:r>
        <w:rPr>
          <w:spacing w:val="-43"/>
        </w:rPr>
        <w:t> </w:t>
      </w:r>
      <w:r>
        <w:rPr>
          <w:spacing w:val="-43"/>
        </w:rPr>
      </w:r>
      <w:r>
        <w:rPr>
          <w:spacing w:val="-2"/>
        </w:rPr>
        <w:t>始投资成本与支付的现金、转让的非现金资产以及所承担债务账面价值之间的差额，调整资本公积；资本</w:t>
      </w:r>
      <w:r>
        <w:rPr>
          <w:spacing w:val="-43"/>
        </w:rPr>
        <w:t> </w:t>
      </w:r>
      <w:r>
        <w:rPr>
          <w:spacing w:val="-43"/>
        </w:rPr>
      </w:r>
      <w:r>
        <w:rPr/>
        <w:t>公积不足冲减的，调整留存收益。</w:t>
      </w:r>
    </w:p>
    <w:p>
      <w:pPr>
        <w:pStyle w:val="BodyText"/>
        <w:spacing w:line="273" w:lineRule="auto" w:before="7"/>
        <w:ind w:right="1126" w:firstLine="420"/>
        <w:jc w:val="both"/>
      </w:pPr>
      <w:r>
        <w:rPr>
          <w:spacing w:val="-2"/>
        </w:rPr>
        <w:t>合并方以发行权益性证券作为合并对价的，在合并日按照被合并方所有者权益在最终控制方合并财务</w:t>
      </w:r>
      <w:r>
        <w:rPr>
          <w:w w:val="100"/>
        </w:rPr>
        <w:t> </w:t>
      </w:r>
      <w:r>
        <w:rPr>
          <w:spacing w:val="-2"/>
        </w:rPr>
        <w:t>报表中的账面价值的份额作为长期股权投资的初始投资成本。按照发行股份的面值总额作为股本，长期股</w:t>
      </w:r>
      <w:r>
        <w:rPr>
          <w:spacing w:val="-43"/>
        </w:rPr>
        <w:t> </w:t>
      </w:r>
      <w:r>
        <w:rPr>
          <w:spacing w:val="-43"/>
        </w:rPr>
      </w:r>
      <w:r>
        <w:rPr>
          <w:spacing w:val="-2"/>
        </w:rPr>
        <w:t>权投资初始投资成本与所发行股份面值总额之间的差额，调整资本公积；资本公积不足冲减的，调整留存</w:t>
      </w:r>
      <w:r>
        <w:rPr>
          <w:spacing w:val="-43"/>
        </w:rPr>
        <w:t> </w:t>
      </w:r>
      <w:r>
        <w:rPr>
          <w:spacing w:val="-43"/>
        </w:rPr>
      </w:r>
      <w:r>
        <w:rPr/>
        <w:t>收益。</w:t>
      </w:r>
    </w:p>
    <w:p>
      <w:pPr>
        <w:pStyle w:val="BodyText"/>
        <w:spacing w:line="273" w:lineRule="auto" w:before="7"/>
        <w:ind w:right="1126" w:firstLine="420"/>
        <w:jc w:val="both"/>
      </w:pPr>
      <w:r>
        <w:rPr>
          <w:spacing w:val="-2"/>
        </w:rPr>
        <w:t>合并方为企业合并发生的审计、法律服务、评估咨询等中介费用以及其他相关管理费用，于发生时计</w:t>
      </w:r>
      <w:r>
        <w:rPr>
          <w:w w:val="100"/>
        </w:rPr>
        <w:t> </w:t>
      </w:r>
      <w:r>
        <w:rPr/>
        <w:t>入当期损益。</w:t>
      </w:r>
    </w:p>
    <w:p>
      <w:pPr>
        <w:pStyle w:val="BodyText"/>
        <w:spacing w:line="264" w:lineRule="auto" w:before="7"/>
        <w:ind w:left="573" w:right="0"/>
        <w:jc w:val="left"/>
      </w:pPr>
      <w:r>
        <w:rPr>
          <w:rFonts w:ascii="Times New Roman" w:hAnsi="Times New Roman" w:cs="Times New Roman" w:eastAsia="Times New Roman" w:hint="default"/>
        </w:rPr>
        <w:t>5.2</w:t>
      </w:r>
      <w:r>
        <w:rPr>
          <w:rFonts w:ascii="Times New Roman" w:hAnsi="Times New Roman" w:cs="Times New Roman" w:eastAsia="Times New Roman" w:hint="default"/>
          <w:spacing w:val="31"/>
        </w:rPr>
        <w:t> </w:t>
      </w:r>
      <w:r>
        <w:rPr/>
        <w:t>非同一控制下的企业合并</w:t>
      </w:r>
      <w:r>
        <w:rPr>
          <w:w w:val="100"/>
        </w:rPr>
        <w:t> </w:t>
      </w:r>
      <w:r>
        <w:rPr>
          <w:spacing w:val="-2"/>
        </w:rPr>
        <w:t>参与合并的各方在合并前后不受同一方或相同的多方最终控制的，认定为非同一控制下的企业合并。</w:t>
      </w:r>
      <w:r>
        <w:rPr>
          <w:spacing w:val="-27"/>
        </w:rPr>
        <w:t> </w:t>
      </w:r>
      <w:r>
        <w:rPr>
          <w:spacing w:val="-27"/>
        </w:rPr>
      </w:r>
      <w:r>
        <w:rPr>
          <w:spacing w:val="-2"/>
        </w:rPr>
        <w:t>购买方通过一次交换交易实现的企业合并，合并成本为购买方在购买日为取得对被购买方的控制权而</w:t>
      </w:r>
    </w:p>
    <w:p>
      <w:pPr>
        <w:pStyle w:val="BodyText"/>
        <w:spacing w:line="273" w:lineRule="auto" w:before="16"/>
        <w:ind w:right="1126"/>
        <w:jc w:val="both"/>
      </w:pPr>
      <w:r>
        <w:rPr>
          <w:spacing w:val="-2"/>
        </w:rPr>
        <w:t>付出的资产、发生或承担的负债以及发行的权益性证券的公允价值。购买方为企业合并发生的审计、法律</w:t>
      </w:r>
      <w:r>
        <w:rPr>
          <w:spacing w:val="-43"/>
        </w:rPr>
        <w:t> </w:t>
      </w:r>
      <w:r>
        <w:rPr>
          <w:spacing w:val="-43"/>
        </w:rPr>
      </w:r>
      <w:r>
        <w:rPr>
          <w:spacing w:val="-2"/>
        </w:rPr>
        <w:t>服务、评估咨询等中介费用以及其他相关管理费用，于发生时计入当期损益；购买方作为合并对价发行的</w:t>
      </w:r>
      <w:r>
        <w:rPr>
          <w:spacing w:val="-45"/>
        </w:rPr>
        <w:t> </w:t>
      </w:r>
      <w:r>
        <w:rPr>
          <w:spacing w:val="-45"/>
        </w:rPr>
      </w:r>
      <w:r>
        <w:rPr/>
        <w:t>权益性证券或债务性证券的交易费用，计入权益性证券或债务性证券的初始确认金额。</w:t>
      </w:r>
    </w:p>
    <w:p>
      <w:pPr>
        <w:pStyle w:val="BodyText"/>
        <w:spacing w:line="273" w:lineRule="auto" w:before="7"/>
        <w:ind w:right="1126" w:firstLine="420"/>
        <w:jc w:val="both"/>
      </w:pPr>
      <w:r>
        <w:rPr>
          <w:spacing w:val="-2"/>
        </w:rPr>
        <w:t>购买方的合并成本和购买方在合并中取得的可辨认净资产按购买日的公允价值计量。合并成本大于合</w:t>
      </w:r>
      <w:r>
        <w:rPr>
          <w:w w:val="100"/>
        </w:rPr>
        <w:t> </w:t>
      </w:r>
      <w:r>
        <w:rPr>
          <w:spacing w:val="-2"/>
        </w:rPr>
        <w:t>并中取得的被购买方于购买日可辨认净资产公允价值份额的差额，确认为商誉；合并成本小于合并中取得</w:t>
      </w:r>
      <w:r>
        <w:rPr>
          <w:spacing w:val="-42"/>
        </w:rPr>
        <w:t> </w:t>
      </w:r>
      <w:r>
        <w:rPr>
          <w:spacing w:val="-42"/>
        </w:rPr>
      </w:r>
      <w:r>
        <w:rPr/>
        <w:t>的被购买方可辨认净资产公允价值份额的差额，计入当期损益。</w:t>
      </w:r>
    </w:p>
    <w:p>
      <w:pPr>
        <w:pStyle w:val="BodyText"/>
        <w:spacing w:line="256" w:lineRule="auto" w:before="7"/>
        <w:ind w:left="573" w:right="0"/>
        <w:jc w:val="left"/>
      </w:pPr>
      <w:r>
        <w:rPr>
          <w:rFonts w:ascii="Times New Roman" w:hAnsi="Times New Roman" w:cs="Times New Roman" w:eastAsia="Times New Roman" w:hint="default"/>
        </w:rPr>
        <w:t>5.3</w:t>
      </w:r>
      <w:r>
        <w:rPr>
          <w:rFonts w:ascii="Times New Roman" w:hAnsi="Times New Roman" w:cs="Times New Roman" w:eastAsia="Times New Roman" w:hint="default"/>
          <w:spacing w:val="31"/>
        </w:rPr>
        <w:t> </w:t>
      </w:r>
      <w:r>
        <w:rPr/>
        <w:t>因追加投资等原因能够对非同一控制下的被投资单位实施控制的</w:t>
      </w:r>
      <w:r>
        <w:rPr>
          <w:w w:val="100"/>
        </w:rPr>
        <w:t> </w:t>
      </w:r>
      <w:r>
        <w:rPr>
          <w:spacing w:val="-2"/>
        </w:rPr>
        <w:t>在编制个别财务报表时，按照原持有的股权投资账面价值加上新增投资成本之和，作为改按成本法核</w:t>
      </w:r>
    </w:p>
    <w:p>
      <w:pPr>
        <w:pStyle w:val="BodyText"/>
        <w:spacing w:line="266" w:lineRule="auto" w:before="23"/>
        <w:ind w:right="1126"/>
        <w:jc w:val="both"/>
      </w:pPr>
      <w:r>
        <w:rPr>
          <w:spacing w:val="-2"/>
        </w:rPr>
        <w:t>算的初始投资成本。购买日之前持有的股权投资因采用权益法核算而确认的其他综合收益，在处置该项投</w:t>
      </w:r>
      <w:r>
        <w:rPr>
          <w:spacing w:val="-42"/>
        </w:rPr>
        <w:t> </w:t>
      </w:r>
      <w:r>
        <w:rPr>
          <w:spacing w:val="-42"/>
        </w:rPr>
      </w:r>
      <w:r>
        <w:rPr>
          <w:spacing w:val="-2"/>
        </w:rPr>
        <w:t>资时采用与被投资单位直接处置相关资产或负债相同的基础进行会计处理。购买日之前持有的股权投资按</w:t>
      </w:r>
      <w:r>
        <w:rPr>
          <w:spacing w:val="-43"/>
        </w:rPr>
        <w:t> </w:t>
      </w:r>
      <w:r>
        <w:rPr>
          <w:spacing w:val="-43"/>
        </w:rPr>
      </w:r>
      <w:r>
        <w:rPr>
          <w:spacing w:val="-2"/>
        </w:rPr>
        <w:t>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金融工具确认和计量》的有关规定进行会计处理的，原计入其他综合收益的</w:t>
      </w:r>
      <w:r>
        <w:rPr>
          <w:spacing w:val="-43"/>
        </w:rPr>
        <w:t> </w:t>
      </w:r>
      <w:r>
        <w:rPr>
          <w:spacing w:val="-43"/>
        </w:rPr>
      </w:r>
      <w:r>
        <w:rPr/>
        <w:t>累计公允价值变动在改按成本法核算时转入当期损益。</w:t>
      </w:r>
    </w:p>
    <w:p>
      <w:pPr>
        <w:pStyle w:val="BodyText"/>
        <w:spacing w:line="273" w:lineRule="auto" w:before="55"/>
        <w:ind w:right="1126"/>
        <w:jc w:val="both"/>
      </w:pPr>
      <w:r>
        <w:rPr>
          <w:spacing w:val="-2"/>
        </w:rPr>
        <w:t>在合并财务报表中，对于购买日之前持有的被购买方的股权，按照该股权在购买日的公允价值进行重新计</w:t>
      </w:r>
      <w:r>
        <w:rPr>
          <w:spacing w:val="-42"/>
        </w:rPr>
        <w:t> </w:t>
      </w:r>
      <w:r>
        <w:rPr>
          <w:spacing w:val="-42"/>
        </w:rPr>
      </w:r>
      <w:r>
        <w:rPr>
          <w:spacing w:val="-2"/>
        </w:rPr>
        <w:t>量，公允价值与其账面价值的差额计入当期投资收益；购买日之前持有的被购买方的股权涉及权益法核算</w:t>
      </w:r>
    </w:p>
    <w:p>
      <w:pPr>
        <w:spacing w:after="0" w:line="273"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下的其他综合收益等的，与其相关的其他综合收益等应当转为购买日所属当期收益。</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BodyText"/>
        <w:spacing w:line="261" w:lineRule="auto"/>
        <w:ind w:left="573" w:right="1126"/>
        <w:jc w:val="left"/>
      </w:pPr>
      <w:r>
        <w:rPr>
          <w:rFonts w:ascii="Times New Roman" w:hAnsi="Times New Roman" w:cs="Times New Roman" w:eastAsia="Times New Roman" w:hint="default"/>
        </w:rPr>
        <w:t>6.1</w:t>
      </w:r>
      <w:r>
        <w:rPr/>
        <w:t>合并范围</w:t>
      </w:r>
      <w:r>
        <w:rPr>
          <w:w w:val="100"/>
        </w:rPr>
        <w:t> </w:t>
      </w:r>
      <w:r>
        <w:rPr/>
        <w:t>合并财务报表的合并范围包括本公司及子公司。合并财务报表的合并范围以控制为基础予以确定。</w:t>
      </w:r>
      <w:r>
        <w:rPr>
          <w:w w:val="100"/>
        </w:rPr>
        <w:t> </w:t>
      </w:r>
      <w:r>
        <w:rPr>
          <w:rFonts w:ascii="Times New Roman" w:hAnsi="Times New Roman" w:cs="Times New Roman" w:eastAsia="Times New Roman" w:hint="default"/>
        </w:rPr>
        <w:t>6.2</w:t>
      </w:r>
      <w:r>
        <w:rPr>
          <w:rFonts w:ascii="Times New Roman" w:hAnsi="Times New Roman" w:cs="Times New Roman" w:eastAsia="Times New Roman" w:hint="default"/>
          <w:spacing w:val="31"/>
        </w:rPr>
        <w:t> </w:t>
      </w:r>
      <w:r>
        <w:rPr/>
        <w:t>控制的依据</w:t>
      </w:r>
      <w:r>
        <w:rPr>
          <w:w w:val="100"/>
        </w:rPr>
        <w:t> </w:t>
      </w:r>
      <w:r>
        <w:rPr>
          <w:spacing w:val="-2"/>
        </w:rPr>
        <w:t>投资方拥有对被投资方的权力，通过参与被投资方的相关活动而享有可变回报，并且有能力运用对被</w:t>
      </w:r>
    </w:p>
    <w:p>
      <w:pPr>
        <w:pStyle w:val="BodyText"/>
        <w:spacing w:line="273" w:lineRule="auto" w:before="18"/>
        <w:ind w:right="1126"/>
        <w:jc w:val="both"/>
      </w:pPr>
      <w:r>
        <w:rPr>
          <w:spacing w:val="-2"/>
        </w:rPr>
        <w:t>投资方的权力影响其回报金额，视为投资方控制被投资方。相关活动，系为对被投资方的回报产生重大影</w:t>
      </w:r>
      <w:r>
        <w:rPr>
          <w:spacing w:val="-44"/>
        </w:rPr>
        <w:t> </w:t>
      </w:r>
      <w:r>
        <w:rPr>
          <w:spacing w:val="-44"/>
        </w:rPr>
      </w:r>
      <w:r>
        <w:rPr/>
        <w:t>响的活动。</w:t>
      </w:r>
    </w:p>
    <w:p>
      <w:pPr>
        <w:pStyle w:val="BodyText"/>
        <w:spacing w:line="256" w:lineRule="auto" w:before="7"/>
        <w:ind w:left="573" w:right="0"/>
        <w:jc w:val="left"/>
      </w:pPr>
      <w:r>
        <w:rPr>
          <w:rFonts w:ascii="Times New Roman" w:hAnsi="Times New Roman" w:cs="Times New Roman" w:eastAsia="Times New Roman" w:hint="default"/>
        </w:rPr>
        <w:t>6.3</w:t>
      </w:r>
      <w:r>
        <w:rPr>
          <w:rFonts w:ascii="Times New Roman" w:hAnsi="Times New Roman" w:cs="Times New Roman" w:eastAsia="Times New Roman" w:hint="default"/>
          <w:spacing w:val="31"/>
        </w:rPr>
        <w:t> </w:t>
      </w:r>
      <w:r>
        <w:rPr/>
        <w:t>决策者和代理人</w:t>
      </w:r>
      <w:r>
        <w:rPr>
          <w:w w:val="100"/>
        </w:rPr>
        <w:t> </w:t>
      </w:r>
      <w:r>
        <w:rPr>
          <w:spacing w:val="-2"/>
        </w:rPr>
        <w:t>代理人仅代表主要责任人行使决策权，不控制被投资方。投资方将被投资方相关活动的决策权委托给</w:t>
      </w:r>
    </w:p>
    <w:p>
      <w:pPr>
        <w:pStyle w:val="BodyText"/>
        <w:spacing w:line="273" w:lineRule="auto" w:before="22"/>
        <w:ind w:left="573" w:right="0" w:hanging="421"/>
        <w:jc w:val="left"/>
      </w:pPr>
      <w:r>
        <w:rPr/>
        <w:t>代理人的，将该决策权视为自身直接持有。</w:t>
      </w:r>
      <w:r>
        <w:rPr>
          <w:w w:val="100"/>
        </w:rPr>
        <w:t> </w:t>
      </w:r>
      <w:r>
        <w:rPr>
          <w:spacing w:val="-2"/>
        </w:rPr>
        <w:t>在确定决策者是否为代理人时，公司综合考虑该决策者与被投资方以及其他投资方之间的关系。</w:t>
      </w:r>
      <w:r>
        <w:rPr>
          <w:w w:val="100"/>
        </w:rPr>
        <w:t> </w:t>
      </w:r>
      <w:r>
        <w:rPr>
          <w:rFonts w:ascii="Times New Roman" w:hAnsi="Times New Roman" w:cs="Times New Roman" w:eastAsia="Times New Roman" w:hint="default"/>
        </w:rPr>
        <w:t>1</w:t>
      </w:r>
      <w:r>
        <w:rPr/>
        <w:t>）存在单独一方拥有实质性权利可以无条件罢免决策者的，该决策者为代理人。</w:t>
      </w:r>
    </w:p>
    <w:p>
      <w:pPr>
        <w:pStyle w:val="BodyText"/>
        <w:spacing w:line="256" w:lineRule="auto"/>
        <w:ind w:right="0" w:firstLine="420"/>
        <w:jc w:val="left"/>
      </w:pPr>
      <w:r>
        <w:rPr>
          <w:rFonts w:ascii="Times New Roman" w:hAnsi="Times New Roman" w:cs="Times New Roman" w:eastAsia="Times New Roman" w:hint="default"/>
          <w:spacing w:val="-2"/>
        </w:rPr>
        <w:t>2</w:t>
      </w:r>
      <w:r>
        <w:rPr>
          <w:spacing w:val="-2"/>
        </w:rPr>
        <w:t>）除</w:t>
      </w:r>
      <w:r>
        <w:rPr>
          <w:rFonts w:ascii="Times New Roman" w:hAnsi="Times New Roman" w:cs="Times New Roman" w:eastAsia="Times New Roman" w:hint="default"/>
          <w:spacing w:val="-2"/>
        </w:rPr>
        <w:t>1</w:t>
      </w:r>
      <w:r>
        <w:rPr>
          <w:spacing w:val="-2"/>
        </w:rPr>
        <w:t>）以外的情况下，综合考虑决策者对被投资方的决策权范围、其他方享有的实质性权利、决策</w:t>
      </w:r>
      <w:r>
        <w:rPr>
          <w:w w:val="100"/>
        </w:rPr>
        <w:t> </w:t>
      </w:r>
      <w:r>
        <w:rPr/>
        <w:t>者的薪酬水平、决策者因持有被投资方中的其他权益所承担可变回报的风险等相关因素进行判断。</w:t>
      </w:r>
    </w:p>
    <w:p>
      <w:pPr>
        <w:pStyle w:val="BodyText"/>
        <w:spacing w:line="256" w:lineRule="auto" w:before="22"/>
        <w:ind w:left="573" w:right="5713"/>
        <w:jc w:val="left"/>
      </w:pPr>
      <w:r>
        <w:rPr>
          <w:rFonts w:ascii="Times New Roman" w:hAnsi="Times New Roman" w:cs="Times New Roman" w:eastAsia="Times New Roman" w:hint="default"/>
        </w:rPr>
        <w:t>6.4</w:t>
      </w:r>
      <w:r>
        <w:rPr>
          <w:rFonts w:ascii="Times New Roman" w:hAnsi="Times New Roman" w:cs="Times New Roman" w:eastAsia="Times New Roman" w:hint="default"/>
          <w:spacing w:val="31"/>
        </w:rPr>
        <w:t> </w:t>
      </w:r>
      <w:r>
        <w:rPr/>
        <w:t>投资性主体</w:t>
      </w:r>
      <w:r>
        <w:rPr>
          <w:w w:val="100"/>
        </w:rPr>
        <w:t> </w:t>
      </w:r>
      <w:r>
        <w:rPr>
          <w:spacing w:val="-2"/>
        </w:rPr>
        <w:t>当同时满足下列条件时，视为投资性主体：</w:t>
      </w:r>
    </w:p>
    <w:p>
      <w:pPr>
        <w:pStyle w:val="BodyText"/>
        <w:spacing w:line="240" w:lineRule="auto" w:before="22"/>
        <w:ind w:left="573" w:right="0"/>
        <w:jc w:val="left"/>
      </w:pPr>
      <w:r>
        <w:rPr>
          <w:rFonts w:ascii="Times New Roman" w:hAnsi="Times New Roman" w:cs="Times New Roman" w:eastAsia="Times New Roman" w:hint="default"/>
        </w:rPr>
        <w:t>1</w:t>
      </w:r>
      <w:r>
        <w:rPr/>
        <w:t>）该公司是以向投资者提供投资管理服务为目的，从一个或多个投资者处获取资金；</w:t>
      </w:r>
    </w:p>
    <w:p>
      <w:pPr>
        <w:pStyle w:val="BodyText"/>
        <w:spacing w:line="240" w:lineRule="auto" w:before="21"/>
        <w:ind w:left="573" w:right="0"/>
        <w:jc w:val="left"/>
      </w:pPr>
      <w:r>
        <w:rPr>
          <w:rFonts w:ascii="Times New Roman" w:hAnsi="Times New Roman" w:cs="Times New Roman" w:eastAsia="Times New Roman" w:hint="default"/>
        </w:rPr>
        <w:t>2</w:t>
      </w:r>
      <w:r>
        <w:rPr/>
        <w:t>）该公司的唯一经营目的，是通过资本增值、投资收益或两者兼有而让投资者获得回报；</w:t>
      </w:r>
    </w:p>
    <w:p>
      <w:pPr>
        <w:pStyle w:val="BodyText"/>
        <w:spacing w:line="264" w:lineRule="auto" w:before="21"/>
        <w:ind w:left="573" w:right="3554"/>
        <w:jc w:val="left"/>
      </w:pPr>
      <w:r>
        <w:rPr>
          <w:rFonts w:ascii="Times New Roman" w:hAnsi="Times New Roman" w:cs="Times New Roman" w:eastAsia="Times New Roman" w:hint="default"/>
          <w:spacing w:val="-2"/>
        </w:rPr>
        <w:t>3</w:t>
      </w:r>
      <w:r>
        <w:rPr>
          <w:spacing w:val="-2"/>
        </w:rPr>
        <w:t>）该公司按照公允价值对几乎所有投资的业绩进行考量和评价。</w:t>
      </w:r>
      <w:r>
        <w:rPr>
          <w:spacing w:val="-52"/>
        </w:rPr>
        <w:t> </w:t>
      </w:r>
      <w:r>
        <w:rPr>
          <w:spacing w:val="-52"/>
        </w:rPr>
      </w:r>
      <w:r>
        <w:rPr/>
        <w:t>属于投资性主体的，通常情况下符合下列所有特征：</w:t>
      </w:r>
      <w:r>
        <w:rPr>
          <w:w w:val="100"/>
        </w:rPr>
        <w:t> </w:t>
      </w:r>
      <w:r>
        <w:rPr>
          <w:rFonts w:ascii="Times New Roman" w:hAnsi="Times New Roman" w:cs="Times New Roman" w:eastAsia="Times New Roman" w:hint="default"/>
        </w:rPr>
        <w:t>1</w:t>
      </w:r>
      <w:r>
        <w:rPr/>
        <w:t>）拥有一个以上投资；</w:t>
      </w:r>
    </w:p>
    <w:p>
      <w:pPr>
        <w:pStyle w:val="BodyText"/>
        <w:spacing w:line="289" w:lineRule="exact"/>
        <w:ind w:left="573" w:right="0"/>
        <w:jc w:val="left"/>
      </w:pPr>
      <w:r>
        <w:rPr>
          <w:rFonts w:ascii="Times New Roman" w:hAnsi="Times New Roman" w:cs="Times New Roman" w:eastAsia="Times New Roman" w:hint="default"/>
        </w:rPr>
        <w:t>2</w:t>
      </w:r>
      <w:r>
        <w:rPr/>
        <w:t>）拥有一个以上投资者；</w:t>
      </w:r>
    </w:p>
    <w:p>
      <w:pPr>
        <w:pStyle w:val="BodyText"/>
        <w:spacing w:line="240" w:lineRule="auto" w:before="21"/>
        <w:ind w:left="573" w:right="0"/>
        <w:jc w:val="left"/>
      </w:pPr>
      <w:r>
        <w:rPr>
          <w:rFonts w:ascii="Times New Roman" w:hAnsi="Times New Roman" w:cs="Times New Roman" w:eastAsia="Times New Roman" w:hint="default"/>
        </w:rPr>
        <w:t>3</w:t>
      </w:r>
      <w:r>
        <w:rPr/>
        <w:t>）投资者不是该主体的关联方；</w:t>
      </w:r>
    </w:p>
    <w:p>
      <w:pPr>
        <w:pStyle w:val="BodyText"/>
        <w:spacing w:line="256" w:lineRule="auto" w:before="21"/>
        <w:ind w:left="573" w:right="0"/>
        <w:jc w:val="left"/>
      </w:pPr>
      <w:r>
        <w:rPr>
          <w:rFonts w:ascii="Times New Roman" w:hAnsi="Times New Roman" w:cs="Times New Roman" w:eastAsia="Times New Roman" w:hint="default"/>
        </w:rPr>
        <w:t>4</w:t>
      </w:r>
      <w:r>
        <w:rPr/>
        <w:t>）其所有者权益以股权或类似权益方式存在。</w:t>
      </w:r>
      <w:r>
        <w:rPr>
          <w:w w:val="100"/>
        </w:rPr>
        <w:t> </w:t>
      </w:r>
      <w:r>
        <w:rPr>
          <w:spacing w:val="-2"/>
        </w:rPr>
        <w:t>如果母公司是投资性主体，则母公司仅将为其投资活动提供相关服务的子公司</w:t>
      </w:r>
      <w:r>
        <w:rPr>
          <w:rFonts w:ascii="Times New Roman" w:hAnsi="Times New Roman" w:cs="Times New Roman" w:eastAsia="Times New Roman" w:hint="default"/>
          <w:spacing w:val="-2"/>
        </w:rPr>
        <w:t>(</w:t>
      </w:r>
      <w:r>
        <w:rPr>
          <w:spacing w:val="-2"/>
        </w:rPr>
        <w:t>如有</w:t>
      </w:r>
      <w:r>
        <w:rPr>
          <w:rFonts w:ascii="Times New Roman" w:hAnsi="Times New Roman" w:cs="Times New Roman" w:eastAsia="Times New Roman" w:hint="default"/>
          <w:spacing w:val="-2"/>
        </w:rPr>
        <w:t>)</w:t>
      </w:r>
      <w:r>
        <w:rPr>
          <w:spacing w:val="-2"/>
        </w:rPr>
        <w:t>纳入合并范围并</w:t>
      </w:r>
    </w:p>
    <w:p>
      <w:pPr>
        <w:pStyle w:val="BodyText"/>
        <w:spacing w:line="273" w:lineRule="auto" w:before="5"/>
        <w:ind w:right="1126"/>
        <w:jc w:val="both"/>
      </w:pPr>
      <w:r>
        <w:rPr>
          <w:spacing w:val="-2"/>
        </w:rPr>
        <w:t>编制合并财务报表；其他子公司不予以合并，母公司对其他子公司的投资按照公允价值计量且其变动计入</w:t>
      </w:r>
      <w:r>
        <w:rPr>
          <w:spacing w:val="-42"/>
        </w:rPr>
        <w:t> </w:t>
      </w:r>
      <w:r>
        <w:rPr>
          <w:spacing w:val="-42"/>
        </w:rPr>
      </w:r>
      <w:r>
        <w:rPr/>
        <w:t>当期损益。</w:t>
      </w:r>
    </w:p>
    <w:p>
      <w:pPr>
        <w:pStyle w:val="BodyText"/>
        <w:spacing w:line="273" w:lineRule="auto" w:before="7"/>
        <w:ind w:right="0" w:firstLine="420"/>
        <w:jc w:val="left"/>
      </w:pPr>
      <w:r>
        <w:rPr>
          <w:spacing w:val="-2"/>
        </w:rPr>
        <w:t>投资性主体的母公司本身不是投资性主体，则将其控制的全部主体，包括那些通过投资性主体所间接</w:t>
      </w:r>
      <w:r>
        <w:rPr>
          <w:w w:val="100"/>
        </w:rPr>
        <w:t> </w:t>
      </w:r>
      <w:r>
        <w:rPr/>
        <w:t>控制的主体，纳入合并财务报表范围。</w:t>
      </w:r>
    </w:p>
    <w:p>
      <w:pPr>
        <w:pStyle w:val="BodyText"/>
        <w:spacing w:line="256" w:lineRule="auto" w:before="7"/>
        <w:ind w:left="573" w:right="1126"/>
        <w:jc w:val="left"/>
      </w:pPr>
      <w:r>
        <w:rPr>
          <w:rFonts w:ascii="Times New Roman" w:hAnsi="Times New Roman" w:cs="Times New Roman" w:eastAsia="Times New Roman" w:hint="default"/>
        </w:rPr>
        <w:t>6.5</w:t>
      </w:r>
      <w:r>
        <w:rPr>
          <w:rFonts w:ascii="Times New Roman" w:hAnsi="Times New Roman" w:cs="Times New Roman" w:eastAsia="Times New Roman" w:hint="default"/>
          <w:spacing w:val="31"/>
        </w:rPr>
        <w:t> </w:t>
      </w:r>
      <w:r>
        <w:rPr/>
        <w:t>合并程序</w:t>
      </w:r>
      <w:r>
        <w:rPr>
          <w:w w:val="100"/>
        </w:rPr>
        <w:t> </w:t>
      </w:r>
      <w:r>
        <w:rPr>
          <w:spacing w:val="-2"/>
        </w:rPr>
        <w:t>子公司所采用的会计政策或会计期间与本公司不一致的，按照本公司的会计政策或会计期间对子公司</w:t>
      </w:r>
    </w:p>
    <w:p>
      <w:pPr>
        <w:pStyle w:val="BodyText"/>
        <w:spacing w:line="273" w:lineRule="auto" w:before="22"/>
        <w:ind w:left="573" w:right="0" w:hanging="421"/>
        <w:jc w:val="left"/>
      </w:pPr>
      <w:r>
        <w:rPr/>
        <w:t>财务报表进行必要的调整；或者要求子公司按照本公司的会计政策或会计期间另行编报财务报表。</w:t>
      </w:r>
      <w:r>
        <w:rPr>
          <w:w w:val="100"/>
        </w:rPr>
        <w:t> </w:t>
      </w:r>
      <w:r>
        <w:rPr>
          <w:spacing w:val="-2"/>
        </w:rPr>
        <w:t>合并资产负债表、合并利润表、合并现金流量表及合并所有者（股东）权益变动表分别以本公司和子</w:t>
      </w:r>
    </w:p>
    <w:p>
      <w:pPr>
        <w:pStyle w:val="BodyText"/>
        <w:spacing w:line="273" w:lineRule="auto" w:before="5"/>
        <w:ind w:right="1105"/>
        <w:jc w:val="both"/>
      </w:pPr>
      <w:r>
        <w:rPr>
          <w:spacing w:val="-2"/>
        </w:rPr>
        <w:t>公司的资产负债表、利润表、现金流量表及所有者（股东）权益变动表为基础，在抵销本公司与子公司、</w:t>
      </w:r>
      <w:r>
        <w:rPr>
          <w:spacing w:val="-21"/>
        </w:rPr>
        <w:t> </w:t>
      </w:r>
      <w:r>
        <w:rPr>
          <w:spacing w:val="-21"/>
        </w:rPr>
      </w:r>
      <w:r>
        <w:rPr>
          <w:spacing w:val="-2"/>
        </w:rPr>
        <w:t>子公司相互之间发生的内部交易对合并资产负债表、合并利润表、合并现金流量表及合并所有者（股东）</w:t>
      </w:r>
      <w:r>
        <w:rPr>
          <w:spacing w:val="-21"/>
        </w:rPr>
        <w:t> </w:t>
      </w:r>
      <w:r>
        <w:rPr>
          <w:spacing w:val="-21"/>
        </w:rPr>
      </w:r>
      <w:r>
        <w:rPr/>
        <w:t>权益变动表的影响后，由本公司合并编制。</w:t>
      </w:r>
    </w:p>
    <w:p>
      <w:pPr>
        <w:pStyle w:val="BodyText"/>
        <w:spacing w:line="256" w:lineRule="auto" w:before="7"/>
        <w:ind w:right="1126" w:firstLine="420"/>
        <w:jc w:val="left"/>
      </w:pPr>
      <w:r>
        <w:rPr>
          <w:spacing w:val="-2"/>
        </w:rPr>
        <w:t>本公司向子公司出售资产所发生的未实现内部交易损益，全额抵销</w:t>
      </w:r>
      <w:r>
        <w:rPr>
          <w:rFonts w:ascii="Times New Roman" w:hAnsi="Times New Roman" w:cs="Times New Roman" w:eastAsia="Times New Roman" w:hint="default"/>
          <w:spacing w:val="-2"/>
        </w:rPr>
        <w:t>“</w:t>
      </w:r>
      <w:r>
        <w:rPr>
          <w:spacing w:val="-2"/>
        </w:rPr>
        <w:t>归属于母公司所有者的净利润</w:t>
      </w:r>
      <w:r>
        <w:rPr>
          <w:rFonts w:ascii="Times New Roman" w:hAnsi="Times New Roman" w:cs="Times New Roman" w:eastAsia="Times New Roman" w:hint="default"/>
          <w:spacing w:val="-2"/>
        </w:rPr>
        <w:t>”</w:t>
      </w:r>
      <w:r>
        <w:rPr>
          <w:spacing w:val="-2"/>
        </w:rPr>
        <w:t>。</w:t>
      </w:r>
      <w:r>
        <w:rPr>
          <w:w w:val="100"/>
        </w:rPr>
        <w:t> </w:t>
      </w:r>
      <w:r>
        <w:rPr/>
        <w:t>子公司向本公司出售资产所发生的未实现内部交易损益，按照本公司对该子公司的分配比例在</w:t>
      </w:r>
      <w:r>
        <w:rPr>
          <w:rFonts w:ascii="Times New Roman" w:hAnsi="Times New Roman" w:cs="Times New Roman" w:eastAsia="Times New Roman" w:hint="default"/>
        </w:rPr>
        <w:t>“</w:t>
      </w:r>
      <w:r>
        <w:rPr/>
        <w:t>归属于母</w:t>
      </w:r>
      <w:r>
        <w:rPr>
          <w:w w:val="100"/>
        </w:rPr>
        <w:t> </w:t>
      </w:r>
      <w:r>
        <w:rPr/>
        <w:t>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之间分配抵销。子公司之间出售资产所发生的未实现内部交易损</w:t>
      </w:r>
      <w:r>
        <w:rPr>
          <w:w w:val="100"/>
        </w:rPr>
        <w:t> </w:t>
      </w:r>
      <w:r>
        <w:rPr>
          <w:spacing w:val="-2"/>
        </w:rPr>
        <w:t>益，应当按照本公司对出售方子公司的分配比例在</w:t>
      </w:r>
      <w:r>
        <w:rPr>
          <w:rFonts w:ascii="Times New Roman" w:hAnsi="Times New Roman" w:cs="Times New Roman" w:eastAsia="Times New Roman" w:hint="default"/>
          <w:spacing w:val="-2"/>
        </w:rPr>
        <w:t>“</w:t>
      </w:r>
      <w:r>
        <w:rPr>
          <w:spacing w:val="-2"/>
        </w:rPr>
        <w:t>归属于母公司所有者的净利润</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之间</w:t>
      </w:r>
      <w:r>
        <w:rPr>
          <w:spacing w:val="-22"/>
        </w:rPr>
        <w:t> </w:t>
      </w:r>
      <w:r>
        <w:rPr/>
        <w:t>分配抵销。</w:t>
      </w:r>
    </w:p>
    <w:p>
      <w:pPr>
        <w:spacing w:after="0" w:line="25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61" w:lineRule="auto" w:before="36"/>
        <w:ind w:right="1126" w:firstLine="420"/>
        <w:jc w:val="both"/>
      </w:pPr>
      <w:r>
        <w:rPr>
          <w:spacing w:val="-2"/>
        </w:rPr>
        <w:t>子公司所有者权益中不属于本公司的份额，作为少数股东权益，在合并资产负债表中所有者权益项目</w:t>
      </w:r>
      <w:r>
        <w:rPr>
          <w:w w:val="100"/>
        </w:rPr>
        <w:t> </w:t>
      </w:r>
      <w:r>
        <w:rPr>
          <w:spacing w:val="-2"/>
        </w:rPr>
        <w:t>下以</w:t>
      </w:r>
      <w:r>
        <w:rPr>
          <w:rFonts w:ascii="Times New Roman" w:hAnsi="Times New Roman" w:cs="Times New Roman" w:eastAsia="Times New Roman" w:hint="default"/>
          <w:spacing w:val="-2"/>
        </w:rPr>
        <w:t>“</w:t>
      </w:r>
      <w:r>
        <w:rPr>
          <w:spacing w:val="-2"/>
        </w:rPr>
        <w:t>少数股东权益</w:t>
      </w:r>
      <w:r>
        <w:rPr>
          <w:rFonts w:ascii="Times New Roman" w:hAnsi="Times New Roman" w:cs="Times New Roman" w:eastAsia="Times New Roman" w:hint="default"/>
          <w:spacing w:val="-2"/>
        </w:rPr>
        <w:t>”</w:t>
      </w:r>
      <w:r>
        <w:rPr>
          <w:spacing w:val="-2"/>
        </w:rPr>
        <w:t>项目列示。子公司当期净损益中属于少数股东权益的份额，在合并利润表中净利润项</w:t>
      </w:r>
      <w:r>
        <w:rPr>
          <w:spacing w:val="-17"/>
        </w:rPr>
        <w:t> </w:t>
      </w:r>
      <w:r>
        <w:rPr>
          <w:spacing w:val="-17"/>
        </w:rPr>
      </w:r>
      <w:r>
        <w:rPr>
          <w:spacing w:val="-2"/>
        </w:rPr>
        <w:t>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项目列示。子公司当期综合收益中属于少数股东权益的份额，在合并利润表中综合</w:t>
      </w:r>
      <w:r>
        <w:rPr>
          <w:spacing w:val="-18"/>
        </w:rPr>
        <w:t> </w:t>
      </w:r>
      <w:r>
        <w:rPr>
          <w:spacing w:val="-18"/>
        </w:rPr>
      </w:r>
      <w:r>
        <w:rPr>
          <w:spacing w:val="-2"/>
        </w:rPr>
        <w:t>收益总额项目下以</w:t>
      </w:r>
      <w:r>
        <w:rPr>
          <w:rFonts w:ascii="Times New Roman" w:hAnsi="Times New Roman" w:cs="Times New Roman" w:eastAsia="Times New Roman" w:hint="default"/>
          <w:spacing w:val="-2"/>
        </w:rPr>
        <w:t>“</w:t>
      </w:r>
      <w:r>
        <w:rPr>
          <w:spacing w:val="-2"/>
        </w:rPr>
        <w:t>归属于少数股东的综合收益总额</w:t>
      </w:r>
      <w:r>
        <w:rPr>
          <w:rFonts w:ascii="Times New Roman" w:hAnsi="Times New Roman" w:cs="Times New Roman" w:eastAsia="Times New Roman" w:hint="default"/>
          <w:spacing w:val="-2"/>
        </w:rPr>
        <w:t>”</w:t>
      </w:r>
      <w:r>
        <w:rPr>
          <w:spacing w:val="-2"/>
        </w:rPr>
        <w:t>项目列示。有少数股东的，在合并所有者权益变动表</w:t>
      </w:r>
      <w:r>
        <w:rPr>
          <w:spacing w:val="-23"/>
        </w:rPr>
        <w:t> </w:t>
      </w:r>
      <w:r>
        <w:rPr>
          <w:spacing w:val="-23"/>
        </w:rPr>
      </w:r>
      <w:r>
        <w:rPr>
          <w:spacing w:val="-2"/>
        </w:rPr>
        <w:t>中增加</w:t>
      </w:r>
      <w:r>
        <w:rPr>
          <w:rFonts w:ascii="Times New Roman" w:hAnsi="Times New Roman" w:cs="Times New Roman" w:eastAsia="Times New Roman" w:hint="default"/>
          <w:spacing w:val="-2"/>
        </w:rPr>
        <w:t>“</w:t>
      </w:r>
      <w:r>
        <w:rPr>
          <w:spacing w:val="-2"/>
        </w:rPr>
        <w:t>少数股东权益</w:t>
      </w:r>
      <w:r>
        <w:rPr>
          <w:rFonts w:ascii="Times New Roman" w:hAnsi="Times New Roman" w:cs="Times New Roman" w:eastAsia="Times New Roman" w:hint="default"/>
          <w:spacing w:val="-2"/>
        </w:rPr>
        <w:t>”</w:t>
      </w:r>
      <w:r>
        <w:rPr>
          <w:spacing w:val="-2"/>
        </w:rPr>
        <w:t>栏目，反映少数股东权益变动的情况。子公司少数股东分担的当期亏损超过了少数</w:t>
      </w:r>
      <w:r>
        <w:rPr>
          <w:spacing w:val="-18"/>
        </w:rPr>
        <w:t> </w:t>
      </w:r>
      <w:r>
        <w:rPr>
          <w:spacing w:val="-18"/>
        </w:rPr>
      </w:r>
      <w:r>
        <w:rPr/>
        <w:t>股东在该子公司期初所有者权益中所享有的份额的，其余额仍应当冲减少数股东权益。</w:t>
      </w:r>
    </w:p>
    <w:p>
      <w:pPr>
        <w:pStyle w:val="BodyText"/>
        <w:spacing w:line="273" w:lineRule="auto" w:before="18"/>
        <w:ind w:right="1105" w:firstLine="420"/>
        <w:jc w:val="both"/>
      </w:pPr>
      <w:r>
        <w:rPr>
          <w:spacing w:val="-2"/>
        </w:rPr>
        <w:t>本公司在报告期内因同一控制下企业合并增加的子公司以及业务，编制合并资产负债表时，调整合并</w:t>
      </w:r>
      <w:r>
        <w:rPr>
          <w:w w:val="100"/>
        </w:rPr>
        <w:t> </w:t>
      </w:r>
      <w:r>
        <w:rPr>
          <w:spacing w:val="-2"/>
        </w:rPr>
        <w:t>资产负债表的期初数；编制合并利润表时，将该子公司以及业务合并当期期初至报告期末的收入、费用、</w:t>
      </w:r>
      <w:r>
        <w:rPr>
          <w:spacing w:val="-21"/>
        </w:rPr>
        <w:t> </w:t>
      </w:r>
      <w:r>
        <w:rPr>
          <w:spacing w:val="-21"/>
        </w:rPr>
      </w:r>
      <w:r>
        <w:rPr>
          <w:spacing w:val="-2"/>
        </w:rPr>
        <w:t>利润纳入合并利润表；编制现金流量表时，将该子公司以及业务合并当期期初至报告期末的现金流量纳入</w:t>
      </w:r>
      <w:r>
        <w:rPr>
          <w:spacing w:val="-44"/>
        </w:rPr>
        <w:t> </w:t>
      </w:r>
      <w:r>
        <w:rPr>
          <w:spacing w:val="-44"/>
        </w:rPr>
      </w:r>
      <w:r>
        <w:rPr>
          <w:spacing w:val="-2"/>
        </w:rPr>
        <w:t>合并现金流量表；同时对比较报表的相关项目进行调整，视同合并后的报告主体自最终控制方开始控制时</w:t>
      </w:r>
      <w:r>
        <w:rPr>
          <w:spacing w:val="-43"/>
        </w:rPr>
        <w:t> </w:t>
      </w:r>
      <w:r>
        <w:rPr>
          <w:spacing w:val="-43"/>
        </w:rPr>
      </w:r>
      <w:r>
        <w:rPr/>
        <w:t>点起一直存在。</w:t>
      </w:r>
    </w:p>
    <w:p>
      <w:pPr>
        <w:pStyle w:val="BodyText"/>
        <w:spacing w:line="273" w:lineRule="auto" w:before="7"/>
        <w:ind w:right="1126" w:firstLine="420"/>
        <w:jc w:val="both"/>
      </w:pPr>
      <w:r>
        <w:rPr>
          <w:spacing w:val="-2"/>
        </w:rPr>
        <w:t>因非同一控制下企业合并或其他方式增加的子公司以及业务，编制合并资产负债表时，不调整合并资</w:t>
      </w:r>
      <w:r>
        <w:rPr>
          <w:w w:val="100"/>
        </w:rPr>
        <w:t> </w:t>
      </w:r>
      <w:r>
        <w:rPr>
          <w:spacing w:val="-2"/>
        </w:rPr>
        <w:t>产负债表的期初数；编制合并利润表时，将该子公司以及业务购买日至报告期末的收入、费用、利润纳入</w:t>
      </w:r>
      <w:r>
        <w:rPr>
          <w:spacing w:val="-47"/>
        </w:rPr>
        <w:t> </w:t>
      </w:r>
      <w:r>
        <w:rPr>
          <w:spacing w:val="-47"/>
        </w:rPr>
      </w:r>
      <w:r>
        <w:rPr/>
        <w:t>合并利润表；编制合并现金流量表时，将该子公司购买日至报告期末的现金流量纳入合并现金流量表。</w:t>
      </w:r>
    </w:p>
    <w:p>
      <w:pPr>
        <w:pStyle w:val="BodyText"/>
        <w:spacing w:line="273" w:lineRule="auto" w:before="7"/>
        <w:ind w:right="1104" w:firstLine="420"/>
        <w:jc w:val="both"/>
      </w:pPr>
      <w:r>
        <w:rPr>
          <w:spacing w:val="-2"/>
        </w:rPr>
        <w:t>本公司在报告期内处置子公司以及业务，编制合并资产负债表时，不调整合并资产负债表的期初数；</w:t>
      </w:r>
      <w:r>
        <w:rPr>
          <w:w w:val="100"/>
        </w:rPr>
        <w:t> </w:t>
      </w:r>
      <w:r>
        <w:rPr>
          <w:spacing w:val="-2"/>
        </w:rPr>
        <w:t>编制合并利润表时，将该子公司以及业务期初至处置日的收入、费用、利润纳入合并利润表；编制合并现</w:t>
      </w:r>
      <w:r>
        <w:rPr>
          <w:spacing w:val="-47"/>
        </w:rPr>
        <w:t> </w:t>
      </w:r>
      <w:r>
        <w:rPr>
          <w:spacing w:val="-47"/>
        </w:rPr>
      </w:r>
      <w:r>
        <w:rPr/>
        <w:t>金流量表时，将该子公司以及业务期初至处置日的现金流量纳入合并现金流量表。</w:t>
      </w:r>
    </w:p>
    <w:p>
      <w:pPr>
        <w:pStyle w:val="BodyText"/>
        <w:spacing w:line="240" w:lineRule="auto" w:before="7"/>
        <w:ind w:left="573" w:right="0"/>
        <w:jc w:val="left"/>
      </w:pPr>
      <w:r>
        <w:rPr>
          <w:rFonts w:ascii="Times New Roman" w:hAnsi="Times New Roman" w:cs="Times New Roman" w:eastAsia="Times New Roman" w:hint="default"/>
        </w:rPr>
        <w:t>6.6</w:t>
      </w:r>
      <w:r>
        <w:rPr>
          <w:rFonts w:ascii="Times New Roman" w:hAnsi="Times New Roman" w:cs="Times New Roman" w:eastAsia="Times New Roman" w:hint="default"/>
          <w:spacing w:val="33"/>
        </w:rPr>
        <w:t> </w:t>
      </w:r>
      <w:r>
        <w:rPr/>
        <w:t>特殊交易会计处理</w:t>
      </w:r>
    </w:p>
    <w:p>
      <w:pPr>
        <w:pStyle w:val="BodyText"/>
        <w:spacing w:line="256" w:lineRule="auto" w:before="21"/>
        <w:ind w:left="573" w:right="0"/>
        <w:jc w:val="left"/>
      </w:pPr>
      <w:r>
        <w:rPr>
          <w:rFonts w:ascii="Times New Roman" w:hAnsi="Times New Roman" w:cs="Times New Roman" w:eastAsia="Times New Roman" w:hint="default"/>
        </w:rPr>
        <w:t>1</w:t>
      </w:r>
      <w:r>
        <w:rPr/>
        <w:t>）购买子公司少数股东拥有的子公司股权</w:t>
      </w:r>
      <w:r>
        <w:rPr>
          <w:w w:val="100"/>
        </w:rPr>
        <w:t> </w:t>
      </w:r>
      <w:r>
        <w:rPr>
          <w:spacing w:val="-2"/>
        </w:rPr>
        <w:t>在合并财务报表中，因购买少数股权新取得的长期股权投资与按照新增持股比例计算应享有子公司自</w:t>
      </w:r>
    </w:p>
    <w:p>
      <w:pPr>
        <w:pStyle w:val="BodyText"/>
        <w:spacing w:line="256" w:lineRule="auto" w:before="22"/>
        <w:ind w:right="1174"/>
        <w:jc w:val="both"/>
      </w:pPr>
      <w:r>
        <w:rPr>
          <w:spacing w:val="-2"/>
        </w:rPr>
        <w:t>购买日或合并日开始持续计算的净资产份额之间的差额，调整资本公积</w:t>
      </w:r>
      <w:r>
        <w:rPr>
          <w:rFonts w:ascii="Times New Roman" w:hAnsi="Times New Roman" w:cs="Times New Roman" w:eastAsia="Times New Roman" w:hint="default"/>
          <w:spacing w:val="-2"/>
        </w:rPr>
        <w:t>(</w:t>
      </w:r>
      <w:r>
        <w:rPr>
          <w:spacing w:val="-2"/>
        </w:rPr>
        <w:t>资本溢价或股本溢价</w:t>
      </w:r>
      <w:r>
        <w:rPr>
          <w:rFonts w:ascii="Times New Roman" w:hAnsi="Times New Roman" w:cs="Times New Roman" w:eastAsia="Times New Roman" w:hint="default"/>
          <w:spacing w:val="-2"/>
        </w:rPr>
        <w:t>)</w:t>
      </w:r>
      <w:r>
        <w:rPr>
          <w:spacing w:val="-2"/>
        </w:rPr>
        <w:t>，资本公积</w:t>
      </w:r>
      <w:r>
        <w:rPr>
          <w:spacing w:val="-18"/>
        </w:rPr>
        <w:t> </w:t>
      </w:r>
      <w:r>
        <w:rPr>
          <w:spacing w:val="-18"/>
        </w:rPr>
      </w:r>
      <w:r>
        <w:rPr/>
        <w:t>不足冲减的，调整留存收益。</w:t>
      </w:r>
    </w:p>
    <w:p>
      <w:pPr>
        <w:pStyle w:val="BodyText"/>
        <w:spacing w:line="256" w:lineRule="auto" w:before="22"/>
        <w:ind w:left="573" w:right="0"/>
        <w:jc w:val="left"/>
      </w:pPr>
      <w:r>
        <w:rPr>
          <w:rFonts w:ascii="Times New Roman" w:hAnsi="Times New Roman" w:cs="Times New Roman" w:eastAsia="Times New Roman" w:hint="default"/>
        </w:rPr>
        <w:t>2</w:t>
      </w:r>
      <w:r>
        <w:rPr/>
        <w:t>）不丧失控制权的情况下处置对子公司长期股权投资</w:t>
      </w:r>
      <w:r>
        <w:rPr>
          <w:w w:val="100"/>
        </w:rPr>
        <w:t> </w:t>
      </w:r>
      <w:r>
        <w:rPr>
          <w:spacing w:val="-2"/>
        </w:rPr>
        <w:t>在不丧失控制权的情况下部分处置对子公司的长期股权投资，在合并财务报表中，处置价款与处置长</w:t>
      </w:r>
    </w:p>
    <w:p>
      <w:pPr>
        <w:pStyle w:val="BodyText"/>
        <w:spacing w:line="273" w:lineRule="auto" w:before="22"/>
        <w:ind w:right="1126"/>
        <w:jc w:val="both"/>
      </w:pPr>
      <w:r>
        <w:rPr>
          <w:spacing w:val="-2"/>
        </w:rPr>
        <w:t>期股权投资相对应享有子公司自购买日或合并日开始持续计算的净资产份额之间的差额，应当调整资本公</w:t>
      </w:r>
      <w:r>
        <w:rPr>
          <w:spacing w:val="-43"/>
        </w:rPr>
        <w:t> </w:t>
      </w:r>
      <w:r>
        <w:rPr>
          <w:spacing w:val="-43"/>
        </w:rPr>
      </w:r>
      <w:r>
        <w:rPr/>
        <w:t>积</w:t>
      </w:r>
      <w:r>
        <w:rPr>
          <w:rFonts w:ascii="Times New Roman" w:hAnsi="Times New Roman" w:cs="Times New Roman" w:eastAsia="Times New Roman" w:hint="default"/>
        </w:rPr>
        <w:t>(</w:t>
      </w:r>
      <w:r>
        <w:rPr/>
        <w:t>资本溢价或股本溢价</w:t>
      </w:r>
      <w:r>
        <w:rPr>
          <w:rFonts w:ascii="Times New Roman" w:hAnsi="Times New Roman" w:cs="Times New Roman" w:eastAsia="Times New Roman" w:hint="default"/>
        </w:rPr>
        <w:t>)</w:t>
      </w:r>
      <w:r>
        <w:rPr/>
        <w:t>，资本公积不足冲减的，调整留存收益。</w:t>
      </w:r>
    </w:p>
    <w:p>
      <w:pPr>
        <w:pStyle w:val="BodyText"/>
        <w:spacing w:line="256" w:lineRule="auto"/>
        <w:ind w:left="573" w:right="0"/>
        <w:jc w:val="left"/>
      </w:pPr>
      <w:r>
        <w:rPr>
          <w:rFonts w:ascii="Times New Roman" w:hAnsi="Times New Roman" w:cs="Times New Roman" w:eastAsia="Times New Roman" w:hint="default"/>
        </w:rPr>
        <w:t>3</w:t>
      </w:r>
      <w:r>
        <w:rPr/>
        <w:t>）处置部分股权投资等原因丧失了对被投资方的控制权时，对于剩余股权的处理</w:t>
      </w:r>
      <w:r>
        <w:rPr>
          <w:w w:val="100"/>
        </w:rPr>
        <w:t> </w:t>
      </w:r>
      <w:r>
        <w:rPr>
          <w:spacing w:val="-2"/>
        </w:rPr>
        <w:t>在编制合并财务报表时，对于剩余股权，按照其在丧失控制权日的公允价值进行重新计量。处置股权</w:t>
      </w:r>
    </w:p>
    <w:p>
      <w:pPr>
        <w:pStyle w:val="BodyText"/>
        <w:spacing w:line="273" w:lineRule="auto" w:before="22"/>
        <w:ind w:right="1126"/>
        <w:jc w:val="both"/>
      </w:pPr>
      <w:r>
        <w:rPr>
          <w:spacing w:val="-2"/>
        </w:rPr>
        <w:t>取得的对价与剩余股权公允价值之和，减去按原持股比例计算应享有原有子公司自购买日或合并日开始持</w:t>
      </w:r>
      <w:r>
        <w:rPr>
          <w:spacing w:val="-43"/>
        </w:rPr>
        <w:t> </w:t>
      </w:r>
      <w:r>
        <w:rPr>
          <w:spacing w:val="-43"/>
        </w:rPr>
      </w:r>
      <w:r>
        <w:rPr>
          <w:spacing w:val="-2"/>
        </w:rPr>
        <w:t>续计算的净资产的份额之间的差额，计入丧失控制权当期的投资收益，同时冲减商誉。与原有子公司股权</w:t>
      </w:r>
      <w:r>
        <w:rPr>
          <w:spacing w:val="-43"/>
        </w:rPr>
        <w:t> </w:t>
      </w:r>
      <w:r>
        <w:rPr>
          <w:spacing w:val="-43"/>
        </w:rPr>
      </w:r>
      <w:r>
        <w:rPr/>
        <w:t>投资相关的其他综合收益等，在丧失控制权时转为当期投资收益。</w:t>
      </w:r>
    </w:p>
    <w:p>
      <w:pPr>
        <w:pStyle w:val="BodyText"/>
        <w:spacing w:line="256" w:lineRule="auto" w:before="7"/>
        <w:ind w:right="1210" w:firstLine="420"/>
        <w:jc w:val="both"/>
      </w:pPr>
      <w:r>
        <w:rPr>
          <w:rFonts w:ascii="Times New Roman" w:hAnsi="Times New Roman" w:cs="Times New Roman" w:eastAsia="Times New Roman" w:hint="default"/>
          <w:spacing w:val="-2"/>
        </w:rPr>
        <w:t>4</w:t>
      </w:r>
      <w:r>
        <w:rPr>
          <w:spacing w:val="-2"/>
        </w:rPr>
        <w:t>）企业通过多次交易分步处置对子公司股权投资直至丧失控制权，且该多次交易属于一揽子交易的</w:t>
      </w:r>
      <w:r>
        <w:rPr>
          <w:w w:val="100"/>
        </w:rPr>
        <w:t> </w:t>
      </w:r>
      <w:r>
        <w:rPr/>
        <w:t>处理</w:t>
      </w:r>
    </w:p>
    <w:p>
      <w:pPr>
        <w:pStyle w:val="BodyText"/>
        <w:spacing w:line="273" w:lineRule="auto" w:before="22"/>
        <w:ind w:right="1126" w:firstLine="420"/>
        <w:jc w:val="both"/>
      </w:pPr>
      <w:r>
        <w:rPr>
          <w:spacing w:val="-2"/>
        </w:rPr>
        <w:t>处置对子公司股权投资直至丧失控制权的各项交易属于一揽子交易的，应当将各项交易作为一项处置</w:t>
      </w:r>
      <w:r>
        <w:rPr>
          <w:w w:val="100"/>
        </w:rPr>
        <w:t> </w:t>
      </w:r>
      <w:r>
        <w:rPr>
          <w:spacing w:val="-2"/>
        </w:rPr>
        <w:t>子公司并丧失控制权的交易进行会计处理；但是，在丧失控制权之前每一次处置价款与处置投资对应的享</w:t>
      </w:r>
      <w:r>
        <w:rPr>
          <w:spacing w:val="-43"/>
        </w:rPr>
        <w:t> </w:t>
      </w:r>
      <w:r>
        <w:rPr>
          <w:spacing w:val="-43"/>
        </w:rPr>
      </w:r>
      <w:r>
        <w:rPr>
          <w:spacing w:val="-2"/>
        </w:rPr>
        <w:t>有该子公司净资产份额的差额，在合并财务报表中确认为其他综合收益，在丧失控制权时一并转入丧失控</w:t>
      </w:r>
      <w:r>
        <w:rPr>
          <w:spacing w:val="-43"/>
        </w:rPr>
        <w:t> </w:t>
      </w:r>
      <w:r>
        <w:rPr>
          <w:spacing w:val="-43"/>
        </w:rPr>
      </w:r>
      <w:r>
        <w:rPr/>
        <w:t>制权当期的损益。</w:t>
      </w:r>
    </w:p>
    <w:p>
      <w:pPr>
        <w:pStyle w:val="BodyText"/>
        <w:spacing w:line="273" w:lineRule="auto" w:before="8"/>
        <w:ind w:left="573" w:right="0"/>
        <w:jc w:val="left"/>
      </w:pPr>
      <w:r>
        <w:rPr/>
        <w:t>判断分步处置股权至丧失控制权过程的各项交易是否属于一揽子交易的原则如下：</w:t>
      </w:r>
      <w:r>
        <w:rPr>
          <w:w w:val="100"/>
        </w:rPr>
        <w:t> </w:t>
      </w:r>
      <w:r>
        <w:rPr>
          <w:spacing w:val="-2"/>
        </w:rPr>
        <w:t>处置对子公司股权投资的各项交易的条款、条件以及经济影响符合以下一种或多种情况，通常表明多</w:t>
      </w:r>
    </w:p>
    <w:p>
      <w:pPr>
        <w:pStyle w:val="BodyText"/>
        <w:spacing w:line="240" w:lineRule="auto" w:before="7"/>
        <w:ind w:right="0"/>
        <w:jc w:val="both"/>
      </w:pPr>
      <w:r>
        <w:rPr/>
        <w:t>次交易事项属于一揽子交易：</w:t>
      </w:r>
    </w:p>
    <w:p>
      <w:pPr>
        <w:pStyle w:val="BodyText"/>
        <w:spacing w:line="240" w:lineRule="auto" w:before="37"/>
        <w:ind w:left="573" w:right="0"/>
        <w:jc w:val="left"/>
      </w:pP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21"/>
        <w:ind w:left="573" w:right="0"/>
        <w:jc w:val="left"/>
      </w:pPr>
      <w:r>
        <w:rPr>
          <w:rFonts w:ascii="Times New Roman" w:hAnsi="Times New Roman" w:cs="Times New Roman" w:eastAsia="Times New Roman" w:hint="default"/>
        </w:rPr>
        <w:t>2</w:t>
      </w:r>
      <w:r>
        <w:rPr/>
        <w:t>）这些交易整体才能达成一项完整的商业结果；</w:t>
      </w:r>
    </w:p>
    <w:p>
      <w:pPr>
        <w:pStyle w:val="BodyText"/>
        <w:spacing w:line="240" w:lineRule="auto" w:before="21"/>
        <w:ind w:left="573" w:right="0"/>
        <w:jc w:val="left"/>
      </w:pP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62"/>
        <w:ind w:right="0"/>
        <w:jc w:val="both"/>
      </w:pPr>
      <w:r>
        <w:rPr>
          <w:rFonts w:ascii="Times New Roman" w:hAnsi="Times New Roman" w:cs="Times New Roman" w:eastAsia="Times New Roman" w:hint="default"/>
        </w:rPr>
        <w:t>4</w:t>
      </w:r>
      <w:r>
        <w:rPr/>
        <w:t>）一项交易单独看是不经济的，但是和其他交易一并考虑时是经济的。</w:t>
      </w:r>
    </w:p>
    <w:p>
      <w:pPr>
        <w:spacing w:after="0" w:line="240"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64" w:lineRule="auto"/>
        <w:ind w:left="573" w:right="6794"/>
        <w:jc w:val="left"/>
      </w:pPr>
      <w:r>
        <w:rPr>
          <w:rFonts w:ascii="Times New Roman" w:hAnsi="Times New Roman" w:cs="Times New Roman" w:eastAsia="Times New Roman" w:hint="default"/>
        </w:rPr>
        <w:t>7.1</w:t>
      </w:r>
      <w:r>
        <w:rPr>
          <w:rFonts w:ascii="Times New Roman" w:hAnsi="Times New Roman" w:cs="Times New Roman" w:eastAsia="Times New Roman" w:hint="default"/>
          <w:spacing w:val="31"/>
        </w:rPr>
        <w:t> </w:t>
      </w:r>
      <w:r>
        <w:rPr/>
        <w:t>合营安排的分类</w:t>
      </w:r>
      <w:r>
        <w:rPr>
          <w:w w:val="100"/>
        </w:rPr>
        <w:t> </w:t>
      </w:r>
      <w:r>
        <w:rPr>
          <w:spacing w:val="-2"/>
        </w:rPr>
        <w:t>合营安排分为共同经营和合营企业。</w:t>
      </w:r>
      <w:r>
        <w:rPr>
          <w:spacing w:val="-72"/>
        </w:rPr>
        <w:t> </w:t>
      </w:r>
      <w:r>
        <w:rPr>
          <w:spacing w:val="-72"/>
        </w:rPr>
      </w:r>
      <w:r>
        <w:rPr>
          <w:rFonts w:ascii="Times New Roman" w:hAnsi="Times New Roman" w:cs="Times New Roman" w:eastAsia="Times New Roman" w:hint="default"/>
        </w:rPr>
        <w:t>7.2</w:t>
      </w:r>
      <w:r>
        <w:rPr/>
        <w:t>共同经营参与方的会计处理</w:t>
      </w:r>
    </w:p>
    <w:p>
      <w:pPr>
        <w:pStyle w:val="BodyText"/>
        <w:spacing w:line="273" w:lineRule="auto"/>
        <w:ind w:right="1126" w:firstLine="420"/>
        <w:jc w:val="left"/>
      </w:pPr>
      <w:r>
        <w:rPr>
          <w:spacing w:val="-2"/>
        </w:rPr>
        <w:t>合营方确认其与共同经营中利益份额相关的下列项目，并按照相关企业会计准则的规定进行会计处</w:t>
      </w:r>
      <w:r>
        <w:rPr>
          <w:w w:val="100"/>
        </w:rPr>
        <w:t> </w:t>
      </w:r>
      <w:r>
        <w:rPr/>
        <w:t>理：</w:t>
      </w:r>
    </w:p>
    <w:p>
      <w:pPr>
        <w:pStyle w:val="BodyText"/>
        <w:spacing w:line="240" w:lineRule="auto" w:before="7"/>
        <w:ind w:left="573" w:right="0"/>
        <w:jc w:val="left"/>
      </w:pP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21"/>
        <w:ind w:left="573" w:right="0"/>
        <w:jc w:val="left"/>
      </w:pP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21"/>
        <w:ind w:left="573" w:right="0"/>
        <w:jc w:val="left"/>
      </w:pP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21"/>
        <w:ind w:left="573" w:right="0"/>
        <w:jc w:val="left"/>
      </w:pPr>
      <w:r>
        <w:rPr>
          <w:rFonts w:ascii="Times New Roman" w:hAnsi="Times New Roman" w:cs="Times New Roman" w:eastAsia="Times New Roman" w:hint="default"/>
        </w:rPr>
        <w:t>4</w:t>
      </w:r>
      <w:r>
        <w:rPr/>
        <w:t>）按其份额确认共同经营因出售产出所产生的收入；</w:t>
      </w:r>
    </w:p>
    <w:p>
      <w:pPr>
        <w:pStyle w:val="BodyText"/>
        <w:spacing w:line="256" w:lineRule="auto" w:before="21"/>
        <w:ind w:left="573" w:right="0"/>
        <w:jc w:val="left"/>
      </w:pPr>
      <w:r>
        <w:rPr>
          <w:rFonts w:ascii="Times New Roman" w:hAnsi="Times New Roman" w:cs="Times New Roman" w:eastAsia="Times New Roman" w:hint="default"/>
        </w:rPr>
        <w:t>5</w:t>
      </w:r>
      <w:r>
        <w:rPr/>
        <w:t>）确认单独所发生的费用，以及按其份额确认共同经营发生的费用。</w:t>
      </w:r>
      <w:r>
        <w:rPr>
          <w:w w:val="100"/>
        </w:rPr>
        <w:t> </w:t>
      </w:r>
      <w:r>
        <w:rPr>
          <w:spacing w:val="-2"/>
        </w:rPr>
        <w:t>合营方向共同经营投出或出售资产等</w:t>
      </w:r>
      <w:r>
        <w:rPr>
          <w:rFonts w:ascii="Times New Roman" w:hAnsi="Times New Roman" w:cs="Times New Roman" w:eastAsia="Times New Roman" w:hint="default"/>
          <w:spacing w:val="-2"/>
        </w:rPr>
        <w:t>(</w:t>
      </w:r>
      <w:r>
        <w:rPr>
          <w:spacing w:val="-2"/>
        </w:rPr>
        <w:t>该资产构成业务的除外</w:t>
      </w:r>
      <w:r>
        <w:rPr>
          <w:rFonts w:ascii="Times New Roman" w:hAnsi="Times New Roman" w:cs="Times New Roman" w:eastAsia="Times New Roman" w:hint="default"/>
          <w:spacing w:val="-2"/>
        </w:rPr>
        <w:t>)</w:t>
      </w:r>
      <w:r>
        <w:rPr>
          <w:spacing w:val="-2"/>
        </w:rPr>
        <w:t>，在该资产等由共同经营出售给第三方</w:t>
      </w:r>
    </w:p>
    <w:p>
      <w:pPr>
        <w:pStyle w:val="BodyText"/>
        <w:spacing w:line="273" w:lineRule="auto" w:before="5"/>
        <w:ind w:right="0"/>
        <w:jc w:val="left"/>
      </w:pPr>
      <w:r>
        <w:rPr>
          <w:spacing w:val="-2"/>
        </w:rPr>
        <w:t>之前，仅确认因该交易产生的损益中归属于共同经营其他参与方的部分。投出或出售的资产发生符合《企</w:t>
      </w:r>
      <w:r>
        <w:rPr>
          <w:spacing w:val="-44"/>
        </w:rPr>
        <w:t> </w:t>
      </w:r>
      <w:r>
        <w:rPr>
          <w:spacing w:val="-44"/>
        </w:rPr>
      </w:r>
      <w:r>
        <w:rPr/>
        <w:t>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资产减值》等规定的资产减值损失的，合营方全额确认该损失。</w:t>
      </w:r>
    </w:p>
    <w:p>
      <w:pPr>
        <w:pStyle w:val="BodyText"/>
        <w:spacing w:line="256" w:lineRule="auto"/>
        <w:ind w:right="1126" w:firstLine="420"/>
        <w:jc w:val="both"/>
      </w:pPr>
      <w:r>
        <w:rPr>
          <w:spacing w:val="-2"/>
        </w:rPr>
        <w:t>合营方自共同经营购买资产等</w:t>
      </w:r>
      <w:r>
        <w:rPr>
          <w:rFonts w:ascii="Times New Roman" w:hAnsi="Times New Roman" w:cs="Times New Roman" w:eastAsia="Times New Roman" w:hint="default"/>
          <w:spacing w:val="-2"/>
        </w:rPr>
        <w:t>(</w:t>
      </w:r>
      <w:r>
        <w:rPr>
          <w:spacing w:val="-2"/>
        </w:rPr>
        <w:t>该资产构成业务的除外</w:t>
      </w:r>
      <w:r>
        <w:rPr>
          <w:rFonts w:ascii="Times New Roman" w:hAnsi="Times New Roman" w:cs="Times New Roman" w:eastAsia="Times New Roman" w:hint="default"/>
          <w:spacing w:val="-2"/>
        </w:rPr>
        <w:t>)</w:t>
      </w:r>
      <w:r>
        <w:rPr>
          <w:spacing w:val="-2"/>
        </w:rPr>
        <w:t>，在将该资产等出售给第三方之前，仅确认因</w:t>
      </w:r>
      <w:r>
        <w:rPr>
          <w:w w:val="100"/>
        </w:rPr>
        <w:t> </w:t>
      </w:r>
      <w:r>
        <w:rPr/>
        <w:t>该交易产生的损益中归属于共同经营其他参与方的部分。购入的资产发生符合《企业会计准则第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
          <w:w w:val="100"/>
        </w:rPr>
        <w:t> </w:t>
      </w:r>
      <w:r>
        <w:rPr/>
        <w:t>资产减值》等规定的资产减值损失的，合营方按其承担的份额确认该部分损失。</w:t>
      </w:r>
    </w:p>
    <w:p>
      <w:pPr>
        <w:pStyle w:val="BodyText"/>
        <w:spacing w:line="271" w:lineRule="auto" w:before="63"/>
        <w:ind w:right="0"/>
        <w:jc w:val="left"/>
      </w:pPr>
      <w:r>
        <w:rPr>
          <w:spacing w:val="-2"/>
        </w:rPr>
        <w:t>对共同经营不享有共同控制的参与方，如果享有该共同经营相关资产且承担该共同经营相关负债的，按照</w:t>
      </w:r>
      <w:r>
        <w:rPr>
          <w:spacing w:val="-43"/>
        </w:rPr>
        <w:t> </w:t>
      </w:r>
      <w:r>
        <w:rPr>
          <w:spacing w:val="-43"/>
        </w:rPr>
      </w:r>
      <w:r>
        <w:rPr/>
        <w:t>上述方法进行会计处理；否则，按照相关企业会计准则的规定进行会计处理。</w:t>
      </w:r>
    </w:p>
    <w:p>
      <w:pPr>
        <w:spacing w:line="240" w:lineRule="auto" w:before="9"/>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jc w:val="left"/>
      </w:pPr>
      <w:r>
        <w:rPr>
          <w:spacing w:val="-2"/>
        </w:rPr>
        <w:t>列示于现金流量表中的现金是指库存现金及可随时用于支付的存款，现金等价物是指持有的期限短（一般</w:t>
      </w:r>
      <w:r>
        <w:rPr>
          <w:spacing w:val="-44"/>
        </w:rPr>
        <w:t> </w:t>
      </w:r>
      <w:r>
        <w:rPr>
          <w:spacing w:val="-44"/>
        </w:rPr>
      </w:r>
      <w:r>
        <w:rPr/>
        <w:t>指从购买日起三个月内到期）、流动性强、易于转换为已知金额现金及价值变动风险很小的投资。</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3" w:right="3554"/>
        <w:jc w:val="left"/>
      </w:pPr>
      <w:r>
        <w:rPr>
          <w:rFonts w:ascii="Times New Roman" w:hAnsi="Times New Roman" w:cs="Times New Roman" w:eastAsia="Times New Roman" w:hint="default"/>
        </w:rPr>
        <w:t>9.1</w:t>
      </w:r>
      <w:r>
        <w:rPr>
          <w:rFonts w:ascii="Times New Roman" w:hAnsi="Times New Roman" w:cs="Times New Roman" w:eastAsia="Times New Roman" w:hint="default"/>
          <w:spacing w:val="31"/>
        </w:rPr>
        <w:t> </w:t>
      </w:r>
      <w:r>
        <w:rPr/>
        <w:t>外币业务</w:t>
      </w:r>
      <w:r>
        <w:rPr>
          <w:w w:val="100"/>
        </w:rPr>
        <w:t> </w:t>
      </w:r>
      <w:r>
        <w:rPr>
          <w:spacing w:val="-2"/>
        </w:rPr>
        <w:t>外币业务按业务发生日的即期汇率将外币金额折算为人民币入账。</w:t>
      </w:r>
    </w:p>
    <w:p>
      <w:pPr>
        <w:pStyle w:val="BodyText"/>
        <w:spacing w:line="273" w:lineRule="auto" w:before="22"/>
        <w:ind w:right="1126" w:firstLine="420"/>
        <w:jc w:val="both"/>
      </w:pPr>
      <w:r>
        <w:rPr>
          <w:spacing w:val="-2"/>
        </w:rPr>
        <w:t>于资产负债表日，外币货币性项目采用资产负债表日的即期汇率折算为人民币，所产生的折算差额除</w:t>
      </w:r>
      <w:r>
        <w:rPr>
          <w:w w:val="100"/>
        </w:rPr>
        <w:t> </w:t>
      </w:r>
      <w:r>
        <w:rPr>
          <w:spacing w:val="-2"/>
        </w:rPr>
        <w:t>了为购建或生产符合资本化条件的资产而借入的外币借款产生的汇兑差额按资本化的原则处理外，直接计</w:t>
      </w:r>
      <w:r>
        <w:rPr>
          <w:spacing w:val="-42"/>
        </w:rPr>
        <w:t> </w:t>
      </w:r>
      <w:r>
        <w:rPr>
          <w:spacing w:val="-42"/>
        </w:rPr>
      </w:r>
      <w:r>
        <w:rPr/>
        <w:t>入当期损益。以历史成本计量的外币非货币性项目，于资产负债表日采用交易发生日的即期汇率折算。</w:t>
      </w:r>
    </w:p>
    <w:p>
      <w:pPr>
        <w:pStyle w:val="BodyText"/>
        <w:spacing w:line="276" w:lineRule="auto" w:before="7"/>
        <w:ind w:right="0" w:firstLine="420"/>
        <w:jc w:val="left"/>
      </w:pPr>
      <w:r>
        <w:rPr>
          <w:rFonts w:ascii="Times New Roman" w:hAnsi="Times New Roman" w:cs="Times New Roman" w:eastAsia="Times New Roman" w:hint="default"/>
        </w:rPr>
        <w:t>9.2</w:t>
      </w:r>
      <w:r>
        <w:rPr>
          <w:rFonts w:ascii="Times New Roman" w:hAnsi="Times New Roman" w:cs="Times New Roman" w:eastAsia="Times New Roman" w:hint="default"/>
          <w:spacing w:val="31"/>
        </w:rPr>
        <w:t> </w:t>
      </w:r>
      <w:r>
        <w:rPr/>
        <w:t>外币财务报表的折算</w:t>
      </w:r>
      <w:r>
        <w:rPr>
          <w:w w:val="100"/>
        </w:rPr>
        <w:t> </w:t>
      </w:r>
      <w:r>
        <w:rPr>
          <w:spacing w:val="2"/>
        </w:rPr>
        <w:t>以非记账本位币编制的资产负债表中的资产和负债项目，采用资产负债表日的即期汇率折算成记账本位</w:t>
      </w:r>
      <w:r>
        <w:rPr>
          <w:spacing w:val="-30"/>
        </w:rPr>
        <w:t> </w:t>
      </w:r>
      <w:r>
        <w:rPr>
          <w:spacing w:val="-30"/>
        </w:rPr>
      </w:r>
      <w:r>
        <w:rPr>
          <w:spacing w:val="-2"/>
        </w:rPr>
        <w:t>币，所有者权益中除未分配利润项目外，其他项目采用发生时的即期汇率折算。以非记账本位币编制的利</w:t>
      </w:r>
      <w:r>
        <w:rPr>
          <w:spacing w:val="-43"/>
        </w:rPr>
        <w:t> </w:t>
      </w:r>
      <w:r>
        <w:rPr>
          <w:spacing w:val="-43"/>
        </w:rPr>
      </w:r>
      <w:r>
        <w:rPr>
          <w:spacing w:val="-2"/>
        </w:rPr>
        <w:t>润表中的收入与费用项目，采用交易发生日的即期汇率折算成记账本位币。上述折算产生的外币报表折算</w:t>
      </w:r>
      <w:r>
        <w:rPr>
          <w:spacing w:val="-43"/>
        </w:rPr>
        <w:t> </w:t>
      </w:r>
      <w:r>
        <w:rPr>
          <w:spacing w:val="-43"/>
        </w:rPr>
      </w:r>
      <w:r>
        <w:rPr>
          <w:spacing w:val="-2"/>
        </w:rPr>
        <w:t>差额，在其他综合收益中核算。以非记账本位币编制的现金流量表中各项目的现金流量采用现金流量发生</w:t>
      </w:r>
      <w:r>
        <w:rPr>
          <w:spacing w:val="-42"/>
        </w:rPr>
        <w:t> </w:t>
      </w:r>
      <w:r>
        <w:rPr>
          <w:spacing w:val="-42"/>
        </w:rPr>
      </w:r>
      <w:r>
        <w:rPr/>
        <w:t>日的即期汇率折算成记账本位币。汇率变动对现金的影响额，在现金流量表中单独列示。</w:t>
      </w:r>
    </w:p>
    <w:p>
      <w:pPr>
        <w:spacing w:line="240" w:lineRule="auto" w:before="5"/>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90" w:lineRule="auto"/>
        <w:ind w:left="573" w:right="2114"/>
        <w:jc w:val="left"/>
      </w:pPr>
      <w:r>
        <w:rPr>
          <w:rFonts w:ascii="Times New Roman" w:hAnsi="Times New Roman" w:cs="Times New Roman" w:eastAsia="Times New Roman" w:hint="default"/>
        </w:rPr>
        <w:t>10.1</w:t>
      </w:r>
      <w:r>
        <w:rPr/>
        <w:t>金融工具的确认和终止确认</w:t>
      </w:r>
      <w:r>
        <w:rPr>
          <w:w w:val="100"/>
        </w:rPr>
        <w:t> </w:t>
      </w:r>
      <w:r>
        <w:rPr>
          <w:spacing w:val="-2"/>
        </w:rPr>
        <w:t>本公司成为金融工具合同的一方时，确认一项金融资产或金融负债。</w:t>
      </w:r>
    </w:p>
    <w:p>
      <w:pPr>
        <w:spacing w:after="0" w:line="29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0" w:firstLine="420"/>
        <w:jc w:val="left"/>
      </w:pPr>
      <w:r>
        <w:rPr>
          <w:spacing w:val="-2"/>
        </w:rPr>
        <w:t>对于以常规方式购买或出售金融资产的，本公司在交易日确认将收到的资产和为此将承担的负债，或</w:t>
      </w:r>
      <w:r>
        <w:rPr>
          <w:w w:val="100"/>
        </w:rPr>
        <w:t> </w:t>
      </w:r>
      <w:r>
        <w:rPr/>
        <w:t>者在交易日终止确认已出售的资产，同时确认处置利得或损失以及应向买方收取的应收款项。</w:t>
      </w:r>
    </w:p>
    <w:p>
      <w:pPr>
        <w:pStyle w:val="BodyText"/>
        <w:spacing w:line="240" w:lineRule="auto" w:before="48"/>
        <w:ind w:left="573" w:right="0"/>
        <w:jc w:val="left"/>
      </w:pPr>
      <w:r>
        <w:rPr/>
        <w:t>金融资产满足下列条件之一的，终止确认：</w:t>
      </w:r>
    </w:p>
    <w:p>
      <w:pPr>
        <w:pStyle w:val="BodyText"/>
        <w:spacing w:line="240" w:lineRule="auto" w:before="75"/>
        <w:ind w:left="573" w:right="0"/>
        <w:jc w:val="left"/>
      </w:pPr>
      <w:r>
        <w:rPr>
          <w:rFonts w:ascii="Times New Roman" w:hAnsi="Times New Roman" w:cs="Times New Roman" w:eastAsia="Times New Roman" w:hint="default"/>
        </w:rPr>
        <w:t>1</w:t>
      </w:r>
      <w:r>
        <w:rPr/>
        <w:t>）收取该金融资产现金流量的合同权利终止；</w:t>
      </w:r>
    </w:p>
    <w:p>
      <w:pPr>
        <w:pStyle w:val="BodyText"/>
        <w:spacing w:line="240" w:lineRule="auto" w:before="62"/>
        <w:ind w:left="573" w:right="0"/>
        <w:jc w:val="left"/>
      </w:pPr>
      <w:r>
        <w:rPr>
          <w:rFonts w:ascii="Times New Roman" w:hAnsi="Times New Roman" w:cs="Times New Roman" w:eastAsia="Times New Roman" w:hint="default"/>
        </w:rPr>
        <w:t>2</w:t>
      </w:r>
      <w:r>
        <w:rPr/>
        <w:t>）该金融资产已转移，且本公司转移了该金融资产所有权上几乎所有的风险和报酬；</w:t>
      </w:r>
    </w:p>
    <w:p>
      <w:pPr>
        <w:pStyle w:val="BodyText"/>
        <w:spacing w:line="256" w:lineRule="auto" w:before="62"/>
        <w:ind w:right="0" w:firstLine="420"/>
        <w:jc w:val="left"/>
      </w:pPr>
      <w:r>
        <w:rPr>
          <w:rFonts w:ascii="Times New Roman" w:hAnsi="Times New Roman" w:cs="Times New Roman" w:eastAsia="Times New Roman" w:hint="default"/>
        </w:rPr>
        <w:t>3</w:t>
      </w:r>
      <w:r>
        <w:rPr/>
        <w:t>）该金融资产已转移，且本公司既没有转移也没有保留金融资产所有权上几乎所有的风险和报酬，</w:t>
      </w:r>
      <w:r>
        <w:rPr>
          <w:w w:val="100"/>
        </w:rPr>
        <w:t> </w:t>
      </w:r>
      <w:r>
        <w:rPr/>
        <w:t>但是，本公司未保留对该金融资产的控制。</w:t>
      </w:r>
    </w:p>
    <w:p>
      <w:pPr>
        <w:pStyle w:val="BodyText"/>
        <w:spacing w:line="302" w:lineRule="auto" w:before="61"/>
        <w:ind w:left="573" w:right="0"/>
        <w:jc w:val="left"/>
      </w:pPr>
      <w:r>
        <w:rPr>
          <w:spacing w:val="-5"/>
        </w:rPr>
        <w:t>金融负债（或其一部分）的现时义务已经解除的，本公司终止确认该金融负债（或该部分金融负债）。</w:t>
      </w:r>
      <w:r>
        <w:rPr>
          <w:spacing w:val="-16"/>
        </w:rPr>
        <w:t> </w:t>
      </w:r>
      <w:r>
        <w:rPr>
          <w:spacing w:val="-16"/>
        </w:rPr>
      </w:r>
      <w:r>
        <w:rPr>
          <w:rFonts w:ascii="Times New Roman" w:hAnsi="Times New Roman" w:cs="Times New Roman" w:eastAsia="Times New Roman" w:hint="default"/>
        </w:rPr>
        <w:t>10.2</w:t>
      </w:r>
      <w:r>
        <w:rPr/>
        <w:t>金融资产的分类</w:t>
      </w:r>
      <w:r>
        <w:rPr>
          <w:w w:val="100"/>
        </w:rPr>
        <w:t> </w:t>
      </w:r>
      <w:r>
        <w:rPr/>
        <w:t>根据管理金融资产的业务模式和金融资产的合同现金流量特征，将金融资产划分为以下三类：</w:t>
      </w:r>
      <w:r>
        <w:rPr>
          <w:w w:val="100"/>
        </w:rPr>
        <w:t> </w:t>
      </w:r>
      <w:r>
        <w:rPr>
          <w:rFonts w:ascii="Times New Roman" w:hAnsi="Times New Roman" w:cs="Times New Roman" w:eastAsia="Times New Roman" w:hint="default"/>
        </w:rPr>
        <w:t>1</w:t>
      </w:r>
      <w:r>
        <w:rPr/>
        <w:t>）以摊余成本计量的金融资产；</w:t>
      </w:r>
    </w:p>
    <w:p>
      <w:pPr>
        <w:pStyle w:val="BodyText"/>
        <w:spacing w:line="240" w:lineRule="auto" w:before="1"/>
        <w:ind w:left="573" w:right="0"/>
        <w:jc w:val="left"/>
      </w:pPr>
      <w:r>
        <w:rPr>
          <w:rFonts w:ascii="Times New Roman" w:hAnsi="Times New Roman" w:cs="Times New Roman" w:eastAsia="Times New Roman" w:hint="default"/>
        </w:rPr>
        <w:t>2</w:t>
      </w:r>
      <w:r>
        <w:rPr/>
        <w:t>）以公允价值计量且其变动计入其他综合收益的金融资产；</w:t>
      </w:r>
    </w:p>
    <w:p>
      <w:pPr>
        <w:pStyle w:val="BodyText"/>
        <w:spacing w:line="240" w:lineRule="auto" w:before="62"/>
        <w:ind w:left="573" w:right="0"/>
        <w:jc w:val="left"/>
      </w:pPr>
      <w:r>
        <w:rPr>
          <w:rFonts w:ascii="Times New Roman" w:hAnsi="Times New Roman" w:cs="Times New Roman" w:eastAsia="Times New Roman" w:hint="default"/>
        </w:rPr>
        <w:t>3</w:t>
      </w:r>
      <w:r>
        <w:rPr/>
        <w:t>）以公允价值计量且其变动计入当期损益的金融资产。</w:t>
      </w:r>
    </w:p>
    <w:p>
      <w:pPr>
        <w:pStyle w:val="BodyText"/>
        <w:spacing w:line="290" w:lineRule="auto" w:before="59"/>
        <w:ind w:left="573" w:right="1126"/>
        <w:jc w:val="left"/>
      </w:pPr>
      <w:r>
        <w:rPr>
          <w:rFonts w:ascii="Times New Roman" w:hAnsi="Times New Roman" w:cs="Times New Roman" w:eastAsia="Times New Roman" w:hint="default"/>
        </w:rPr>
        <w:t>1</w:t>
      </w:r>
      <w:r>
        <w:rPr/>
        <w:t>）以摊余成本计量的金融资产</w:t>
      </w:r>
      <w:r>
        <w:rPr>
          <w:w w:val="100"/>
        </w:rPr>
        <w:t> </w:t>
      </w:r>
      <w:r>
        <w:rPr>
          <w:spacing w:val="-2"/>
        </w:rPr>
        <w:t>金融资产同时符合下列条件的，本公司将其分类为以摊余成本计量的金融资产：</w:t>
      </w:r>
    </w:p>
    <w:p>
      <w:pPr>
        <w:pStyle w:val="BodyText"/>
        <w:spacing w:line="240" w:lineRule="auto" w:before="34"/>
        <w:ind w:left="573" w:right="0"/>
        <w:jc w:val="left"/>
      </w:pPr>
      <w:r>
        <w:rPr/>
        <w:t>①本公司管理该金融资产的业务模式是以收取合同现金流量为目标。</w:t>
      </w:r>
    </w:p>
    <w:p>
      <w:pPr>
        <w:pStyle w:val="BodyText"/>
        <w:spacing w:line="273" w:lineRule="auto" w:before="75"/>
        <w:ind w:right="0" w:firstLine="420"/>
        <w:jc w:val="left"/>
      </w:pPr>
      <w:r>
        <w:rPr>
          <w:spacing w:val="-2"/>
        </w:rPr>
        <w:t>②该金融资产的合同条款规定，在特定日期产生的现金流量，仅为对本金和以未偿付本金金额为基础</w:t>
      </w:r>
      <w:r>
        <w:rPr>
          <w:w w:val="100"/>
        </w:rPr>
        <w:t> </w:t>
      </w:r>
      <w:r>
        <w:rPr/>
        <w:t>的利息的支付。</w:t>
      </w:r>
    </w:p>
    <w:p>
      <w:pPr>
        <w:pStyle w:val="BodyText"/>
        <w:spacing w:line="290" w:lineRule="auto" w:before="48"/>
        <w:ind w:left="573" w:right="0"/>
        <w:jc w:val="left"/>
      </w:pPr>
      <w:r>
        <w:rPr>
          <w:rFonts w:ascii="Times New Roman" w:hAnsi="Times New Roman" w:cs="Times New Roman" w:eastAsia="Times New Roman" w:hint="default"/>
        </w:rPr>
        <w:t>2</w:t>
      </w:r>
      <w:r>
        <w:rPr/>
        <w:t>）以公允价值计量且其变动计入其他综合收益的金融资产（债务工具投资）</w:t>
      </w:r>
      <w:r>
        <w:rPr>
          <w:w w:val="100"/>
        </w:rPr>
        <w:t> </w:t>
      </w:r>
      <w:r>
        <w:rPr>
          <w:spacing w:val="-2"/>
        </w:rPr>
        <w:t>金融资产同时符合下列条件的，本公司将其分类为以公允价值计量且其变动计入其他综合收益的金融</w:t>
      </w:r>
    </w:p>
    <w:p>
      <w:pPr>
        <w:pStyle w:val="BodyText"/>
        <w:spacing w:line="268" w:lineRule="exact"/>
        <w:ind w:right="0"/>
        <w:jc w:val="left"/>
      </w:pPr>
      <w:r>
        <w:rPr/>
        <w:t>资产：</w:t>
      </w:r>
    </w:p>
    <w:p>
      <w:pPr>
        <w:pStyle w:val="BodyText"/>
        <w:spacing w:line="240" w:lineRule="auto" w:before="75"/>
        <w:ind w:left="573" w:right="0"/>
        <w:jc w:val="left"/>
      </w:pPr>
      <w:r>
        <w:rPr/>
        <w:t>①本公司管理该金融资产的业务模式既以收取合同现金流量为目标又以出售该金融资产为目标。</w:t>
      </w:r>
    </w:p>
    <w:p>
      <w:pPr>
        <w:pStyle w:val="BodyText"/>
        <w:spacing w:line="273" w:lineRule="auto" w:before="78"/>
        <w:ind w:right="0" w:firstLine="420"/>
        <w:jc w:val="left"/>
      </w:pPr>
      <w:r>
        <w:rPr>
          <w:spacing w:val="-2"/>
        </w:rPr>
        <w:t>②该金融资产的合同条款规定，在特定日期产生的现金流量，仅为对本金和以未偿付本金金额为基础</w:t>
      </w:r>
      <w:r>
        <w:rPr>
          <w:w w:val="100"/>
        </w:rPr>
        <w:t> </w:t>
      </w:r>
      <w:r>
        <w:rPr/>
        <w:t>的利息的支付。</w:t>
      </w:r>
    </w:p>
    <w:p>
      <w:pPr>
        <w:pStyle w:val="BodyText"/>
        <w:spacing w:line="290" w:lineRule="auto" w:before="48"/>
        <w:ind w:left="573" w:right="0"/>
        <w:jc w:val="left"/>
      </w:pPr>
      <w:r>
        <w:rPr>
          <w:rFonts w:ascii="Times New Roman" w:hAnsi="Times New Roman" w:cs="Times New Roman" w:eastAsia="Times New Roman" w:hint="default"/>
        </w:rPr>
        <w:t>3</w:t>
      </w:r>
      <w:r>
        <w:rPr/>
        <w:t>）以公允价值计量且其变动计入当期损益的金融资产</w:t>
      </w:r>
      <w:r>
        <w:rPr>
          <w:w w:val="100"/>
        </w:rPr>
        <w:t> </w:t>
      </w:r>
      <w:r>
        <w:rPr>
          <w:spacing w:val="-2"/>
        </w:rPr>
        <w:t>按照本条第</w:t>
      </w:r>
      <w:r>
        <w:rPr>
          <w:rFonts w:ascii="Times New Roman" w:hAnsi="Times New Roman" w:cs="Times New Roman" w:eastAsia="Times New Roman" w:hint="default"/>
          <w:spacing w:val="-2"/>
        </w:rPr>
        <w:t>1</w:t>
      </w:r>
      <w:r>
        <w:rPr>
          <w:spacing w:val="-2"/>
        </w:rPr>
        <w:t>）项分类为以摊余成本计量的金融资产和按照本条第</w:t>
      </w:r>
      <w:r>
        <w:rPr>
          <w:rFonts w:ascii="Times New Roman" w:hAnsi="Times New Roman" w:cs="Times New Roman" w:eastAsia="Times New Roman" w:hint="default"/>
          <w:spacing w:val="-2"/>
        </w:rPr>
        <w:t>2</w:t>
      </w:r>
      <w:r>
        <w:rPr>
          <w:spacing w:val="-2"/>
        </w:rPr>
        <w:t>）项分类为以公允价值计量且其变</w:t>
      </w:r>
    </w:p>
    <w:p>
      <w:pPr>
        <w:pStyle w:val="BodyText"/>
        <w:spacing w:line="247" w:lineRule="exact"/>
        <w:ind w:right="0"/>
        <w:jc w:val="left"/>
      </w:pPr>
      <w:r>
        <w:rPr/>
        <w:t>动计入其他综合收益的金融资产（债务工具投资）之外的金融资产，本公司将其分类为以公允价值计量且</w:t>
      </w:r>
    </w:p>
    <w:p>
      <w:pPr>
        <w:pStyle w:val="BodyText"/>
        <w:spacing w:line="307" w:lineRule="auto" w:before="37"/>
        <w:ind w:left="573" w:right="0" w:hanging="421"/>
        <w:jc w:val="left"/>
      </w:pPr>
      <w:r>
        <w:rPr/>
        <w:t>其变动计入当期损益的金融资产。</w:t>
      </w:r>
      <w:r>
        <w:rPr>
          <w:w w:val="100"/>
        </w:rPr>
        <w:t> </w:t>
      </w:r>
      <w:r>
        <w:rPr>
          <w:spacing w:val="-2"/>
        </w:rPr>
        <w:t>在初始确认时，本公司可以将非交易性权益工具投资指定为以公允价值计量且其变动计入其他综合收</w:t>
      </w:r>
    </w:p>
    <w:p>
      <w:pPr>
        <w:pStyle w:val="BodyText"/>
        <w:spacing w:line="253" w:lineRule="exact"/>
        <w:ind w:right="0"/>
        <w:jc w:val="left"/>
      </w:pPr>
      <w:r>
        <w:rPr/>
        <w:t>益的金融资产（非交易性权益工具投资），并按照规定确认股利收入。该指定一经做出，不得撤销。本公</w:t>
      </w:r>
    </w:p>
    <w:p>
      <w:pPr>
        <w:pStyle w:val="BodyText"/>
        <w:spacing w:line="273" w:lineRule="auto" w:before="37"/>
        <w:ind w:right="0"/>
        <w:jc w:val="left"/>
      </w:pPr>
      <w:r>
        <w:rPr>
          <w:spacing w:val="-2"/>
        </w:rPr>
        <w:t>司在非同一控制下的企业合并中确认的或有对价构成金融资产的，该金融资产分类为以公允价值计量且其</w:t>
      </w:r>
      <w:r>
        <w:rPr>
          <w:spacing w:val="-43"/>
        </w:rPr>
        <w:t> </w:t>
      </w:r>
      <w:r>
        <w:rPr>
          <w:spacing w:val="-43"/>
        </w:rPr>
      </w:r>
      <w:r>
        <w:rPr/>
        <w:t>变动计入当期损益的金融资产。</w:t>
      </w:r>
    </w:p>
    <w:p>
      <w:pPr>
        <w:pStyle w:val="BodyText"/>
        <w:spacing w:line="290" w:lineRule="auto" w:before="48"/>
        <w:ind w:left="573" w:right="2114"/>
        <w:jc w:val="left"/>
      </w:pPr>
      <w:r>
        <w:rPr>
          <w:rFonts w:ascii="Times New Roman" w:hAnsi="Times New Roman" w:cs="Times New Roman" w:eastAsia="Times New Roman" w:hint="default"/>
        </w:rPr>
        <w:t>10.3</w:t>
      </w:r>
      <w:r>
        <w:rPr/>
        <w:t>金融负债的分类</w:t>
      </w:r>
      <w:r>
        <w:rPr>
          <w:w w:val="100"/>
        </w:rPr>
        <w:t> </w:t>
      </w:r>
      <w:r>
        <w:rPr>
          <w:spacing w:val="-2"/>
        </w:rPr>
        <w:t>除下列各项外，本公司将金融负债分类为以摊余成本计量的金融负债：</w:t>
      </w:r>
    </w:p>
    <w:p>
      <w:pPr>
        <w:pStyle w:val="BodyText"/>
        <w:spacing w:line="256" w:lineRule="auto" w:before="34"/>
        <w:ind w:right="0" w:firstLine="420"/>
        <w:jc w:val="left"/>
      </w:pPr>
      <w:r>
        <w:rPr>
          <w:rFonts w:ascii="Times New Roman" w:hAnsi="Times New Roman" w:cs="Times New Roman" w:eastAsia="Times New Roman" w:hint="default"/>
        </w:rPr>
        <w:t>1</w:t>
      </w:r>
      <w:r>
        <w:rPr/>
        <w:t>）以公允价值计量且其变动计入当期损益的金融负债，包括交易性金融负债（含属于金融负债的衍</w:t>
      </w:r>
      <w:r>
        <w:rPr>
          <w:w w:val="100"/>
        </w:rPr>
        <w:t> </w:t>
      </w:r>
      <w:r>
        <w:rPr/>
        <w:t>生工具）和指定为以公允价值计量且其变动计入当期损益的金融负债。</w:t>
      </w:r>
    </w:p>
    <w:p>
      <w:pPr>
        <w:pStyle w:val="BodyText"/>
        <w:spacing w:line="240" w:lineRule="auto" w:before="63"/>
        <w:ind w:left="573" w:right="0"/>
        <w:jc w:val="left"/>
      </w:pPr>
      <w:r>
        <w:rPr>
          <w:rFonts w:ascii="Times New Roman" w:hAnsi="Times New Roman" w:cs="Times New Roman" w:eastAsia="Times New Roman" w:hint="default"/>
        </w:rPr>
        <w:t>2</w:t>
      </w:r>
      <w:r>
        <w:rPr/>
        <w:t>）金融资产转移不符合终止确认条件或继续涉入被转移金融资产所形成的金融负债。</w:t>
      </w:r>
    </w:p>
    <w:p>
      <w:pPr>
        <w:pStyle w:val="BodyText"/>
        <w:spacing w:line="256" w:lineRule="auto" w:before="59"/>
        <w:ind w:right="0" w:firstLine="420"/>
        <w:jc w:val="left"/>
      </w:pPr>
      <w:r>
        <w:rPr>
          <w:rFonts w:ascii="Times New Roman" w:hAnsi="Times New Roman" w:cs="Times New Roman" w:eastAsia="Times New Roman" w:hint="default"/>
          <w:spacing w:val="-2"/>
        </w:rPr>
        <w:t>3</w:t>
      </w:r>
      <w:r>
        <w:rPr>
          <w:spacing w:val="-2"/>
        </w:rPr>
        <w:t>）不属于本条第</w:t>
      </w:r>
      <w:r>
        <w:rPr>
          <w:rFonts w:ascii="Times New Roman" w:hAnsi="Times New Roman" w:cs="Times New Roman" w:eastAsia="Times New Roman" w:hint="default"/>
          <w:spacing w:val="-2"/>
        </w:rPr>
        <w:t>1</w:t>
      </w:r>
      <w:r>
        <w:rPr>
          <w:spacing w:val="-2"/>
        </w:rPr>
        <w:t>）项或第</w:t>
      </w:r>
      <w:r>
        <w:rPr>
          <w:rFonts w:ascii="Times New Roman" w:hAnsi="Times New Roman" w:cs="Times New Roman" w:eastAsia="Times New Roman" w:hint="default"/>
          <w:spacing w:val="-2"/>
        </w:rPr>
        <w:t>2</w:t>
      </w:r>
      <w:r>
        <w:rPr>
          <w:spacing w:val="-2"/>
        </w:rPr>
        <w:t>）项情形的财务担保合同，以及不属于本条第</w:t>
      </w:r>
      <w:r>
        <w:rPr>
          <w:rFonts w:ascii="Times New Roman" w:hAnsi="Times New Roman" w:cs="Times New Roman" w:eastAsia="Times New Roman" w:hint="default"/>
          <w:spacing w:val="-2"/>
        </w:rPr>
        <w:t>1</w:t>
      </w:r>
      <w:r>
        <w:rPr>
          <w:spacing w:val="-2"/>
        </w:rPr>
        <w:t>）项情形的以低于市场利</w:t>
      </w:r>
      <w:r>
        <w:rPr>
          <w:w w:val="100"/>
        </w:rPr>
        <w:t> </w:t>
      </w:r>
      <w:r>
        <w:rPr/>
        <w:t>率贷款的贷款承诺。</w:t>
      </w:r>
    </w:p>
    <w:p>
      <w:pPr>
        <w:pStyle w:val="BodyText"/>
        <w:spacing w:line="273" w:lineRule="auto" w:before="63"/>
        <w:ind w:right="0" w:firstLine="420"/>
        <w:jc w:val="left"/>
      </w:pPr>
      <w:r>
        <w:rPr>
          <w:spacing w:val="-2"/>
        </w:rPr>
        <w:t>在非同一控制下的企业合并中，本公司作为购买方确认的或有对价形成金融负债的，该金融负债按照</w:t>
      </w:r>
      <w:r>
        <w:rPr>
          <w:w w:val="100"/>
        </w:rPr>
        <w:t> </w:t>
      </w:r>
      <w:r>
        <w:rPr/>
        <w:t>以公允价值计量且其变动计入当期损益进行会计处理。</w:t>
      </w:r>
    </w:p>
    <w:p>
      <w:pPr>
        <w:spacing w:after="0" w:line="273"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0" w:firstLine="420"/>
        <w:jc w:val="left"/>
      </w:pPr>
      <w:r>
        <w:rPr>
          <w:spacing w:val="-2"/>
        </w:rPr>
        <w:t>在初始确认时，为了提供更相关的会计信息，本公司可以将金融负债指定为以公允价值计量且其变动</w:t>
      </w:r>
      <w:r>
        <w:rPr>
          <w:w w:val="100"/>
        </w:rPr>
        <w:t> </w:t>
      </w:r>
      <w:r>
        <w:rPr/>
        <w:t>计入当期损益的金融负债，该指定满足下列条件之一：</w:t>
      </w:r>
    </w:p>
    <w:p>
      <w:pPr>
        <w:pStyle w:val="BodyText"/>
        <w:spacing w:line="240" w:lineRule="auto" w:before="48"/>
        <w:ind w:left="573" w:right="0"/>
        <w:jc w:val="left"/>
      </w:pPr>
      <w:r>
        <w:rPr>
          <w:rFonts w:ascii="Times New Roman" w:hAnsi="Times New Roman" w:cs="Times New Roman" w:eastAsia="Times New Roman" w:hint="default"/>
        </w:rPr>
        <w:t>1</w:t>
      </w:r>
      <w:r>
        <w:rPr/>
        <w:t>）能够消除或显著减少会计错配；</w:t>
      </w:r>
    </w:p>
    <w:p>
      <w:pPr>
        <w:pStyle w:val="BodyText"/>
        <w:spacing w:line="256" w:lineRule="auto" w:before="59"/>
        <w:ind w:right="0" w:firstLine="420"/>
        <w:jc w:val="left"/>
      </w:pPr>
      <w:r>
        <w:rPr>
          <w:rFonts w:ascii="Times New Roman" w:hAnsi="Times New Roman" w:cs="Times New Roman" w:eastAsia="Times New Roman" w:hint="default"/>
        </w:rPr>
        <w:t>2</w:t>
      </w:r>
      <w:r>
        <w:rPr/>
        <w:t>）根据正式书面文件载明的企业风险管理或投资策略，以公允价值为基础对金融负债组合或金融资</w:t>
      </w:r>
      <w:r>
        <w:rPr>
          <w:w w:val="100"/>
        </w:rPr>
        <w:t> </w:t>
      </w:r>
      <w:r>
        <w:rPr/>
        <w:t>产和金融负债组合进行管理和业绩评价，并在本公司内部以此为基础向关键管理人员报告。</w:t>
      </w:r>
    </w:p>
    <w:p>
      <w:pPr>
        <w:pStyle w:val="BodyText"/>
        <w:spacing w:line="240" w:lineRule="auto" w:before="63"/>
        <w:ind w:left="573" w:right="0"/>
        <w:jc w:val="left"/>
      </w:pPr>
      <w:r>
        <w:rPr/>
        <w:t>该指定一经做出，不得撤销。</w:t>
      </w:r>
    </w:p>
    <w:p>
      <w:pPr>
        <w:pStyle w:val="BodyText"/>
        <w:spacing w:line="290" w:lineRule="auto" w:before="78"/>
        <w:ind w:left="573" w:right="2654"/>
        <w:jc w:val="left"/>
      </w:pPr>
      <w:r>
        <w:rPr>
          <w:rFonts w:ascii="Times New Roman" w:hAnsi="Times New Roman" w:cs="Times New Roman" w:eastAsia="Times New Roman" w:hint="default"/>
        </w:rPr>
        <w:t>10.4</w:t>
      </w:r>
      <w:r>
        <w:rPr/>
        <w:t>嵌入衍生工具</w:t>
      </w:r>
      <w:r>
        <w:rPr>
          <w:w w:val="100"/>
        </w:rPr>
        <w:t> </w:t>
      </w:r>
      <w:r>
        <w:rPr>
          <w:spacing w:val="-2"/>
        </w:rPr>
        <w:t>嵌入衍生工具，是指嵌入到非衍生工具（即主合同）中的衍生工具。</w:t>
      </w:r>
    </w:p>
    <w:p>
      <w:pPr>
        <w:pStyle w:val="BodyText"/>
        <w:spacing w:line="273" w:lineRule="auto" w:before="34"/>
        <w:ind w:right="0" w:firstLine="420"/>
        <w:jc w:val="left"/>
      </w:pPr>
      <w:r>
        <w:rPr>
          <w:spacing w:val="-2"/>
        </w:rPr>
        <w:t>混合合同包含的主合同属于金融工具确认和计量准则规范的资产的，本公司将该混合合同作为一个整</w:t>
      </w:r>
      <w:r>
        <w:rPr>
          <w:w w:val="100"/>
        </w:rPr>
        <w:t> </w:t>
      </w:r>
      <w:r>
        <w:rPr/>
        <w:t>体适用该准则关于金融资产分类的相关规定。</w:t>
      </w:r>
    </w:p>
    <w:p>
      <w:pPr>
        <w:pStyle w:val="BodyText"/>
        <w:spacing w:line="273" w:lineRule="auto" w:before="48"/>
        <w:ind w:right="0" w:firstLine="420"/>
        <w:jc w:val="left"/>
      </w:pPr>
      <w:r>
        <w:rPr>
          <w:spacing w:val="-2"/>
        </w:rPr>
        <w:t>混合合同包含的主合同不属于金融工具确认和计量准则规范的资产，且同时符合下列条件的，本公司</w:t>
      </w:r>
      <w:r>
        <w:rPr>
          <w:w w:val="100"/>
        </w:rPr>
        <w:t> </w:t>
      </w:r>
      <w:r>
        <w:rPr/>
        <w:t>从混合合同中分拆嵌入衍生工具，将其作为单独存在的衍生工具处理：</w:t>
      </w:r>
    </w:p>
    <w:p>
      <w:pPr>
        <w:pStyle w:val="BodyText"/>
        <w:spacing w:line="240" w:lineRule="auto" w:before="46"/>
        <w:ind w:left="573" w:right="0"/>
        <w:jc w:val="left"/>
      </w:pPr>
      <w:r>
        <w:rPr>
          <w:rFonts w:ascii="Times New Roman" w:hAnsi="Times New Roman" w:cs="Times New Roman" w:eastAsia="Times New Roman" w:hint="default"/>
        </w:rPr>
        <w:t>1</w:t>
      </w:r>
      <w:r>
        <w:rPr/>
        <w:t>）嵌入衍生工具的经济特征和风险与主合同的经济特征和风险不紧密相关。</w:t>
      </w:r>
    </w:p>
    <w:p>
      <w:pPr>
        <w:pStyle w:val="BodyText"/>
        <w:spacing w:line="240" w:lineRule="auto" w:before="62"/>
        <w:ind w:left="573" w:right="0"/>
        <w:jc w:val="left"/>
      </w:pPr>
      <w:r>
        <w:rPr>
          <w:rFonts w:ascii="Times New Roman" w:hAnsi="Times New Roman" w:cs="Times New Roman" w:eastAsia="Times New Roman" w:hint="default"/>
        </w:rPr>
        <w:t>2</w:t>
      </w:r>
      <w:r>
        <w:rPr/>
        <w:t>）与嵌入衍生工具具有相同条款的单独工具符合衍生工具的定义。</w:t>
      </w:r>
    </w:p>
    <w:p>
      <w:pPr>
        <w:pStyle w:val="BodyText"/>
        <w:spacing w:line="240" w:lineRule="auto" w:before="62"/>
        <w:ind w:left="573" w:right="0"/>
        <w:jc w:val="left"/>
      </w:pPr>
      <w:r>
        <w:rPr>
          <w:rFonts w:ascii="宋体" w:hAnsi="宋体" w:cs="宋体" w:eastAsia="宋体" w:hint="default"/>
        </w:rPr>
        <w:t>3.</w:t>
      </w:r>
      <w:r>
        <w:rPr>
          <w:rFonts w:ascii="宋体" w:hAnsi="宋体" w:cs="宋体" w:eastAsia="宋体" w:hint="default"/>
          <w:spacing w:val="42"/>
        </w:rPr>
        <w:t> </w:t>
      </w:r>
      <w:r>
        <w:rPr/>
        <w:t>该混合合同不是以公允价值计量且其变动计入当期损益进行会计处理。</w:t>
      </w:r>
    </w:p>
    <w:p>
      <w:pPr>
        <w:pStyle w:val="BodyText"/>
        <w:spacing w:line="290" w:lineRule="auto" w:before="75"/>
        <w:ind w:left="573" w:right="0"/>
        <w:jc w:val="left"/>
      </w:pPr>
      <w:r>
        <w:rPr>
          <w:rFonts w:ascii="Times New Roman" w:hAnsi="Times New Roman" w:cs="Times New Roman" w:eastAsia="Times New Roman" w:hint="default"/>
        </w:rPr>
        <w:t>10.5</w:t>
      </w:r>
      <w:r>
        <w:rPr/>
        <w:t>金融工具的重分类</w:t>
      </w:r>
      <w:r>
        <w:rPr>
          <w:w w:val="100"/>
        </w:rPr>
        <w:t> </w:t>
      </w:r>
      <w:r>
        <w:rPr>
          <w:spacing w:val="-2"/>
        </w:rPr>
        <w:t>本公司改变管理金融资产的业务模式时，对所有受影响的相关金融资产进行重分类。本公司对所有金</w:t>
      </w:r>
    </w:p>
    <w:p>
      <w:pPr>
        <w:pStyle w:val="BodyText"/>
        <w:spacing w:line="307" w:lineRule="auto"/>
        <w:ind w:left="573" w:right="0" w:hanging="421"/>
        <w:jc w:val="left"/>
      </w:pPr>
      <w:r>
        <w:rPr/>
        <w:t>融负债均不得进行重分类。</w:t>
      </w:r>
      <w:r>
        <w:rPr>
          <w:w w:val="100"/>
        </w:rPr>
        <w:t> </w:t>
      </w:r>
      <w:r>
        <w:rPr>
          <w:spacing w:val="-2"/>
        </w:rPr>
        <w:t>本公司对金融资产进行重分类，自重分类日起采用未来适用法进行相关会计处理。重分类日，是指导</w:t>
      </w:r>
    </w:p>
    <w:p>
      <w:pPr>
        <w:pStyle w:val="BodyText"/>
        <w:spacing w:line="253" w:lineRule="exact"/>
        <w:ind w:right="0"/>
        <w:jc w:val="left"/>
      </w:pPr>
      <w:r>
        <w:rPr/>
        <w:t>致本公司对金融资产进行重分类的业务模式发生变更后的首个报告期间的第一天。</w:t>
      </w:r>
    </w:p>
    <w:p>
      <w:pPr>
        <w:pStyle w:val="BodyText"/>
        <w:spacing w:line="240" w:lineRule="auto" w:before="75"/>
        <w:ind w:left="573" w:right="0"/>
        <w:jc w:val="left"/>
      </w:pPr>
      <w:r>
        <w:rPr>
          <w:rFonts w:ascii="Times New Roman" w:hAnsi="Times New Roman" w:cs="Times New Roman" w:eastAsia="Times New Roman" w:hint="default"/>
        </w:rPr>
        <w:t>10.6</w:t>
      </w:r>
      <w:r>
        <w:rPr/>
        <w:t>金融工具的计量</w:t>
      </w:r>
    </w:p>
    <w:p>
      <w:pPr>
        <w:pStyle w:val="BodyText"/>
        <w:spacing w:line="290" w:lineRule="auto" w:before="62"/>
        <w:ind w:left="573" w:right="1126"/>
        <w:jc w:val="left"/>
      </w:pPr>
      <w:r>
        <w:rPr>
          <w:rFonts w:ascii="Times New Roman" w:hAnsi="Times New Roman" w:cs="Times New Roman" w:eastAsia="Times New Roman" w:hint="default"/>
        </w:rPr>
        <w:t>1</w:t>
      </w:r>
      <w:r>
        <w:rPr/>
        <w:t>）初始计量</w:t>
      </w:r>
      <w:r>
        <w:rPr>
          <w:w w:val="100"/>
        </w:rPr>
        <w:t> </w:t>
      </w:r>
      <w:r>
        <w:rPr>
          <w:spacing w:val="-2"/>
        </w:rPr>
        <w:t>本公司初始确认金融资产或金融负债，按照公允价值计量。对于以公允价值计量且其变动计入当期损</w:t>
      </w:r>
    </w:p>
    <w:p>
      <w:pPr>
        <w:pStyle w:val="BodyText"/>
        <w:spacing w:line="273" w:lineRule="auto"/>
        <w:ind w:right="0"/>
        <w:jc w:val="left"/>
      </w:pPr>
      <w:r>
        <w:rPr>
          <w:spacing w:val="-2"/>
        </w:rPr>
        <w:t>益的金融资产和金融负债，相关交易费用直接计入当期损益；对于其他类别的金融资产或金融负债，相关</w:t>
      </w:r>
      <w:r>
        <w:rPr>
          <w:spacing w:val="-44"/>
        </w:rPr>
        <w:t> </w:t>
      </w:r>
      <w:r>
        <w:rPr>
          <w:spacing w:val="-44"/>
        </w:rPr>
      </w:r>
      <w:r>
        <w:rPr/>
        <w:t>交易费用应当计入初始确认金额。</w:t>
      </w:r>
    </w:p>
    <w:p>
      <w:pPr>
        <w:pStyle w:val="BodyText"/>
        <w:spacing w:line="290" w:lineRule="auto" w:before="46"/>
        <w:ind w:left="573" w:right="1126"/>
        <w:jc w:val="left"/>
      </w:pPr>
      <w:r>
        <w:rPr>
          <w:rFonts w:ascii="Times New Roman" w:hAnsi="Times New Roman" w:cs="Times New Roman" w:eastAsia="Times New Roman" w:hint="default"/>
        </w:rPr>
        <w:t>2</w:t>
      </w:r>
      <w:r>
        <w:rPr/>
        <w:t>）后续计量</w:t>
      </w:r>
      <w:r>
        <w:rPr>
          <w:w w:val="100"/>
        </w:rPr>
        <w:t> </w:t>
      </w:r>
      <w:r>
        <w:rPr>
          <w:spacing w:val="-2"/>
        </w:rPr>
        <w:t>初始确认后，本公司对不同类别的金融资产，分别以摊余成本、以公允价值计量且其变动计入其他综</w:t>
      </w:r>
    </w:p>
    <w:p>
      <w:pPr>
        <w:pStyle w:val="BodyText"/>
        <w:spacing w:line="307" w:lineRule="auto"/>
        <w:ind w:left="573" w:right="0" w:hanging="421"/>
        <w:jc w:val="left"/>
      </w:pPr>
      <w:r>
        <w:rPr/>
        <w:t>合收益或以公允价值计量且其变动计入当期损益进行后续计量。</w:t>
      </w:r>
      <w:r>
        <w:rPr>
          <w:w w:val="100"/>
        </w:rPr>
        <w:t> </w:t>
      </w:r>
      <w:r>
        <w:rPr>
          <w:spacing w:val="-2"/>
        </w:rPr>
        <w:t>初始确认后，本公司对不同类别的金融负债，分别以摊余成本、以公允价值计量且其变动计入当期损</w:t>
      </w:r>
    </w:p>
    <w:p>
      <w:pPr>
        <w:pStyle w:val="BodyText"/>
        <w:spacing w:line="253" w:lineRule="exact"/>
        <w:ind w:right="0"/>
        <w:jc w:val="left"/>
      </w:pPr>
      <w:r>
        <w:rPr/>
        <w:t>益或以其他适当方法进行后续计量。</w:t>
      </w:r>
    </w:p>
    <w:p>
      <w:pPr>
        <w:pStyle w:val="BodyText"/>
        <w:spacing w:line="273" w:lineRule="auto" w:before="75"/>
        <w:ind w:right="1126" w:firstLine="420"/>
        <w:jc w:val="left"/>
      </w:pPr>
      <w:r>
        <w:rPr>
          <w:spacing w:val="2"/>
        </w:rPr>
        <w:t>金融资产或金融负债的摊余成本，以该金融资产或金融负债的初始确认金额经下列调整后的结果确</w:t>
      </w:r>
      <w:r>
        <w:rPr>
          <w:w w:val="100"/>
        </w:rPr>
        <w:t> </w:t>
      </w:r>
      <w:r>
        <w:rPr/>
        <w:t>定：</w:t>
      </w:r>
    </w:p>
    <w:p>
      <w:pPr>
        <w:pStyle w:val="BodyText"/>
        <w:spacing w:line="240" w:lineRule="auto" w:before="48"/>
        <w:ind w:left="573" w:right="0"/>
        <w:jc w:val="left"/>
      </w:pPr>
      <w:r>
        <w:rPr/>
        <w:t>①扣除已偿还的本金。</w:t>
      </w:r>
    </w:p>
    <w:p>
      <w:pPr>
        <w:pStyle w:val="BodyText"/>
        <w:spacing w:line="273" w:lineRule="auto" w:before="78"/>
        <w:ind w:right="1126" w:firstLine="420"/>
        <w:jc w:val="left"/>
      </w:pPr>
      <w:r>
        <w:rPr>
          <w:spacing w:val="2"/>
        </w:rPr>
        <w:t>②加上或减去采用实际利率法将该初始确认金额与到期日金额之间的差额进行摊销形成的累计摊销</w:t>
      </w:r>
      <w:r>
        <w:rPr>
          <w:w w:val="100"/>
        </w:rPr>
        <w:t> </w:t>
      </w:r>
      <w:r>
        <w:rPr/>
        <w:t>额。</w:t>
      </w:r>
    </w:p>
    <w:p>
      <w:pPr>
        <w:pStyle w:val="BodyText"/>
        <w:spacing w:line="307" w:lineRule="auto" w:before="46"/>
        <w:ind w:left="573" w:right="0"/>
        <w:jc w:val="left"/>
      </w:pPr>
      <w:r>
        <w:rPr/>
        <w:t>③扣除累计计提的损失准备（仅适用于金融资产）。</w:t>
      </w:r>
      <w:r>
        <w:rPr>
          <w:w w:val="100"/>
        </w:rPr>
        <w:t> </w:t>
      </w:r>
      <w:r>
        <w:rPr>
          <w:spacing w:val="-2"/>
        </w:rPr>
        <w:t>本公司按照实际利率法确认利息收入。利息收入根据金融资产账面余额乘以实际利率计算确定，但下</w:t>
      </w:r>
    </w:p>
    <w:p>
      <w:pPr>
        <w:pStyle w:val="BodyText"/>
        <w:spacing w:line="253" w:lineRule="exact"/>
        <w:ind w:right="0"/>
        <w:jc w:val="left"/>
      </w:pPr>
      <w:r>
        <w:rPr/>
        <w:t>列情况除外：</w:t>
      </w:r>
    </w:p>
    <w:p>
      <w:pPr>
        <w:pStyle w:val="BodyText"/>
        <w:spacing w:line="273" w:lineRule="auto" w:before="78"/>
        <w:ind w:right="0" w:firstLine="420"/>
        <w:jc w:val="left"/>
      </w:pPr>
      <w:r>
        <w:rPr>
          <w:spacing w:val="-2"/>
        </w:rPr>
        <w:t>①对于购入或源生的已发生信用减值的金融资产，本公司自初始确认起，按照该金融资产的摊余成本</w:t>
      </w:r>
      <w:r>
        <w:rPr>
          <w:w w:val="100"/>
        </w:rPr>
        <w:t> </w:t>
      </w:r>
      <w:r>
        <w:rPr/>
        <w:t>和经信用调整的实际利率计算确定其利息收入。</w:t>
      </w:r>
    </w:p>
    <w:p>
      <w:pPr>
        <w:pStyle w:val="BodyText"/>
        <w:spacing w:line="240" w:lineRule="auto" w:before="46"/>
        <w:ind w:left="573" w:right="0"/>
        <w:jc w:val="left"/>
      </w:pPr>
      <w:r>
        <w:rPr/>
        <w:t>②对于购入或源生的未发生信用减值、但在后续期间成为已发生信用减值的金融资产，本公司在后续</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期间，按照该金融资产的摊余成本和实际利率计算确定其利息收入。本公司按照上述政策对金融资产的摊</w:t>
      </w:r>
      <w:r>
        <w:rPr>
          <w:spacing w:val="-42"/>
        </w:rPr>
        <w:t> </w:t>
      </w:r>
      <w:r>
        <w:rPr>
          <w:spacing w:val="-42"/>
        </w:rPr>
      </w:r>
      <w:r>
        <w:rPr>
          <w:spacing w:val="-2"/>
        </w:rPr>
        <w:t>余成本运用实际利率法计算利息收入的，若该金融工具在后续期间因其信用风险有所改善而不再存在信用</w:t>
      </w:r>
      <w:r>
        <w:rPr>
          <w:spacing w:val="-43"/>
        </w:rPr>
        <w:t> </w:t>
      </w:r>
      <w:r>
        <w:rPr>
          <w:spacing w:val="-43"/>
        </w:rPr>
      </w:r>
      <w:r>
        <w:rPr>
          <w:spacing w:val="2"/>
        </w:rPr>
        <w:t>减值，并且这一改善在客观上可与应用上述政策之后发生的某一事件相联系（如债务人的信用评级被上</w:t>
      </w:r>
      <w:r>
        <w:rPr>
          <w:spacing w:val="-30"/>
        </w:rPr>
        <w:t> </w:t>
      </w:r>
      <w:r>
        <w:rPr>
          <w:spacing w:val="-30"/>
        </w:rPr>
      </w:r>
      <w:r>
        <w:rPr/>
        <w:t>调），本公司转按实际利率乘以该金融资产账面余额来计算确定利息收入。</w:t>
      </w:r>
    </w:p>
    <w:p>
      <w:pPr>
        <w:pStyle w:val="BodyText"/>
        <w:spacing w:line="240" w:lineRule="auto" w:before="48"/>
        <w:ind w:left="573" w:right="0"/>
        <w:jc w:val="left"/>
      </w:pPr>
      <w:r>
        <w:rPr>
          <w:rFonts w:ascii="Times New Roman" w:hAnsi="Times New Roman" w:cs="Times New Roman" w:eastAsia="Times New Roman" w:hint="default"/>
        </w:rPr>
        <w:t>10.7</w:t>
      </w:r>
      <w:r>
        <w:rPr/>
        <w:t>金融工具的减值</w:t>
      </w:r>
    </w:p>
    <w:p>
      <w:pPr>
        <w:pStyle w:val="BodyText"/>
        <w:spacing w:line="290" w:lineRule="auto" w:before="59"/>
        <w:ind w:left="573" w:right="2114"/>
        <w:jc w:val="left"/>
      </w:pPr>
      <w:r>
        <w:rPr>
          <w:rFonts w:ascii="Times New Roman" w:hAnsi="Times New Roman" w:cs="Times New Roman" w:eastAsia="Times New Roman" w:hint="default"/>
        </w:rPr>
        <w:t>1</w:t>
      </w:r>
      <w:r>
        <w:rPr/>
        <w:t>）减值项目</w:t>
      </w:r>
      <w:r>
        <w:rPr>
          <w:w w:val="100"/>
        </w:rPr>
        <w:t> </w:t>
      </w:r>
      <w:r>
        <w:rPr>
          <w:spacing w:val="-2"/>
        </w:rPr>
        <w:t>本公司以预期信用损失为基础，对下列项目进行减值会计处理并确认损失准备：</w:t>
      </w:r>
    </w:p>
    <w:p>
      <w:pPr>
        <w:pStyle w:val="BodyText"/>
        <w:spacing w:line="273" w:lineRule="auto" w:before="34"/>
        <w:ind w:right="1140" w:firstLine="420"/>
        <w:jc w:val="both"/>
      </w:pPr>
      <w:r>
        <w:rPr>
          <w:spacing w:val="2"/>
        </w:rPr>
        <w:t>①分类为以摊余成本计量的金融资产和分类为以公允价值计量且其变动计入其他综合收益的金融资</w:t>
      </w:r>
      <w:r>
        <w:rPr>
          <w:w w:val="100"/>
        </w:rPr>
        <w:t> </w:t>
      </w:r>
      <w:r>
        <w:rPr/>
        <w:t>产（债务工具投资）。</w:t>
      </w:r>
    </w:p>
    <w:p>
      <w:pPr>
        <w:pStyle w:val="BodyText"/>
        <w:spacing w:line="240" w:lineRule="auto" w:before="46"/>
        <w:ind w:left="573" w:right="0"/>
        <w:jc w:val="left"/>
      </w:pPr>
      <w:r>
        <w:rPr/>
        <w:t>②租赁应收款。</w:t>
      </w:r>
    </w:p>
    <w:p>
      <w:pPr>
        <w:pStyle w:val="BodyText"/>
        <w:spacing w:line="307" w:lineRule="auto" w:before="78"/>
        <w:ind w:left="573" w:right="0"/>
        <w:jc w:val="left"/>
      </w:pPr>
      <w:r>
        <w:rPr>
          <w:rFonts w:ascii="宋体" w:hAnsi="宋体" w:cs="宋体" w:eastAsia="宋体" w:hint="default"/>
        </w:rPr>
        <w:t>1.</w:t>
      </w:r>
      <w:r>
        <w:rPr>
          <w:rFonts w:ascii="宋体" w:hAnsi="宋体" w:cs="宋体" w:eastAsia="宋体" w:hint="default"/>
          <w:spacing w:val="43"/>
        </w:rPr>
        <w:t> </w:t>
      </w:r>
      <w:r>
        <w:rPr/>
        <w:t>贷款承诺和财务担保合同。</w:t>
      </w:r>
      <w:r>
        <w:rPr>
          <w:w w:val="100"/>
        </w:rPr>
        <w:t> </w:t>
      </w:r>
      <w:r>
        <w:rPr>
          <w:spacing w:val="-2"/>
        </w:rPr>
        <w:t>本公司持有的其他以公允价值计量的金融资产不适用预期信用损失模型，包括以公允价值计量且其变</w:t>
      </w:r>
    </w:p>
    <w:p>
      <w:pPr>
        <w:pStyle w:val="BodyText"/>
        <w:spacing w:line="254" w:lineRule="exact"/>
        <w:ind w:right="0"/>
        <w:jc w:val="both"/>
      </w:pPr>
      <w:r>
        <w:rPr/>
        <w:t>动计入当期损益的金融资产，指定为以公允价值计量且其变动计入其他综合收益的金融资产（非交易性权</w:t>
      </w:r>
    </w:p>
    <w:p>
      <w:pPr>
        <w:pStyle w:val="BodyText"/>
        <w:spacing w:line="240" w:lineRule="auto" w:before="37"/>
        <w:ind w:left="573" w:right="0" w:hanging="421"/>
        <w:jc w:val="left"/>
      </w:pPr>
      <w:r>
        <w:rPr/>
        <w:t>益工具投资），以及衍生金融资产。</w:t>
      </w:r>
    </w:p>
    <w:p>
      <w:pPr>
        <w:spacing w:line="240" w:lineRule="auto" w:before="0"/>
        <w:rPr>
          <w:rFonts w:ascii="宋体" w:hAnsi="宋体" w:cs="宋体" w:eastAsia="宋体" w:hint="default"/>
          <w:sz w:val="20"/>
          <w:szCs w:val="20"/>
        </w:rPr>
      </w:pPr>
    </w:p>
    <w:p>
      <w:pPr>
        <w:pStyle w:val="BodyText"/>
        <w:spacing w:line="290" w:lineRule="auto" w:before="166"/>
        <w:ind w:left="573" w:right="0"/>
        <w:jc w:val="left"/>
      </w:pPr>
      <w:r>
        <w:rPr>
          <w:rFonts w:ascii="Times New Roman" w:hAnsi="Times New Roman" w:cs="Times New Roman" w:eastAsia="Times New Roman" w:hint="default"/>
        </w:rPr>
        <w:t>2</w:t>
      </w:r>
      <w:r>
        <w:rPr/>
        <w:t>）减值准备的确认和计量</w:t>
      </w:r>
      <w:r>
        <w:rPr>
          <w:w w:val="100"/>
        </w:rPr>
        <w:t> </w:t>
      </w:r>
      <w:r>
        <w:rPr>
          <w:spacing w:val="2"/>
        </w:rPr>
        <w:t>除了对于购买或源生的已发生信用减值的金融资产以及始终按照相当于整个存续期内预期信用损失</w:t>
      </w:r>
    </w:p>
    <w:p>
      <w:pPr>
        <w:pStyle w:val="BodyText"/>
        <w:spacing w:line="273" w:lineRule="auto"/>
        <w:ind w:right="1126"/>
        <w:jc w:val="both"/>
      </w:pPr>
      <w:r>
        <w:rPr>
          <w:spacing w:val="-2"/>
        </w:rPr>
        <w:t>的金额计量损失准备的金融资产之外，本公司在每个资产负债表日评估相关金融工具的信用风险自初始确</w:t>
      </w:r>
      <w:r>
        <w:rPr>
          <w:spacing w:val="-43"/>
        </w:rPr>
        <w:t> </w:t>
      </w:r>
      <w:r>
        <w:rPr>
          <w:spacing w:val="-43"/>
        </w:rPr>
      </w:r>
      <w:r>
        <w:rPr/>
        <w:t>认后是否已显著增加，并按照下列情形分别计量其损失准备、确认预期信用损失及其变动：</w:t>
      </w:r>
    </w:p>
    <w:p>
      <w:pPr>
        <w:pStyle w:val="BodyText"/>
        <w:spacing w:line="264" w:lineRule="auto" w:before="46"/>
        <w:ind w:right="1126" w:firstLine="420"/>
        <w:jc w:val="both"/>
      </w:pPr>
      <w:r>
        <w:rPr>
          <w:spacing w:val="-2"/>
        </w:rPr>
        <w:t>如果该金融工具的信用风险自初始确认后并未显著增加，处于第一阶段，本公司按照相当于该金融工</w:t>
      </w:r>
      <w:r>
        <w:rPr>
          <w:w w:val="100"/>
        </w:rPr>
        <w:t> </w:t>
      </w:r>
      <w:r>
        <w:rPr>
          <w:spacing w:val="-2"/>
        </w:rPr>
        <w:t>具未来</w:t>
      </w:r>
      <w:r>
        <w:rPr>
          <w:rFonts w:ascii="Times New Roman" w:hAnsi="Times New Roman" w:cs="Times New Roman" w:eastAsia="Times New Roman" w:hint="default"/>
          <w:spacing w:val="-2"/>
        </w:rPr>
        <w:t>12</w:t>
      </w:r>
      <w:r>
        <w:rPr>
          <w:spacing w:val="-2"/>
        </w:rPr>
        <w:t>个月内预期信用损失的金额计量其损失准备，无论本公司评估信用损失的基础是单项金融工具还</w:t>
      </w:r>
      <w:r>
        <w:rPr>
          <w:spacing w:val="-40"/>
        </w:rPr>
        <w:t> </w:t>
      </w:r>
      <w:r>
        <w:rPr>
          <w:spacing w:val="-40"/>
        </w:rPr>
      </w:r>
      <w:r>
        <w:rPr/>
        <w:t>是金融工具组合，由此形成的损失准备的增加或转回金额，作为减值损失或利得计入当期损益。</w:t>
      </w:r>
    </w:p>
    <w:p>
      <w:pPr>
        <w:pStyle w:val="BodyText"/>
        <w:spacing w:line="273" w:lineRule="auto" w:before="57"/>
        <w:ind w:right="1126" w:firstLine="420"/>
        <w:jc w:val="both"/>
      </w:pPr>
      <w:r>
        <w:rPr>
          <w:spacing w:val="-2"/>
        </w:rPr>
        <w:t>如果该金融工具的信用风险自初始确认后已显著增加，处于第二阶段，本公司按照相当于该金融工具</w:t>
      </w:r>
      <w:r>
        <w:rPr>
          <w:w w:val="100"/>
        </w:rPr>
        <w:t> </w:t>
      </w:r>
      <w:r>
        <w:rPr>
          <w:spacing w:val="-2"/>
        </w:rPr>
        <w:t>整个存续期内预期信用损失的金额计量其损失准备。无论本公司评估信用损失的基础是单项金融工具还是</w:t>
      </w:r>
      <w:r>
        <w:rPr>
          <w:spacing w:val="-43"/>
        </w:rPr>
        <w:t> </w:t>
      </w:r>
      <w:r>
        <w:rPr>
          <w:spacing w:val="-43"/>
        </w:rPr>
      </w:r>
      <w:r>
        <w:rPr/>
        <w:t>金融工具组合，由此形成的损失准备的增加或转回金额，作为减值损失或利得计入当期损益。</w:t>
      </w:r>
    </w:p>
    <w:p>
      <w:pPr>
        <w:pStyle w:val="BodyText"/>
        <w:spacing w:line="273" w:lineRule="auto" w:before="48"/>
        <w:ind w:right="1126" w:firstLine="420"/>
        <w:jc w:val="both"/>
      </w:pPr>
      <w:r>
        <w:rPr>
          <w:spacing w:val="-2"/>
        </w:rPr>
        <w:t>对于已发生信用减值的金融资产，处于第三阶段，本公司在资产负债表日仅将自初始确认后整个存续</w:t>
      </w:r>
      <w:r>
        <w:rPr>
          <w:w w:val="100"/>
        </w:rPr>
        <w:t> </w:t>
      </w:r>
      <w:r>
        <w:rPr>
          <w:spacing w:val="-2"/>
        </w:rPr>
        <w:t>期内预期信用损失的累计变动确认为损失准备。在每个资产负债表日，本公司将整个存续期内预期信用损</w:t>
      </w:r>
      <w:r>
        <w:rPr>
          <w:spacing w:val="-43"/>
        </w:rPr>
        <w:t> </w:t>
      </w:r>
      <w:r>
        <w:rPr>
          <w:spacing w:val="-43"/>
        </w:rPr>
      </w:r>
      <w:r>
        <w:rPr>
          <w:spacing w:val="-2"/>
        </w:rPr>
        <w:t>失的变动金额作为减值损失或利得计入当期损益。即使该资产负债表日确定的整个存续期内预期信用损失</w:t>
      </w:r>
      <w:r>
        <w:rPr>
          <w:spacing w:val="-43"/>
        </w:rPr>
        <w:t> </w:t>
      </w:r>
      <w:r>
        <w:rPr>
          <w:spacing w:val="-43"/>
        </w:rPr>
      </w:r>
      <w:r>
        <w:rPr>
          <w:spacing w:val="-2"/>
        </w:rPr>
        <w:t>小于初始确认时估计现金流量所反映的预期信用损失的金额，本公司也将预期信用损失的有利变动确认为</w:t>
      </w:r>
      <w:r>
        <w:rPr>
          <w:spacing w:val="-43"/>
        </w:rPr>
        <w:t> </w:t>
      </w:r>
      <w:r>
        <w:rPr>
          <w:spacing w:val="-43"/>
        </w:rPr>
      </w:r>
      <w:r>
        <w:rPr/>
        <w:t>减值利得。</w:t>
      </w:r>
    </w:p>
    <w:p>
      <w:pPr>
        <w:pStyle w:val="BodyText"/>
        <w:spacing w:line="273" w:lineRule="auto" w:before="46"/>
        <w:ind w:right="1126" w:firstLine="420"/>
        <w:jc w:val="both"/>
      </w:pPr>
      <w:r>
        <w:rPr>
          <w:spacing w:val="-2"/>
        </w:rPr>
        <w:t>对于分类为以公允价值计量且其变动计入其他综合收益的金融资产（债务工具投资），本公司在其他</w:t>
      </w:r>
      <w:r>
        <w:rPr>
          <w:w w:val="100"/>
        </w:rPr>
        <w:t> </w:t>
      </w:r>
      <w:r>
        <w:rPr>
          <w:spacing w:val="-2"/>
        </w:rPr>
        <w:t>综合收益中确认其损失准备，并将减值损失或利得计入当期损益，且不应减少该金融资产在资产负债表中</w:t>
      </w:r>
      <w:r>
        <w:rPr>
          <w:spacing w:val="-43"/>
        </w:rPr>
        <w:t> </w:t>
      </w:r>
      <w:r>
        <w:rPr>
          <w:spacing w:val="-43"/>
        </w:rPr>
      </w:r>
      <w:r>
        <w:rPr/>
        <w:t>列示的账面价值。</w:t>
      </w:r>
    </w:p>
    <w:p>
      <w:pPr>
        <w:pStyle w:val="BodyText"/>
        <w:spacing w:line="268" w:lineRule="auto" w:before="48"/>
        <w:ind w:right="1104" w:firstLine="420"/>
        <w:jc w:val="both"/>
      </w:pPr>
      <w:r>
        <w:rPr>
          <w:spacing w:val="-2"/>
        </w:rPr>
        <w:t>本公司在前一会计期间已经按照相当于金融工具整个存续期内预期信用损失的金额计量了损失准备，</w:t>
      </w:r>
      <w:r>
        <w:rPr>
          <w:w w:val="100"/>
        </w:rPr>
        <w:t> </w:t>
      </w:r>
      <w:r>
        <w:rPr>
          <w:spacing w:val="-2"/>
        </w:rPr>
        <w:t>但在当期资产负债表日，该金融工具已不再属于自初始确认后信用风险显著增加的情形的，本公司在当期</w:t>
      </w:r>
      <w:r>
        <w:rPr>
          <w:spacing w:val="-42"/>
        </w:rPr>
        <w:t> </w:t>
      </w:r>
      <w:r>
        <w:rPr>
          <w:spacing w:val="-42"/>
        </w:rPr>
      </w:r>
      <w:r>
        <w:rPr>
          <w:spacing w:val="-2"/>
        </w:rPr>
        <w:t>资产负债表日按照相当于未来</w:t>
      </w:r>
      <w:r>
        <w:rPr>
          <w:rFonts w:ascii="Times New Roman" w:hAnsi="Times New Roman" w:cs="Times New Roman" w:eastAsia="Times New Roman" w:hint="default"/>
          <w:spacing w:val="-2"/>
        </w:rPr>
        <w:t>12</w:t>
      </w:r>
      <w:r>
        <w:rPr>
          <w:spacing w:val="-2"/>
        </w:rPr>
        <w:t>个月内预期信用损失的金额计量该金融工具的损失准备，由此形成的损失</w:t>
      </w:r>
      <w:r>
        <w:rPr>
          <w:spacing w:val="-40"/>
        </w:rPr>
        <w:t> </w:t>
      </w:r>
      <w:r>
        <w:rPr>
          <w:spacing w:val="-40"/>
        </w:rPr>
      </w:r>
      <w:r>
        <w:rPr/>
        <w:t>准备的转回金额应当作为减值利得计入当期损益。</w:t>
      </w:r>
    </w:p>
    <w:p>
      <w:pPr>
        <w:pStyle w:val="BodyText"/>
        <w:spacing w:line="273" w:lineRule="auto" w:before="52"/>
        <w:ind w:right="1126" w:firstLine="420"/>
        <w:jc w:val="both"/>
      </w:pPr>
      <w:r>
        <w:rPr>
          <w:spacing w:val="-2"/>
        </w:rPr>
        <w:t>本公司在单项工具层面无法以合理成本获得关于信用风险显著增加的充分证据时，本公司在组合基础</w:t>
      </w:r>
      <w:r>
        <w:rPr>
          <w:w w:val="100"/>
        </w:rPr>
        <w:t> </w:t>
      </w:r>
      <w:r>
        <w:rPr/>
        <w:t>上评估信用风险是否显著增加。</w:t>
      </w:r>
    </w:p>
    <w:p>
      <w:pPr>
        <w:pStyle w:val="BodyText"/>
        <w:spacing w:line="240" w:lineRule="auto" w:before="46"/>
        <w:ind w:left="573" w:right="0"/>
        <w:jc w:val="left"/>
      </w:pPr>
      <w:r>
        <w:rPr/>
        <w:t>对于适用本项政策有关金融工具减值规定的各类金融工具，本公司按照下列方法确定其信用损失：</w:t>
      </w:r>
    </w:p>
    <w:p>
      <w:pPr>
        <w:pStyle w:val="BodyText"/>
        <w:spacing w:line="240" w:lineRule="auto" w:before="78"/>
        <w:ind w:left="573" w:right="0"/>
        <w:jc w:val="left"/>
      </w:pPr>
      <w:r>
        <w:rPr/>
        <w:t>①对于金融资产，信用损失为本公司收取的合同现金流量与预期收取的现金流量之间差额的现值。</w:t>
      </w:r>
    </w:p>
    <w:p>
      <w:pPr>
        <w:pStyle w:val="BodyText"/>
        <w:spacing w:line="240" w:lineRule="auto" w:before="78"/>
        <w:ind w:left="573" w:right="0"/>
        <w:jc w:val="left"/>
      </w:pPr>
      <w:r>
        <w:rPr/>
        <w:t>②对于租赁应收款项，信用损失为本公司应收取的合同现金流量与预期收取的现金流量之间差额的现</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值。</w:t>
      </w:r>
    </w:p>
    <w:p>
      <w:pPr>
        <w:pStyle w:val="BodyText"/>
        <w:spacing w:line="273" w:lineRule="auto" w:before="78"/>
        <w:ind w:right="1126" w:firstLine="420"/>
        <w:jc w:val="both"/>
      </w:pPr>
      <w:r>
        <w:rPr>
          <w:spacing w:val="-2"/>
        </w:rPr>
        <w:t>③对于未提用的贷款承诺，信用损失应为在贷款承诺持有人提用相应贷款的情况下，本公司应收取的</w:t>
      </w:r>
      <w:r>
        <w:rPr>
          <w:w w:val="100"/>
        </w:rPr>
        <w:t> </w:t>
      </w:r>
      <w:r>
        <w:rPr/>
        <w:t>合同现金流量与预期收取的现金流量之间差额的现值。</w:t>
      </w:r>
    </w:p>
    <w:p>
      <w:pPr>
        <w:pStyle w:val="BodyText"/>
        <w:spacing w:line="273" w:lineRule="auto" w:before="46"/>
        <w:ind w:right="1126" w:firstLine="420"/>
        <w:jc w:val="both"/>
      </w:pPr>
      <w:r>
        <w:rPr>
          <w:spacing w:val="-2"/>
        </w:rPr>
        <w:t>④对于财务担保合同，信用损失应为本公司就该合同持有人发生的信用损失向其做出赔付的预计付款</w:t>
      </w:r>
      <w:r>
        <w:rPr>
          <w:w w:val="100"/>
        </w:rPr>
        <w:t> </w:t>
      </w:r>
      <w:r>
        <w:rPr/>
        <w:t>额，减去本公司预期向该合同持有人、债务人或任何其他方收取的金额之间差额的现值。</w:t>
      </w:r>
    </w:p>
    <w:p>
      <w:pPr>
        <w:pStyle w:val="BodyText"/>
        <w:spacing w:line="273" w:lineRule="auto" w:before="48"/>
        <w:ind w:right="1126" w:firstLine="420"/>
        <w:jc w:val="both"/>
      </w:pPr>
      <w:r>
        <w:rPr>
          <w:spacing w:val="-2"/>
        </w:rPr>
        <w:t>⑤对于资产负债表日已发生信用减值但并非购买或源生已发生信用减值的金融资产，信用损失为该金</w:t>
      </w:r>
      <w:r>
        <w:rPr>
          <w:w w:val="100"/>
        </w:rPr>
        <w:t> </w:t>
      </w:r>
      <w:r>
        <w:rPr/>
        <w:t>融资产账面余额与按原实际利率折现的估计未来现金流量的现值之间的差额。</w:t>
      </w:r>
    </w:p>
    <w:p>
      <w:pPr>
        <w:pStyle w:val="BodyText"/>
        <w:spacing w:line="290" w:lineRule="auto" w:before="48"/>
        <w:ind w:left="573" w:right="0"/>
        <w:jc w:val="left"/>
      </w:pPr>
      <w:r>
        <w:rPr>
          <w:rFonts w:ascii="Times New Roman" w:hAnsi="Times New Roman" w:cs="Times New Roman" w:eastAsia="Times New Roman" w:hint="default"/>
        </w:rPr>
        <w:t>3</w:t>
      </w:r>
      <w:r>
        <w:rPr/>
        <w:t>）信用风险显著增加</w:t>
      </w:r>
      <w:r>
        <w:rPr>
          <w:w w:val="100"/>
        </w:rPr>
        <w:t> </w:t>
      </w:r>
      <w:r>
        <w:rPr>
          <w:spacing w:val="2"/>
        </w:rPr>
        <w:t>本公司通过比较金融工具在初始确认时所确定的预计存续期内的违约概率和该工具在资产负债表日</w:t>
      </w:r>
    </w:p>
    <w:p>
      <w:pPr>
        <w:pStyle w:val="BodyText"/>
        <w:spacing w:line="264" w:lineRule="auto"/>
        <w:ind w:right="1126"/>
        <w:jc w:val="both"/>
      </w:pPr>
      <w:r>
        <w:rPr>
          <w:spacing w:val="-2"/>
        </w:rPr>
        <w:t>所确定的预计存续期内的违约概率，来判定金融工具信用风险是否显著增加。除特殊情形外，本公司采用</w:t>
      </w:r>
      <w:r>
        <w:rPr>
          <w:spacing w:val="-44"/>
        </w:rPr>
        <w:t> </w:t>
      </w:r>
      <w:r>
        <w:rPr>
          <w:spacing w:val="-44"/>
        </w:rPr>
      </w:r>
      <w:r>
        <w:rPr>
          <w:spacing w:val="-2"/>
        </w:rPr>
        <w:t>未来</w:t>
      </w:r>
      <w:r>
        <w:rPr>
          <w:rFonts w:ascii="Times New Roman" w:hAnsi="Times New Roman" w:cs="Times New Roman" w:eastAsia="Times New Roman" w:hint="default"/>
          <w:spacing w:val="-2"/>
        </w:rPr>
        <w:t>12</w:t>
      </w:r>
      <w:r>
        <w:rPr>
          <w:spacing w:val="-2"/>
        </w:rPr>
        <w:t>个月内发生的违约风险的变化作为整个存续期内发生违约风险变化的合理估计，以确定自初始确认</w:t>
      </w:r>
      <w:r>
        <w:rPr>
          <w:spacing w:val="-42"/>
        </w:rPr>
        <w:t> </w:t>
      </w:r>
      <w:r>
        <w:rPr>
          <w:spacing w:val="-42"/>
        </w:rPr>
      </w:r>
      <w:r>
        <w:rPr/>
        <w:t>后信用风险是否已显著增加。</w:t>
      </w:r>
    </w:p>
    <w:p>
      <w:pPr>
        <w:pStyle w:val="BodyText"/>
        <w:spacing w:line="266" w:lineRule="auto" w:before="57"/>
        <w:ind w:right="1126" w:firstLine="420"/>
        <w:jc w:val="both"/>
      </w:pPr>
      <w:r>
        <w:rPr>
          <w:spacing w:val="-2"/>
        </w:rPr>
        <w:t>本公司确定金融工具在资产负债表日只具有较低的信用风险的，可以假设该金融工具的信用风险自初</w:t>
      </w:r>
      <w:r>
        <w:rPr>
          <w:w w:val="100"/>
        </w:rPr>
        <w:t> </w:t>
      </w:r>
      <w:r>
        <w:rPr>
          <w:spacing w:val="-2"/>
        </w:rPr>
        <w:t>始确认后并未显著增加。通常逾期超过</w:t>
      </w:r>
      <w:r>
        <w:rPr>
          <w:rFonts w:ascii="Times New Roman" w:hAnsi="Times New Roman" w:cs="Times New Roman" w:eastAsia="Times New Roman" w:hint="default"/>
          <w:spacing w:val="-2"/>
        </w:rPr>
        <w:t>30</w:t>
      </w:r>
      <w:r>
        <w:rPr>
          <w:spacing w:val="-2"/>
        </w:rPr>
        <w:t>日，本公司即认为该金融工具的信用风险已显著增加，除非有确</w:t>
      </w:r>
      <w:r>
        <w:rPr>
          <w:spacing w:val="-40"/>
        </w:rPr>
        <w:t> </w:t>
      </w:r>
      <w:r>
        <w:rPr>
          <w:spacing w:val="-40"/>
        </w:rPr>
      </w:r>
      <w:r>
        <w:rPr/>
        <w:t>凿证据证明该金融工具的信用风险自初始确认后并未显著增加。</w:t>
      </w:r>
    </w:p>
    <w:p>
      <w:pPr>
        <w:pStyle w:val="BodyText"/>
        <w:spacing w:line="290" w:lineRule="auto" w:before="55"/>
        <w:ind w:left="573" w:right="0"/>
        <w:jc w:val="left"/>
      </w:pPr>
      <w:r>
        <w:rPr>
          <w:rFonts w:ascii="Times New Roman" w:hAnsi="Times New Roman" w:cs="Times New Roman" w:eastAsia="Times New Roman" w:hint="default"/>
        </w:rPr>
        <w:t>4</w:t>
      </w:r>
      <w:r>
        <w:rPr/>
        <w:t>）应收票据及应收账款减值</w:t>
      </w:r>
      <w:r>
        <w:rPr>
          <w:w w:val="100"/>
        </w:rPr>
        <w:t> </w:t>
      </w:r>
      <w:r>
        <w:rPr>
          <w:spacing w:val="-2"/>
        </w:rPr>
        <w:t>对于应收票据及应收账款，无论是否存在重大融资成分，本公司均按照整个存续期的预期信用损失计</w:t>
      </w:r>
    </w:p>
    <w:p>
      <w:pPr>
        <w:pStyle w:val="BodyText"/>
        <w:spacing w:line="268" w:lineRule="exact"/>
        <w:ind w:right="0"/>
        <w:jc w:val="both"/>
      </w:pPr>
      <w:r>
        <w:rPr/>
        <w:t>量损失准备。</w:t>
      </w:r>
    </w:p>
    <w:p>
      <w:pPr>
        <w:pStyle w:val="BodyText"/>
        <w:spacing w:line="273" w:lineRule="auto" w:before="78"/>
        <w:ind w:right="1126" w:firstLine="420"/>
        <w:jc w:val="both"/>
      </w:pPr>
      <w:r>
        <w:rPr>
          <w:spacing w:val="-2"/>
        </w:rPr>
        <w:t>当单项应收票据及应收账款无法以合理成本评估预期信用损失的信息时，本公司依据信用风险特征将</w:t>
      </w:r>
      <w:r>
        <w:rPr>
          <w:w w:val="100"/>
        </w:rPr>
        <w:t> </w:t>
      </w:r>
      <w:r>
        <w:rPr>
          <w:spacing w:val="-2"/>
        </w:rPr>
        <w:t>应收票据及应收账款划分为若干组合，在组合基础上计算预期信用损失。如果有客观证据表明某项应收票</w:t>
      </w:r>
      <w:r>
        <w:rPr>
          <w:spacing w:val="-44"/>
        </w:rPr>
        <w:t> </w:t>
      </w:r>
      <w:r>
        <w:rPr>
          <w:spacing w:val="-44"/>
        </w:rPr>
      </w:r>
      <w:r>
        <w:rPr>
          <w:spacing w:val="2"/>
        </w:rPr>
        <w:t>据及应收账款已经发生信用减值，则本公司对该应收票据及应收账款单项计提坏准备并确认预期信用损</w:t>
      </w:r>
      <w:r>
        <w:rPr>
          <w:spacing w:val="-30"/>
        </w:rPr>
        <w:t> </w:t>
      </w:r>
      <w:r>
        <w:rPr>
          <w:spacing w:val="-30"/>
        </w:rPr>
      </w:r>
      <w:r>
        <w:rPr>
          <w:spacing w:val="-2"/>
        </w:rPr>
        <w:t>失。对于划分为组合的应收票据及应收账款，本公司参考历史信用损失经验，结合当前状况以及对未来经</w:t>
      </w:r>
      <w:r>
        <w:rPr>
          <w:spacing w:val="-43"/>
        </w:rPr>
        <w:t> </w:t>
      </w:r>
      <w:r>
        <w:rPr>
          <w:spacing w:val="-43"/>
        </w:rPr>
      </w:r>
      <w:r>
        <w:rPr/>
        <w:t>济状况的预测，通过违约风险敞口和整个存续期预期信用损失率，计算预期信用损失。</w:t>
      </w:r>
    </w:p>
    <w:p>
      <w:pPr>
        <w:pStyle w:val="BodyText"/>
        <w:spacing w:line="240" w:lineRule="auto" w:before="48"/>
        <w:ind w:left="573" w:right="0"/>
        <w:jc w:val="left"/>
      </w:pPr>
      <w:r>
        <w:rPr/>
        <w:t>应收票据及应收账款组合：</w:t>
      </w:r>
    </w:p>
    <w:p>
      <w:pPr>
        <w:spacing w:line="240" w:lineRule="auto" w:before="10"/>
        <w:rPr>
          <w:rFonts w:ascii="宋体" w:hAnsi="宋体" w:cs="宋体" w:eastAsia="宋体" w:hint="default"/>
          <w:sz w:val="6"/>
          <w:szCs w:val="6"/>
        </w:rPr>
      </w:pPr>
    </w:p>
    <w:tbl>
      <w:tblPr>
        <w:tblW w:w="0" w:type="auto"/>
        <w:jc w:val="left"/>
        <w:tblInd w:w="316" w:type="dxa"/>
        <w:tblLayout w:type="fixed"/>
        <w:tblCellMar>
          <w:top w:w="0" w:type="dxa"/>
          <w:left w:w="0" w:type="dxa"/>
          <w:bottom w:w="0" w:type="dxa"/>
          <w:right w:w="0" w:type="dxa"/>
        </w:tblCellMar>
        <w:tblLook w:val="01E0"/>
      </w:tblPr>
      <w:tblGrid>
        <w:gridCol w:w="4551"/>
        <w:gridCol w:w="4808"/>
      </w:tblGrid>
      <w:tr>
        <w:trPr>
          <w:trHeight w:val="351" w:hRule="exact"/>
        </w:trPr>
        <w:tc>
          <w:tcPr>
            <w:tcW w:w="455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808" w:type="dxa"/>
            <w:tcBorders>
              <w:top w:val="single" w:sz="6" w:space="0" w:color="000000"/>
              <w:left w:val="single" w:sz="6" w:space="0" w:color="000000"/>
              <w:bottom w:val="single" w:sz="8" w:space="0" w:color="000000"/>
              <w:right w:val="nil" w:sz="6" w:space="0" w:color="auto"/>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确定组合依据</w:t>
            </w:r>
          </w:p>
        </w:tc>
      </w:tr>
      <w:tr>
        <w:trPr>
          <w:trHeight w:val="346" w:hRule="exact"/>
        </w:trPr>
        <w:tc>
          <w:tcPr>
            <w:tcW w:w="455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应收票据银行承兑汇票组合</w:t>
            </w:r>
          </w:p>
        </w:tc>
        <w:tc>
          <w:tcPr>
            <w:tcW w:w="4808"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承兑人为信用风险较小的银行</w:t>
            </w:r>
          </w:p>
        </w:tc>
      </w:tr>
      <w:tr>
        <w:trPr>
          <w:trHeight w:val="348" w:hRule="exact"/>
        </w:trPr>
        <w:tc>
          <w:tcPr>
            <w:tcW w:w="455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应收票据商业承兑汇票及其他组合</w:t>
            </w:r>
          </w:p>
        </w:tc>
        <w:tc>
          <w:tcPr>
            <w:tcW w:w="4808"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除上述银行之外的的银行承兑汇票及商业承兑汇票</w:t>
            </w:r>
          </w:p>
        </w:tc>
      </w:tr>
      <w:tr>
        <w:trPr>
          <w:trHeight w:val="348" w:hRule="exact"/>
        </w:trPr>
        <w:tc>
          <w:tcPr>
            <w:tcW w:w="455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应收账款性质组合</w:t>
            </w:r>
          </w:p>
        </w:tc>
        <w:tc>
          <w:tcPr>
            <w:tcW w:w="4808"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性质组合，应收合并范围内关联方款项</w:t>
            </w:r>
          </w:p>
        </w:tc>
      </w:tr>
      <w:tr>
        <w:trPr>
          <w:trHeight w:val="972" w:hRule="exact"/>
        </w:trPr>
        <w:tc>
          <w:tcPr>
            <w:tcW w:w="455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应收账款账龄组合</w:t>
            </w:r>
          </w:p>
        </w:tc>
        <w:tc>
          <w:tcPr>
            <w:tcW w:w="4808" w:type="dxa"/>
            <w:tcBorders>
              <w:top w:val="single" w:sz="8" w:space="0" w:color="000000"/>
              <w:left w:val="single" w:sz="6" w:space="0" w:color="000000"/>
              <w:bottom w:val="single" w:sz="8" w:space="0" w:color="000000"/>
              <w:right w:val="nil" w:sz="6" w:space="0" w:color="auto"/>
            </w:tcBorders>
          </w:tcPr>
          <w:p>
            <w:pPr>
              <w:pStyle w:val="TableParagraph"/>
              <w:spacing w:line="273" w:lineRule="auto"/>
              <w:ind w:left="4" w:right="3"/>
              <w:jc w:val="both"/>
              <w:rPr>
                <w:rFonts w:ascii="宋体" w:hAnsi="宋体" w:cs="宋体" w:eastAsia="宋体" w:hint="default"/>
                <w:sz w:val="21"/>
                <w:szCs w:val="21"/>
              </w:rPr>
            </w:pPr>
            <w:r>
              <w:rPr>
                <w:rFonts w:ascii="宋体" w:hAnsi="宋体" w:cs="宋体" w:eastAsia="宋体" w:hint="default"/>
                <w:spacing w:val="-4"/>
                <w:sz w:val="21"/>
                <w:szCs w:val="21"/>
              </w:rPr>
              <w:t>账龄组合，参考历史违约损失经验，结合目前经济状</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4"/>
                <w:sz w:val="21"/>
                <w:szCs w:val="21"/>
              </w:rPr>
              <w:t>况，考虑前瞻性信息对相同或相类似的、按账龄段划</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分的具有类似信用风险特征的应收款项</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73" w:lineRule="auto" w:before="36"/>
        <w:ind w:right="1126" w:firstLine="420"/>
        <w:jc w:val="both"/>
      </w:pPr>
      <w:r>
        <w:rPr>
          <w:spacing w:val="-2"/>
        </w:rPr>
        <w:t>按组合方式实施信用风险评估时，根据类似信用风险特征，参考历史违约损失经验，结合目前经济状</w:t>
      </w:r>
      <w:r>
        <w:rPr>
          <w:w w:val="100"/>
        </w:rPr>
        <w:t> </w:t>
      </w:r>
      <w:r>
        <w:rPr>
          <w:spacing w:val="-2"/>
        </w:rPr>
        <w:t>况、考虑前瞻性信息，以预计存续期为基础计量其预期信用损失，并在每个资产负债表日，分析前瞻性信</w:t>
      </w:r>
      <w:r>
        <w:rPr>
          <w:spacing w:val="-47"/>
        </w:rPr>
        <w:t> </w:t>
      </w:r>
      <w:r>
        <w:rPr>
          <w:spacing w:val="-47"/>
        </w:rPr>
      </w:r>
      <w:r>
        <w:rPr/>
        <w:t>息的变动，据此对历史违约损失率进行调整，确认金融资产的损失准备。</w:t>
      </w:r>
    </w:p>
    <w:p>
      <w:pPr>
        <w:spacing w:line="240" w:lineRule="auto" w:before="6"/>
        <w:rPr>
          <w:rFonts w:ascii="宋体" w:hAnsi="宋体" w:cs="宋体" w:eastAsia="宋体" w:hint="default"/>
          <w:sz w:val="24"/>
          <w:szCs w:val="24"/>
        </w:rPr>
      </w:pPr>
    </w:p>
    <w:p>
      <w:pPr>
        <w:pStyle w:val="BodyText"/>
        <w:spacing w:line="240" w:lineRule="auto"/>
        <w:ind w:left="573" w:right="0"/>
        <w:jc w:val="left"/>
      </w:pPr>
      <w:r>
        <w:rPr>
          <w:rFonts w:ascii="Times New Roman" w:hAnsi="Times New Roman" w:cs="Times New Roman" w:eastAsia="Times New Roman" w:hint="default"/>
        </w:rPr>
        <w:t>5</w:t>
      </w:r>
      <w:r>
        <w:rPr/>
        <w:t>）其他应收款减值</w:t>
      </w:r>
    </w:p>
    <w:p>
      <w:pPr>
        <w:pStyle w:val="BodyText"/>
        <w:spacing w:line="256" w:lineRule="auto" w:before="21"/>
        <w:ind w:left="573" w:right="0"/>
        <w:jc w:val="left"/>
      </w:pPr>
      <w:r>
        <w:rPr/>
        <w:t>按照三、</w:t>
      </w:r>
      <w:r>
        <w:rPr>
          <w:rFonts w:ascii="Times New Roman" w:hAnsi="Times New Roman" w:cs="Times New Roman" w:eastAsia="Times New Roman" w:hint="default"/>
        </w:rPr>
        <w:t>10.</w:t>
      </w:r>
      <w:r>
        <w:rPr/>
        <w:t>（</w:t>
      </w:r>
      <w:r>
        <w:rPr>
          <w:rFonts w:ascii="Times New Roman" w:hAnsi="Times New Roman" w:cs="Times New Roman" w:eastAsia="Times New Roman" w:hint="default"/>
        </w:rPr>
        <w:t>7</w:t>
      </w:r>
      <w:r>
        <w:rPr/>
        <w:t>）</w:t>
      </w:r>
      <w:r>
        <w:rPr>
          <w:spacing w:val="62"/>
        </w:rPr>
        <w:t> </w:t>
      </w:r>
      <w:r>
        <w:rPr>
          <w:rFonts w:ascii="Times New Roman" w:hAnsi="Times New Roman" w:cs="Times New Roman" w:eastAsia="Times New Roman" w:hint="default"/>
        </w:rPr>
        <w:t>2</w:t>
      </w:r>
      <w:r>
        <w:rPr/>
        <w:t>）中的描述确认和计量减值。</w:t>
      </w:r>
      <w:r>
        <w:rPr>
          <w:w w:val="100"/>
        </w:rPr>
        <w:t> </w:t>
      </w:r>
      <w:r>
        <w:rPr>
          <w:spacing w:val="-2"/>
        </w:rPr>
        <w:t>当单项其他应收款无法以合理成本评估预期信用损失的信息时，本公司依据信用风险特征将其他应收</w:t>
      </w:r>
    </w:p>
    <w:p>
      <w:pPr>
        <w:pStyle w:val="BodyText"/>
        <w:spacing w:line="240" w:lineRule="auto" w:before="22"/>
        <w:ind w:right="0"/>
        <w:jc w:val="left"/>
      </w:pPr>
      <w:r>
        <w:rPr/>
        <w:t>款划分为若干组合，在组合基础上计算预期信用损失，确定组合的依据如下：</w:t>
      </w:r>
    </w:p>
    <w:p>
      <w:pPr>
        <w:spacing w:line="240" w:lineRule="auto" w:before="10"/>
        <w:rPr>
          <w:rFonts w:ascii="宋体" w:hAnsi="宋体" w:cs="宋体" w:eastAsia="宋体" w:hint="default"/>
          <w:sz w:val="3"/>
          <w:szCs w:val="3"/>
        </w:rPr>
      </w:pPr>
    </w:p>
    <w:tbl>
      <w:tblPr>
        <w:tblW w:w="0" w:type="auto"/>
        <w:jc w:val="left"/>
        <w:tblInd w:w="316" w:type="dxa"/>
        <w:tblLayout w:type="fixed"/>
        <w:tblCellMar>
          <w:top w:w="0" w:type="dxa"/>
          <w:left w:w="0" w:type="dxa"/>
          <w:bottom w:w="0" w:type="dxa"/>
          <w:right w:w="0" w:type="dxa"/>
        </w:tblCellMar>
        <w:tblLook w:val="01E0"/>
      </w:tblPr>
      <w:tblGrid>
        <w:gridCol w:w="4551"/>
        <w:gridCol w:w="4808"/>
      </w:tblGrid>
      <w:tr>
        <w:trPr>
          <w:trHeight w:val="348" w:hRule="exact"/>
        </w:trPr>
        <w:tc>
          <w:tcPr>
            <w:tcW w:w="4551"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808" w:type="dxa"/>
            <w:tcBorders>
              <w:top w:val="single" w:sz="6" w:space="0" w:color="000000"/>
              <w:left w:val="single" w:sz="6" w:space="0" w:color="000000"/>
              <w:bottom w:val="single" w:sz="8" w:space="0" w:color="000000"/>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确定组合依据</w:t>
            </w:r>
          </w:p>
        </w:tc>
      </w:tr>
    </w:tbl>
    <w:p>
      <w:pPr>
        <w:spacing w:after="0" w:line="272" w:lineRule="exact"/>
        <w:jc w:val="center"/>
        <w:rPr>
          <w:rFonts w:ascii="宋体" w:hAnsi="宋体" w:cs="宋体" w:eastAsia="宋体"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316" w:type="dxa"/>
        <w:tblLayout w:type="fixed"/>
        <w:tblCellMar>
          <w:top w:w="0" w:type="dxa"/>
          <w:left w:w="0" w:type="dxa"/>
          <w:bottom w:w="0" w:type="dxa"/>
          <w:right w:w="0" w:type="dxa"/>
        </w:tblCellMar>
        <w:tblLook w:val="01E0"/>
      </w:tblPr>
      <w:tblGrid>
        <w:gridCol w:w="4551"/>
        <w:gridCol w:w="4808"/>
      </w:tblGrid>
      <w:tr>
        <w:trPr>
          <w:trHeight w:val="350" w:hRule="exact"/>
        </w:trPr>
        <w:tc>
          <w:tcPr>
            <w:tcW w:w="4551"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其他应收款员工暂支款组合</w:t>
            </w:r>
          </w:p>
        </w:tc>
        <w:tc>
          <w:tcPr>
            <w:tcW w:w="4808" w:type="dxa"/>
            <w:tcBorders>
              <w:top w:val="single" w:sz="6" w:space="0" w:color="000000"/>
              <w:left w:val="single" w:sz="6" w:space="0" w:color="000000"/>
              <w:bottom w:val="single" w:sz="8" w:space="0" w:color="000000"/>
              <w:right w:val="nil" w:sz="6" w:space="0" w:color="auto"/>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员工暂支款</w:t>
            </w:r>
          </w:p>
        </w:tc>
      </w:tr>
      <w:tr>
        <w:trPr>
          <w:trHeight w:val="346" w:hRule="exact"/>
        </w:trPr>
        <w:tc>
          <w:tcPr>
            <w:tcW w:w="4551" w:type="dxa"/>
            <w:tcBorders>
              <w:top w:val="single" w:sz="8" w:space="0" w:color="000000"/>
              <w:left w:val="single" w:sz="6" w:space="0" w:color="000000"/>
              <w:bottom w:val="single" w:sz="8" w:space="0" w:color="000000"/>
              <w:right w:val="single" w:sz="6" w:space="0" w:color="000000"/>
            </w:tcBorders>
          </w:tcPr>
          <w:p>
            <w:pPr>
              <w:pStyle w:val="TableParagraph"/>
              <w:spacing w:line="268"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其他应收款业务往来款组合</w:t>
            </w:r>
          </w:p>
        </w:tc>
        <w:tc>
          <w:tcPr>
            <w:tcW w:w="4808" w:type="dxa"/>
            <w:tcBorders>
              <w:top w:val="single" w:sz="8" w:space="0" w:color="000000"/>
              <w:left w:val="single" w:sz="6" w:space="0" w:color="000000"/>
              <w:bottom w:val="single" w:sz="8" w:space="0" w:color="000000"/>
              <w:right w:val="nil" w:sz="6" w:space="0" w:color="auto"/>
            </w:tcBorders>
          </w:tcPr>
          <w:p>
            <w:pPr>
              <w:pStyle w:val="TableParagraph"/>
              <w:spacing w:line="268" w:lineRule="exact"/>
              <w:ind w:left="4" w:right="0"/>
              <w:jc w:val="left"/>
              <w:rPr>
                <w:rFonts w:ascii="宋体" w:hAnsi="宋体" w:cs="宋体" w:eastAsia="宋体" w:hint="default"/>
                <w:sz w:val="21"/>
                <w:szCs w:val="21"/>
              </w:rPr>
            </w:pPr>
            <w:r>
              <w:rPr>
                <w:rFonts w:ascii="宋体" w:hAnsi="宋体" w:cs="宋体" w:eastAsia="宋体" w:hint="default"/>
                <w:sz w:val="21"/>
                <w:szCs w:val="21"/>
              </w:rPr>
              <w:t>业务往来款</w:t>
            </w:r>
          </w:p>
        </w:tc>
      </w:tr>
    </w:tbl>
    <w:p>
      <w:pPr>
        <w:spacing w:line="240" w:lineRule="auto" w:before="2"/>
        <w:rPr>
          <w:rFonts w:ascii="宋体" w:hAnsi="宋体" w:cs="宋体" w:eastAsia="宋体" w:hint="default"/>
          <w:sz w:val="20"/>
          <w:szCs w:val="20"/>
        </w:rPr>
      </w:pPr>
    </w:p>
    <w:p>
      <w:pPr>
        <w:pStyle w:val="BodyText"/>
        <w:spacing w:line="256" w:lineRule="auto" w:before="36"/>
        <w:ind w:left="573" w:right="0"/>
        <w:jc w:val="left"/>
      </w:pPr>
      <w:r>
        <w:rPr>
          <w:rFonts w:ascii="Times New Roman" w:hAnsi="Times New Roman" w:cs="Times New Roman" w:eastAsia="Times New Roman" w:hint="default"/>
        </w:rPr>
        <w:t>10.8</w:t>
      </w:r>
      <w:r>
        <w:rPr/>
        <w:t>利得和损失</w:t>
      </w:r>
      <w:r>
        <w:rPr>
          <w:spacing w:val="-103"/>
        </w:rPr>
        <w:t> </w:t>
      </w:r>
      <w:r>
        <w:rPr>
          <w:spacing w:val="-103"/>
        </w:rPr>
      </w:r>
      <w:r>
        <w:rPr>
          <w:spacing w:val="-2"/>
        </w:rPr>
        <w:t>本公司将以公允价值计量的金融资产或金融负债的利得或损失计入当期损益，除非该金融资产或金融</w:t>
      </w:r>
    </w:p>
    <w:p>
      <w:pPr>
        <w:pStyle w:val="BodyText"/>
        <w:spacing w:line="240" w:lineRule="auto" w:before="22"/>
        <w:ind w:right="0"/>
        <w:jc w:val="left"/>
      </w:pPr>
      <w:r>
        <w:rPr/>
        <w:t>负债属于下列情形之一：</w:t>
      </w:r>
    </w:p>
    <w:p>
      <w:pPr>
        <w:pStyle w:val="BodyText"/>
        <w:spacing w:line="240" w:lineRule="auto" w:before="37"/>
        <w:ind w:left="573" w:right="0"/>
        <w:jc w:val="left"/>
      </w:pPr>
      <w:r>
        <w:rPr>
          <w:rFonts w:ascii="Times New Roman" w:hAnsi="Times New Roman" w:cs="Times New Roman" w:eastAsia="Times New Roman" w:hint="default"/>
        </w:rPr>
        <w:t>1</w:t>
      </w:r>
      <w:r>
        <w:rPr/>
        <w:t>）属于《企业会计准则第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套期会计》规定的套期关系的一部分。</w:t>
      </w:r>
    </w:p>
    <w:p>
      <w:pPr>
        <w:pStyle w:val="BodyText"/>
        <w:spacing w:line="256" w:lineRule="auto" w:before="21"/>
        <w:ind w:right="0" w:firstLine="420"/>
        <w:jc w:val="left"/>
      </w:pPr>
      <w:r>
        <w:rPr>
          <w:rFonts w:ascii="Times New Roman" w:hAnsi="Times New Roman" w:cs="Times New Roman" w:eastAsia="Times New Roman" w:hint="default"/>
        </w:rPr>
        <w:t>2</w:t>
      </w:r>
      <w:r>
        <w:rPr/>
        <w:t>）是一项对非交易性权益工具的投资，且本公司将其指定为以公允价值计量且其变动计入其他综合</w:t>
      </w:r>
      <w:r>
        <w:rPr>
          <w:w w:val="100"/>
        </w:rPr>
        <w:t> </w:t>
      </w:r>
      <w:r>
        <w:rPr/>
        <w:t>收益的金融资产。</w:t>
      </w:r>
    </w:p>
    <w:p>
      <w:pPr>
        <w:pStyle w:val="BodyText"/>
        <w:spacing w:line="256" w:lineRule="auto" w:before="22"/>
        <w:ind w:right="0" w:firstLine="420"/>
        <w:jc w:val="left"/>
      </w:pPr>
      <w:r>
        <w:rPr>
          <w:rFonts w:ascii="Times New Roman" w:hAnsi="Times New Roman" w:cs="Times New Roman" w:eastAsia="Times New Roman" w:hint="default"/>
        </w:rPr>
        <w:t>3</w:t>
      </w:r>
      <w:r>
        <w:rPr/>
        <w:t>）是一项被指定为以公允价值计量且其变动计入当期损益的金融负债，该负债由本公司自身信用风</w:t>
      </w:r>
      <w:r>
        <w:rPr>
          <w:w w:val="100"/>
        </w:rPr>
        <w:t> </w:t>
      </w:r>
      <w:r>
        <w:rPr/>
        <w:t>险变动引起的其公允价值变动应当计入其他综合收益。</w:t>
      </w:r>
    </w:p>
    <w:p>
      <w:pPr>
        <w:pStyle w:val="BodyText"/>
        <w:spacing w:line="256" w:lineRule="auto" w:before="22"/>
        <w:ind w:right="0" w:firstLine="420"/>
        <w:jc w:val="left"/>
      </w:pPr>
      <w:r>
        <w:rPr>
          <w:rFonts w:ascii="Times New Roman" w:hAnsi="Times New Roman" w:cs="Times New Roman" w:eastAsia="Times New Roman" w:hint="default"/>
        </w:rPr>
        <w:t>4</w:t>
      </w:r>
      <w:r>
        <w:rPr/>
        <w:t>）是一项分类为以公允价值计量且其变动计入其他综合收益的金融资产（债务工具投资），其减值</w:t>
      </w:r>
      <w:r>
        <w:rPr>
          <w:w w:val="100"/>
        </w:rPr>
        <w:t> </w:t>
      </w:r>
      <w:r>
        <w:rPr/>
        <w:t>损失或利得和汇兑损益之外的公允价值变动计入其他综合收益。</w:t>
      </w:r>
    </w:p>
    <w:p>
      <w:pPr>
        <w:pStyle w:val="BodyText"/>
        <w:spacing w:line="240" w:lineRule="auto" w:before="23"/>
        <w:ind w:left="573" w:right="0"/>
        <w:jc w:val="left"/>
      </w:pPr>
      <w:r>
        <w:rPr/>
        <w:t>本公司只有在同时符合下列条件时，才能确认股利收入并计入当期损益：</w:t>
      </w:r>
    </w:p>
    <w:p>
      <w:pPr>
        <w:pStyle w:val="BodyText"/>
        <w:spacing w:line="240" w:lineRule="auto" w:before="37"/>
        <w:ind w:left="573" w:right="0"/>
        <w:jc w:val="left"/>
      </w:pPr>
      <w:r>
        <w:rPr>
          <w:rFonts w:ascii="Times New Roman" w:hAnsi="Times New Roman" w:cs="Times New Roman" w:eastAsia="Times New Roman" w:hint="default"/>
        </w:rPr>
        <w:t>1</w:t>
      </w:r>
      <w:r>
        <w:rPr/>
        <w:t>）本公司收取股利的权利已经确立；</w:t>
      </w:r>
    </w:p>
    <w:p>
      <w:pPr>
        <w:pStyle w:val="BodyText"/>
        <w:spacing w:line="240" w:lineRule="auto" w:before="21"/>
        <w:ind w:left="573" w:right="0"/>
        <w:jc w:val="left"/>
      </w:pPr>
      <w:r>
        <w:rPr>
          <w:rFonts w:ascii="Times New Roman" w:hAnsi="Times New Roman" w:cs="Times New Roman" w:eastAsia="Times New Roman" w:hint="default"/>
        </w:rPr>
        <w:t>2</w:t>
      </w:r>
      <w:r>
        <w:rPr/>
        <w:t>）与股利相关的经济利益很可能流入本公司；</w:t>
      </w:r>
    </w:p>
    <w:p>
      <w:pPr>
        <w:pStyle w:val="BodyText"/>
        <w:spacing w:line="256" w:lineRule="auto" w:before="21"/>
        <w:ind w:left="573" w:right="0"/>
        <w:jc w:val="left"/>
      </w:pPr>
      <w:r>
        <w:rPr>
          <w:rFonts w:ascii="Times New Roman" w:hAnsi="Times New Roman" w:cs="Times New Roman" w:eastAsia="Times New Roman" w:hint="default"/>
        </w:rPr>
        <w:t>3</w:t>
      </w:r>
      <w:r>
        <w:rPr/>
        <w:t>）股利的金额能够可靠计量。</w:t>
      </w:r>
      <w:r>
        <w:rPr>
          <w:w w:val="100"/>
        </w:rPr>
        <w:t> </w:t>
      </w:r>
      <w:r>
        <w:rPr>
          <w:spacing w:val="-2"/>
        </w:rPr>
        <w:t>以摊余成本计量且不属于任何套期关系的一部分的金融资产所产生的利得或损失，在终止确认、按照</w:t>
      </w:r>
    </w:p>
    <w:p>
      <w:pPr>
        <w:pStyle w:val="BodyText"/>
        <w:spacing w:line="273" w:lineRule="auto" w:before="22"/>
        <w:ind w:right="1104"/>
        <w:jc w:val="both"/>
      </w:pPr>
      <w:r>
        <w:rPr>
          <w:spacing w:val="-2"/>
        </w:rPr>
        <w:t>本项重分类、按照实际利率法摊销或确认减值时，计入当期损益。本公司将一项以摊余成本计量的金融资</w:t>
      </w:r>
      <w:r>
        <w:rPr>
          <w:spacing w:val="-43"/>
        </w:rPr>
        <w:t> </w:t>
      </w:r>
      <w:r>
        <w:rPr>
          <w:spacing w:val="-43"/>
        </w:rPr>
      </w:r>
      <w:r>
        <w:rPr>
          <w:spacing w:val="-2"/>
        </w:rPr>
        <w:t>产重分类为以公允价值计量且其变动计入当期损益的金融资产的，按照该资产在重分类日的公允价值进行</w:t>
      </w:r>
      <w:r>
        <w:rPr>
          <w:spacing w:val="-43"/>
        </w:rPr>
        <w:t> </w:t>
      </w:r>
      <w:r>
        <w:rPr>
          <w:spacing w:val="-43"/>
        </w:rPr>
      </w:r>
      <w:r>
        <w:rPr>
          <w:spacing w:val="-2"/>
        </w:rPr>
        <w:t>计量。原账面价值与公允价值之间的差额计入当期损益。将一项以摊余成本计量的金融资产重分类为以公</w:t>
      </w:r>
      <w:r>
        <w:rPr>
          <w:spacing w:val="-42"/>
        </w:rPr>
        <w:t> </w:t>
      </w:r>
      <w:r>
        <w:rPr>
          <w:spacing w:val="-42"/>
        </w:rPr>
      </w:r>
      <w:r>
        <w:rPr>
          <w:spacing w:val="-2"/>
        </w:rPr>
        <w:t>允价值计量且其变动计入其他综合收益的金融资产的，按照该金融资产在重分类日的公允价值进行计量。</w:t>
      </w:r>
      <w:r>
        <w:rPr>
          <w:spacing w:val="-21"/>
        </w:rPr>
        <w:t> </w:t>
      </w:r>
      <w:r>
        <w:rPr>
          <w:spacing w:val="-21"/>
        </w:rPr>
      </w:r>
      <w:r>
        <w:rPr>
          <w:spacing w:val="-2"/>
        </w:rPr>
        <w:t>原账面价值与公允价值之间的差额计入其他综合收益。以摊余成本计量且不属于任何套期关系的一部分的</w:t>
      </w:r>
      <w:r>
        <w:rPr>
          <w:spacing w:val="-43"/>
        </w:rPr>
        <w:t> </w:t>
      </w:r>
      <w:r>
        <w:rPr>
          <w:spacing w:val="-43"/>
        </w:rPr>
      </w:r>
      <w:r>
        <w:rPr>
          <w:spacing w:val="2"/>
        </w:rPr>
        <w:t>金融负债所产生的利得或损失，在终止确认时计入当期损益或在按照实际利率法摊销时计入相关期间损</w:t>
      </w:r>
      <w:r>
        <w:rPr>
          <w:spacing w:val="-30"/>
        </w:rPr>
        <w:t> </w:t>
      </w:r>
      <w:r>
        <w:rPr>
          <w:spacing w:val="-30"/>
        </w:rPr>
      </w:r>
      <w:r>
        <w:rPr/>
        <w:t>益。</w:t>
      </w:r>
    </w:p>
    <w:p>
      <w:pPr>
        <w:pStyle w:val="BodyText"/>
        <w:spacing w:line="273" w:lineRule="auto" w:before="8"/>
        <w:ind w:right="0" w:firstLine="420"/>
        <w:jc w:val="left"/>
      </w:pPr>
      <w:r>
        <w:rPr>
          <w:spacing w:val="-2"/>
        </w:rPr>
        <w:t>对于本公司将金融负债指定为以公允价值计量且其变动计入当期损益的金融负债，该金融负债所产生</w:t>
      </w:r>
      <w:r>
        <w:rPr>
          <w:w w:val="100"/>
        </w:rPr>
        <w:t> </w:t>
      </w:r>
      <w:r>
        <w:rPr/>
        <w:t>的利得或损失按照下列规定进行处理：</w:t>
      </w:r>
    </w:p>
    <w:p>
      <w:pPr>
        <w:pStyle w:val="BodyText"/>
        <w:spacing w:line="240" w:lineRule="auto" w:before="7"/>
        <w:ind w:left="573" w:right="0"/>
        <w:jc w:val="left"/>
      </w:pPr>
      <w:r>
        <w:rPr>
          <w:rFonts w:ascii="Times New Roman" w:hAnsi="Times New Roman" w:cs="Times New Roman" w:eastAsia="Times New Roman" w:hint="default"/>
        </w:rPr>
        <w:t>1</w:t>
      </w:r>
      <w:r>
        <w:rPr/>
        <w:t>）由本公司自身信用风险变动引起的该金融负债公允价值的变动金额，计入其他综合收益；</w:t>
      </w:r>
    </w:p>
    <w:p>
      <w:pPr>
        <w:pStyle w:val="BodyText"/>
        <w:spacing w:line="256" w:lineRule="auto" w:before="21"/>
        <w:ind w:left="573" w:right="0"/>
        <w:jc w:val="left"/>
      </w:pPr>
      <w:r>
        <w:rPr>
          <w:rFonts w:ascii="Times New Roman" w:hAnsi="Times New Roman" w:cs="Times New Roman" w:eastAsia="Times New Roman" w:hint="default"/>
        </w:rPr>
        <w:t>2</w:t>
      </w:r>
      <w:r>
        <w:rPr/>
        <w:t>）该金融负债的其他公允价值变动计入当期损益。</w:t>
      </w:r>
      <w:r>
        <w:rPr>
          <w:w w:val="100"/>
        </w:rPr>
        <w:t> </w:t>
      </w:r>
      <w:r>
        <w:rPr/>
        <w:t>按照本条第</w:t>
      </w:r>
      <w:r>
        <w:rPr>
          <w:rFonts w:ascii="Times New Roman" w:hAnsi="Times New Roman" w:cs="Times New Roman" w:eastAsia="Times New Roman" w:hint="default"/>
        </w:rPr>
        <w:t>1</w:t>
      </w:r>
      <w:r>
        <w:rPr/>
        <w:t>）规定对该金融负债的自身信用风险变动的影响进行处理会造成或扩大损益中的会计错</w:t>
      </w:r>
    </w:p>
    <w:p>
      <w:pPr>
        <w:pStyle w:val="BodyText"/>
        <w:spacing w:line="273" w:lineRule="auto" w:before="5"/>
        <w:ind w:right="1032"/>
        <w:jc w:val="left"/>
      </w:pPr>
      <w:r>
        <w:rPr>
          <w:spacing w:val="-5"/>
        </w:rPr>
        <w:t>配的，本公司将该金融负债的全部利得或损失（包括本公司自身信用风险变动的影响金额）计入当期损益。</w:t>
      </w:r>
      <w:r>
        <w:rPr>
          <w:spacing w:val="-3"/>
        </w:rPr>
        <w:t> </w:t>
      </w:r>
      <w:r>
        <w:rPr>
          <w:spacing w:val="-3"/>
        </w:rPr>
      </w:r>
      <w:r>
        <w:rPr>
          <w:spacing w:val="-2"/>
        </w:rPr>
        <w:t>该金融负债终止确认时，之前计入其他综合收益的累计利得或损失应当从其他综合收益中转出，计入留存</w:t>
      </w:r>
      <w:r>
        <w:rPr>
          <w:spacing w:val="-42"/>
        </w:rPr>
        <w:t> </w:t>
      </w:r>
      <w:r>
        <w:rPr>
          <w:spacing w:val="-42"/>
        </w:rPr>
      </w:r>
      <w:r>
        <w:rPr/>
        <w:t>收益。</w:t>
      </w:r>
    </w:p>
    <w:p>
      <w:pPr>
        <w:pStyle w:val="BodyText"/>
        <w:spacing w:line="273" w:lineRule="auto" w:before="7"/>
        <w:ind w:right="0" w:firstLine="420"/>
        <w:jc w:val="left"/>
      </w:pPr>
      <w:r>
        <w:rPr/>
        <w:t>本公司将非交易性权益工具投资指定为以公允价值计量且其变动计入其他综合收益的金融资产的，当</w:t>
      </w:r>
      <w:r>
        <w:rPr>
          <w:w w:val="100"/>
        </w:rPr>
        <w:t> </w:t>
      </w:r>
      <w:r>
        <w:rPr>
          <w:spacing w:val="-5"/>
        </w:rPr>
        <w:t>该金融资产终止确认时，之前计入其他综合收益的累计利得或损失从其他综合收益中转出，计入留存收益。</w:t>
      </w:r>
    </w:p>
    <w:p>
      <w:pPr>
        <w:pStyle w:val="BodyText"/>
        <w:spacing w:line="273" w:lineRule="auto" w:before="7"/>
        <w:ind w:right="1105" w:firstLine="420"/>
        <w:jc w:val="both"/>
      </w:pPr>
      <w:r>
        <w:rPr>
          <w:spacing w:val="-2"/>
        </w:rPr>
        <w:t>分类为以公允价值计量且其变动计入其他综合收益的金融资产所产生的所有利得或损失（债务工具投</w:t>
      </w:r>
      <w:r>
        <w:rPr>
          <w:w w:val="100"/>
        </w:rPr>
        <w:t> </w:t>
      </w:r>
      <w:r>
        <w:rPr>
          <w:spacing w:val="-2"/>
        </w:rPr>
        <w:t>资），除减值损失或利得和汇兑损益之外，均计入其他综合收益，直至该金融资产终止确认或被重分类。</w:t>
      </w:r>
      <w:r>
        <w:rPr>
          <w:spacing w:val="-21"/>
        </w:rPr>
        <w:t> </w:t>
      </w:r>
      <w:r>
        <w:rPr>
          <w:spacing w:val="-21"/>
        </w:rPr>
      </w:r>
      <w:r>
        <w:rPr>
          <w:spacing w:val="-2"/>
        </w:rPr>
        <w:t>但是，采用实际利率法计算的该金融资产的利息计入当期损益。该金融资产终止确认时，之前计入其他综</w:t>
      </w:r>
      <w:r>
        <w:rPr>
          <w:spacing w:val="-43"/>
        </w:rPr>
        <w:t> </w:t>
      </w:r>
      <w:r>
        <w:rPr>
          <w:spacing w:val="-43"/>
        </w:rPr>
      </w:r>
      <w:r>
        <w:rPr>
          <w:spacing w:val="-2"/>
        </w:rPr>
        <w:t>合收益的累计利得或损失应当从其他综合收益中转出，计入当期损益。本公司将该金融资产重分类为其他</w:t>
      </w:r>
      <w:r>
        <w:rPr>
          <w:spacing w:val="-44"/>
        </w:rPr>
        <w:t> </w:t>
      </w:r>
      <w:r>
        <w:rPr>
          <w:spacing w:val="-44"/>
        </w:rPr>
      </w:r>
      <w:r>
        <w:rPr>
          <w:spacing w:val="-2"/>
        </w:rPr>
        <w:t>类别金融资产的，对之前计入其他综合收益的累计利得或损失转出，调整该金融资产在重分类日的公允价</w:t>
      </w:r>
      <w:r>
        <w:rPr>
          <w:spacing w:val="-44"/>
        </w:rPr>
        <w:t> </w:t>
      </w:r>
      <w:r>
        <w:rPr>
          <w:spacing w:val="-44"/>
        </w:rPr>
      </w:r>
      <w:r>
        <w:rPr/>
        <w:t>值，并以调整后的金额作为新的账面价值。</w:t>
      </w:r>
    </w:p>
    <w:p>
      <w:pPr>
        <w:pStyle w:val="BodyText"/>
        <w:spacing w:line="256" w:lineRule="auto" w:before="7"/>
        <w:ind w:left="573" w:right="0"/>
        <w:jc w:val="left"/>
      </w:pPr>
      <w:r>
        <w:rPr>
          <w:rFonts w:ascii="Times New Roman" w:hAnsi="Times New Roman" w:cs="Times New Roman" w:eastAsia="Times New Roman" w:hint="default"/>
        </w:rPr>
        <w:t>10.9</w:t>
      </w:r>
      <w:r>
        <w:rPr/>
        <w:t>报表列示</w:t>
      </w:r>
      <w:r>
        <w:rPr>
          <w:w w:val="100"/>
        </w:rPr>
        <w:t> </w:t>
      </w:r>
      <w:r>
        <w:rPr>
          <w:spacing w:val="-4"/>
          <w:w w:val="100"/>
        </w:rPr>
        <w:t>本公司将分类为以公允价值计量且其变动计入当期损益的金融资产，在</w:t>
      </w:r>
      <w:r>
        <w:rPr>
          <w:rFonts w:ascii="Times New Roman" w:hAnsi="Times New Roman" w:cs="Times New Roman" w:eastAsia="Times New Roman" w:hint="default"/>
          <w:spacing w:val="-4"/>
          <w:w w:val="100"/>
        </w:rPr>
        <w:t>“</w:t>
      </w:r>
      <w:r>
        <w:rPr>
          <w:spacing w:val="-4"/>
          <w:w w:val="100"/>
        </w:rPr>
        <w:t>交易性金融资产</w:t>
      </w:r>
      <w:r>
        <w:rPr>
          <w:rFonts w:ascii="Times New Roman" w:hAnsi="Times New Roman" w:cs="Times New Roman" w:eastAsia="Times New Roman" w:hint="default"/>
          <w:spacing w:val="-4"/>
          <w:w w:val="100"/>
        </w:rPr>
        <w:t>”</w:t>
      </w:r>
      <w:r>
        <w:rPr>
          <w:spacing w:val="-4"/>
          <w:w w:val="100"/>
        </w:rPr>
        <w:t>科目中列示。</w:t>
      </w:r>
    </w:p>
    <w:p>
      <w:pPr>
        <w:pStyle w:val="BodyText"/>
        <w:spacing w:line="240" w:lineRule="auto" w:before="5"/>
        <w:ind w:right="0"/>
        <w:jc w:val="left"/>
      </w:pPr>
      <w:r>
        <w:rPr>
          <w:spacing w:val="2"/>
        </w:rPr>
        <w:t>自资产负债表日起超过一年到期且预期持有超过一年的以公允价值计量且其变动计入当期损益的非流动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56" w:lineRule="auto" w:before="36"/>
        <w:ind w:left="573" w:right="0" w:hanging="421"/>
        <w:jc w:val="left"/>
      </w:pPr>
      <w:r>
        <w:rPr/>
        <w:t>金融资产，在</w:t>
      </w:r>
      <w:r>
        <w:rPr>
          <w:rFonts w:ascii="Times New Roman" w:hAnsi="Times New Roman" w:cs="Times New Roman" w:eastAsia="Times New Roman" w:hint="default"/>
        </w:rPr>
        <w:t>“</w:t>
      </w:r>
      <w:r>
        <w:rPr/>
        <w:t>其他非流动金融资产</w:t>
      </w:r>
      <w:r>
        <w:rPr>
          <w:rFonts w:ascii="Times New Roman" w:hAnsi="Times New Roman" w:cs="Times New Roman" w:eastAsia="Times New Roman" w:hint="default"/>
        </w:rPr>
        <w:t>”</w:t>
      </w:r>
      <w:r>
        <w:rPr/>
        <w:t>科目列示。</w:t>
      </w:r>
      <w:r>
        <w:rPr>
          <w:w w:val="100"/>
        </w:rPr>
        <w:t> </w:t>
      </w:r>
      <w:r>
        <w:rPr>
          <w:spacing w:val="-2"/>
        </w:rPr>
        <w:t>本公司将分类为以摊余成本计量的长期债权投资，在</w:t>
      </w:r>
      <w:r>
        <w:rPr>
          <w:rFonts w:ascii="Times New Roman" w:hAnsi="Times New Roman" w:cs="Times New Roman" w:eastAsia="Times New Roman" w:hint="default"/>
          <w:spacing w:val="-2"/>
        </w:rPr>
        <w:t>“</w:t>
      </w:r>
      <w:r>
        <w:rPr>
          <w:spacing w:val="-2"/>
        </w:rPr>
        <w:t>债权投资</w:t>
      </w:r>
      <w:r>
        <w:rPr>
          <w:rFonts w:ascii="Times New Roman" w:hAnsi="Times New Roman" w:cs="Times New Roman" w:eastAsia="Times New Roman" w:hint="default"/>
          <w:spacing w:val="-2"/>
        </w:rPr>
        <w:t>”</w:t>
      </w:r>
      <w:r>
        <w:rPr>
          <w:spacing w:val="-2"/>
        </w:rPr>
        <w:t>科目中列示。自资产负债表日起一年</w:t>
      </w:r>
    </w:p>
    <w:p>
      <w:pPr>
        <w:pStyle w:val="BodyText"/>
        <w:spacing w:line="256" w:lineRule="auto" w:before="5"/>
        <w:ind w:right="0"/>
        <w:jc w:val="left"/>
      </w:pPr>
      <w:r>
        <w:rPr>
          <w:spacing w:val="-2"/>
        </w:rPr>
        <w:t>内到期的长期债权投资，在</w:t>
      </w:r>
      <w:r>
        <w:rPr>
          <w:rFonts w:ascii="Times New Roman" w:hAnsi="Times New Roman" w:cs="Times New Roman" w:eastAsia="Times New Roman" w:hint="default"/>
          <w:spacing w:val="-2"/>
        </w:rPr>
        <w:t>“</w:t>
      </w:r>
      <w:r>
        <w:rPr>
          <w:spacing w:val="-2"/>
        </w:rPr>
        <w:t>一年内到期的非流动资产</w:t>
      </w:r>
      <w:r>
        <w:rPr>
          <w:rFonts w:ascii="Times New Roman" w:hAnsi="Times New Roman" w:cs="Times New Roman" w:eastAsia="Times New Roman" w:hint="default"/>
          <w:spacing w:val="-2"/>
        </w:rPr>
        <w:t>”</w:t>
      </w:r>
      <w:r>
        <w:rPr>
          <w:spacing w:val="-2"/>
        </w:rPr>
        <w:t>科目列示。本公司购入的以摊余成本计量的一年内</w:t>
      </w:r>
      <w:r>
        <w:rPr>
          <w:spacing w:val="-21"/>
        </w:rPr>
        <w:t> </w:t>
      </w:r>
      <w:r>
        <w:rPr>
          <w:spacing w:val="-21"/>
        </w:rPr>
      </w:r>
      <w:r>
        <w:rPr/>
        <w:t>到期的债权投资，在</w:t>
      </w:r>
      <w:r>
        <w:rPr>
          <w:rFonts w:ascii="Times New Roman" w:hAnsi="Times New Roman" w:cs="Times New Roman" w:eastAsia="Times New Roman" w:hint="default"/>
        </w:rPr>
        <w:t>“</w:t>
      </w:r>
      <w:r>
        <w:rPr/>
        <w:t>其他流动资产</w:t>
      </w:r>
      <w:r>
        <w:rPr>
          <w:rFonts w:ascii="Times New Roman" w:hAnsi="Times New Roman" w:cs="Times New Roman" w:eastAsia="Times New Roman" w:hint="default"/>
        </w:rPr>
        <w:t>”</w:t>
      </w:r>
      <w:r>
        <w:rPr/>
        <w:t>科目列示。</w:t>
      </w:r>
    </w:p>
    <w:p>
      <w:pPr>
        <w:pStyle w:val="BodyText"/>
        <w:spacing w:line="256" w:lineRule="auto" w:before="5"/>
        <w:ind w:right="1126" w:firstLine="420"/>
        <w:jc w:val="both"/>
      </w:pPr>
      <w:r>
        <w:rPr>
          <w:spacing w:val="-2"/>
        </w:rPr>
        <w:t>本公司将分类为以公允价值计量且其变动计入其他综合收益的长期债权投资，在</w:t>
      </w:r>
      <w:r>
        <w:rPr>
          <w:rFonts w:ascii="Times New Roman" w:hAnsi="Times New Roman" w:cs="Times New Roman" w:eastAsia="Times New Roman" w:hint="default"/>
          <w:spacing w:val="-2"/>
        </w:rPr>
        <w:t>“</w:t>
      </w:r>
      <w:r>
        <w:rPr>
          <w:spacing w:val="-2"/>
        </w:rPr>
        <w:t>其他债权投资</w:t>
      </w:r>
      <w:r>
        <w:rPr>
          <w:rFonts w:ascii="Times New Roman" w:hAnsi="Times New Roman" w:cs="Times New Roman" w:eastAsia="Times New Roman" w:hint="default"/>
          <w:spacing w:val="-2"/>
        </w:rPr>
        <w:t>”</w:t>
      </w:r>
      <w:r>
        <w:rPr>
          <w:spacing w:val="-2"/>
        </w:rPr>
        <w:t>科目</w:t>
      </w:r>
      <w:r>
        <w:rPr>
          <w:w w:val="100"/>
        </w:rPr>
        <w:t> </w:t>
      </w:r>
      <w:r>
        <w:rPr>
          <w:spacing w:val="-2"/>
        </w:rPr>
        <w:t>列示。自资产负债表日起一年内到期的长期债权投资的期末账面价值，在</w:t>
      </w:r>
      <w:r>
        <w:rPr>
          <w:rFonts w:ascii="Times New Roman" w:hAnsi="Times New Roman" w:cs="Times New Roman" w:eastAsia="Times New Roman" w:hint="default"/>
          <w:spacing w:val="-2"/>
        </w:rPr>
        <w:t>“</w:t>
      </w:r>
      <w:r>
        <w:rPr>
          <w:spacing w:val="-2"/>
        </w:rPr>
        <w:t>一年内到期的非流动资产</w:t>
      </w:r>
      <w:r>
        <w:rPr>
          <w:rFonts w:ascii="Times New Roman" w:hAnsi="Times New Roman" w:cs="Times New Roman" w:eastAsia="Times New Roman" w:hint="default"/>
          <w:spacing w:val="-2"/>
        </w:rPr>
        <w:t>”</w:t>
      </w:r>
      <w:r>
        <w:rPr>
          <w:spacing w:val="-2"/>
        </w:rPr>
        <w:t>科目</w:t>
      </w:r>
      <w:r>
        <w:rPr>
          <w:spacing w:val="-24"/>
        </w:rPr>
        <w:t> </w:t>
      </w:r>
      <w:r>
        <w:rPr/>
        <w:t>列示。本公司购入的以公允价值计量且其变动计入其他综合收益的一年内到期的债权投资，在</w:t>
      </w:r>
      <w:r>
        <w:rPr>
          <w:rFonts w:ascii="Times New Roman" w:hAnsi="Times New Roman" w:cs="Times New Roman" w:eastAsia="Times New Roman" w:hint="default"/>
        </w:rPr>
        <w:t>“</w:t>
      </w:r>
      <w:r>
        <w:rPr/>
        <w:t>其他流动</w:t>
      </w:r>
      <w:r>
        <w:rPr>
          <w:spacing w:val="-12"/>
        </w:rPr>
        <w:t> </w:t>
      </w:r>
      <w:r>
        <w:rPr>
          <w:spacing w:val="-12"/>
        </w:rPr>
      </w:r>
      <w:r>
        <w:rPr/>
        <w:t>资产</w:t>
      </w:r>
      <w:r>
        <w:rPr>
          <w:rFonts w:ascii="Times New Roman" w:hAnsi="Times New Roman" w:cs="Times New Roman" w:eastAsia="Times New Roman" w:hint="default"/>
        </w:rPr>
        <w:t>”</w:t>
      </w:r>
      <w:r>
        <w:rPr/>
        <w:t>科目列示。</w:t>
      </w:r>
    </w:p>
    <w:p>
      <w:pPr>
        <w:pStyle w:val="BodyText"/>
        <w:spacing w:line="256" w:lineRule="auto" w:before="5"/>
        <w:ind w:right="1126" w:firstLine="420"/>
        <w:jc w:val="both"/>
      </w:pPr>
      <w:r>
        <w:rPr/>
        <w:t>本公司将指定为以公允价值计量且其变动计入其他综合收益的非交易性权益工具投资，在</w:t>
      </w:r>
      <w:r>
        <w:rPr>
          <w:rFonts w:ascii="Times New Roman" w:hAnsi="Times New Roman" w:cs="Times New Roman" w:eastAsia="Times New Roman" w:hint="default"/>
        </w:rPr>
        <w:t>“</w:t>
      </w:r>
      <w:r>
        <w:rPr/>
        <w:t>其他权益</w:t>
      </w:r>
      <w:r>
        <w:rPr>
          <w:w w:val="100"/>
        </w:rPr>
        <w:t> </w:t>
      </w:r>
      <w:r>
        <w:rPr/>
        <w:t>工具投资</w:t>
      </w:r>
      <w:r>
        <w:rPr>
          <w:rFonts w:ascii="Times New Roman" w:hAnsi="Times New Roman" w:cs="Times New Roman" w:eastAsia="Times New Roman" w:hint="default"/>
        </w:rPr>
        <w:t>”</w:t>
      </w:r>
      <w:r>
        <w:rPr/>
        <w:t>科目列示。</w:t>
      </w:r>
    </w:p>
    <w:p>
      <w:pPr>
        <w:pStyle w:val="BodyText"/>
        <w:spacing w:line="273" w:lineRule="auto" w:before="5"/>
        <w:ind w:right="1126" w:firstLine="420"/>
        <w:jc w:val="both"/>
      </w:pPr>
      <w:r>
        <w:rPr>
          <w:spacing w:val="-2"/>
        </w:rPr>
        <w:t>本公司承担的交易性金融负债，以及本公司持有的直接指定为以公允价值计量且其变动计入当期损益</w:t>
      </w:r>
      <w:r>
        <w:rPr>
          <w:w w:val="100"/>
        </w:rPr>
        <w:t> </w:t>
      </w:r>
      <w:r>
        <w:rPr/>
        <w:t>的金融负债，在</w:t>
      </w:r>
      <w:r>
        <w:rPr>
          <w:rFonts w:ascii="Times New Roman" w:hAnsi="Times New Roman" w:cs="Times New Roman" w:eastAsia="Times New Roman" w:hint="default"/>
        </w:rPr>
        <w:t>“</w:t>
      </w:r>
      <w:r>
        <w:rPr/>
        <w:t>交易性金融负债</w:t>
      </w:r>
      <w:r>
        <w:rPr>
          <w:rFonts w:ascii="Times New Roman" w:hAnsi="Times New Roman" w:cs="Times New Roman" w:eastAsia="Times New Roman" w:hint="default"/>
        </w:rPr>
        <w:t>”</w:t>
      </w:r>
      <w:r>
        <w:rPr/>
        <w:t>科目列示。</w:t>
      </w:r>
    </w:p>
    <w:p>
      <w:pPr>
        <w:pStyle w:val="BodyText"/>
        <w:spacing w:line="259" w:lineRule="auto"/>
        <w:ind w:left="573" w:right="0"/>
        <w:jc w:val="left"/>
      </w:pPr>
      <w:r>
        <w:rPr>
          <w:rFonts w:ascii="Times New Roman" w:hAnsi="Times New Roman" w:cs="Times New Roman" w:eastAsia="Times New Roman" w:hint="default"/>
        </w:rPr>
        <w:t>10.10</w:t>
      </w:r>
      <w:r>
        <w:rPr/>
        <w:t>权益工具</w:t>
      </w:r>
      <w:r>
        <w:rPr>
          <w:w w:val="100"/>
        </w:rPr>
        <w:t> </w:t>
      </w:r>
      <w:r>
        <w:rPr>
          <w:spacing w:val="-2"/>
        </w:rPr>
        <w:t>权益工具是指能证明拥有本公司在扣除所有负债后的资产中的剩余权益的合同。本公司发行（含再融</w:t>
      </w:r>
    </w:p>
    <w:p>
      <w:pPr>
        <w:pStyle w:val="BodyText"/>
        <w:spacing w:line="273" w:lineRule="auto" w:before="20"/>
        <w:ind w:right="1126"/>
        <w:jc w:val="both"/>
      </w:pPr>
      <w:r>
        <w:rPr>
          <w:spacing w:val="-2"/>
        </w:rPr>
        <w:t>资）、回购、出售或注销权益工具作为权益的变动处理，与权益性交易相关的交易费用从权益中扣减。本</w:t>
      </w:r>
      <w:r>
        <w:rPr>
          <w:spacing w:val="-43"/>
        </w:rPr>
        <w:t> </w:t>
      </w:r>
      <w:r>
        <w:rPr>
          <w:spacing w:val="-43"/>
        </w:rPr>
      </w:r>
      <w:r>
        <w:rPr>
          <w:spacing w:val="-2"/>
        </w:rPr>
        <w:t>公司不确认权益工具的公允价值变动。本公司对权益工具持有方的分配作为利润分配处理，发放的股票股</w:t>
      </w:r>
      <w:r>
        <w:rPr>
          <w:spacing w:val="-43"/>
        </w:rPr>
        <w:t> </w:t>
      </w:r>
      <w:r>
        <w:rPr>
          <w:spacing w:val="-43"/>
        </w:rPr>
      </w:r>
      <w:r>
        <w:rPr/>
        <w:t>利不影响所有者权益总额。</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11</w:t>
      </w:r>
      <w:r>
        <w:rPr/>
        <w:t>、应收票据</w:t>
      </w:r>
      <w:r>
        <w:rPr>
          <w:b w:val="0"/>
          <w:bCs w:val="0"/>
        </w:rPr>
      </w:r>
    </w:p>
    <w:p>
      <w:pPr>
        <w:spacing w:line="240" w:lineRule="auto" w:before="10"/>
        <w:rPr>
          <w:rFonts w:ascii="宋体" w:hAnsi="宋体" w:cs="宋体" w:eastAsia="宋体" w:hint="default"/>
          <w:b/>
          <w:bCs/>
          <w:sz w:val="24"/>
          <w:szCs w:val="24"/>
        </w:rPr>
      </w:pPr>
    </w:p>
    <w:p>
      <w:pPr>
        <w:pStyle w:val="BodyText"/>
        <w:tabs>
          <w:tab w:pos="5239" w:val="left" w:leader="none"/>
        </w:tabs>
        <w:spacing w:line="240" w:lineRule="auto"/>
        <w:ind w:right="0"/>
        <w:jc w:val="left"/>
      </w:pPr>
      <w:r>
        <w:rPr>
          <w:spacing w:val="-2"/>
        </w:rPr>
        <w:t>应收票据的预期信用损失的确定方法及会计处理方法</w:t>
        <w:tab/>
      </w:r>
      <w:r>
        <w:rPr>
          <w:spacing w:val="-1"/>
        </w:rPr>
        <w:t>详见</w:t>
      </w:r>
      <w:r>
        <w:rPr>
          <w:rFonts w:ascii="Times New Roman" w:hAnsi="Times New Roman" w:cs="Times New Roman" w:eastAsia="Times New Roman" w:hint="default"/>
          <w:spacing w:val="-1"/>
        </w:rPr>
        <w:t>10.</w:t>
      </w:r>
      <w:r>
        <w:rPr>
          <w:spacing w:val="-1"/>
        </w:rPr>
        <w:t>金融工具</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t>应收账款的预期信用损失的确定方法及会计处理方法</w:t>
      </w:r>
      <w:r>
        <w:rPr>
          <w:spacing w:val="-23"/>
        </w:rPr>
        <w:t> </w:t>
      </w:r>
      <w:r>
        <w:rPr/>
        <w:t>详见</w:t>
      </w:r>
      <w:r>
        <w:rPr>
          <w:rFonts w:ascii="Times New Roman" w:hAnsi="Times New Roman" w:cs="Times New Roman" w:eastAsia="Times New Roman" w:hint="default"/>
        </w:rPr>
        <w:t>10.</w:t>
      </w:r>
      <w:r>
        <w:rPr/>
        <w:t>金融工具</w:t>
      </w:r>
    </w:p>
    <w:p>
      <w:pPr>
        <w:pStyle w:val="BodyText"/>
        <w:spacing w:line="600" w:lineRule="atLeast" w:before="12"/>
        <w:ind w:left="573" w:right="0" w:hanging="421"/>
        <w:jc w:val="left"/>
      </w:pPr>
      <w:r>
        <w:rPr>
          <w:rFonts w:ascii="Times New Roman" w:hAnsi="Times New Roman" w:cs="Times New Roman" w:eastAsia="Times New Roman" w:hint="default"/>
          <w:b/>
          <w:bCs/>
        </w:rPr>
        <w:t>13</w:t>
      </w:r>
      <w:r>
        <w:rPr>
          <w:rFonts w:ascii="宋体" w:hAnsi="宋体" w:cs="宋体" w:eastAsia="宋体" w:hint="default"/>
          <w:b/>
          <w:bCs/>
        </w:rPr>
        <w:t>、应收款项融资</w:t>
      </w:r>
      <w:r>
        <w:rPr>
          <w:rFonts w:ascii="宋体" w:hAnsi="宋体" w:cs="宋体" w:eastAsia="宋体" w:hint="default"/>
          <w:b/>
          <w:bCs/>
          <w:w w:val="100"/>
        </w:rPr>
        <w:t> </w:t>
      </w:r>
      <w:r>
        <w:rPr>
          <w:spacing w:val="-2"/>
        </w:rPr>
        <w:t>当应收票据和应收账款同时满足以下条件时，本公司将其划分为以公允价值计量且其变动计入其他综</w:t>
      </w:r>
    </w:p>
    <w:p>
      <w:pPr>
        <w:pStyle w:val="BodyText"/>
        <w:spacing w:line="240" w:lineRule="auto" w:before="37"/>
        <w:ind w:right="0"/>
        <w:jc w:val="left"/>
      </w:pPr>
      <w:r>
        <w:rPr/>
        <w:t>合收益的金融资产，相关具体会计处理方式见</w:t>
      </w:r>
      <w:r>
        <w:rPr>
          <w:rFonts w:ascii="Times New Roman" w:hAnsi="Times New Roman" w:cs="Times New Roman" w:eastAsia="Times New Roman" w:hint="default"/>
        </w:rPr>
        <w:t>10.</w:t>
      </w:r>
      <w:r>
        <w:rPr/>
        <w:t>金融工具，在报表中列示为应收款项融资：</w:t>
      </w:r>
    </w:p>
    <w:p>
      <w:pPr>
        <w:pStyle w:val="BodyText"/>
        <w:spacing w:line="240" w:lineRule="auto" w:before="59"/>
        <w:ind w:left="573" w:right="0"/>
        <w:jc w:val="left"/>
      </w:pPr>
      <w:r>
        <w:rPr>
          <w:rFonts w:ascii="Times New Roman" w:hAnsi="Times New Roman" w:cs="Times New Roman" w:eastAsia="Times New Roman" w:hint="default"/>
        </w:rPr>
        <w:t>1</w:t>
      </w:r>
      <w:r>
        <w:rPr/>
        <w:t>、合同现金流量为对本金和以未偿付本金金额为基础的利息的支付；</w:t>
      </w:r>
    </w:p>
    <w:p>
      <w:pPr>
        <w:pStyle w:val="BodyText"/>
        <w:spacing w:line="240" w:lineRule="auto" w:before="62"/>
        <w:ind w:left="573" w:right="0"/>
        <w:jc w:val="left"/>
      </w:pPr>
      <w:r>
        <w:rPr>
          <w:rFonts w:ascii="Times New Roman" w:hAnsi="Times New Roman" w:cs="Times New Roman" w:eastAsia="Times New Roman" w:hint="default"/>
        </w:rPr>
        <w:t>2</w:t>
      </w:r>
      <w:r>
        <w:rPr/>
        <w:t>、本公司管理应收票据和应收账款的业务模式既以收取合同现金流量为目标又以出售为目标。</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14</w:t>
      </w:r>
      <w:r>
        <w:rPr/>
        <w:t>、其他应收款</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其他应收款的预期信用损失的确定方法及会计处理方法</w:t>
      </w:r>
    </w:p>
    <w:p>
      <w:pPr>
        <w:pStyle w:val="BodyText"/>
        <w:spacing w:line="259" w:lineRule="auto" w:before="96"/>
        <w:ind w:left="573" w:right="0"/>
        <w:jc w:val="left"/>
      </w:pPr>
      <w:r>
        <w:rPr>
          <w:rFonts w:ascii="Times New Roman" w:hAnsi="Times New Roman" w:cs="Times New Roman" w:eastAsia="Times New Roman" w:hint="default"/>
        </w:rPr>
        <w:t>14.1</w:t>
      </w:r>
      <w:r>
        <w:rPr>
          <w:rFonts w:ascii="Times New Roman" w:hAnsi="Times New Roman" w:cs="Times New Roman" w:eastAsia="Times New Roman" w:hint="default"/>
          <w:spacing w:val="30"/>
        </w:rPr>
        <w:t> </w:t>
      </w:r>
      <w:r>
        <w:rPr/>
        <w:t>共同控制、重大影响的判断标准</w:t>
      </w:r>
      <w:r>
        <w:rPr>
          <w:w w:val="100"/>
        </w:rPr>
        <w:t> </w:t>
      </w:r>
      <w:r>
        <w:rPr>
          <w:spacing w:val="-2"/>
        </w:rPr>
        <w:t>按照相关约定对某项安排所共有的控制，并且该安排的相关活动必须经过分享控制权的参与方一致同</w:t>
      </w:r>
    </w:p>
    <w:p>
      <w:pPr>
        <w:pStyle w:val="BodyText"/>
        <w:spacing w:line="273" w:lineRule="auto" w:before="20"/>
        <w:ind w:right="0"/>
        <w:jc w:val="left"/>
      </w:pPr>
      <w:r>
        <w:rPr>
          <w:spacing w:val="-2"/>
        </w:rPr>
        <w:t>意后才能决策，则视为共同控制。如果存在两个或两个以上的参与方组合能够集体控制某项安排的，不视</w:t>
      </w:r>
      <w:r>
        <w:rPr>
          <w:spacing w:val="-43"/>
        </w:rPr>
        <w:t> </w:t>
      </w:r>
      <w:r>
        <w:rPr>
          <w:spacing w:val="-43"/>
        </w:rPr>
      </w:r>
      <w:r>
        <w:rPr/>
        <w:t>为共同控制。</w:t>
      </w:r>
    </w:p>
    <w:p>
      <w:pPr>
        <w:pStyle w:val="BodyText"/>
        <w:spacing w:line="273" w:lineRule="auto" w:before="7"/>
        <w:ind w:right="1126" w:firstLine="420"/>
        <w:jc w:val="both"/>
      </w:pPr>
      <w:r>
        <w:rPr>
          <w:spacing w:val="-2"/>
        </w:rPr>
        <w:t>对被投资单位的财务和经营政策有参与决策的权力，但并不能够控制或者与其他方一起共同控制这些</w:t>
      </w:r>
      <w:r>
        <w:rPr>
          <w:w w:val="100"/>
        </w:rPr>
        <w:t> </w:t>
      </w:r>
      <w:r>
        <w:rPr/>
        <w:t>政策的制定，则视为对被投资单位实施重大影响。</w:t>
      </w:r>
    </w:p>
    <w:p>
      <w:pPr>
        <w:pStyle w:val="BodyText"/>
        <w:spacing w:line="256" w:lineRule="auto" w:before="7"/>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14.2</w:t>
      </w:r>
      <w:r>
        <w:rPr>
          <w:rFonts w:ascii="Times New Roman" w:hAnsi="Times New Roman" w:cs="Times New Roman" w:eastAsia="Times New Roman" w:hint="default"/>
          <w:spacing w:val="30"/>
        </w:rPr>
        <w:t> </w:t>
      </w:r>
      <w:r>
        <w:rPr/>
        <w:t>初始投资成本确定</w:t>
      </w:r>
      <w:r>
        <w:rPr>
          <w:w w:val="100"/>
        </w:rPr>
        <w:t> </w:t>
      </w:r>
      <w:r>
        <w:rPr>
          <w:spacing w:val="-3"/>
        </w:rPr>
        <w:t>企业合并形成的长期股权投资，按照本附注</w:t>
      </w:r>
      <w:r>
        <w:rPr>
          <w:rFonts w:ascii="Times New Roman" w:hAnsi="Times New Roman" w:cs="Times New Roman" w:eastAsia="Times New Roman" w:hint="default"/>
          <w:spacing w:val="-3"/>
        </w:rPr>
        <w:t>“3.5</w:t>
      </w:r>
      <w:r>
        <w:rPr>
          <w:spacing w:val="-3"/>
        </w:rPr>
        <w:t>同一控制下和非同一控制下企业合并的会计处理方法</w:t>
      </w:r>
      <w:r>
        <w:rPr>
          <w:rFonts w:ascii="Times New Roman" w:hAnsi="Times New Roman" w:cs="Times New Roman" w:eastAsia="Times New Roman" w:hint="default"/>
          <w:spacing w:val="-3"/>
        </w:rPr>
        <w:t>”</w:t>
      </w:r>
    </w:p>
    <w:p>
      <w:pPr>
        <w:spacing w:after="0" w:line="256" w:lineRule="auto"/>
        <w:jc w:val="left"/>
        <w:rPr>
          <w:rFonts w:ascii="Times New Roman" w:hAnsi="Times New Roman" w:cs="Times New Roman" w:eastAsia="Times New Roman" w:hint="default"/>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BodyText"/>
        <w:spacing w:line="273" w:lineRule="auto" w:before="36"/>
        <w:ind w:right="1126"/>
        <w:jc w:val="both"/>
      </w:pPr>
      <w:r>
        <w:rPr>
          <w:spacing w:val="-2"/>
        </w:rPr>
        <w:t>的相关内容确认初始投资成本；除企业合并形成的长期股权投资以外，其他方式取得的长期股权投资，按</w:t>
      </w:r>
      <w:r>
        <w:rPr>
          <w:spacing w:val="-43"/>
        </w:rPr>
        <w:t> </w:t>
      </w:r>
      <w:r>
        <w:rPr>
          <w:spacing w:val="-43"/>
        </w:rPr>
      </w:r>
      <w:r>
        <w:rPr/>
        <w:t>照下述方法确认其初始投资成本：</w:t>
      </w:r>
    </w:p>
    <w:p>
      <w:pPr>
        <w:pStyle w:val="BodyText"/>
        <w:spacing w:line="256" w:lineRule="auto" w:before="7"/>
        <w:ind w:right="0" w:firstLine="420"/>
        <w:jc w:val="left"/>
      </w:pPr>
      <w:r>
        <w:rPr>
          <w:rFonts w:ascii="Times New Roman" w:hAnsi="Times New Roman" w:cs="Times New Roman" w:eastAsia="Times New Roman" w:hint="default"/>
          <w:spacing w:val="-2"/>
        </w:rPr>
        <w:t>1</w:t>
      </w:r>
      <w:r>
        <w:rPr>
          <w:spacing w:val="-2"/>
        </w:rPr>
        <w:t>）以支付现金取得的长期股权投资，应当按照实际支付的购买价款作为初始投资成本。初始投资成</w:t>
      </w:r>
      <w:r>
        <w:rPr>
          <w:w w:val="100"/>
        </w:rPr>
        <w:t> </w:t>
      </w:r>
      <w:r>
        <w:rPr/>
        <w:t>本包括与取得长期股权投资直接相关的费用、税金及其他必要支出。</w:t>
      </w:r>
    </w:p>
    <w:p>
      <w:pPr>
        <w:pStyle w:val="BodyText"/>
        <w:spacing w:line="256" w:lineRule="auto" w:before="22"/>
        <w:ind w:right="0" w:firstLine="420"/>
        <w:jc w:val="left"/>
      </w:pPr>
      <w:r>
        <w:rPr>
          <w:rFonts w:ascii="Times New Roman" w:hAnsi="Times New Roman" w:cs="Times New Roman" w:eastAsia="Times New Roman" w:hint="default"/>
          <w:spacing w:val="-2"/>
        </w:rPr>
        <w:t>2</w:t>
      </w:r>
      <w:r>
        <w:rPr>
          <w:spacing w:val="-2"/>
        </w:rPr>
        <w:t>）以发行权益性证券取得的长期股权投资，应当按照发行权益性证券的公允价值作为初始投资成本。</w:t>
      </w:r>
      <w:r>
        <w:rPr>
          <w:w w:val="100"/>
        </w:rPr>
        <w:t> </w:t>
      </w:r>
      <w:r>
        <w:rPr>
          <w:spacing w:val="-4"/>
        </w:rPr>
        <w:t>与发行权益行证券直接相关的费用，应当按照《企业会计准则第</w:t>
      </w:r>
      <w:r>
        <w:rPr>
          <w:rFonts w:ascii="Times New Roman" w:hAnsi="Times New Roman" w:cs="Times New Roman" w:eastAsia="Times New Roman" w:hint="default"/>
          <w:spacing w:val="-4"/>
        </w:rPr>
        <w:t>37</w:t>
      </w:r>
      <w:r>
        <w:rPr>
          <w:spacing w:val="-4"/>
        </w:rPr>
        <w:t>号</w:t>
      </w:r>
      <w:r>
        <w:rPr>
          <w:rFonts w:ascii="Times New Roman" w:hAnsi="Times New Roman" w:cs="Times New Roman" w:eastAsia="Times New Roman" w:hint="default"/>
          <w:spacing w:val="-4"/>
        </w:rPr>
        <w:t>——</w:t>
      </w:r>
      <w:r>
        <w:rPr>
          <w:spacing w:val="-4"/>
        </w:rPr>
        <w:t>金融工具列报》的有关规定确定。</w:t>
      </w:r>
    </w:p>
    <w:p>
      <w:pPr>
        <w:pStyle w:val="BodyText"/>
        <w:spacing w:line="266" w:lineRule="auto" w:before="5"/>
        <w:ind w:right="0" w:firstLine="420"/>
        <w:jc w:val="left"/>
      </w:pPr>
      <w:r>
        <w:rPr>
          <w:rFonts w:ascii="Times New Roman" w:hAnsi="Times New Roman" w:cs="Times New Roman" w:eastAsia="Times New Roman" w:hint="default"/>
        </w:rPr>
        <w:t>3</w:t>
      </w:r>
      <w:r>
        <w:rPr/>
        <w:t>）在非货币性资产交换具备商业实质和换入资产或换出资产的公允价值能够可靠计量的前提下，非</w:t>
      </w:r>
      <w:r>
        <w:rPr>
          <w:w w:val="100"/>
        </w:rPr>
        <w:t> </w:t>
      </w:r>
      <w:r>
        <w:rPr>
          <w:spacing w:val="-2"/>
        </w:rPr>
        <w:t>货币性资产交换换入的长期股权投资以换出资产的公允价值为基础确定其初始投资成本，除非有确凿证据</w:t>
      </w:r>
      <w:r>
        <w:rPr>
          <w:spacing w:val="-43"/>
        </w:rPr>
        <w:t> </w:t>
      </w:r>
      <w:r>
        <w:rPr>
          <w:spacing w:val="-43"/>
        </w:rPr>
      </w:r>
      <w:r>
        <w:rPr>
          <w:spacing w:val="-2"/>
        </w:rPr>
        <w:t>表明换入资产的公允价值更加可靠；不满足上述前提的非货币性资产交换，以换出资产的账面价值和应支</w:t>
      </w:r>
      <w:r>
        <w:rPr>
          <w:spacing w:val="-42"/>
        </w:rPr>
        <w:t> </w:t>
      </w:r>
      <w:r>
        <w:rPr>
          <w:spacing w:val="-42"/>
        </w:rPr>
      </w:r>
      <w:r>
        <w:rPr/>
        <w:t>付的相关税费作为换入长期股权投资的初始投资成本。</w:t>
      </w:r>
    </w:p>
    <w:p>
      <w:pPr>
        <w:pStyle w:val="BodyText"/>
        <w:spacing w:line="240" w:lineRule="auto" w:before="14"/>
        <w:ind w:left="573" w:right="0"/>
        <w:jc w:val="left"/>
      </w:pPr>
      <w:r>
        <w:rPr>
          <w:rFonts w:ascii="Times New Roman" w:hAnsi="Times New Roman" w:cs="Times New Roman" w:eastAsia="Times New Roman" w:hint="default"/>
        </w:rPr>
        <w:t>4</w:t>
      </w:r>
      <w:r>
        <w:rPr/>
        <w:t>）通过债务重组取得的长期股权投资，其初始投资成本按照公允价值为基础确定。</w:t>
      </w:r>
    </w:p>
    <w:p>
      <w:pPr>
        <w:pStyle w:val="BodyText"/>
        <w:spacing w:line="240" w:lineRule="auto" w:before="21"/>
        <w:ind w:left="573" w:right="0"/>
        <w:jc w:val="left"/>
      </w:pPr>
      <w:r>
        <w:rPr>
          <w:rFonts w:ascii="Times New Roman" w:hAnsi="Times New Roman" w:cs="Times New Roman" w:eastAsia="Times New Roman" w:hint="default"/>
        </w:rPr>
        <w:t>14.3</w:t>
      </w:r>
      <w:r>
        <w:rPr>
          <w:rFonts w:ascii="Times New Roman" w:hAnsi="Times New Roman" w:cs="Times New Roman" w:eastAsia="Times New Roman" w:hint="default"/>
          <w:spacing w:val="30"/>
        </w:rPr>
        <w:t> </w:t>
      </w:r>
      <w:r>
        <w:rPr/>
        <w:t>后续计量及损益确认方法</w:t>
      </w:r>
    </w:p>
    <w:p>
      <w:pPr>
        <w:pStyle w:val="BodyText"/>
        <w:spacing w:line="259" w:lineRule="auto" w:before="21"/>
        <w:ind w:left="573" w:right="0"/>
        <w:jc w:val="left"/>
      </w:pPr>
      <w:r>
        <w:rPr>
          <w:rFonts w:ascii="Times New Roman" w:hAnsi="Times New Roman" w:cs="Times New Roman" w:eastAsia="Times New Roman" w:hint="default"/>
        </w:rPr>
        <w:t>14.3.1</w:t>
      </w:r>
      <w:r>
        <w:rPr>
          <w:rFonts w:ascii="Times New Roman" w:hAnsi="Times New Roman" w:cs="Times New Roman" w:eastAsia="Times New Roman" w:hint="default"/>
          <w:spacing w:val="28"/>
        </w:rPr>
        <w:t> </w:t>
      </w:r>
      <w:r>
        <w:rPr/>
        <w:t>成本法后续计量</w:t>
      </w:r>
      <w:r>
        <w:rPr>
          <w:spacing w:val="-103"/>
        </w:rPr>
        <w:t> </w:t>
      </w:r>
      <w:r>
        <w:rPr>
          <w:spacing w:val="-103"/>
        </w:rPr>
      </w:r>
      <w:r>
        <w:rPr>
          <w:spacing w:val="-2"/>
        </w:rPr>
        <w:t>公司能够对被投资单位实施控制的长期股权投资采用成本法核算，长期股权投资按照初始投资成本计</w:t>
      </w:r>
    </w:p>
    <w:p>
      <w:pPr>
        <w:pStyle w:val="BodyText"/>
        <w:spacing w:line="273" w:lineRule="auto" w:before="20"/>
        <w:ind w:right="1126"/>
        <w:jc w:val="both"/>
      </w:pPr>
      <w:r>
        <w:rPr>
          <w:spacing w:val="-2"/>
        </w:rPr>
        <w:t>价。追加或收回投资调整长期股权投资的成本。被投资单位宣告分派的现金股利或利润，确认为当期投资</w:t>
      </w:r>
      <w:r>
        <w:rPr>
          <w:spacing w:val="-43"/>
        </w:rPr>
        <w:t> </w:t>
      </w:r>
      <w:r>
        <w:rPr>
          <w:spacing w:val="-43"/>
        </w:rPr>
      </w:r>
      <w:r>
        <w:rPr/>
        <w:t>收益。</w:t>
      </w:r>
    </w:p>
    <w:p>
      <w:pPr>
        <w:pStyle w:val="BodyText"/>
        <w:spacing w:line="256" w:lineRule="auto" w:before="7"/>
        <w:ind w:left="573" w:right="0"/>
        <w:jc w:val="left"/>
      </w:pPr>
      <w:r>
        <w:rPr>
          <w:rFonts w:ascii="Times New Roman" w:hAnsi="Times New Roman" w:cs="Times New Roman" w:eastAsia="Times New Roman" w:hint="default"/>
        </w:rPr>
        <w:t>14.3.2</w:t>
      </w:r>
      <w:r>
        <w:rPr>
          <w:rFonts w:ascii="Times New Roman" w:hAnsi="Times New Roman" w:cs="Times New Roman" w:eastAsia="Times New Roman" w:hint="default"/>
          <w:spacing w:val="28"/>
        </w:rPr>
        <w:t> </w:t>
      </w:r>
      <w:r>
        <w:rPr/>
        <w:t>权益法后续计量</w:t>
      </w:r>
      <w:r>
        <w:rPr>
          <w:spacing w:val="-103"/>
        </w:rPr>
        <w:t> </w:t>
      </w:r>
      <w:r>
        <w:rPr>
          <w:spacing w:val="-103"/>
        </w:rPr>
      </w:r>
      <w:r>
        <w:rPr>
          <w:spacing w:val="-2"/>
        </w:rPr>
        <w:t>公司对联营企业和合营企业的长期股权投资，采用权益法核算，长期股权投资的初始投资成本大于投</w:t>
      </w:r>
    </w:p>
    <w:p>
      <w:pPr>
        <w:pStyle w:val="BodyText"/>
        <w:spacing w:line="273" w:lineRule="auto" w:before="22"/>
        <w:ind w:right="1126"/>
        <w:jc w:val="both"/>
      </w:pPr>
      <w:r>
        <w:rPr>
          <w:spacing w:val="-2"/>
        </w:rPr>
        <w:t>资时应享有被投资单位可辨认净资产公允价值份额的，不调整长期股权投资的初始投资成本；长期股权投</w:t>
      </w:r>
      <w:r>
        <w:rPr>
          <w:spacing w:val="-44"/>
        </w:rPr>
        <w:t> </w:t>
      </w:r>
      <w:r>
        <w:rPr>
          <w:spacing w:val="-44"/>
        </w:rPr>
      </w:r>
      <w:r>
        <w:rPr>
          <w:spacing w:val="-2"/>
        </w:rPr>
        <w:t>资的初始投资成本小于投资时应享有被投资单位可辨认净资产公允价值份额的，其差额计入当期损益，同</w:t>
      </w:r>
      <w:r>
        <w:rPr>
          <w:spacing w:val="-44"/>
        </w:rPr>
        <w:t> </w:t>
      </w:r>
      <w:r>
        <w:rPr>
          <w:spacing w:val="-44"/>
        </w:rPr>
      </w:r>
      <w:r>
        <w:rPr/>
        <w:t>时调整长期股权投资的成本。</w:t>
      </w:r>
    </w:p>
    <w:p>
      <w:pPr>
        <w:pStyle w:val="BodyText"/>
        <w:spacing w:line="273" w:lineRule="auto" w:before="7"/>
        <w:ind w:right="1126" w:firstLine="420"/>
        <w:jc w:val="both"/>
      </w:pPr>
      <w:r>
        <w:rPr>
          <w:spacing w:val="-2"/>
        </w:rPr>
        <w:t>采用权益法核算时，投资方取得长期股权投资后，按照应享有或应分担的被投资单位实现的净损益和</w:t>
      </w:r>
      <w:r>
        <w:rPr>
          <w:w w:val="100"/>
        </w:rPr>
        <w:t> </w:t>
      </w:r>
      <w:r>
        <w:rPr>
          <w:spacing w:val="-2"/>
        </w:rPr>
        <w:t>其他综合收益的份额，分别确认投资收益和其他综合收益，同时调整长期股权投资的账面价值；投资方按</w:t>
      </w:r>
      <w:r>
        <w:rPr>
          <w:spacing w:val="-43"/>
        </w:rPr>
        <w:t> </w:t>
      </w:r>
      <w:r>
        <w:rPr>
          <w:spacing w:val="-43"/>
        </w:rPr>
      </w:r>
      <w:r>
        <w:rPr>
          <w:spacing w:val="-2"/>
        </w:rPr>
        <w:t>照被投资单位宣告分派的利润或现金股利计算应享有的部分，相应减少长期股权投资的账面价值；投资方</w:t>
      </w:r>
      <w:r>
        <w:rPr>
          <w:spacing w:val="-43"/>
        </w:rPr>
        <w:t> </w:t>
      </w:r>
      <w:r>
        <w:rPr>
          <w:spacing w:val="-43"/>
        </w:rPr>
      </w:r>
      <w:r>
        <w:rPr>
          <w:spacing w:val="-2"/>
        </w:rPr>
        <w:t>对于被投资单位除净损益、其他综合收益和利润分配以外所有者权益的其他变动，调整长期股权投资的账</w:t>
      </w:r>
      <w:r>
        <w:rPr>
          <w:spacing w:val="-43"/>
        </w:rPr>
        <w:t> </w:t>
      </w:r>
      <w:r>
        <w:rPr>
          <w:spacing w:val="-43"/>
        </w:rPr>
      </w:r>
      <w:r>
        <w:rPr>
          <w:spacing w:val="-2"/>
        </w:rPr>
        <w:t>面价值并计入所有者权益。投资方在确认应享有被投资单位净损益的份额时，以取得投资时被投资单位可</w:t>
      </w:r>
      <w:r>
        <w:rPr>
          <w:spacing w:val="-44"/>
        </w:rPr>
        <w:t> </w:t>
      </w:r>
      <w:r>
        <w:rPr>
          <w:spacing w:val="-44"/>
        </w:rPr>
      </w:r>
      <w:r>
        <w:rPr>
          <w:spacing w:val="-2"/>
        </w:rPr>
        <w:t>辨认净资产的公允价值为基础，对被投资单位的净利润进行调整后确认。被投资单位采用的会计政策及会</w:t>
      </w:r>
      <w:r>
        <w:rPr>
          <w:spacing w:val="-43"/>
        </w:rPr>
        <w:t> </w:t>
      </w:r>
      <w:r>
        <w:rPr>
          <w:spacing w:val="-43"/>
        </w:rPr>
      </w:r>
      <w:r>
        <w:rPr>
          <w:spacing w:val="-2"/>
        </w:rPr>
        <w:t>计期间与投资方不一致的，按照投资方的会计政策及会计期间对被投资单位的财务报表进行调整，并据以</w:t>
      </w:r>
      <w:r>
        <w:rPr>
          <w:spacing w:val="-44"/>
        </w:rPr>
        <w:t> </w:t>
      </w:r>
      <w:r>
        <w:rPr>
          <w:spacing w:val="-44"/>
        </w:rPr>
      </w:r>
      <w:r>
        <w:rPr/>
        <w:t>确认投资收益和其他综合收益等。</w:t>
      </w:r>
    </w:p>
    <w:p>
      <w:pPr>
        <w:pStyle w:val="BodyText"/>
        <w:spacing w:line="273" w:lineRule="auto" w:before="7"/>
        <w:ind w:right="1104" w:firstLine="420"/>
        <w:jc w:val="both"/>
      </w:pPr>
      <w:r>
        <w:rPr>
          <w:spacing w:val="-2"/>
        </w:rPr>
        <w:t>投资方确认被投资单位发生的净亏损，以长期股权投资的账面价值以及其他实质上构成对被投资单位</w:t>
      </w:r>
      <w:r>
        <w:rPr>
          <w:w w:val="100"/>
        </w:rPr>
        <w:t> </w:t>
      </w:r>
      <w:r>
        <w:rPr>
          <w:spacing w:val="-2"/>
        </w:rPr>
        <w:t>净投资的长期权益减记至零为限，投资方负有承担额外损失义务的除外。被投资单位以后实现净利润的，</w:t>
      </w:r>
      <w:r>
        <w:rPr>
          <w:spacing w:val="-21"/>
        </w:rPr>
        <w:t> </w:t>
      </w:r>
      <w:r>
        <w:rPr>
          <w:spacing w:val="-21"/>
        </w:rPr>
      </w:r>
      <w:r>
        <w:rPr/>
        <w:t>投资方在其收益分享额弥补未确认的亏损分担额后，恢复确认收益分享额。</w:t>
      </w:r>
    </w:p>
    <w:p>
      <w:pPr>
        <w:pStyle w:val="BodyText"/>
        <w:spacing w:line="266" w:lineRule="auto" w:before="7"/>
        <w:ind w:right="0" w:firstLine="420"/>
        <w:jc w:val="left"/>
      </w:pPr>
      <w:r>
        <w:rPr>
          <w:spacing w:val="-2"/>
        </w:rPr>
        <w:t>投资方计算确认应享有或应分担被投资单位的净损益时，与联营企业、合营企业之间发生的未实现内</w:t>
      </w:r>
      <w:r>
        <w:rPr>
          <w:w w:val="100"/>
        </w:rPr>
        <w:t> </w:t>
      </w:r>
      <w:r>
        <w:rPr>
          <w:spacing w:val="-2"/>
        </w:rPr>
        <w:t>部交易损益按照应享有的比例计算归属于投资方的部分，予以抵销，在此基础上确认投资收益。投资方与</w:t>
      </w:r>
      <w:r>
        <w:rPr>
          <w:spacing w:val="-43"/>
        </w:rPr>
        <w:t> </w:t>
      </w:r>
      <w:r>
        <w:rPr>
          <w:spacing w:val="-43"/>
        </w:rPr>
      </w:r>
      <w:r>
        <w:rPr/>
        <w:t>被投资单位发生的未实现内部交易损失，按照《企业会计准则第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资产减值》等的有关规定属于资</w:t>
      </w:r>
      <w:r>
        <w:rPr>
          <w:w w:val="100"/>
        </w:rPr>
        <w:t> </w:t>
      </w:r>
      <w:r>
        <w:rPr/>
        <w:t>产减值损失的，全额确认。</w:t>
      </w:r>
    </w:p>
    <w:p>
      <w:pPr>
        <w:pStyle w:val="BodyText"/>
        <w:spacing w:line="273" w:lineRule="auto" w:before="14"/>
        <w:ind w:right="1126" w:firstLine="420"/>
        <w:jc w:val="both"/>
      </w:pPr>
      <w:r>
        <w:rPr>
          <w:spacing w:val="-2"/>
        </w:rPr>
        <w:t>投资方对联营企业的权益性投资，其中一部分通过风险投资机构、共同基金、信托公司或包括投连险</w:t>
      </w:r>
      <w:r>
        <w:rPr>
          <w:w w:val="100"/>
        </w:rPr>
        <w:t> </w:t>
      </w:r>
      <w:r>
        <w:rPr>
          <w:spacing w:val="-2"/>
        </w:rPr>
        <w:t>基金在内的类似主体间接持有的，无论以上主体是否对这部分投资具有重大影响，投资方都按照金融工具</w:t>
      </w:r>
      <w:r>
        <w:rPr>
          <w:spacing w:val="-42"/>
        </w:rPr>
        <w:t> </w:t>
      </w:r>
      <w:r>
        <w:rPr>
          <w:spacing w:val="-42"/>
        </w:rPr>
      </w:r>
      <w:r>
        <w:rPr>
          <w:spacing w:val="-2"/>
        </w:rPr>
        <w:t>政策的有关规定，对间接持有的该部分投资选择以公允价值计量且其变动计入损益，并对其余部分采用权</w:t>
      </w:r>
      <w:r>
        <w:rPr>
          <w:spacing w:val="-44"/>
        </w:rPr>
        <w:t> </w:t>
      </w:r>
      <w:r>
        <w:rPr>
          <w:spacing w:val="-44"/>
        </w:rPr>
      </w:r>
      <w:r>
        <w:rPr/>
        <w:t>益法核算。</w:t>
      </w:r>
    </w:p>
    <w:p>
      <w:pPr>
        <w:pStyle w:val="BodyText"/>
        <w:spacing w:line="256" w:lineRule="auto" w:before="7"/>
        <w:ind w:left="573" w:right="0"/>
        <w:jc w:val="left"/>
      </w:pPr>
      <w:r>
        <w:rPr>
          <w:rFonts w:ascii="Times New Roman" w:hAnsi="Times New Roman" w:cs="Times New Roman" w:eastAsia="Times New Roman" w:hint="default"/>
        </w:rPr>
        <w:t>14.3.3</w:t>
      </w:r>
      <w:r>
        <w:rPr>
          <w:rFonts w:ascii="Times New Roman" w:hAnsi="Times New Roman" w:cs="Times New Roman" w:eastAsia="Times New Roman" w:hint="default"/>
          <w:spacing w:val="28"/>
        </w:rPr>
        <w:t> </w:t>
      </w:r>
      <w:r>
        <w:rPr/>
        <w:t>因追加投资等原因能够对被投资单位施加重大影响或实施共同控制但不构成控制的处理</w:t>
      </w:r>
      <w:r>
        <w:rPr>
          <w:w w:val="100"/>
        </w:rPr>
        <w:t> </w:t>
      </w:r>
      <w:r>
        <w:rPr>
          <w:spacing w:val="-2"/>
        </w:rPr>
        <w:t>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金融工具确认和计量》确定的原持有的股权投资的公允价值加上新增</w:t>
      </w:r>
    </w:p>
    <w:p>
      <w:pPr>
        <w:pStyle w:val="BodyText"/>
        <w:spacing w:line="273" w:lineRule="auto" w:before="5"/>
        <w:ind w:right="1126"/>
        <w:jc w:val="both"/>
      </w:pPr>
      <w:r>
        <w:rPr>
          <w:spacing w:val="-2"/>
        </w:rPr>
        <w:t>投资成本之和，作为改按权益法核算的初始投资成本。原持有的股权投资分类为可供出售金融资产的，其</w:t>
      </w:r>
      <w:r>
        <w:rPr>
          <w:spacing w:val="-43"/>
        </w:rPr>
        <w:t> </w:t>
      </w:r>
      <w:r>
        <w:rPr>
          <w:spacing w:val="-43"/>
        </w:rPr>
      </w:r>
      <w:r>
        <w:rPr>
          <w:spacing w:val="-2"/>
        </w:rPr>
        <w:t>公允价值与账面价值之间的差额，以及原计入其他综合收益的累计公允价值变动转入改按权益法核算的当</w:t>
      </w:r>
    </w:p>
    <w:p>
      <w:pPr>
        <w:spacing w:after="0" w:line="273"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期损益。</w:t>
      </w:r>
    </w:p>
    <w:p>
      <w:pPr>
        <w:pStyle w:val="BodyText"/>
        <w:spacing w:line="256" w:lineRule="auto" w:before="37"/>
        <w:ind w:left="573" w:right="0"/>
        <w:jc w:val="left"/>
      </w:pPr>
      <w:r>
        <w:rPr>
          <w:rFonts w:ascii="Times New Roman" w:hAnsi="Times New Roman" w:cs="Times New Roman" w:eastAsia="Times New Roman" w:hint="default"/>
        </w:rPr>
        <w:t>14.3.4</w:t>
      </w:r>
      <w:r>
        <w:rPr>
          <w:rFonts w:ascii="Times New Roman" w:hAnsi="Times New Roman" w:cs="Times New Roman" w:eastAsia="Times New Roman" w:hint="default"/>
          <w:spacing w:val="28"/>
        </w:rPr>
        <w:t> </w:t>
      </w:r>
      <w:r>
        <w:rPr/>
        <w:t>处置部分股权的处理</w:t>
      </w:r>
      <w:r>
        <w:rPr>
          <w:w w:val="100"/>
        </w:rPr>
        <w:t> </w:t>
      </w:r>
      <w:r>
        <w:rPr>
          <w:spacing w:val="-2"/>
        </w:rPr>
        <w:t>因处置部分股权投资等原因丧失了对被投资单位的共同控制或重大影响的，处置后的剩余股权改按本</w:t>
      </w:r>
    </w:p>
    <w:p>
      <w:pPr>
        <w:pStyle w:val="BodyText"/>
        <w:spacing w:line="264" w:lineRule="auto" w:before="22"/>
        <w:ind w:right="1126"/>
        <w:jc w:val="both"/>
      </w:pPr>
      <w:r>
        <w:rPr>
          <w:spacing w:val="-2"/>
        </w:rPr>
        <w:t>附注</w:t>
      </w:r>
      <w:r>
        <w:rPr>
          <w:rFonts w:ascii="Times New Roman" w:hAnsi="Times New Roman" w:cs="Times New Roman" w:eastAsia="Times New Roman" w:hint="default"/>
          <w:spacing w:val="-2"/>
        </w:rPr>
        <w:t>“</w:t>
      </w:r>
      <w:r>
        <w:rPr>
          <w:spacing w:val="-2"/>
        </w:rPr>
        <w:t>金融工具</w:t>
      </w:r>
      <w:r>
        <w:rPr>
          <w:rFonts w:ascii="Times New Roman" w:hAnsi="Times New Roman" w:cs="Times New Roman" w:eastAsia="Times New Roman" w:hint="default"/>
          <w:spacing w:val="-2"/>
        </w:rPr>
        <w:t>”</w:t>
      </w:r>
      <w:r>
        <w:rPr>
          <w:spacing w:val="-2"/>
        </w:rPr>
        <w:t>的政策核算，其在丧失共同控制或重大影响之日的公允价值与账面价值之间的差额计入当</w:t>
      </w:r>
      <w:r>
        <w:rPr>
          <w:spacing w:val="-17"/>
        </w:rPr>
        <w:t> </w:t>
      </w:r>
      <w:r>
        <w:rPr>
          <w:spacing w:val="-17"/>
        </w:rPr>
      </w:r>
      <w:r>
        <w:rPr>
          <w:spacing w:val="-2"/>
        </w:rPr>
        <w:t>期损益。原股权投资因采用权益法核算而确认的其他综合收益，在终止采用权益法核算时采用与被投资单</w:t>
      </w:r>
      <w:r>
        <w:rPr>
          <w:spacing w:val="-44"/>
        </w:rPr>
        <w:t> </w:t>
      </w:r>
      <w:r>
        <w:rPr>
          <w:spacing w:val="-44"/>
        </w:rPr>
      </w:r>
      <w:r>
        <w:rPr/>
        <w:t>位直接处置相关资产或负债相同的基础进行会计处理。</w:t>
      </w:r>
    </w:p>
    <w:p>
      <w:pPr>
        <w:pStyle w:val="BodyText"/>
        <w:spacing w:line="268" w:lineRule="auto" w:before="16"/>
        <w:ind w:right="1126" w:firstLine="420"/>
        <w:jc w:val="both"/>
      </w:pPr>
      <w:r>
        <w:rPr>
          <w:spacing w:val="-2"/>
        </w:rPr>
        <w:t>因处置部分权益性投资等原因丧失了对被投资单位的控制的，在编制个别财务报表时，处置后的剩余</w:t>
      </w:r>
      <w:r>
        <w:rPr>
          <w:w w:val="100"/>
        </w:rPr>
        <w:t> </w:t>
      </w:r>
      <w:r>
        <w:rPr>
          <w:spacing w:val="-2"/>
        </w:rPr>
        <w:t>股权能够对被投资单位实施共同控制或施加重大影响的，改按权益法核算，并对该剩余股权视同自取得时</w:t>
      </w:r>
      <w:r>
        <w:rPr>
          <w:spacing w:val="-42"/>
        </w:rPr>
        <w:t> </w:t>
      </w:r>
      <w:r>
        <w:rPr>
          <w:spacing w:val="-42"/>
        </w:rPr>
      </w:r>
      <w:r>
        <w:rPr>
          <w:spacing w:val="-2"/>
        </w:rPr>
        <w:t>即采用权益法核算进行调整；处置后的剩余股权不能对被投资单位实施共同控制或施加重大影响的，改按</w:t>
      </w:r>
      <w:r>
        <w:rPr>
          <w:spacing w:val="-43"/>
        </w:rPr>
        <w:t> </w:t>
      </w:r>
      <w:r>
        <w:rPr>
          <w:spacing w:val="-43"/>
        </w:rPr>
      </w:r>
      <w:r>
        <w:rPr>
          <w:spacing w:val="-2"/>
        </w:rPr>
        <w:t>本附注</w:t>
      </w:r>
      <w:r>
        <w:rPr>
          <w:rFonts w:ascii="Times New Roman" w:hAnsi="Times New Roman" w:cs="Times New Roman" w:eastAsia="Times New Roman" w:hint="default"/>
          <w:spacing w:val="-2"/>
        </w:rPr>
        <w:t>“</w:t>
      </w:r>
      <w:r>
        <w:rPr>
          <w:spacing w:val="-2"/>
        </w:rPr>
        <w:t>金融工具</w:t>
      </w:r>
      <w:r>
        <w:rPr>
          <w:rFonts w:ascii="Times New Roman" w:hAnsi="Times New Roman" w:cs="Times New Roman" w:eastAsia="Times New Roman" w:hint="default"/>
          <w:spacing w:val="-2"/>
        </w:rPr>
        <w:t>”</w:t>
      </w:r>
      <w:r>
        <w:rPr>
          <w:spacing w:val="-2"/>
        </w:rPr>
        <w:t>的有关政策进行会计处理，其在丧失控制之日的公允价值与账面价值间的差额计入当期</w:t>
      </w:r>
      <w:r>
        <w:rPr>
          <w:spacing w:val="-18"/>
        </w:rPr>
        <w:t> </w:t>
      </w:r>
      <w:r>
        <w:rPr>
          <w:spacing w:val="-18"/>
        </w:rPr>
      </w:r>
      <w:r>
        <w:rPr/>
        <w:t>损益。在编制合并财务报表时，按照本附注</w:t>
      </w:r>
      <w:r>
        <w:rPr>
          <w:rFonts w:ascii="Times New Roman" w:hAnsi="Times New Roman" w:cs="Times New Roman" w:eastAsia="Times New Roman" w:hint="default"/>
        </w:rPr>
        <w:t>“</w:t>
      </w:r>
      <w:r>
        <w:rPr/>
        <w:t>合并财务报表的编制方法</w:t>
      </w:r>
      <w:r>
        <w:rPr>
          <w:rFonts w:ascii="Times New Roman" w:hAnsi="Times New Roman" w:cs="Times New Roman" w:eastAsia="Times New Roman" w:hint="default"/>
        </w:rPr>
        <w:t>”</w:t>
      </w:r>
      <w:r>
        <w:rPr/>
        <w:t>的相关内容处理。</w:t>
      </w:r>
    </w:p>
    <w:p>
      <w:pPr>
        <w:pStyle w:val="BodyText"/>
        <w:spacing w:line="256" w:lineRule="auto"/>
        <w:ind w:left="573" w:right="0"/>
        <w:jc w:val="left"/>
      </w:pPr>
      <w:r>
        <w:rPr>
          <w:rFonts w:ascii="Times New Roman" w:hAnsi="Times New Roman" w:cs="Times New Roman" w:eastAsia="Times New Roman" w:hint="default"/>
        </w:rPr>
        <w:t>14.3.5</w:t>
      </w:r>
      <w:r>
        <w:rPr/>
        <w:t>对联营企业或合营企业的权益性投资全部或部分分类为持有待售资产的处理</w:t>
      </w:r>
      <w:r>
        <w:rPr>
          <w:w w:val="100"/>
        </w:rPr>
        <w:t> </w:t>
      </w:r>
      <w:r>
        <w:rPr>
          <w:spacing w:val="-2"/>
        </w:rPr>
        <w:t>分类为持有待售资产的对联营企业或合营企业的权益性投资，以账面价值与公允价值减去处置费用孰</w:t>
      </w:r>
    </w:p>
    <w:p>
      <w:pPr>
        <w:pStyle w:val="BodyText"/>
        <w:spacing w:line="273" w:lineRule="auto" w:before="23"/>
        <w:ind w:right="0"/>
        <w:jc w:val="left"/>
      </w:pPr>
      <w:r>
        <w:rPr>
          <w:spacing w:val="-2"/>
        </w:rPr>
        <w:t>低的金额列示，公允价值减去处置费用低于原账面价值的金额，确认为资产减值损失。对于未划分为持有</w:t>
      </w:r>
      <w:r>
        <w:rPr>
          <w:spacing w:val="-44"/>
        </w:rPr>
        <w:t> </w:t>
      </w:r>
      <w:r>
        <w:rPr>
          <w:spacing w:val="-44"/>
        </w:rPr>
      </w:r>
      <w:r>
        <w:rPr>
          <w:spacing w:val="-2"/>
        </w:rPr>
        <w:t>待售资产的剩余权益性投资，采用权益法进行会计处理。已划分为持有待售的对联营企业或合营企业的权</w:t>
      </w:r>
      <w:r>
        <w:rPr>
          <w:spacing w:val="-43"/>
        </w:rPr>
        <w:t> </w:t>
      </w:r>
      <w:r>
        <w:rPr>
          <w:spacing w:val="-43"/>
        </w:rPr>
      </w:r>
      <w:r>
        <w:rPr>
          <w:spacing w:val="-5"/>
        </w:rPr>
        <w:t>益性投资，不再符合持有待售资产分类条件的，从被分类为持有待售资产之日起采用权益法进行追溯调整。 </w:t>
      </w:r>
      <w:r>
        <w:rPr>
          <w:spacing w:val="-5"/>
        </w:rPr>
      </w:r>
      <w:r>
        <w:rPr/>
        <w:t>分类为持有待售期间的财务报表作相应调整。</w:t>
      </w:r>
    </w:p>
    <w:p>
      <w:pPr>
        <w:pStyle w:val="BodyText"/>
        <w:spacing w:line="278" w:lineRule="auto" w:before="7"/>
        <w:ind w:right="0" w:firstLine="420"/>
        <w:jc w:val="left"/>
      </w:pPr>
      <w:r>
        <w:rPr>
          <w:rFonts w:ascii="Times New Roman" w:hAnsi="Times New Roman" w:cs="Times New Roman" w:eastAsia="Times New Roman" w:hint="default"/>
        </w:rPr>
        <w:t>14.3.6</w:t>
      </w:r>
      <w:r>
        <w:rPr>
          <w:rFonts w:ascii="Times New Roman" w:hAnsi="Times New Roman" w:cs="Times New Roman" w:eastAsia="Times New Roman" w:hint="default"/>
          <w:spacing w:val="28"/>
        </w:rPr>
        <w:t> </w:t>
      </w:r>
      <w:r>
        <w:rPr/>
        <w:t>处置长期股权投资的处理</w:t>
      </w:r>
      <w:r>
        <w:rPr>
          <w:w w:val="100"/>
        </w:rPr>
        <w:t> </w:t>
      </w:r>
      <w:r>
        <w:rPr>
          <w:spacing w:val="-2"/>
        </w:rPr>
        <w:t>处置长期股权投资，其账面价值与实际取得价款之间的差额，计入当期损益。采用权益法核算的长期股权</w:t>
      </w:r>
      <w:r>
        <w:rPr>
          <w:spacing w:val="-44"/>
        </w:rPr>
        <w:t> </w:t>
      </w:r>
      <w:r>
        <w:rPr>
          <w:spacing w:val="-44"/>
        </w:rPr>
      </w:r>
      <w:r>
        <w:rPr>
          <w:spacing w:val="-2"/>
        </w:rPr>
        <w:t>投资，在处置该项投资时，采用与被投资单位直接处置相关资产或负债相同的基础，按相应比例对原计入</w:t>
      </w:r>
      <w:r>
        <w:rPr>
          <w:spacing w:val="-43"/>
        </w:rPr>
        <w:t> </w:t>
      </w:r>
      <w:r>
        <w:rPr>
          <w:spacing w:val="-43"/>
        </w:rPr>
      </w:r>
      <w:r>
        <w:rPr/>
        <w:t>其他综合收益的部分进行会计处理。</w:t>
      </w:r>
    </w:p>
    <w:p>
      <w:pPr>
        <w:spacing w:line="240" w:lineRule="auto" w:before="0"/>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15</w:t>
      </w:r>
      <w:r>
        <w:rPr/>
        <w:t>、存货</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1</w:t>
      </w:r>
      <w:r>
        <w:rPr/>
        <w:t>、存货的类别</w:t>
      </w:r>
    </w:p>
    <w:p>
      <w:pPr>
        <w:pStyle w:val="BodyText"/>
        <w:spacing w:line="240" w:lineRule="auto" w:before="62"/>
        <w:ind w:left="573" w:right="0"/>
        <w:jc w:val="left"/>
      </w:pPr>
      <w:r>
        <w:rPr/>
        <w:t>存货包括原材料、在产品、产成品和周转材料等，按成本与可变现净值孰低列示。</w:t>
      </w:r>
    </w:p>
    <w:p>
      <w:pPr>
        <w:pStyle w:val="BodyText"/>
        <w:spacing w:line="290" w:lineRule="auto" w:before="78"/>
        <w:ind w:left="573" w:right="0" w:hanging="421"/>
        <w:jc w:val="left"/>
      </w:pPr>
      <w:r>
        <w:rPr>
          <w:rFonts w:ascii="Times New Roman" w:hAnsi="Times New Roman" w:cs="Times New Roman" w:eastAsia="Times New Roman" w:hint="default"/>
        </w:rPr>
        <w:t>2</w:t>
      </w:r>
      <w:r>
        <w:rPr/>
        <w:t>、发出存货的计价方法</w:t>
      </w:r>
      <w:r>
        <w:rPr>
          <w:w w:val="100"/>
        </w:rPr>
        <w:t> </w:t>
      </w:r>
      <w:r>
        <w:rPr>
          <w:spacing w:val="-2"/>
        </w:rPr>
        <w:t>存货发出时的成本按加权平均法核算，产成品和在产品成本包括原材料、直接人工以及在正常生产能</w:t>
      </w:r>
    </w:p>
    <w:p>
      <w:pPr>
        <w:pStyle w:val="BodyText"/>
        <w:spacing w:line="265" w:lineRule="exact"/>
        <w:ind w:right="0"/>
        <w:jc w:val="left"/>
      </w:pPr>
      <w:r>
        <w:rPr/>
        <w:t>力下按照一定方法分配的制造费用。周转材料包括低值易耗品和包装物等。</w:t>
      </w:r>
    </w:p>
    <w:p>
      <w:pPr>
        <w:pStyle w:val="BodyText"/>
        <w:spacing w:line="290" w:lineRule="auto" w:before="78"/>
        <w:ind w:left="573" w:right="0" w:hanging="421"/>
        <w:jc w:val="left"/>
      </w:pPr>
      <w:r>
        <w:rPr>
          <w:rFonts w:ascii="Times New Roman" w:hAnsi="Times New Roman" w:cs="Times New Roman" w:eastAsia="Times New Roman" w:hint="default"/>
        </w:rPr>
        <w:t>3</w:t>
      </w:r>
      <w:r>
        <w:rPr/>
        <w:t>、确定不同类别存货可变现净值的依据</w:t>
      </w:r>
      <w:r>
        <w:rPr>
          <w:w w:val="100"/>
        </w:rPr>
        <w:t> </w:t>
      </w:r>
      <w:r>
        <w:rPr>
          <w:spacing w:val="-5"/>
        </w:rPr>
        <w:t>存货成本高于其可变现净值的，计提存货跌价准备，计入当期损益。可变现净值，是指在日常活动中，</w:t>
      </w:r>
    </w:p>
    <w:p>
      <w:pPr>
        <w:pStyle w:val="BodyText"/>
        <w:spacing w:line="273" w:lineRule="auto"/>
        <w:ind w:right="1126"/>
        <w:jc w:val="both"/>
      </w:pPr>
      <w:r>
        <w:rPr>
          <w:spacing w:val="-2"/>
        </w:rPr>
        <w:t>存货的估计售价减去至完工时估计将要发生的成本、估计的销售费用以及相关税费后的金额。公司确定存</w:t>
      </w:r>
      <w:r>
        <w:rPr>
          <w:spacing w:val="-44"/>
        </w:rPr>
        <w:t> </w:t>
      </w:r>
      <w:r>
        <w:rPr>
          <w:spacing w:val="-44"/>
        </w:rPr>
      </w:r>
      <w:r>
        <w:rPr>
          <w:spacing w:val="-2"/>
        </w:rPr>
        <w:t>货的可变现净值，以取得的确凿证据为基础，并且考虑持有存货的目的、资产负债表日后事项的影响等因</w:t>
      </w:r>
      <w:r>
        <w:rPr>
          <w:spacing w:val="-44"/>
        </w:rPr>
        <w:t> </w:t>
      </w:r>
      <w:r>
        <w:rPr>
          <w:spacing w:val="-44"/>
        </w:rPr>
      </w:r>
      <w:r>
        <w:rPr/>
        <w:t>素。</w:t>
      </w:r>
    </w:p>
    <w:p>
      <w:pPr>
        <w:pStyle w:val="BodyText"/>
        <w:spacing w:line="273" w:lineRule="auto" w:before="46"/>
        <w:ind w:right="0" w:firstLine="420"/>
        <w:jc w:val="left"/>
      </w:pPr>
      <w:r>
        <w:rPr>
          <w:spacing w:val="-2"/>
        </w:rPr>
        <w:t>为生产而持有的材料等，用其生产的产成品的可变现净值高于成本的，该材料仍然按照成本计量；材</w:t>
      </w:r>
      <w:r>
        <w:rPr>
          <w:w w:val="100"/>
        </w:rPr>
        <w:t> </w:t>
      </w:r>
      <w:r>
        <w:rPr/>
        <w:t>料价格的下降表明产成品的可变现净值低于成本的，该材料按照可变现净值计量。</w:t>
      </w:r>
    </w:p>
    <w:p>
      <w:pPr>
        <w:pStyle w:val="BodyText"/>
        <w:spacing w:line="290" w:lineRule="auto" w:before="49"/>
        <w:ind w:right="1126" w:firstLine="420"/>
        <w:jc w:val="left"/>
      </w:pPr>
      <w:r>
        <w:rPr>
          <w:spacing w:val="-2"/>
        </w:rPr>
        <w:t>为执行销售合同或者劳务合同而持有的存货，其可变现净值以合同价格为基础计算。持有存货的数量</w:t>
      </w:r>
      <w:r>
        <w:rPr>
          <w:w w:val="100"/>
        </w:rPr>
        <w:t> </w:t>
      </w:r>
      <w:r>
        <w:rPr/>
        <w:t>多于销售合同订购数量的，超出部分的存货的可变现净值以一般销售价格为基础计算。</w:t>
      </w:r>
      <w:r>
        <w:rPr>
          <w:w w:val="100"/>
        </w:rPr>
        <w:t> </w:t>
      </w:r>
      <w:r>
        <w:rPr>
          <w:rFonts w:ascii="Times New Roman" w:hAnsi="Times New Roman" w:cs="Times New Roman" w:eastAsia="Times New Roman" w:hint="default"/>
        </w:rPr>
        <w:t>4</w:t>
      </w:r>
      <w:r>
        <w:rPr/>
        <w:t>、存货的盘存制度</w:t>
      </w:r>
    </w:p>
    <w:p>
      <w:pPr>
        <w:pStyle w:val="BodyText"/>
        <w:spacing w:line="240" w:lineRule="auto" w:before="13"/>
        <w:ind w:left="573" w:right="0"/>
        <w:jc w:val="left"/>
      </w:pPr>
      <w:r>
        <w:rPr/>
        <w:t>存货盘存制度采用永续盘存制。</w:t>
      </w:r>
    </w:p>
    <w:p>
      <w:pPr>
        <w:pStyle w:val="BodyText"/>
        <w:spacing w:line="297" w:lineRule="auto" w:before="78"/>
        <w:ind w:left="573" w:right="4554" w:hanging="421"/>
        <w:jc w:val="left"/>
      </w:pPr>
      <w:r>
        <w:rPr>
          <w:rFonts w:ascii="Times New Roman" w:hAnsi="Times New Roman" w:cs="Times New Roman" w:eastAsia="Times New Roman" w:hint="default"/>
        </w:rPr>
        <w:t>5</w:t>
      </w:r>
      <w:r>
        <w:rPr/>
        <w:t>、低值易耗品和包装物的摊销方法</w:t>
      </w:r>
      <w:r>
        <w:rPr>
          <w:w w:val="100"/>
        </w:rPr>
        <w:t> </w:t>
      </w:r>
      <w:r>
        <w:rPr>
          <w:spacing w:val="-2"/>
        </w:rPr>
        <w:t>低值易耗品在领用时采用一次摊销法核算成本。</w:t>
      </w:r>
      <w:r>
        <w:rPr>
          <w:w w:val="100"/>
        </w:rPr>
        <w:t> </w:t>
      </w:r>
      <w:r>
        <w:rPr/>
        <w:t>包装物在领用时采用一次转销法核算成本。</w:t>
      </w:r>
    </w:p>
    <w:p>
      <w:pPr>
        <w:spacing w:after="0" w:line="297"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16</w:t>
      </w:r>
      <w:r>
        <w:rPr/>
        <w:t>、合同资产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17</w:t>
      </w:r>
      <w:r>
        <w:rPr/>
        <w:t>、合同成本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18</w:t>
      </w:r>
      <w:r>
        <w:rPr/>
        <w:t>、持有待售资产</w:t>
      </w:r>
      <w:r>
        <w:rPr>
          <w:b w:val="0"/>
          <w:bCs w:val="0"/>
        </w:rPr>
      </w:r>
    </w:p>
    <w:p>
      <w:pPr>
        <w:spacing w:line="240" w:lineRule="auto" w:before="10"/>
        <w:rPr>
          <w:rFonts w:ascii="宋体" w:hAnsi="宋体" w:cs="宋体" w:eastAsia="宋体" w:hint="default"/>
          <w:b/>
          <w:bCs/>
          <w:sz w:val="24"/>
          <w:szCs w:val="24"/>
        </w:rPr>
      </w:pPr>
    </w:p>
    <w:p>
      <w:pPr>
        <w:pStyle w:val="BodyText"/>
        <w:spacing w:line="297" w:lineRule="auto"/>
        <w:ind w:left="573" w:right="2114" w:hanging="421"/>
        <w:jc w:val="left"/>
      </w:pPr>
      <w:r>
        <w:rPr>
          <w:rFonts w:ascii="Times New Roman" w:hAnsi="Times New Roman" w:cs="Times New Roman" w:eastAsia="Times New Roman" w:hint="default"/>
        </w:rPr>
        <w:t>1</w:t>
      </w:r>
      <w:r>
        <w:rPr/>
        <w:t>、划分为持有待售资产的条件</w:t>
      </w:r>
      <w:r>
        <w:rPr>
          <w:w w:val="100"/>
        </w:rPr>
        <w:t> </w:t>
      </w:r>
      <w:r>
        <w:rPr/>
        <w:t>同时满足下列条件的非流动资产或处置组，确认为持有待售资产：</w:t>
      </w:r>
      <w:r>
        <w:rPr>
          <w:w w:val="100"/>
        </w:rPr>
        <w:t> </w:t>
      </w:r>
      <w:r>
        <w:rPr>
          <w:rFonts w:ascii="Times New Roman" w:hAnsi="Times New Roman" w:cs="Times New Roman" w:eastAsia="Times New Roman" w:hint="default"/>
          <w:spacing w:val="-2"/>
        </w:rPr>
        <w:t>1</w:t>
      </w:r>
      <w:r>
        <w:rPr>
          <w:spacing w:val="-2"/>
        </w:rPr>
        <w:t>）根据类似交易中出售此类资产或处置组的惯例，在当前状况下即可立即出售；</w:t>
      </w:r>
    </w:p>
    <w:p>
      <w:pPr>
        <w:pStyle w:val="BodyText"/>
        <w:spacing w:line="256" w:lineRule="auto" w:before="6"/>
        <w:ind w:right="1136" w:firstLine="420"/>
        <w:jc w:val="both"/>
      </w:pPr>
      <w:r>
        <w:rPr>
          <w:rFonts w:ascii="Times New Roman" w:hAnsi="Times New Roman" w:cs="Times New Roman" w:eastAsia="Times New Roman" w:hint="default"/>
        </w:rPr>
        <w:t>2</w:t>
      </w:r>
      <w:r>
        <w:rPr/>
        <w:t>）出售极可能发生，即公司已经就一项出售计划作出决议且获得确定的购买承诺，预计出售将在一</w:t>
      </w:r>
      <w:r>
        <w:rPr>
          <w:w w:val="100"/>
        </w:rPr>
        <w:t> </w:t>
      </w:r>
      <w:r>
        <w:rPr/>
        <w:t>年内完成。有关规定要求公司相关权力机构或者监管部门批准后方可出售的，已经获得批准。</w:t>
      </w:r>
    </w:p>
    <w:p>
      <w:pPr>
        <w:pStyle w:val="BodyText"/>
        <w:spacing w:line="290" w:lineRule="auto" w:before="61"/>
        <w:ind w:right="0" w:firstLine="420"/>
        <w:jc w:val="left"/>
      </w:pPr>
      <w:r>
        <w:rPr>
          <w:spacing w:val="-2"/>
        </w:rPr>
        <w:t>确定的购买承诺，是指公司与其他方签订的具有法律约束力的购买协议，该协议包含交易价格、时间</w:t>
      </w:r>
      <w:r>
        <w:rPr>
          <w:w w:val="100"/>
        </w:rPr>
        <w:t> </w:t>
      </w:r>
      <w:r>
        <w:rPr/>
        <w:t>和足够严厉的违约惩罚等重要条款，使协议出现重大调整或者撤销的可能性极小。</w:t>
      </w:r>
      <w:r>
        <w:rPr>
          <w:w w:val="100"/>
        </w:rPr>
        <w:t> </w:t>
      </w:r>
      <w:r>
        <w:rPr>
          <w:rFonts w:ascii="Times New Roman" w:hAnsi="Times New Roman" w:cs="Times New Roman" w:eastAsia="Times New Roman" w:hint="default"/>
        </w:rPr>
        <w:t>2</w:t>
      </w:r>
      <w:r>
        <w:rPr/>
        <w:t>、持有待售的非流动资产或处置组的计量</w:t>
      </w:r>
    </w:p>
    <w:p>
      <w:pPr>
        <w:pStyle w:val="BodyText"/>
        <w:spacing w:line="273" w:lineRule="auto" w:before="13"/>
        <w:ind w:right="1126" w:firstLine="420"/>
        <w:jc w:val="both"/>
      </w:pPr>
      <w:r>
        <w:rPr>
          <w:spacing w:val="-2"/>
        </w:rPr>
        <w:t>公司初始计量或在资产负债表日重新计量持有待售的非流动资产或处置组时，其账面价值高于公允价</w:t>
      </w:r>
      <w:r>
        <w:rPr>
          <w:w w:val="100"/>
        </w:rPr>
        <w:t> </w:t>
      </w:r>
      <w:r>
        <w:rPr>
          <w:spacing w:val="-2"/>
        </w:rPr>
        <w:t>值减去出售费用后的净额的，将账面价值减记至公允价值减去出售费用后的净额，减记的金额确认为资产</w:t>
      </w:r>
      <w:r>
        <w:rPr>
          <w:spacing w:val="-43"/>
        </w:rPr>
        <w:t> </w:t>
      </w:r>
      <w:r>
        <w:rPr>
          <w:spacing w:val="-43"/>
        </w:rPr>
      </w:r>
      <w:r>
        <w:rPr/>
        <w:t>减值损失，计入当期损益，同时计提持有待售资产减值准备。</w:t>
      </w:r>
    </w:p>
    <w:p>
      <w:pPr>
        <w:pStyle w:val="BodyText"/>
        <w:spacing w:line="273" w:lineRule="auto" w:before="46"/>
        <w:ind w:right="1126" w:firstLine="420"/>
        <w:jc w:val="both"/>
      </w:pPr>
      <w:r>
        <w:rPr>
          <w:spacing w:val="-2"/>
        </w:rPr>
        <w:t>对于取得日划分为持有待售类别的非流动资产或处置组，公司在初始计量时比较假定其不划分为持有</w:t>
      </w:r>
      <w:r>
        <w:rPr>
          <w:w w:val="100"/>
        </w:rPr>
        <w:t> </w:t>
      </w:r>
      <w:r>
        <w:rPr>
          <w:spacing w:val="-2"/>
        </w:rPr>
        <w:t>待售类别情况下的初始计量金额和公允价值减去出售费用后的净额，以两者孰低计量。除公司合并中取得</w:t>
      </w:r>
      <w:r>
        <w:rPr>
          <w:spacing w:val="-43"/>
        </w:rPr>
        <w:t> </w:t>
      </w:r>
      <w:r>
        <w:rPr>
          <w:spacing w:val="-43"/>
        </w:rPr>
      </w:r>
      <w:r>
        <w:rPr>
          <w:spacing w:val="-2"/>
        </w:rPr>
        <w:t>的非流动资产或处置组外，由非流动资产或处置组以公允价值减去出售费用后的净额作为初始计量金额而</w:t>
      </w:r>
      <w:r>
        <w:rPr>
          <w:spacing w:val="-43"/>
        </w:rPr>
        <w:t> </w:t>
      </w:r>
      <w:r>
        <w:rPr>
          <w:spacing w:val="-43"/>
        </w:rPr>
      </w:r>
      <w:r>
        <w:rPr/>
        <w:t>产生的差额，计入当期损益。</w:t>
      </w:r>
    </w:p>
    <w:p>
      <w:pPr>
        <w:pStyle w:val="BodyText"/>
        <w:spacing w:line="273" w:lineRule="auto" w:before="48"/>
        <w:ind w:right="1126" w:firstLine="420"/>
        <w:jc w:val="both"/>
      </w:pPr>
      <w:r>
        <w:rPr>
          <w:spacing w:val="-2"/>
        </w:rPr>
        <w:t>公司在资产负债表日重新计量持有待售的处置组时，首先按照相关会计准则规定计量处置组中资产和</w:t>
      </w:r>
      <w:r>
        <w:rPr>
          <w:w w:val="100"/>
        </w:rPr>
        <w:t> </w:t>
      </w:r>
      <w:r>
        <w:rPr/>
        <w:t>负债的账面价值，然后按照上款的规定进行会计处理。</w:t>
      </w:r>
    </w:p>
    <w:p>
      <w:pPr>
        <w:pStyle w:val="BodyText"/>
        <w:spacing w:line="273" w:lineRule="auto" w:before="48"/>
        <w:ind w:right="1126" w:firstLine="420"/>
        <w:jc w:val="both"/>
      </w:pPr>
      <w:r>
        <w:rPr>
          <w:spacing w:val="-2"/>
        </w:rPr>
        <w:t>对于持有待售的处置组确认的资产减值损失金额，先抵减处置组中商誉的账面价值，再根据处置组中</w:t>
      </w:r>
      <w:r>
        <w:rPr>
          <w:w w:val="100"/>
        </w:rPr>
        <w:t> </w:t>
      </w:r>
      <w:r>
        <w:rPr/>
        <w:t>适用准则计量规定的各项非流动资产账面价值所占比重，按比例抵减其账面价值。</w:t>
      </w:r>
    </w:p>
    <w:p>
      <w:pPr>
        <w:pStyle w:val="BodyText"/>
        <w:spacing w:line="273" w:lineRule="auto" w:before="46"/>
        <w:ind w:right="1126" w:firstLine="420"/>
        <w:jc w:val="both"/>
      </w:pPr>
      <w:r>
        <w:rPr>
          <w:spacing w:val="-2"/>
        </w:rPr>
        <w:t>后续资产负债表日持有待售的非流动资产公允价值减去出售费用后的净额增加的，以前减记的金额予</w:t>
      </w:r>
      <w:r>
        <w:rPr>
          <w:w w:val="100"/>
        </w:rPr>
        <w:t> </w:t>
      </w:r>
      <w:r>
        <w:rPr>
          <w:spacing w:val="-2"/>
        </w:rPr>
        <w:t>以恢复，并在划分为持有待售类别后确认的资产减值损失金额内转回，转回金额计入当期损益。划分为持</w:t>
      </w:r>
      <w:r>
        <w:rPr>
          <w:spacing w:val="-42"/>
        </w:rPr>
        <w:t> </w:t>
      </w:r>
      <w:r>
        <w:rPr>
          <w:spacing w:val="-42"/>
        </w:rPr>
      </w:r>
      <w:r>
        <w:rPr/>
        <w:t>有待售类别前确认的资产减值损失不得转回。</w:t>
      </w:r>
    </w:p>
    <w:p>
      <w:pPr>
        <w:pStyle w:val="BodyText"/>
        <w:spacing w:line="273" w:lineRule="auto" w:before="48"/>
        <w:ind w:right="1126" w:firstLine="420"/>
        <w:jc w:val="both"/>
      </w:pPr>
      <w:r>
        <w:rPr>
          <w:spacing w:val="-2"/>
        </w:rPr>
        <w:t>后续资产负债表日持有待售的处置组公允价值减去出售费用后的净额增加的，以前减记的金额予以恢</w:t>
      </w:r>
      <w:r>
        <w:rPr>
          <w:w w:val="100"/>
        </w:rPr>
        <w:t> </w:t>
      </w:r>
      <w:r>
        <w:rPr>
          <w:spacing w:val="-2"/>
        </w:rPr>
        <w:t>复，并在划分为持有待售类别后适用准则计量规定的非流动资产确认的资产减值损失金额内转回，转回金</w:t>
      </w:r>
      <w:r>
        <w:rPr>
          <w:spacing w:val="-44"/>
        </w:rPr>
        <w:t> </w:t>
      </w:r>
      <w:r>
        <w:rPr>
          <w:spacing w:val="-44"/>
        </w:rPr>
      </w:r>
      <w:r>
        <w:rPr>
          <w:spacing w:val="-2"/>
        </w:rPr>
        <w:t>额计入当期损益。已抵减的商誉账面价值，以及适用准则计量规定的非流动资产在划分为持有待售类别前</w:t>
      </w:r>
      <w:r>
        <w:rPr>
          <w:spacing w:val="-44"/>
        </w:rPr>
        <w:t> </w:t>
      </w:r>
      <w:r>
        <w:rPr>
          <w:spacing w:val="-44"/>
        </w:rPr>
      </w:r>
      <w:r>
        <w:rPr/>
        <w:t>确认的资产减值损失不得转回。</w:t>
      </w:r>
    </w:p>
    <w:p>
      <w:pPr>
        <w:pStyle w:val="BodyText"/>
        <w:spacing w:line="273" w:lineRule="auto" w:before="48"/>
        <w:ind w:right="1126" w:firstLine="420"/>
        <w:jc w:val="both"/>
      </w:pPr>
      <w:r>
        <w:rPr>
          <w:spacing w:val="-2"/>
        </w:rPr>
        <w:t>持有待售的处置组确认的资产减值损失后续转回金额，根据处置组中除商誉外适用准则计量规定的各</w:t>
      </w:r>
      <w:r>
        <w:rPr>
          <w:w w:val="100"/>
        </w:rPr>
        <w:t> </w:t>
      </w:r>
      <w:r>
        <w:rPr/>
        <w:t>项非流动资产账面价值所占比重，按比例增加其账面价值。</w:t>
      </w:r>
    </w:p>
    <w:p>
      <w:pPr>
        <w:pStyle w:val="BodyText"/>
        <w:spacing w:line="273" w:lineRule="auto" w:before="46"/>
        <w:ind w:right="1126" w:firstLine="420"/>
        <w:jc w:val="both"/>
      </w:pPr>
      <w:r>
        <w:rPr>
          <w:spacing w:val="-2"/>
        </w:rPr>
        <w:t>持有待售的非流动资产或处置组中的非流动资产不计提折旧或摊销，持有待售的处置组中负债的利息</w:t>
      </w:r>
      <w:r>
        <w:rPr>
          <w:w w:val="100"/>
        </w:rPr>
        <w:t> </w:t>
      </w:r>
      <w:r>
        <w:rPr/>
        <w:t>和其他费用继续予以确认。</w:t>
      </w:r>
    </w:p>
    <w:p>
      <w:pPr>
        <w:pStyle w:val="BodyText"/>
        <w:spacing w:line="273" w:lineRule="auto" w:before="49"/>
        <w:ind w:right="1140" w:firstLine="420"/>
        <w:jc w:val="both"/>
      </w:pPr>
      <w:r>
        <w:rPr>
          <w:spacing w:val="2"/>
        </w:rPr>
        <w:t>非流动资产或处置组因不再满足持有待售类别的划分条件而不再继续划分为持有待售类别或非流动</w:t>
      </w:r>
      <w:r>
        <w:rPr>
          <w:w w:val="100"/>
        </w:rPr>
        <w:t> </w:t>
      </w:r>
      <w:r>
        <w:rPr/>
        <w:t>资产从持有待售的处置组中移除时，按照以下两者孰低计量：</w:t>
      </w:r>
    </w:p>
    <w:p>
      <w:pPr>
        <w:pStyle w:val="BodyText"/>
        <w:spacing w:line="256" w:lineRule="auto" w:before="48"/>
        <w:ind w:right="1136" w:firstLine="420"/>
        <w:jc w:val="both"/>
      </w:pPr>
      <w:r>
        <w:rPr>
          <w:rFonts w:ascii="Times New Roman" w:hAnsi="Times New Roman" w:cs="Times New Roman" w:eastAsia="Times New Roman" w:hint="default"/>
        </w:rPr>
        <w:t>1</w:t>
      </w:r>
      <w:r>
        <w:rPr/>
        <w:t>）划分为持有待售类别前的账面价值，按照假定不划分为持有待售类别情况下本应确认的折旧、摊</w:t>
      </w:r>
      <w:r>
        <w:rPr>
          <w:w w:val="100"/>
        </w:rPr>
        <w:t> </w:t>
      </w:r>
      <w:r>
        <w:rPr/>
        <w:t>销或减值等进行调整后的金额；</w:t>
      </w:r>
    </w:p>
    <w:p>
      <w:pPr>
        <w:pStyle w:val="BodyText"/>
        <w:spacing w:line="290" w:lineRule="auto" w:before="61"/>
        <w:ind w:left="573" w:right="1126"/>
        <w:jc w:val="left"/>
      </w:pPr>
      <w:r>
        <w:rPr>
          <w:rFonts w:ascii="Times New Roman" w:hAnsi="Times New Roman" w:cs="Times New Roman" w:eastAsia="Times New Roman" w:hint="default"/>
        </w:rPr>
        <w:t>2</w:t>
      </w:r>
      <w:r>
        <w:rPr/>
        <w:t>）可收回金额。</w:t>
      </w:r>
      <w:r>
        <w:rPr>
          <w:w w:val="100"/>
        </w:rPr>
        <w:t> </w:t>
      </w:r>
      <w:r>
        <w:rPr>
          <w:spacing w:val="-2"/>
        </w:rPr>
        <w:t>公司终止确认持有待售的非流动资产或处置组时，将尚未确认的利得或损失计入当期损益。</w:t>
      </w:r>
    </w:p>
    <w:p>
      <w:pPr>
        <w:spacing w:after="0" w:line="290" w:lineRule="auto"/>
        <w:jc w:val="left"/>
        <w:sectPr>
          <w:footerReference w:type="default" r:id="rId14"/>
          <w:pgSz w:w="11910" w:h="16840"/>
          <w:pgMar w:footer="980" w:header="745"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19</w:t>
      </w:r>
      <w:r>
        <w:rPr/>
        <w:t>、债权投资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20</w:t>
      </w:r>
      <w:r>
        <w:rPr/>
        <w:t>、其他债权投资</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21</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22</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90" w:lineRule="auto"/>
        <w:ind w:left="573" w:right="0" w:hanging="421"/>
        <w:jc w:val="left"/>
      </w:pPr>
      <w:r>
        <w:rPr>
          <w:rFonts w:ascii="Times New Roman" w:hAnsi="Times New Roman" w:cs="Times New Roman" w:eastAsia="Times New Roman" w:hint="default"/>
        </w:rPr>
        <w:t>1</w:t>
      </w:r>
      <w:r>
        <w:rPr/>
        <w:t>、共同控制、重大影响的判断标准</w:t>
      </w:r>
      <w:r>
        <w:rPr>
          <w:w w:val="100"/>
        </w:rPr>
        <w:t> </w:t>
      </w:r>
      <w:r>
        <w:rPr>
          <w:spacing w:val="-2"/>
        </w:rPr>
        <w:t>按照相关约定对某项安排所共有的控制，并且该安排的相关活动必须经过分享控制权的参与方一致同</w:t>
      </w:r>
    </w:p>
    <w:p>
      <w:pPr>
        <w:pStyle w:val="BodyText"/>
        <w:spacing w:line="273" w:lineRule="auto"/>
        <w:ind w:right="0"/>
        <w:jc w:val="left"/>
      </w:pPr>
      <w:r>
        <w:rPr>
          <w:spacing w:val="-2"/>
        </w:rPr>
        <w:t>意后才能决策，则视为共同控制。如果存在两个或两个以上的参与方组合能够集体控制某项安排的，不视</w:t>
      </w:r>
      <w:r>
        <w:rPr>
          <w:spacing w:val="-43"/>
        </w:rPr>
        <w:t> </w:t>
      </w:r>
      <w:r>
        <w:rPr>
          <w:spacing w:val="-43"/>
        </w:rPr>
      </w:r>
      <w:r>
        <w:rPr/>
        <w:t>为共同控制。</w:t>
      </w:r>
    </w:p>
    <w:p>
      <w:pPr>
        <w:pStyle w:val="BodyText"/>
        <w:spacing w:line="273" w:lineRule="auto" w:before="46"/>
        <w:ind w:right="1126" w:firstLine="420"/>
        <w:jc w:val="both"/>
      </w:pPr>
      <w:r>
        <w:rPr>
          <w:spacing w:val="-2"/>
        </w:rPr>
        <w:t>对被投资单位的财务和经营政策有参与决策的权力，但并不能够控制或者与其他方一起共同控制这些</w:t>
      </w:r>
      <w:r>
        <w:rPr>
          <w:w w:val="100"/>
        </w:rPr>
        <w:t> </w:t>
      </w:r>
      <w:r>
        <w:rPr/>
        <w:t>政策的制定，则视为对被投资单位实施重大影响。</w:t>
      </w:r>
    </w:p>
    <w:p>
      <w:pPr>
        <w:pStyle w:val="BodyText"/>
        <w:spacing w:line="290" w:lineRule="auto" w:before="48"/>
        <w:ind w:left="573" w:right="0" w:hanging="421"/>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、初始投资成本确定</w:t>
      </w:r>
      <w:r>
        <w:rPr>
          <w:w w:val="100"/>
        </w:rPr>
        <w:t> </w:t>
      </w:r>
      <w:r>
        <w:rPr>
          <w:spacing w:val="-3"/>
        </w:rPr>
        <w:t>企业合并形成的长期股权投资，按照本附注</w:t>
      </w:r>
      <w:r>
        <w:rPr>
          <w:rFonts w:ascii="Times New Roman" w:hAnsi="Times New Roman" w:cs="Times New Roman" w:eastAsia="Times New Roman" w:hint="default"/>
          <w:spacing w:val="-3"/>
        </w:rPr>
        <w:t>“3.5</w:t>
      </w:r>
      <w:r>
        <w:rPr>
          <w:spacing w:val="-3"/>
        </w:rPr>
        <w:t>同一控制下和非同一控制下企业合并的会计处理方法</w:t>
      </w:r>
      <w:r>
        <w:rPr>
          <w:rFonts w:ascii="Times New Roman" w:hAnsi="Times New Roman" w:cs="Times New Roman" w:eastAsia="Times New Roman" w:hint="default"/>
          <w:spacing w:val="-3"/>
        </w:rPr>
        <w:t>”</w:t>
      </w:r>
    </w:p>
    <w:p>
      <w:pPr>
        <w:pStyle w:val="BodyText"/>
        <w:spacing w:line="247" w:lineRule="exact"/>
        <w:ind w:right="0"/>
        <w:jc w:val="left"/>
      </w:pPr>
      <w:r>
        <w:rPr/>
        <w:t>的相关内容确认初始投资成本；除企业合并形成的长期股权投资以外，其他方式取得的长期股权投资，按</w:t>
      </w:r>
    </w:p>
    <w:p>
      <w:pPr>
        <w:pStyle w:val="BodyText"/>
        <w:spacing w:line="240" w:lineRule="auto" w:before="37"/>
        <w:ind w:right="0"/>
        <w:jc w:val="left"/>
      </w:pPr>
      <w:r>
        <w:rPr/>
        <w:t>照下述方法确认其初始投资成本：</w:t>
      </w:r>
    </w:p>
    <w:p>
      <w:pPr>
        <w:pStyle w:val="BodyText"/>
        <w:spacing w:line="256" w:lineRule="auto" w:before="75"/>
        <w:ind w:right="1136" w:firstLine="420"/>
        <w:jc w:val="both"/>
      </w:pPr>
      <w:r>
        <w:rPr>
          <w:rFonts w:ascii="Times New Roman" w:hAnsi="Times New Roman" w:cs="Times New Roman" w:eastAsia="Times New Roman" w:hint="default"/>
        </w:rPr>
        <w:t>1</w:t>
      </w:r>
      <w:r>
        <w:rPr/>
        <w:t>）以支付现金取得的长期股权投资，按照实际支付的购买价款作为初始投资成本。初始投资成本包</w:t>
      </w:r>
      <w:r>
        <w:rPr>
          <w:w w:val="100"/>
        </w:rPr>
        <w:t> </w:t>
      </w:r>
      <w:r>
        <w:rPr/>
        <w:t>括与取得长期股权投资直接相关的费用、税金及其他必要支出。</w:t>
      </w:r>
    </w:p>
    <w:p>
      <w:pPr>
        <w:pStyle w:val="BodyText"/>
        <w:spacing w:line="256" w:lineRule="auto" w:before="63"/>
        <w:ind w:right="1131" w:firstLine="420"/>
        <w:jc w:val="both"/>
      </w:pPr>
      <w:r>
        <w:rPr>
          <w:rFonts w:ascii="Times New Roman" w:hAnsi="Times New Roman" w:cs="Times New Roman" w:eastAsia="Times New Roman" w:hint="default"/>
        </w:rPr>
        <w:t>2</w:t>
      </w:r>
      <w:r>
        <w:rPr/>
        <w:t>）以发行权益性证券取得的长期股权投资，按照发行权益性证券的公允价值作为初始投资成本。与</w:t>
      </w:r>
      <w:r>
        <w:rPr>
          <w:w w:val="100"/>
        </w:rPr>
        <w:t> </w:t>
      </w:r>
      <w:r>
        <w:rPr/>
        <w:t>发行权益性证券直接相关的费用，按照《企业会计准则第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金融工具列报》的有关规定确定。</w:t>
      </w:r>
    </w:p>
    <w:p>
      <w:pPr>
        <w:pStyle w:val="BodyText"/>
        <w:spacing w:line="268" w:lineRule="auto" w:before="46"/>
        <w:ind w:right="1126" w:firstLine="420"/>
        <w:jc w:val="both"/>
      </w:pPr>
      <w:r>
        <w:rPr>
          <w:rFonts w:ascii="Times New Roman" w:hAnsi="Times New Roman" w:cs="Times New Roman" w:eastAsia="Times New Roman" w:hint="default"/>
        </w:rPr>
        <w:t>3</w:t>
      </w:r>
      <w:r>
        <w:rPr/>
        <w:t>）在非货币性资产交换具备商业实质和换入资产或换出资产的公允价值能够可靠计量的前提下，非</w:t>
      </w:r>
      <w:r>
        <w:rPr>
          <w:w w:val="100"/>
        </w:rPr>
        <w:t> </w:t>
      </w:r>
      <w:r>
        <w:rPr>
          <w:spacing w:val="-2"/>
        </w:rPr>
        <w:t>货币性资产交换换入的长期股权投资以换出资产的公允价值为基础确定其初始投资成本，除非有确凿证据</w:t>
      </w:r>
      <w:r>
        <w:rPr>
          <w:spacing w:val="-43"/>
        </w:rPr>
        <w:t> </w:t>
      </w:r>
      <w:r>
        <w:rPr>
          <w:spacing w:val="-43"/>
        </w:rPr>
      </w:r>
      <w:r>
        <w:rPr>
          <w:spacing w:val="-2"/>
        </w:rPr>
        <w:t>表明换入资产的公允价值更加可靠；不满足上述前提的非货币性资产交换，以换出资产的账面价值和应支</w:t>
      </w:r>
      <w:r>
        <w:rPr>
          <w:spacing w:val="-42"/>
        </w:rPr>
        <w:t> </w:t>
      </w:r>
      <w:r>
        <w:rPr>
          <w:spacing w:val="-42"/>
        </w:rPr>
      </w:r>
      <w:r>
        <w:rPr/>
        <w:t>付的相关税费作为换入长期股权投资的初始投资成本。</w:t>
      </w:r>
    </w:p>
    <w:p>
      <w:pPr>
        <w:pStyle w:val="BodyText"/>
        <w:spacing w:line="240" w:lineRule="auto" w:before="50"/>
        <w:ind w:left="573" w:right="0"/>
        <w:jc w:val="left"/>
      </w:pPr>
      <w:r>
        <w:rPr>
          <w:rFonts w:ascii="Times New Roman" w:hAnsi="Times New Roman" w:cs="Times New Roman" w:eastAsia="Times New Roman" w:hint="default"/>
        </w:rPr>
        <w:t>4</w:t>
      </w:r>
      <w:r>
        <w:rPr/>
        <w:t>）通过债务重组取得的长期股权投资，其初始投资成本按照公允价值为基础确定。</w:t>
      </w:r>
    </w:p>
    <w:p>
      <w:pPr>
        <w:pStyle w:val="BodyText"/>
        <w:spacing w:line="240" w:lineRule="auto" w:before="62"/>
        <w:ind w:right="0"/>
        <w:jc w:val="left"/>
      </w:pPr>
      <w:r>
        <w:rPr>
          <w:rFonts w:ascii="Times New Roman" w:hAnsi="Times New Roman" w:cs="Times New Roman" w:eastAsia="Times New Roman" w:hint="default"/>
        </w:rPr>
        <w:t>3</w:t>
      </w:r>
      <w:r>
        <w:rPr/>
        <w:t>、后续计量及损益确认方法</w:t>
      </w:r>
    </w:p>
    <w:p>
      <w:pPr>
        <w:pStyle w:val="BodyText"/>
        <w:spacing w:line="290" w:lineRule="auto" w:before="62"/>
        <w:ind w:left="573" w:right="0"/>
        <w:jc w:val="left"/>
      </w:pPr>
      <w:r>
        <w:rPr>
          <w:rFonts w:ascii="Times New Roman" w:hAnsi="Times New Roman" w:cs="Times New Roman" w:eastAsia="Times New Roman" w:hint="default"/>
        </w:rPr>
        <w:t>1</w:t>
      </w:r>
      <w:r>
        <w:rPr/>
        <w:t>）成本法后续计量</w:t>
      </w:r>
      <w:r>
        <w:rPr>
          <w:w w:val="100"/>
        </w:rPr>
        <w:t> </w:t>
      </w:r>
      <w:r>
        <w:rPr>
          <w:spacing w:val="-2"/>
        </w:rPr>
        <w:t>公司能够对被投资单位实施控制的长期股权投资采用成本法核算，长期股权投资按照初始投资成本计</w:t>
      </w:r>
    </w:p>
    <w:p>
      <w:pPr>
        <w:pStyle w:val="BodyText"/>
        <w:spacing w:line="273" w:lineRule="auto"/>
        <w:ind w:right="1126"/>
        <w:jc w:val="left"/>
      </w:pPr>
      <w:r>
        <w:rPr>
          <w:spacing w:val="-2"/>
        </w:rPr>
        <w:t>价。追加或收回投资调整长期股权投资的成本。被投资单位宣告分派的现金股利或利润，确认为当期投资</w:t>
      </w:r>
      <w:r>
        <w:rPr>
          <w:spacing w:val="-43"/>
        </w:rPr>
        <w:t> </w:t>
      </w:r>
      <w:r>
        <w:rPr>
          <w:spacing w:val="-43"/>
        </w:rPr>
      </w:r>
      <w:r>
        <w:rPr/>
        <w:t>收益。</w:t>
      </w:r>
    </w:p>
    <w:p>
      <w:pPr>
        <w:pStyle w:val="BodyText"/>
        <w:spacing w:line="290" w:lineRule="auto" w:before="48"/>
        <w:ind w:left="573" w:right="0"/>
        <w:jc w:val="left"/>
      </w:pPr>
      <w:r>
        <w:rPr>
          <w:rFonts w:ascii="Times New Roman" w:hAnsi="Times New Roman" w:cs="Times New Roman" w:eastAsia="Times New Roman" w:hint="default"/>
        </w:rPr>
        <w:t>2</w:t>
      </w:r>
      <w:r>
        <w:rPr/>
        <w:t>）权益法后续计量</w:t>
      </w:r>
      <w:r>
        <w:rPr>
          <w:w w:val="100"/>
        </w:rPr>
        <w:t> </w:t>
      </w:r>
      <w:r>
        <w:rPr>
          <w:spacing w:val="-2"/>
        </w:rPr>
        <w:t>公司对联营企业和合营企业的长期股权投资，采用权益法核算，长期股权投资的初始投资成本大于投</w:t>
      </w:r>
    </w:p>
    <w:p>
      <w:pPr>
        <w:pStyle w:val="BodyText"/>
        <w:spacing w:line="273" w:lineRule="auto"/>
        <w:ind w:right="1126"/>
        <w:jc w:val="both"/>
      </w:pPr>
      <w:r>
        <w:rPr>
          <w:spacing w:val="-2"/>
        </w:rPr>
        <w:t>资时应享有被投资单位可辨认净资产公允价值份额的，不调整长期股权投资的初始投资成本；长期股权投</w:t>
      </w:r>
      <w:r>
        <w:rPr>
          <w:spacing w:val="-44"/>
        </w:rPr>
        <w:t> </w:t>
      </w:r>
      <w:r>
        <w:rPr>
          <w:spacing w:val="-44"/>
        </w:rPr>
      </w:r>
      <w:r>
        <w:rPr>
          <w:spacing w:val="-2"/>
        </w:rPr>
        <w:t>资的初始投资成本小于投资时应享有被投资单位可辨认净资产公允价值份额的，其差额计入当期损益，同</w:t>
      </w:r>
      <w:r>
        <w:rPr>
          <w:spacing w:val="-44"/>
        </w:rPr>
        <w:t> </w:t>
      </w:r>
      <w:r>
        <w:rPr>
          <w:spacing w:val="-44"/>
        </w:rPr>
      </w:r>
      <w:r>
        <w:rPr/>
        <w:t>时调整长期股权投资的成本。</w:t>
      </w:r>
    </w:p>
    <w:p>
      <w:pPr>
        <w:pStyle w:val="BodyText"/>
        <w:spacing w:line="273" w:lineRule="auto" w:before="46"/>
        <w:ind w:right="1126" w:firstLine="420"/>
        <w:jc w:val="both"/>
      </w:pPr>
      <w:r>
        <w:rPr>
          <w:spacing w:val="-2"/>
        </w:rPr>
        <w:t>采用权益法核算时，投资方取得长期股权投资后，按照应享有或应分担的被投资单位实现的净损益和</w:t>
      </w:r>
      <w:r>
        <w:rPr>
          <w:w w:val="100"/>
        </w:rPr>
        <w:t> </w:t>
      </w:r>
      <w:r>
        <w:rPr>
          <w:spacing w:val="-2"/>
        </w:rPr>
        <w:t>其他综合收益的份额，分别确认投资收益和其他综合收益，同时调整长期股权投资的账面价值；投资方按</w:t>
      </w:r>
      <w:r>
        <w:rPr>
          <w:spacing w:val="-43"/>
        </w:rPr>
        <w:t> </w:t>
      </w:r>
      <w:r>
        <w:rPr>
          <w:spacing w:val="-43"/>
        </w:rPr>
      </w:r>
      <w:r>
        <w:rPr>
          <w:spacing w:val="-2"/>
        </w:rPr>
        <w:t>照被投资单位宣告分派的利润或现金股利计算应享有的部分，相应减少长期股权投资的账面价值；投资方</w:t>
      </w:r>
      <w:r>
        <w:rPr>
          <w:spacing w:val="-43"/>
        </w:rPr>
        <w:t> </w:t>
      </w:r>
      <w:r>
        <w:rPr>
          <w:spacing w:val="-43"/>
        </w:rPr>
      </w:r>
      <w:r>
        <w:rPr>
          <w:spacing w:val="-2"/>
        </w:rPr>
        <w:t>对于被投资单位除净损益、其他综合收益和利润分配以外所有者权益的其他变动，调整长期股权投资的账</w:t>
      </w:r>
      <w:r>
        <w:rPr>
          <w:spacing w:val="-43"/>
        </w:rPr>
        <w:t> </w:t>
      </w:r>
      <w:r>
        <w:rPr>
          <w:spacing w:val="-43"/>
        </w:rPr>
      </w:r>
      <w:r>
        <w:rPr>
          <w:spacing w:val="-2"/>
        </w:rPr>
        <w:t>面价值并计入所有者权益。投资方在确认应享有被投资单位净损益的份额时，以取得投资时被投资单位可</w:t>
      </w:r>
      <w:r>
        <w:rPr>
          <w:spacing w:val="-44"/>
        </w:rPr>
        <w:t> </w:t>
      </w:r>
      <w:r>
        <w:rPr>
          <w:spacing w:val="-44"/>
        </w:rPr>
      </w:r>
      <w:r>
        <w:rPr>
          <w:spacing w:val="-2"/>
        </w:rPr>
        <w:t>辨认净资产的公允价值为基础，对被投资单位的净利润进行调整后确认。被投资单位采用的会计政策及会</w:t>
      </w:r>
    </w:p>
    <w:p>
      <w:pPr>
        <w:spacing w:after="0" w:line="273" w:lineRule="auto"/>
        <w:jc w:val="both"/>
        <w:sectPr>
          <w:footerReference w:type="default" r:id="rId15"/>
          <w:pgSz w:w="11910" w:h="16840"/>
          <w:pgMar w:footer="980" w:header="745" w:top="1060" w:bottom="1160" w:left="980" w:right="0"/>
          <w:pgNumType w:start="101"/>
        </w:sectPr>
      </w:pPr>
    </w:p>
    <w:p>
      <w:pPr>
        <w:spacing w:line="240" w:lineRule="auto" w:before="10"/>
        <w:rPr>
          <w:rFonts w:ascii="宋体" w:hAnsi="宋体" w:cs="宋体" w:eastAsia="宋体" w:hint="default"/>
          <w:sz w:val="24"/>
          <w:szCs w:val="24"/>
        </w:rPr>
      </w:pPr>
    </w:p>
    <w:p>
      <w:pPr>
        <w:pStyle w:val="BodyText"/>
        <w:spacing w:line="273" w:lineRule="auto" w:before="36"/>
        <w:ind w:right="0"/>
        <w:jc w:val="left"/>
      </w:pPr>
      <w:r>
        <w:rPr>
          <w:spacing w:val="-2"/>
        </w:rPr>
        <w:t>计期间与投资方不一致的，按照投资方的会计政策及会计期间对被投资单位的财务报表进行调整，并据以</w:t>
      </w:r>
      <w:r>
        <w:rPr>
          <w:spacing w:val="-44"/>
        </w:rPr>
        <w:t> </w:t>
      </w:r>
      <w:r>
        <w:rPr>
          <w:spacing w:val="-44"/>
        </w:rPr>
      </w:r>
      <w:r>
        <w:rPr/>
        <w:t>确认投资收益和其他综合收益等。</w:t>
      </w:r>
    </w:p>
    <w:p>
      <w:pPr>
        <w:pStyle w:val="BodyText"/>
        <w:spacing w:line="273" w:lineRule="auto" w:before="48"/>
        <w:ind w:right="1105" w:firstLine="420"/>
        <w:jc w:val="both"/>
      </w:pPr>
      <w:r>
        <w:rPr>
          <w:spacing w:val="-2"/>
        </w:rPr>
        <w:t>投资方确认被投资单位发生的净亏损，以长期股权投资的账面价值以及其他实质上构成对被投资单位</w:t>
      </w:r>
      <w:r>
        <w:rPr>
          <w:w w:val="100"/>
        </w:rPr>
        <w:t> </w:t>
      </w:r>
      <w:r>
        <w:rPr>
          <w:spacing w:val="-2"/>
        </w:rPr>
        <w:t>净投资的长期权益减记至零为限，投资方负有承担额外损失义务的除外。被投资单位以后实现净利润的，</w:t>
      </w:r>
      <w:r>
        <w:rPr>
          <w:spacing w:val="-21"/>
        </w:rPr>
        <w:t> </w:t>
      </w:r>
      <w:r>
        <w:rPr>
          <w:spacing w:val="-21"/>
        </w:rPr>
      </w:r>
      <w:r>
        <w:rPr/>
        <w:t>投资方在其收益分享额弥补未确认的亏损分担额后，恢复确认收益分享额。</w:t>
      </w:r>
    </w:p>
    <w:p>
      <w:pPr>
        <w:pStyle w:val="BodyText"/>
        <w:spacing w:line="266" w:lineRule="auto" w:before="46"/>
        <w:ind w:right="1126" w:firstLine="420"/>
        <w:jc w:val="both"/>
      </w:pPr>
      <w:r>
        <w:rPr>
          <w:spacing w:val="-2"/>
        </w:rPr>
        <w:t>投资方计算确认应享有或应分担被投资单位的净损益时，与联营企业、合营企业之间发生的未实现内</w:t>
      </w:r>
      <w:r>
        <w:rPr>
          <w:w w:val="100"/>
        </w:rPr>
        <w:t> </w:t>
      </w:r>
      <w:r>
        <w:rPr>
          <w:spacing w:val="-2"/>
        </w:rPr>
        <w:t>部交易损益按照应享有的比例计算归属于投资方的部分，予以抵销，在此基础上确认投资收益。投资方与</w:t>
      </w:r>
      <w:r>
        <w:rPr>
          <w:spacing w:val="-43"/>
        </w:rPr>
        <w:t> </w:t>
      </w:r>
      <w:r>
        <w:rPr>
          <w:spacing w:val="-43"/>
        </w:rPr>
      </w:r>
      <w:r>
        <w:rPr/>
        <w:t>被投资单位发生的未实现内部交易损失，按照《企业会计准则第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资产减值》等的有关规定属于资</w:t>
      </w:r>
      <w:r>
        <w:rPr>
          <w:spacing w:val="-25"/>
        </w:rPr>
        <w:t> </w:t>
      </w:r>
      <w:r>
        <w:rPr>
          <w:spacing w:val="-25"/>
        </w:rPr>
      </w:r>
      <w:r>
        <w:rPr/>
        <w:t>产减值损失的，全额确认。</w:t>
      </w:r>
    </w:p>
    <w:p>
      <w:pPr>
        <w:pStyle w:val="BodyText"/>
        <w:spacing w:line="273" w:lineRule="auto" w:before="55"/>
        <w:ind w:right="1126" w:firstLine="420"/>
        <w:jc w:val="both"/>
      </w:pPr>
      <w:r>
        <w:rPr>
          <w:spacing w:val="-2"/>
        </w:rPr>
        <w:t>投资方对联营企业的权益性投资，其中一部分通过风险投资机构、共同基金、信托公司或包括投连险</w:t>
      </w:r>
      <w:r>
        <w:rPr>
          <w:w w:val="100"/>
        </w:rPr>
        <w:t> </w:t>
      </w:r>
      <w:r>
        <w:rPr>
          <w:spacing w:val="-2"/>
        </w:rPr>
        <w:t>基金在内的类似主体间接持有的，无论以上主体是否对这部分投资具有重大影响，投资方都按照金融工具</w:t>
      </w:r>
      <w:r>
        <w:rPr>
          <w:spacing w:val="-43"/>
        </w:rPr>
        <w:t> </w:t>
      </w:r>
      <w:r>
        <w:rPr>
          <w:spacing w:val="-43"/>
        </w:rPr>
      </w:r>
      <w:r>
        <w:rPr>
          <w:spacing w:val="-2"/>
        </w:rPr>
        <w:t>政策的有关规定，对间接持有的该部分投资选择以公允价值计量且其变动计入损益，并对其余部分采用权</w:t>
      </w:r>
      <w:r>
        <w:rPr>
          <w:spacing w:val="-44"/>
        </w:rPr>
        <w:t> </w:t>
      </w:r>
      <w:r>
        <w:rPr>
          <w:spacing w:val="-44"/>
        </w:rPr>
      </w:r>
      <w:r>
        <w:rPr/>
        <w:t>益法核算。（注：描述该条政策时，应了解企业相关政策与模板政策是否相符）</w:t>
      </w:r>
    </w:p>
    <w:p>
      <w:pPr>
        <w:pStyle w:val="BodyText"/>
        <w:spacing w:line="290" w:lineRule="auto" w:before="49"/>
        <w:ind w:left="573" w:right="0"/>
        <w:jc w:val="left"/>
      </w:pPr>
      <w:r>
        <w:rPr>
          <w:rFonts w:ascii="Times New Roman" w:hAnsi="Times New Roman" w:cs="Times New Roman" w:eastAsia="Times New Roman" w:hint="default"/>
        </w:rPr>
        <w:t>3</w:t>
      </w:r>
      <w:r>
        <w:rPr/>
        <w:t>）因追加投资等原因能够对被投资单位施加重大影响或实施共同控制但不构成控制的处理</w:t>
      </w:r>
      <w:r>
        <w:rPr>
          <w:w w:val="100"/>
        </w:rPr>
        <w:t> </w:t>
      </w:r>
      <w:r>
        <w:rPr>
          <w:spacing w:val="-2"/>
        </w:rPr>
        <w:t>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金融工具确认和计量》确定的原持有的股权投资的公允价值加上新增</w:t>
      </w:r>
    </w:p>
    <w:p>
      <w:pPr>
        <w:pStyle w:val="BodyText"/>
        <w:spacing w:line="247" w:lineRule="exact"/>
        <w:ind w:right="0"/>
        <w:jc w:val="left"/>
      </w:pPr>
      <w:r>
        <w:rPr/>
        <w:t>投资成本之和，作为改按权益法核算的初始投资成本。原持有的股权投资分类为可供出售金融资产的，其</w:t>
      </w:r>
    </w:p>
    <w:p>
      <w:pPr>
        <w:pStyle w:val="BodyText"/>
        <w:spacing w:line="273" w:lineRule="auto" w:before="37"/>
        <w:ind w:right="1126"/>
        <w:jc w:val="left"/>
      </w:pPr>
      <w:r>
        <w:rPr>
          <w:spacing w:val="-2"/>
        </w:rPr>
        <w:t>公允价值与账面价值之间的差额，以及原计入其他综合收益的累计公允价值变动转入改按权益法核算的当</w:t>
      </w:r>
      <w:r>
        <w:rPr>
          <w:spacing w:val="-43"/>
        </w:rPr>
        <w:t> </w:t>
      </w:r>
      <w:r>
        <w:rPr>
          <w:spacing w:val="-43"/>
        </w:rPr>
      </w:r>
      <w:r>
        <w:rPr/>
        <w:t>期损益。</w:t>
      </w:r>
    </w:p>
    <w:p>
      <w:pPr>
        <w:pStyle w:val="BodyText"/>
        <w:spacing w:line="290" w:lineRule="auto" w:before="48"/>
        <w:ind w:left="573" w:right="0"/>
        <w:jc w:val="left"/>
      </w:pPr>
      <w:r>
        <w:rPr>
          <w:rFonts w:ascii="Times New Roman" w:hAnsi="Times New Roman" w:cs="Times New Roman" w:eastAsia="Times New Roman" w:hint="default"/>
        </w:rPr>
        <w:t>4</w:t>
      </w:r>
      <w:r>
        <w:rPr/>
        <w:t>）处置部分股权的处理</w:t>
      </w:r>
      <w:r>
        <w:rPr>
          <w:w w:val="100"/>
        </w:rPr>
        <w:t> </w:t>
      </w:r>
      <w:r>
        <w:rPr>
          <w:spacing w:val="-2"/>
        </w:rPr>
        <w:t>因处置部分股权投资等原因丧失了对被投资单位的共同控制或重大影响的，处置后的剩余股权改按本</w:t>
      </w:r>
    </w:p>
    <w:p>
      <w:pPr>
        <w:pStyle w:val="BodyText"/>
        <w:spacing w:line="264" w:lineRule="auto"/>
        <w:ind w:right="1126"/>
        <w:jc w:val="both"/>
      </w:pPr>
      <w:r>
        <w:rPr>
          <w:spacing w:val="-2"/>
        </w:rPr>
        <w:t>附注</w:t>
      </w:r>
      <w:r>
        <w:rPr>
          <w:rFonts w:ascii="Times New Roman" w:hAnsi="Times New Roman" w:cs="Times New Roman" w:eastAsia="Times New Roman" w:hint="default"/>
          <w:spacing w:val="-2"/>
        </w:rPr>
        <w:t>“</w:t>
      </w:r>
      <w:r>
        <w:rPr>
          <w:spacing w:val="-2"/>
        </w:rPr>
        <w:t>金融工具</w:t>
      </w:r>
      <w:r>
        <w:rPr>
          <w:rFonts w:ascii="Times New Roman" w:hAnsi="Times New Roman" w:cs="Times New Roman" w:eastAsia="Times New Roman" w:hint="default"/>
          <w:spacing w:val="-2"/>
        </w:rPr>
        <w:t>”</w:t>
      </w:r>
      <w:r>
        <w:rPr>
          <w:spacing w:val="-2"/>
        </w:rPr>
        <w:t>的政策核算，其在丧失共同控制或重大影响之日的公允价值与账面价值之间的差额计入当</w:t>
      </w:r>
      <w:r>
        <w:rPr>
          <w:spacing w:val="-17"/>
        </w:rPr>
        <w:t> </w:t>
      </w:r>
      <w:r>
        <w:rPr>
          <w:spacing w:val="-17"/>
        </w:rPr>
      </w:r>
      <w:r>
        <w:rPr>
          <w:spacing w:val="-2"/>
        </w:rPr>
        <w:t>期损益。原股权投资因采用权益法核算而确认的其他综合收益，在终止采用权益法核算时采用与被投资单</w:t>
      </w:r>
      <w:r>
        <w:rPr>
          <w:spacing w:val="-44"/>
        </w:rPr>
        <w:t> </w:t>
      </w:r>
      <w:r>
        <w:rPr>
          <w:spacing w:val="-44"/>
        </w:rPr>
      </w:r>
      <w:r>
        <w:rPr/>
        <w:t>位直接处置相关资产或负债相同的基础进行会计处理。</w:t>
      </w:r>
    </w:p>
    <w:p>
      <w:pPr>
        <w:pStyle w:val="BodyText"/>
        <w:spacing w:line="268" w:lineRule="auto" w:before="54"/>
        <w:ind w:right="1126" w:firstLine="420"/>
        <w:jc w:val="both"/>
      </w:pPr>
      <w:r>
        <w:rPr>
          <w:spacing w:val="-2"/>
        </w:rPr>
        <w:t>因处置部分权益性投资等原因丧失了对被投资单位的控制的，在编制个别财务报表时，处置后的剩余</w:t>
      </w:r>
      <w:r>
        <w:rPr>
          <w:w w:val="100"/>
        </w:rPr>
        <w:t> </w:t>
      </w:r>
      <w:r>
        <w:rPr>
          <w:spacing w:val="-2"/>
        </w:rPr>
        <w:t>股权能够对被投资单位实施共同控制或施加重大影响的，改按权益法核算，并对该剩余股权视同自取得时</w:t>
      </w:r>
      <w:r>
        <w:rPr>
          <w:spacing w:val="-42"/>
        </w:rPr>
        <w:t> </w:t>
      </w:r>
      <w:r>
        <w:rPr>
          <w:spacing w:val="-42"/>
        </w:rPr>
      </w:r>
      <w:r>
        <w:rPr>
          <w:spacing w:val="-2"/>
        </w:rPr>
        <w:t>即采用权益法核算进行调整；处置后的剩余股权不能对被投资单位实施共同控制或施加重大影响的，改按</w:t>
      </w:r>
      <w:r>
        <w:rPr>
          <w:spacing w:val="-43"/>
        </w:rPr>
        <w:t> </w:t>
      </w:r>
      <w:r>
        <w:rPr>
          <w:spacing w:val="-43"/>
        </w:rPr>
      </w:r>
      <w:r>
        <w:rPr>
          <w:spacing w:val="-2"/>
        </w:rPr>
        <w:t>本附注</w:t>
      </w:r>
      <w:r>
        <w:rPr>
          <w:rFonts w:ascii="Times New Roman" w:hAnsi="Times New Roman" w:cs="Times New Roman" w:eastAsia="Times New Roman" w:hint="default"/>
          <w:spacing w:val="-2"/>
        </w:rPr>
        <w:t>“</w:t>
      </w:r>
      <w:r>
        <w:rPr>
          <w:spacing w:val="-2"/>
        </w:rPr>
        <w:t>金融工具</w:t>
      </w:r>
      <w:r>
        <w:rPr>
          <w:rFonts w:ascii="Times New Roman" w:hAnsi="Times New Roman" w:cs="Times New Roman" w:eastAsia="Times New Roman" w:hint="default"/>
          <w:spacing w:val="-2"/>
        </w:rPr>
        <w:t>”</w:t>
      </w:r>
      <w:r>
        <w:rPr>
          <w:spacing w:val="-2"/>
        </w:rPr>
        <w:t>的有关政策进行会计处理，其在丧失控制之日的公允价值与账面价值间的差额计入当期</w:t>
      </w:r>
      <w:r>
        <w:rPr>
          <w:spacing w:val="-17"/>
        </w:rPr>
        <w:t> </w:t>
      </w:r>
      <w:r>
        <w:rPr>
          <w:spacing w:val="-17"/>
        </w:rPr>
      </w:r>
      <w:r>
        <w:rPr/>
        <w:t>损益。在编制合并财务报表时，按照本附注</w:t>
      </w:r>
      <w:r>
        <w:rPr>
          <w:rFonts w:ascii="Times New Roman" w:hAnsi="Times New Roman" w:cs="Times New Roman" w:eastAsia="Times New Roman" w:hint="default"/>
        </w:rPr>
        <w:t>“</w:t>
      </w:r>
      <w:r>
        <w:rPr/>
        <w:t>合并财务报表的编制方法</w:t>
      </w:r>
      <w:r>
        <w:rPr>
          <w:rFonts w:ascii="Times New Roman" w:hAnsi="Times New Roman" w:cs="Times New Roman" w:eastAsia="Times New Roman" w:hint="default"/>
        </w:rPr>
        <w:t>”</w:t>
      </w:r>
      <w:r>
        <w:rPr/>
        <w:t>的相关内容处理。</w:t>
      </w:r>
    </w:p>
    <w:p>
      <w:pPr>
        <w:pStyle w:val="BodyText"/>
        <w:spacing w:line="290" w:lineRule="auto" w:before="34"/>
        <w:ind w:left="573" w:right="0"/>
        <w:jc w:val="left"/>
      </w:pPr>
      <w:r>
        <w:rPr>
          <w:rFonts w:ascii="Times New Roman" w:hAnsi="Times New Roman" w:cs="Times New Roman" w:eastAsia="Times New Roman" w:hint="default"/>
        </w:rPr>
        <w:t>5</w:t>
      </w:r>
      <w:r>
        <w:rPr/>
        <w:t>）对联营企业或合营企业的权益性投资全部或部分分类为持有待售资产的处理</w:t>
      </w:r>
      <w:r>
        <w:rPr>
          <w:w w:val="100"/>
        </w:rPr>
        <w:t> </w:t>
      </w:r>
      <w:r>
        <w:rPr>
          <w:spacing w:val="-2"/>
        </w:rPr>
        <w:t>分类为持有待售资产的对联营企业或合营企业的权益性投资，以账面价值与公允价值减去处置费用孰</w:t>
      </w:r>
    </w:p>
    <w:p>
      <w:pPr>
        <w:pStyle w:val="BodyText"/>
        <w:spacing w:line="273" w:lineRule="auto"/>
        <w:ind w:right="0"/>
        <w:jc w:val="left"/>
      </w:pPr>
      <w:r>
        <w:rPr>
          <w:spacing w:val="-2"/>
        </w:rPr>
        <w:t>低的金额列示，公允价值减去处置费用低于原账面价值的金额，确认为资产减值损失。对于未划分为持有</w:t>
      </w:r>
      <w:r>
        <w:rPr>
          <w:spacing w:val="-44"/>
        </w:rPr>
        <w:t> </w:t>
      </w:r>
      <w:r>
        <w:rPr>
          <w:spacing w:val="-44"/>
        </w:rPr>
      </w:r>
      <w:r>
        <w:rPr>
          <w:spacing w:val="-2"/>
        </w:rPr>
        <w:t>待售资产的剩余权益性投资，采用权益法进行会计处理。已划分为持有待售的对联营企业或合营企业的权</w:t>
      </w:r>
      <w:r>
        <w:rPr>
          <w:spacing w:val="-43"/>
        </w:rPr>
        <w:t> </w:t>
      </w:r>
      <w:r>
        <w:rPr>
          <w:spacing w:val="-43"/>
        </w:rPr>
      </w:r>
      <w:r>
        <w:rPr>
          <w:spacing w:val="-5"/>
        </w:rPr>
        <w:t>益性投资，不再符合持有待售资产分类条件的，从被分类为持有待售资产之日起采用权益法进行追溯调整。 </w:t>
      </w:r>
      <w:r>
        <w:rPr>
          <w:spacing w:val="-5"/>
        </w:rPr>
      </w:r>
      <w:r>
        <w:rPr/>
        <w:t>分类为持有待售期间的财务报表作相应调整。</w:t>
      </w:r>
    </w:p>
    <w:p>
      <w:pPr>
        <w:pStyle w:val="BodyText"/>
        <w:spacing w:line="290" w:lineRule="auto" w:before="46"/>
        <w:ind w:left="573" w:right="0"/>
        <w:jc w:val="left"/>
      </w:pPr>
      <w:r>
        <w:rPr>
          <w:rFonts w:ascii="Times New Roman" w:hAnsi="Times New Roman" w:cs="Times New Roman" w:eastAsia="Times New Roman" w:hint="default"/>
        </w:rPr>
        <w:t>6</w:t>
      </w:r>
      <w:r>
        <w:rPr/>
        <w:t>）处置长期股权投资的处理</w:t>
      </w:r>
      <w:r>
        <w:rPr>
          <w:w w:val="100"/>
        </w:rPr>
        <w:t> </w:t>
      </w:r>
      <w:r>
        <w:rPr>
          <w:spacing w:val="-2"/>
        </w:rPr>
        <w:t>处置长期股权投资，其账面价值与实际取得价款之间的差额，计入当期损益。采用权益法核算的长期</w:t>
      </w:r>
    </w:p>
    <w:p>
      <w:pPr>
        <w:pStyle w:val="BodyText"/>
        <w:spacing w:line="273" w:lineRule="auto"/>
        <w:ind w:right="0"/>
        <w:jc w:val="left"/>
      </w:pPr>
      <w:r>
        <w:rPr>
          <w:spacing w:val="-2"/>
        </w:rPr>
        <w:t>股权投资，在处置该项投资时，采用与被投资单位直接处置相关资产或负债相同的基础，按相应比例对原</w:t>
      </w:r>
      <w:r>
        <w:rPr>
          <w:spacing w:val="-44"/>
        </w:rPr>
        <w:t> </w:t>
      </w:r>
      <w:r>
        <w:rPr>
          <w:spacing w:val="-44"/>
        </w:rPr>
      </w:r>
      <w:r>
        <w:rPr/>
        <w:t>计入其他综合收益的部分进行会计处理。</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23</w:t>
      </w:r>
      <w:r>
        <w:rPr/>
        <w:t>、投资性房地产</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8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after="0" w:line="36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spacing w:line="316" w:lineRule="auto" w:before="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固定资产是指为生产商品、提供劳务、出租或经营管理而持有的，使用寿命超过一个会计年度的有形资产。固定资产同时满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足下列条件的，才能予以确认：</w:t>
      </w:r>
      <w:r>
        <w:rPr>
          <w:rFonts w:ascii="Times New Roman" w:hAnsi="Times New Roman" w:cs="Times New Roman" w:eastAsia="Times New Roman" w:hint="default"/>
          <w:sz w:val="18"/>
          <w:szCs w:val="18"/>
        </w:rPr>
        <w:t>(1)</w:t>
      </w:r>
      <w:r>
        <w:rPr>
          <w:rFonts w:ascii="宋体" w:hAnsi="宋体" w:cs="宋体" w:eastAsia="宋体" w:hint="default"/>
          <w:sz w:val="18"/>
          <w:szCs w:val="18"/>
        </w:rPr>
        <w:t>与该固定资产有关的经济利益很可能流入企业；</w:t>
      </w:r>
      <w:r>
        <w:rPr>
          <w:rFonts w:ascii="Times New Roman" w:hAnsi="Times New Roman" w:cs="Times New Roman" w:eastAsia="Times New Roman" w:hint="default"/>
          <w:sz w:val="18"/>
          <w:szCs w:val="18"/>
        </w:rPr>
        <w:t>(2)</w:t>
      </w:r>
      <w:r>
        <w:rPr>
          <w:rFonts w:ascii="宋体" w:hAnsi="宋体" w:cs="宋体" w:eastAsia="宋体" w:hint="default"/>
          <w:sz w:val="18"/>
          <w:szCs w:val="18"/>
        </w:rPr>
        <w:t>该固定资产的成本能够可靠地计量。</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9.5%-19%</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25</w:t>
      </w:r>
      <w:r>
        <w:rPr/>
        <w:t>、在建工程</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26"/>
        <w:jc w:val="both"/>
      </w:pPr>
      <w:r>
        <w:rPr>
          <w:spacing w:val="-2"/>
        </w:rPr>
        <w:t>在建工程按实际发生的成本计量。实际成本包括建筑费用、其他为使在建工程达到预定可使用状态所发生</w:t>
      </w:r>
      <w:r>
        <w:rPr>
          <w:spacing w:val="-44"/>
        </w:rPr>
        <w:t> </w:t>
      </w:r>
      <w:r>
        <w:rPr>
          <w:spacing w:val="-44"/>
        </w:rPr>
      </w:r>
      <w:r>
        <w:rPr>
          <w:spacing w:val="-2"/>
        </w:rPr>
        <w:t>的必要支出以及在资产达到预定可使用状态之前所发生的符合资本化条件的借款费用。在建工程在达到预</w:t>
      </w:r>
      <w:r>
        <w:rPr>
          <w:spacing w:val="-43"/>
        </w:rPr>
        <w:t> </w:t>
      </w:r>
      <w:r>
        <w:rPr>
          <w:spacing w:val="-43"/>
        </w:rPr>
      </w:r>
      <w:r>
        <w:rPr/>
        <w:t>定可使用状态时，转入固定资产并自次月起开始计提折旧。</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26</w:t>
      </w:r>
      <w:r>
        <w:rPr/>
        <w:t>、借款费用</w:t>
      </w:r>
      <w:r>
        <w:rPr>
          <w:b w:val="0"/>
          <w:bCs w:val="0"/>
        </w:rPr>
      </w:r>
    </w:p>
    <w:p>
      <w:pPr>
        <w:spacing w:line="240" w:lineRule="auto" w:before="10"/>
        <w:rPr>
          <w:rFonts w:ascii="宋体" w:hAnsi="宋体" w:cs="宋体" w:eastAsia="宋体" w:hint="default"/>
          <w:b/>
          <w:bCs/>
          <w:sz w:val="24"/>
          <w:szCs w:val="24"/>
        </w:rPr>
      </w:pPr>
    </w:p>
    <w:p>
      <w:pPr>
        <w:pStyle w:val="BodyText"/>
        <w:spacing w:line="268" w:lineRule="auto"/>
        <w:ind w:right="0" w:firstLine="420"/>
        <w:jc w:val="left"/>
      </w:pPr>
      <w:r>
        <w:rPr/>
        <w:t>发生的可直接归属于需要经过相当长时间的购建活动才能达到预定可使用状态之固定资产的购建的</w:t>
      </w:r>
      <w:r>
        <w:rPr>
          <w:w w:val="100"/>
        </w:rPr>
        <w:t> </w:t>
      </w:r>
      <w:r>
        <w:rPr>
          <w:spacing w:val="-5"/>
        </w:rPr>
        <w:t>借款费用，在资产支出及借款费用已经发生、为使资产达到预定可使用状态所必要的购建活动已经开始时，</w:t>
      </w:r>
      <w:r>
        <w:rPr>
          <w:spacing w:val="-6"/>
        </w:rPr>
        <w:t> </w:t>
      </w:r>
      <w:r>
        <w:rPr>
          <w:spacing w:val="-6"/>
        </w:rPr>
      </w:r>
      <w:r>
        <w:rPr/>
        <w:t>开始资本化并计入该资产的成本。当购建的资产达到预定可使用状态时停止资本化，其后发生的借款费用</w:t>
      </w:r>
      <w:r>
        <w:rPr>
          <w:w w:val="100"/>
        </w:rPr>
        <w:t> </w:t>
      </w:r>
      <w:r>
        <w:rPr/>
        <w:t>计入当期损益。如果资产的购建活动发生非正常中断，并且中断时间连续超过</w:t>
      </w:r>
      <w:r>
        <w:rPr>
          <w:rFonts w:ascii="Times New Roman" w:hAnsi="Times New Roman" w:cs="Times New Roman" w:eastAsia="Times New Roman" w:hint="default"/>
        </w:rPr>
        <w:t>3</w:t>
      </w:r>
      <w:r>
        <w:rPr/>
        <w:t>个月，暂停借款费用的资</w:t>
      </w:r>
      <w:r>
        <w:rPr>
          <w:w w:val="100"/>
        </w:rPr>
        <w:t> </w:t>
      </w:r>
      <w:r>
        <w:rPr/>
        <w:t>本化，直至资产的购建活动重新开始。</w:t>
      </w:r>
    </w:p>
    <w:p>
      <w:pPr>
        <w:pStyle w:val="BodyText"/>
        <w:spacing w:line="273" w:lineRule="auto" w:before="12"/>
        <w:ind w:right="1126" w:firstLine="420"/>
        <w:jc w:val="both"/>
      </w:pPr>
      <w:r>
        <w:rPr>
          <w:spacing w:val="-2"/>
        </w:rPr>
        <w:t>在资本化期间内，专门借款（指为购建或者生产符合资本化条件的资产而专门借入的款项）以专门借</w:t>
      </w:r>
      <w:r>
        <w:rPr>
          <w:w w:val="100"/>
        </w:rPr>
        <w:t> </w:t>
      </w:r>
      <w:r>
        <w:rPr>
          <w:spacing w:val="-2"/>
        </w:rPr>
        <w:t>款当期实际发生的利息费用，减去将尚未动用的借款资金存入银行取得的利息收入或进行暂时性投资取得</w:t>
      </w:r>
      <w:r>
        <w:rPr>
          <w:spacing w:val="-43"/>
        </w:rPr>
        <w:t> </w:t>
      </w:r>
      <w:r>
        <w:rPr>
          <w:spacing w:val="-43"/>
        </w:rPr>
      </w:r>
      <w:r>
        <w:rPr>
          <w:spacing w:val="-2"/>
        </w:rPr>
        <w:t>的投资收益后确定应予资本化的利息金额；一般借款则根据累计资产支出超过专门借款部分的资产支出加</w:t>
      </w:r>
      <w:r>
        <w:rPr>
          <w:spacing w:val="-43"/>
        </w:rPr>
        <w:t> </w:t>
      </w:r>
      <w:r>
        <w:rPr>
          <w:spacing w:val="-43"/>
        </w:rPr>
      </w:r>
      <w:r>
        <w:rPr>
          <w:spacing w:val="-2"/>
        </w:rPr>
        <w:t>权平均数乘以所占用一般借款的资本化率，计算确定一般借款应予资本化的利息金额。资本化率根据一般</w:t>
      </w:r>
      <w:r>
        <w:rPr>
          <w:spacing w:val="-43"/>
        </w:rPr>
        <w:t> </w:t>
      </w:r>
      <w:r>
        <w:rPr>
          <w:spacing w:val="-43"/>
        </w:rPr>
      </w:r>
      <w:r>
        <w:rPr/>
        <w:t>借款加权平均利率计算确定。</w:t>
      </w:r>
    </w:p>
    <w:p>
      <w:pPr>
        <w:pStyle w:val="BodyText"/>
        <w:spacing w:line="273" w:lineRule="auto" w:before="48"/>
        <w:ind w:right="1126"/>
        <w:jc w:val="both"/>
      </w:pPr>
      <w:r>
        <w:rPr>
          <w:spacing w:val="-2"/>
        </w:rPr>
        <w:t>借款存在折价或者溢价的，按照实际利率法确定每一会计期间应摊销的折价或者溢价金额，调整每期利息</w:t>
      </w:r>
      <w:r>
        <w:rPr>
          <w:spacing w:val="-43"/>
        </w:rPr>
        <w:t> </w:t>
      </w:r>
      <w:r>
        <w:rPr>
          <w:spacing w:val="-43"/>
        </w:rPr>
      </w:r>
      <w:r>
        <w:rPr/>
        <w:t>金额。</w:t>
      </w:r>
    </w:p>
    <w:p>
      <w:pPr>
        <w:spacing w:after="0" w:line="273"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27</w:t>
      </w:r>
      <w:r>
        <w:rPr/>
        <w:t>、生物资产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28</w:t>
      </w:r>
      <w:r>
        <w:rPr/>
        <w:t>、油气资产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29</w:t>
      </w:r>
      <w:r>
        <w:rPr/>
        <w:t>、使用权资产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30</w:t>
      </w:r>
      <w:r>
        <w:rPr/>
        <w:t>、无形资产</w:t>
      </w:r>
      <w:r>
        <w:rPr>
          <w:b w:val="0"/>
          <w:bCs w:val="0"/>
        </w:rPr>
      </w:r>
    </w:p>
    <w:p>
      <w:pPr>
        <w:spacing w:line="614" w:lineRule="exact" w:before="75"/>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100"/>
          <w:sz w:val="21"/>
          <w:szCs w:val="21"/>
        </w:rPr>
        <w:t> </w:t>
      </w:r>
      <w:r>
        <w:rPr>
          <w:rFonts w:ascii="宋体" w:hAnsi="宋体" w:cs="宋体" w:eastAsia="宋体" w:hint="default"/>
          <w:spacing w:val="-2"/>
          <w:sz w:val="21"/>
          <w:szCs w:val="21"/>
        </w:rPr>
        <w:t>无形资产包括土地使用权、专利权及非专利技术、通过建设经营移交方式</w:t>
      </w:r>
      <w:r>
        <w:rPr>
          <w:rFonts w:ascii="Times New Roman" w:hAnsi="Times New Roman" w:cs="Times New Roman" w:eastAsia="Times New Roman" w:hint="default"/>
          <w:spacing w:val="-2"/>
          <w:sz w:val="21"/>
          <w:szCs w:val="21"/>
        </w:rPr>
        <w:t>(BOT)</w:t>
      </w:r>
      <w:r>
        <w:rPr>
          <w:rFonts w:ascii="宋体" w:hAnsi="宋体" w:cs="宋体" w:eastAsia="宋体" w:hint="default"/>
          <w:spacing w:val="-2"/>
          <w:sz w:val="21"/>
          <w:szCs w:val="21"/>
        </w:rPr>
        <w:t>取得的资产等。无形</w:t>
      </w:r>
    </w:p>
    <w:p>
      <w:pPr>
        <w:pStyle w:val="BodyText"/>
        <w:spacing w:line="219" w:lineRule="exact"/>
        <w:ind w:right="0"/>
        <w:jc w:val="left"/>
      </w:pPr>
      <w:r>
        <w:rPr/>
        <w:t>资产以实际成本计量。公司制改建时国有股股东投入的无形资产，按国有资产管理部门确认的评估值作为</w:t>
      </w:r>
    </w:p>
    <w:p>
      <w:pPr>
        <w:pStyle w:val="BodyText"/>
        <w:spacing w:line="240" w:lineRule="auto" w:before="37"/>
        <w:ind w:right="0"/>
        <w:jc w:val="left"/>
      </w:pPr>
      <w:r>
        <w:rPr/>
        <w:t>入账价值。</w:t>
      </w:r>
    </w:p>
    <w:p>
      <w:pPr>
        <w:pStyle w:val="BodyText"/>
        <w:spacing w:line="264" w:lineRule="auto" w:before="37"/>
        <w:ind w:right="1126" w:firstLine="420"/>
        <w:jc w:val="both"/>
      </w:pPr>
      <w:r>
        <w:rPr>
          <w:spacing w:val="-2"/>
        </w:rPr>
        <w:t>土地使用权按使用年限年平均摊销。外购土地及建筑物的价款难以在土地使用权与建筑物之间合理分</w:t>
      </w:r>
      <w:r>
        <w:rPr>
          <w:w w:val="100"/>
        </w:rPr>
        <w:t> </w:t>
      </w:r>
      <w:r>
        <w:rPr>
          <w:spacing w:val="-2"/>
        </w:rPr>
        <w:t>配的，全部作为固定资产。专利权按法律规定的有效年限年平均摊销。通过</w:t>
      </w:r>
      <w:r>
        <w:rPr>
          <w:rFonts w:ascii="Times New Roman" w:hAnsi="Times New Roman" w:cs="Times New Roman" w:eastAsia="Times New Roman" w:hint="default"/>
          <w:spacing w:val="-2"/>
        </w:rPr>
        <w:t>BOT</w:t>
      </w:r>
      <w:r>
        <w:rPr>
          <w:spacing w:val="-2"/>
        </w:rPr>
        <w:t>方式取得的资产按基础设</w:t>
      </w:r>
      <w:r>
        <w:rPr>
          <w:spacing w:val="-46"/>
        </w:rPr>
        <w:t> </w:t>
      </w:r>
      <w:r>
        <w:rPr>
          <w:spacing w:val="-46"/>
        </w:rPr>
      </w:r>
      <w:r>
        <w:rPr/>
        <w:t>施经营权期限年平均摊销。</w:t>
      </w:r>
    </w:p>
    <w:p>
      <w:pPr>
        <w:pStyle w:val="BodyText"/>
        <w:spacing w:line="240" w:lineRule="auto" w:before="57"/>
        <w:ind w:right="0"/>
        <w:jc w:val="left"/>
      </w:pPr>
      <w:r>
        <w:rPr/>
        <w:t>对使用寿命有限的无形资产的预计使用寿命及摊销方法于每年年度终了进行复核并作适当调整。</w:t>
      </w:r>
    </w:p>
    <w:p>
      <w:pPr>
        <w:spacing w:line="600" w:lineRule="atLeast" w:before="25"/>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根据内部研究开发项目支出的性质以及研发活动最终形成无形资产是否具有较大不确定性，分为研究</w:t>
      </w:r>
    </w:p>
    <w:p>
      <w:pPr>
        <w:pStyle w:val="BodyText"/>
        <w:spacing w:line="273" w:lineRule="auto" w:before="37"/>
        <w:ind w:left="573" w:right="0" w:hanging="421"/>
        <w:jc w:val="left"/>
      </w:pPr>
      <w:r>
        <w:rPr/>
        <w:t>阶段支出和开发阶段支出。</w:t>
      </w:r>
      <w:r>
        <w:rPr>
          <w:w w:val="100"/>
        </w:rPr>
        <w:t> </w:t>
      </w:r>
      <w:r>
        <w:rPr>
          <w:spacing w:val="-5"/>
        </w:rPr>
        <w:t>研究阶段的支出，于发生时计入当期损益；开发阶段的支出，同时满足下列条件的，确认为无形资产：</w:t>
      </w:r>
      <w:r>
        <w:rPr>
          <w:w w:val="100"/>
        </w:rPr>
        <w:t> </w:t>
      </w:r>
      <w:r>
        <w:rPr>
          <w:rFonts w:ascii="Times New Roman" w:hAnsi="Times New Roman" w:cs="Times New Roman" w:eastAsia="Times New Roman" w:hint="default"/>
        </w:rPr>
        <w:t>1</w:t>
      </w:r>
      <w:r>
        <w:rPr/>
        <w:t>）完成该无形资产以使其能够使用或出售在技术上具有可行性；</w:t>
      </w:r>
    </w:p>
    <w:p>
      <w:pPr>
        <w:pStyle w:val="BodyText"/>
        <w:spacing w:line="279" w:lineRule="exact"/>
        <w:ind w:left="573" w:right="0"/>
        <w:jc w:val="left"/>
      </w:pPr>
      <w:r>
        <w:rPr>
          <w:rFonts w:ascii="Times New Roman" w:hAnsi="Times New Roman" w:cs="Times New Roman" w:eastAsia="Times New Roman" w:hint="default"/>
        </w:rPr>
        <w:t>2</w:t>
      </w:r>
      <w:r>
        <w:rPr/>
        <w:t>）管理层具有完成该无形资产并使用或出售的意图；</w:t>
      </w:r>
    </w:p>
    <w:p>
      <w:pPr>
        <w:pStyle w:val="BodyText"/>
        <w:spacing w:line="240" w:lineRule="auto" w:before="21"/>
        <w:ind w:left="573" w:right="0"/>
        <w:jc w:val="left"/>
      </w:pPr>
      <w:r>
        <w:rPr>
          <w:rFonts w:ascii="Times New Roman" w:hAnsi="Times New Roman" w:cs="Times New Roman" w:eastAsia="Times New Roman" w:hint="default"/>
        </w:rPr>
        <w:t>3</w:t>
      </w:r>
      <w:r>
        <w:rPr/>
        <w:t>）能够证明该无形资产将如何产生经济利益；</w:t>
      </w:r>
    </w:p>
    <w:p>
      <w:pPr>
        <w:pStyle w:val="BodyText"/>
        <w:spacing w:line="256" w:lineRule="auto" w:before="21"/>
        <w:ind w:right="1210" w:firstLine="420"/>
        <w:jc w:val="both"/>
      </w:pPr>
      <w:r>
        <w:rPr>
          <w:rFonts w:ascii="Times New Roman" w:hAnsi="Times New Roman" w:cs="Times New Roman" w:eastAsia="Times New Roman" w:hint="default"/>
          <w:spacing w:val="-2"/>
        </w:rPr>
        <w:t>4</w:t>
      </w:r>
      <w:r>
        <w:rPr>
          <w:spacing w:val="-2"/>
        </w:rPr>
        <w:t>）有足够的技术、财务资源和其他资源支持，以完成该无形资产的开发，并有能力使用或出售该无</w:t>
      </w:r>
      <w:r>
        <w:rPr>
          <w:w w:val="100"/>
        </w:rPr>
        <w:t> </w:t>
      </w:r>
      <w:r>
        <w:rPr/>
        <w:t>形资产；</w:t>
      </w:r>
    </w:p>
    <w:p>
      <w:pPr>
        <w:pStyle w:val="BodyText"/>
        <w:spacing w:line="256" w:lineRule="auto" w:before="22"/>
        <w:ind w:left="573" w:right="0"/>
        <w:jc w:val="left"/>
      </w:pPr>
      <w:r>
        <w:rPr>
          <w:rFonts w:ascii="Times New Roman" w:hAnsi="Times New Roman" w:cs="Times New Roman" w:eastAsia="Times New Roman" w:hint="default"/>
        </w:rPr>
        <w:t>5</w:t>
      </w:r>
      <w:r>
        <w:rPr/>
        <w:t>）归属于该无形资产开发阶段的支出能够可靠地计量。</w:t>
      </w:r>
      <w:r>
        <w:rPr>
          <w:w w:val="100"/>
        </w:rPr>
        <w:t> </w:t>
      </w:r>
      <w:r>
        <w:rPr>
          <w:spacing w:val="-2"/>
        </w:rPr>
        <w:t>不满足上述条件的开发阶段的支出，于发生时计入当期损益。前期已计入损益的开发支出不在以后期</w:t>
      </w:r>
    </w:p>
    <w:p>
      <w:pPr>
        <w:pStyle w:val="BodyText"/>
        <w:spacing w:line="273" w:lineRule="auto" w:before="22"/>
        <w:ind w:right="0"/>
        <w:jc w:val="left"/>
      </w:pPr>
      <w:r>
        <w:rPr>
          <w:spacing w:val="-2"/>
        </w:rPr>
        <w:t>间确认为资产。已资本化的开发阶段的支出在资产负债表上列示为开发支出，自该项目达到预定可使用状</w:t>
      </w:r>
      <w:r>
        <w:rPr>
          <w:spacing w:val="-43"/>
        </w:rPr>
        <w:t> </w:t>
      </w:r>
      <w:r>
        <w:rPr>
          <w:spacing w:val="-43"/>
        </w:rPr>
      </w:r>
      <w:r>
        <w:rPr/>
        <w:t>态之日起转为无形资产。</w:t>
      </w:r>
    </w:p>
    <w:p>
      <w:pPr>
        <w:pStyle w:val="BodyText"/>
        <w:spacing w:line="240" w:lineRule="auto" w:before="48"/>
        <w:ind w:right="0"/>
        <w:jc w:val="left"/>
      </w:pPr>
      <w:r>
        <w:rPr/>
        <w:t>当开发支出的可收回金额低于其账面价值时，账面价值减记至可收回金额。</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31</w:t>
      </w:r>
      <w:r>
        <w:rPr/>
        <w:t>、长期资产减值</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26"/>
        <w:jc w:val="both"/>
      </w:pPr>
      <w:r>
        <w:rPr>
          <w:spacing w:val="-2"/>
        </w:rPr>
        <w:t>在财务报表中单独列示的商誉和使用寿命不确定的无形资产，无论是否存在减值迹象，至少每年进行减值</w:t>
      </w:r>
      <w:r>
        <w:rPr>
          <w:spacing w:val="-42"/>
        </w:rPr>
        <w:t> </w:t>
      </w:r>
      <w:r>
        <w:rPr>
          <w:spacing w:val="-42"/>
        </w:rPr>
      </w:r>
      <w:r>
        <w:rPr>
          <w:spacing w:val="-2"/>
        </w:rPr>
        <w:t>测试。固定资产、无形资产、以成本模式计量的投资性房地产及长期股权投资等，于资产负债表日存在减</w:t>
      </w:r>
      <w:r>
        <w:rPr>
          <w:spacing w:val="-47"/>
        </w:rPr>
        <w:t> </w:t>
      </w:r>
      <w:r>
        <w:rPr>
          <w:spacing w:val="-47"/>
        </w:rPr>
      </w:r>
      <w:r>
        <w:rPr>
          <w:spacing w:val="-2"/>
        </w:rPr>
        <w:t>值迹象的，进行减值测试。减值测试结果表明资产的可收回金额低于其账面价值的，按其差额计提减值准</w:t>
      </w:r>
      <w:r>
        <w:rPr>
          <w:spacing w:val="-44"/>
        </w:rPr>
        <w:t> </w:t>
      </w:r>
      <w:r>
        <w:rPr>
          <w:spacing w:val="-44"/>
        </w:rPr>
      </w:r>
      <w:r>
        <w:rPr>
          <w:spacing w:val="-2"/>
        </w:rPr>
        <w:t>备并计入减值损失。可收回金额为资产的公允价值减去处置费用后的净额与资产预计未来现金流量的现值</w:t>
      </w:r>
      <w:r>
        <w:rPr>
          <w:spacing w:val="-43"/>
        </w:rPr>
        <w:t> </w:t>
      </w:r>
      <w:r>
        <w:rPr>
          <w:spacing w:val="-43"/>
        </w:rPr>
      </w:r>
      <w:r>
        <w:rPr>
          <w:spacing w:val="-2"/>
        </w:rPr>
        <w:t>两者之间的较高者。资产减值准备按单项资产为基础计算并确认，如果难以对单项资产的可收回金额进行</w:t>
      </w:r>
      <w:r>
        <w:rPr>
          <w:spacing w:val="-42"/>
        </w:rPr>
        <w:t> </w:t>
      </w:r>
      <w:r>
        <w:rPr>
          <w:spacing w:val="-42"/>
        </w:rPr>
      </w:r>
      <w:r>
        <w:rPr>
          <w:spacing w:val="-2"/>
        </w:rPr>
        <w:t>估计的，以该资产所属的资产组确定资产组的可收回金额。资产组是能够独立产生现金流入的最小资产组</w:t>
      </w:r>
      <w:r>
        <w:rPr>
          <w:spacing w:val="-44"/>
        </w:rPr>
        <w:t> </w:t>
      </w:r>
      <w:r>
        <w:rPr>
          <w:spacing w:val="-44"/>
        </w:rPr>
      </w:r>
      <w:r>
        <w:rPr/>
        <w:t>合。前述资产减值损失一经确认，如果在以后期间价值得以恢复，也不予转回。</w:t>
      </w:r>
    </w:p>
    <w:p>
      <w:pPr>
        <w:spacing w:after="0" w:line="273"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32</w:t>
      </w:r>
      <w:r>
        <w:rPr/>
        <w:t>、长期待摊费用</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jc w:val="left"/>
      </w:pPr>
      <w:r>
        <w:rPr>
          <w:spacing w:val="-2"/>
        </w:rPr>
        <w:t>长期待摊费用包括经营租入固定资产改良及其他已经发生但由本期和以后各期负担的分摊期限在一年以</w:t>
      </w:r>
      <w:r>
        <w:rPr>
          <w:spacing w:val="-21"/>
        </w:rPr>
        <w:t> </w:t>
      </w:r>
      <w:r>
        <w:rPr>
          <w:spacing w:val="-21"/>
        </w:rPr>
      </w:r>
      <w:r>
        <w:rPr/>
        <w:t>上的各项费用，按预计受益期间分期平均摊销，并以实际支出减去累计摊销后的净额列示。</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33</w:t>
      </w:r>
      <w:r>
        <w:rPr/>
        <w:t>、合同负债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34</w:t>
      </w:r>
      <w:r>
        <w:rPr/>
        <w:t>、职工薪酬</w:t>
      </w:r>
      <w:r>
        <w:rPr>
          <w:b w:val="0"/>
          <w:bCs w:val="0"/>
        </w:rPr>
      </w:r>
    </w:p>
    <w:p>
      <w:pPr>
        <w:spacing w:line="590" w:lineRule="atLeast" w:before="24"/>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在职工为公司提供服务的会计期间，将实际发生的短期薪酬确认为负债，并计入当期损益或相关资产</w:t>
      </w:r>
    </w:p>
    <w:p>
      <w:pPr>
        <w:pStyle w:val="BodyText"/>
        <w:spacing w:line="273" w:lineRule="auto" w:before="37"/>
        <w:ind w:left="0" w:right="1107"/>
        <w:jc w:val="right"/>
      </w:pPr>
      <w:r>
        <w:rPr>
          <w:spacing w:val="-2"/>
        </w:rPr>
        <w:t>成本。发生的职工福利费，在实际发生时根据实际发生额计入当期损益或相关资产成本。职工福利费为非</w:t>
      </w:r>
      <w:r>
        <w:rPr>
          <w:spacing w:val="-86"/>
        </w:rPr>
        <w:t> </w:t>
      </w:r>
      <w:r>
        <w:rPr>
          <w:spacing w:val="-86"/>
        </w:rPr>
      </w:r>
      <w:r>
        <w:rPr>
          <w:spacing w:val="-2"/>
        </w:rPr>
        <w:t>货币性福利的，按照公允价值计量。为职工缴纳的医疗保险费、工伤保险费、生育保险费等社会保险费和</w:t>
      </w:r>
      <w:r>
        <w:rPr>
          <w:spacing w:val="-98"/>
        </w:rPr>
        <w:t> </w:t>
      </w:r>
      <w:r>
        <w:rPr>
          <w:spacing w:val="-98"/>
        </w:rPr>
      </w:r>
      <w:r>
        <w:rPr>
          <w:spacing w:val="-2"/>
        </w:rPr>
        <w:t>住房公积金，以及按规定提取的工会经费和职工教育经费，在职工为公司提供服务的会计期间，根据规定</w:t>
      </w:r>
      <w:r>
        <w:rPr>
          <w:spacing w:val="-82"/>
        </w:rPr>
        <w:t> </w:t>
      </w:r>
      <w:r>
        <w:rPr>
          <w:spacing w:val="-82"/>
        </w:rPr>
      </w:r>
      <w:r>
        <w:rPr>
          <w:spacing w:val="-2"/>
        </w:rPr>
        <w:t>的计提基础和计提比例计算确定相应的职工薪酬金额，并确认相应负债，计入当期损益或相关资产成本。</w:t>
      </w:r>
      <w:r>
        <w:rPr>
          <w:spacing w:val="-46"/>
        </w:rPr>
        <w:t> </w:t>
      </w:r>
      <w:r>
        <w:rPr>
          <w:spacing w:val="-46"/>
        </w:rPr>
      </w:r>
      <w:r>
        <w:rPr>
          <w:spacing w:val="-2"/>
        </w:rPr>
        <w:t>在职工提供服务从而增加了其未来享有的带薪缺勤权利时，确认与累积带薪缺勤相关的职工薪酬，并</w:t>
      </w:r>
      <w:r>
        <w:rPr>
          <w:w w:val="100"/>
        </w:rPr>
        <w:t> </w:t>
      </w:r>
      <w:r>
        <w:rPr>
          <w:spacing w:val="-2"/>
        </w:rPr>
        <w:t>以累积未行使权利而增加的预期支付金额计量。在职工实际发生缺勤的会计期间确认与非累积带薪缺勤相</w:t>
      </w:r>
    </w:p>
    <w:p>
      <w:pPr>
        <w:pStyle w:val="BodyText"/>
        <w:spacing w:line="273" w:lineRule="auto" w:before="7"/>
        <w:ind w:left="573" w:right="3554" w:hanging="421"/>
        <w:jc w:val="left"/>
      </w:pPr>
      <w:r>
        <w:rPr/>
        <w:t>关的职工薪酬。</w:t>
      </w:r>
      <w:r>
        <w:rPr>
          <w:spacing w:val="-103"/>
        </w:rPr>
        <w:t> </w:t>
      </w:r>
      <w:r>
        <w:rPr>
          <w:spacing w:val="-103"/>
        </w:rPr>
      </w:r>
      <w:r>
        <w:rPr>
          <w:spacing w:val="-2"/>
        </w:rPr>
        <w:t>利润分享计划同时满足下列条件时，公司确认相关的应付职工薪酬：</w:t>
      </w:r>
      <w:r>
        <w:rPr>
          <w:w w:val="100"/>
        </w:rPr>
        <w:t> </w:t>
      </w:r>
      <w:r>
        <w:rPr>
          <w:rFonts w:ascii="Times New Roman" w:hAnsi="Times New Roman" w:cs="Times New Roman" w:eastAsia="Times New Roman" w:hint="default"/>
        </w:rPr>
        <w:t>1</w:t>
      </w:r>
      <w:r>
        <w:rPr/>
        <w:t>）因过去事项导致现在具有支付职工薪酬的法定义务或推定义务；</w:t>
      </w:r>
    </w:p>
    <w:p>
      <w:pPr>
        <w:pStyle w:val="BodyText"/>
        <w:spacing w:line="240" w:lineRule="auto" w:before="29"/>
        <w:ind w:left="825" w:right="0"/>
        <w:jc w:val="left"/>
      </w:pPr>
      <w:r>
        <w:rPr>
          <w:rFonts w:ascii="Times New Roman" w:hAnsi="Times New Roman" w:cs="Times New Roman" w:eastAsia="Times New Roman" w:hint="default"/>
        </w:rPr>
        <w:t>2</w:t>
      </w:r>
      <w:r>
        <w:rPr/>
        <w:t>）因利润分享计划所产生的应付职工薪酬义务金额能够可靠估计。</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573" w:right="0"/>
        <w:jc w:val="left"/>
      </w:pPr>
      <w:r>
        <w:rPr>
          <w:rFonts w:ascii="Times New Roman" w:hAnsi="Times New Roman" w:cs="Times New Roman" w:eastAsia="Times New Roman" w:hint="default"/>
        </w:rPr>
        <w:t>1</w:t>
      </w:r>
      <w:r>
        <w:rPr/>
        <w:t>）设定提存计划</w:t>
      </w:r>
      <w:r>
        <w:rPr>
          <w:w w:val="100"/>
        </w:rPr>
        <w:t> </w:t>
      </w:r>
      <w:r>
        <w:rPr>
          <w:spacing w:val="-2"/>
        </w:rPr>
        <w:t>公司在职工为其提供服务的会计期间，将根据设定提存计划计算的应缴存金额确认为负债，并计入当</w:t>
      </w:r>
    </w:p>
    <w:p>
      <w:pPr>
        <w:pStyle w:val="BodyText"/>
        <w:spacing w:line="273" w:lineRule="auto" w:before="22"/>
        <w:ind w:right="0"/>
        <w:jc w:val="left"/>
      </w:pPr>
      <w:r>
        <w:rPr>
          <w:spacing w:val="-2"/>
        </w:rPr>
        <w:t>期损益或相关资产成本。根据设定提存计划，预期不会在职工提供相关服务的年度报告期结束后十二个月</w:t>
      </w:r>
      <w:r>
        <w:rPr>
          <w:spacing w:val="-42"/>
        </w:rPr>
        <w:t> </w:t>
      </w:r>
      <w:r>
        <w:rPr>
          <w:spacing w:val="-42"/>
        </w:rPr>
      </w:r>
      <w:r>
        <w:rPr/>
        <w:t>内支付全部应缴存金额的，公司将全部应缴存金额以折现后的金额计量应付职工薪酬。</w:t>
      </w:r>
    </w:p>
    <w:p>
      <w:pPr>
        <w:pStyle w:val="BodyText"/>
        <w:spacing w:line="256" w:lineRule="auto" w:before="7"/>
        <w:ind w:left="573" w:right="4554"/>
        <w:jc w:val="left"/>
      </w:pPr>
      <w:r>
        <w:rPr>
          <w:rFonts w:ascii="Times New Roman" w:hAnsi="Times New Roman" w:cs="Times New Roman" w:eastAsia="Times New Roman" w:hint="default"/>
        </w:rPr>
        <w:t>2</w:t>
      </w:r>
      <w:r>
        <w:rPr/>
        <w:t>）设定受益计划</w:t>
      </w:r>
      <w:r>
        <w:rPr>
          <w:w w:val="100"/>
        </w:rPr>
        <w:t> </w:t>
      </w:r>
      <w:r>
        <w:rPr>
          <w:spacing w:val="-2"/>
        </w:rPr>
        <w:t>公司对设定受益计划的会计处理包括下列四个步骤：</w:t>
      </w:r>
    </w:p>
    <w:p>
      <w:pPr>
        <w:pStyle w:val="BodyText"/>
        <w:spacing w:line="273" w:lineRule="auto" w:before="22"/>
        <w:ind w:right="1126" w:firstLine="420"/>
        <w:jc w:val="both"/>
      </w:pPr>
      <w:r>
        <w:rPr>
          <w:spacing w:val="-2"/>
        </w:rPr>
        <w:t>①根据预期累计福利单位法，采用无偏且相互一致的精算假设对有关人口统计变量和财务变量等做出</w:t>
      </w:r>
      <w:r>
        <w:rPr>
          <w:w w:val="100"/>
        </w:rPr>
        <w:t> </w:t>
      </w:r>
      <w:r>
        <w:rPr>
          <w:spacing w:val="-2"/>
        </w:rPr>
        <w:t>估计，计量设定受益计划所产生的义务，并确定相关义务的归属期间。公司将设定受益计划所产生的义务</w:t>
      </w:r>
      <w:r>
        <w:rPr>
          <w:spacing w:val="-44"/>
        </w:rPr>
        <w:t> </w:t>
      </w:r>
      <w:r>
        <w:rPr>
          <w:spacing w:val="-44"/>
        </w:rPr>
      </w:r>
      <w:r>
        <w:rPr/>
        <w:t>予以折现，以确定设定受益计划义务的现值和当期服务成本。</w:t>
      </w:r>
    </w:p>
    <w:p>
      <w:pPr>
        <w:pStyle w:val="BodyText"/>
        <w:spacing w:line="273" w:lineRule="auto" w:before="7"/>
        <w:ind w:right="1126" w:firstLine="420"/>
        <w:jc w:val="both"/>
      </w:pPr>
      <w:r>
        <w:rPr>
          <w:spacing w:val="-2"/>
        </w:rPr>
        <w:t>②设定受益计划存在资产的，公司将设定受益计划义务现值减去设定受益计划资产公允价值所形成的</w:t>
      </w:r>
      <w:r>
        <w:rPr>
          <w:w w:val="100"/>
        </w:rPr>
        <w:t> </w:t>
      </w:r>
      <w:r>
        <w:rPr>
          <w:spacing w:val="-2"/>
        </w:rPr>
        <w:t>赤字或盈余确认为一项设定受益计划净负债或净资产。设定受益计划存在盈余的，公司以设定受益计划的</w:t>
      </w:r>
      <w:r>
        <w:rPr>
          <w:spacing w:val="-43"/>
        </w:rPr>
        <w:t> </w:t>
      </w:r>
      <w:r>
        <w:rPr>
          <w:spacing w:val="-43"/>
        </w:rPr>
      </w:r>
      <w:r>
        <w:rPr/>
        <w:t>盈余和资产上限两项的孰低者计量设定受益计划净资产。</w:t>
      </w:r>
    </w:p>
    <w:p>
      <w:pPr>
        <w:pStyle w:val="BodyText"/>
        <w:spacing w:line="240" w:lineRule="auto" w:before="7"/>
        <w:ind w:left="573" w:right="0"/>
        <w:jc w:val="left"/>
      </w:pPr>
      <w:r>
        <w:rPr/>
        <w:t>③确定应当计入当期损益的金额。</w:t>
      </w:r>
    </w:p>
    <w:p>
      <w:pPr>
        <w:pStyle w:val="BodyText"/>
        <w:spacing w:line="273" w:lineRule="auto" w:before="37"/>
        <w:ind w:left="573" w:right="0"/>
        <w:jc w:val="left"/>
      </w:pPr>
      <w:r>
        <w:rPr/>
        <w:t>④确定应当计入其他综合收益的金额。</w:t>
      </w:r>
      <w:r>
        <w:rPr>
          <w:w w:val="100"/>
        </w:rPr>
        <w:t> </w:t>
      </w:r>
      <w:r>
        <w:rPr>
          <w:spacing w:val="-2"/>
        </w:rPr>
        <w:t>公司根据预期累计福利单位法确定的公式将设定受益计划产生的福利义务归属于职工提供服务的期</w:t>
      </w:r>
    </w:p>
    <w:p>
      <w:pPr>
        <w:pStyle w:val="BodyText"/>
        <w:spacing w:line="273" w:lineRule="auto" w:before="7"/>
        <w:ind w:right="1126"/>
        <w:jc w:val="both"/>
      </w:pPr>
      <w:r>
        <w:rPr>
          <w:spacing w:val="-2"/>
        </w:rPr>
        <w:t>间，并计入当期损益或相关资产成本。当职工后续年度的服务将导致其享有的设定受益计划福利水平显著</w:t>
      </w:r>
      <w:r>
        <w:rPr>
          <w:spacing w:val="-44"/>
        </w:rPr>
        <w:t> </w:t>
      </w:r>
      <w:r>
        <w:rPr>
          <w:spacing w:val="-44"/>
        </w:rPr>
      </w:r>
      <w:r>
        <w:rPr>
          <w:spacing w:val="-2"/>
        </w:rPr>
        <w:t>高于以前年度时，按照直线法将累计设定受益计划义务分摊确认于职工提供服务而导致企业第一次产生设</w:t>
      </w:r>
      <w:r>
        <w:rPr>
          <w:spacing w:val="-43"/>
        </w:rPr>
        <w:t> </w:t>
      </w:r>
      <w:r>
        <w:rPr>
          <w:spacing w:val="-43"/>
        </w:rPr>
      </w:r>
      <w:r>
        <w:rPr/>
        <w:t>定受益计划福利义务至职工提供服务不再导致该福利义务显著增加的期间。</w:t>
      </w:r>
    </w:p>
    <w:p>
      <w:pPr>
        <w:pStyle w:val="BodyText"/>
        <w:spacing w:line="240" w:lineRule="auto" w:before="7"/>
        <w:ind w:left="573" w:right="0"/>
        <w:jc w:val="left"/>
      </w:pPr>
      <w:r>
        <w:rPr/>
        <w:t>报告期末，公司将设定受益计划产生的职工薪酬成本确认为：服务成本、设定受益计划净负债或净资</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0"/>
        <w:jc w:val="left"/>
      </w:pPr>
      <w:r>
        <w:rPr/>
        <w:t>产的利息净额，以及重新计量设定受益计划净负债或净资产所产生的变动。</w:t>
      </w:r>
      <w:r>
        <w:rPr>
          <w:w w:val="100"/>
        </w:rPr>
        <w:t> </w:t>
      </w:r>
      <w:r>
        <w:rPr>
          <w:spacing w:val="-2"/>
        </w:rPr>
        <w:t>在设定受益计划下，公司在下列日期孰早日将过去服务成本确认为当期费用：</w:t>
      </w:r>
    </w:p>
    <w:p>
      <w:pPr>
        <w:pStyle w:val="BodyText"/>
        <w:spacing w:line="240" w:lineRule="auto" w:before="7"/>
        <w:ind w:left="825" w:right="0"/>
        <w:jc w:val="left"/>
      </w:pPr>
      <w:r>
        <w:rPr>
          <w:rFonts w:ascii="Times New Roman" w:hAnsi="Times New Roman" w:cs="Times New Roman" w:eastAsia="Times New Roman" w:hint="default"/>
        </w:rPr>
        <w:t>1</w:t>
      </w:r>
      <w:r>
        <w:rPr/>
        <w:t>）修改设定受益计划时。</w:t>
      </w:r>
    </w:p>
    <w:p>
      <w:pPr>
        <w:pStyle w:val="BodyText"/>
        <w:spacing w:line="256" w:lineRule="auto" w:before="21"/>
        <w:ind w:left="573" w:right="2114"/>
        <w:jc w:val="left"/>
      </w:pPr>
      <w:r>
        <w:rPr>
          <w:rFonts w:ascii="Times New Roman" w:hAnsi="Times New Roman" w:cs="Times New Roman" w:eastAsia="Times New Roman" w:hint="default"/>
        </w:rPr>
        <w:t>2</w:t>
      </w:r>
      <w:r>
        <w:rPr/>
        <w:t>）企业确认相关重组费用或辞退福利时。</w:t>
      </w:r>
      <w:r>
        <w:rPr>
          <w:w w:val="100"/>
        </w:rPr>
        <w:t> </w:t>
      </w:r>
      <w:r>
        <w:rPr>
          <w:spacing w:val="-2"/>
        </w:rPr>
        <w:t>公司在设定受益计划结算时，确认一项结算利得或损失。</w:t>
      </w:r>
    </w:p>
    <w:p>
      <w:pPr>
        <w:spacing w:line="600" w:lineRule="atLeast" w:before="13"/>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5"/>
          <w:sz w:val="21"/>
          <w:szCs w:val="21"/>
        </w:rPr>
        <w:t>公司向职工提供辞退福利的，在下列两者孰早日确认辞退福利产生的职工薪酬负债，并计入当期损益：</w:t>
      </w:r>
    </w:p>
    <w:p>
      <w:pPr>
        <w:pStyle w:val="BodyText"/>
        <w:spacing w:line="240" w:lineRule="auto" w:before="37"/>
        <w:ind w:left="573" w:right="0"/>
        <w:jc w:val="left"/>
      </w:pPr>
      <w:r>
        <w:rPr>
          <w:rFonts w:ascii="Times New Roman" w:hAnsi="Times New Roman" w:cs="Times New Roman" w:eastAsia="Times New Roman" w:hint="default"/>
        </w:rPr>
        <w:t>1</w:t>
      </w:r>
      <w:r>
        <w:rPr/>
        <w:t>）公司不能单方面撤回因解除劳动关系计划或裁减建议所提供的辞退福利时。</w:t>
      </w:r>
    </w:p>
    <w:p>
      <w:pPr>
        <w:pStyle w:val="BodyText"/>
        <w:spacing w:line="290" w:lineRule="auto" w:before="21"/>
        <w:ind w:left="657" w:right="0" w:hanging="84"/>
        <w:jc w:val="left"/>
      </w:pPr>
      <w:r>
        <w:rPr>
          <w:rFonts w:ascii="Times New Roman" w:hAnsi="Times New Roman" w:cs="Times New Roman" w:eastAsia="Times New Roman" w:hint="default"/>
        </w:rPr>
        <w:t>2</w:t>
      </w:r>
      <w:r>
        <w:rPr/>
        <w:t>）公司确认与涉及支付辞退福利的重组相关的成本或费用时。</w:t>
      </w:r>
      <w:r>
        <w:rPr>
          <w:w w:val="100"/>
        </w:rPr>
        <w:t> </w:t>
      </w:r>
      <w:r>
        <w:rPr>
          <w:spacing w:val="-2"/>
        </w:rPr>
        <w:t>公司按照辞退计划条款的规定，合理预计并确认辞退福利产生的应付职工薪酬。</w:t>
      </w:r>
    </w:p>
    <w:p>
      <w:pPr>
        <w:spacing w:line="614" w:lineRule="exact" w:before="45"/>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公司向职工提供的其他长期职工福利，符合设定提存计划条件的，按照关于设定提存计划的有关政策</w:t>
      </w:r>
    </w:p>
    <w:p>
      <w:pPr>
        <w:pStyle w:val="BodyText"/>
        <w:spacing w:line="219" w:lineRule="exact"/>
        <w:ind w:right="0"/>
        <w:jc w:val="left"/>
      </w:pPr>
      <w:r>
        <w:rPr/>
        <w:t>进行处理。</w:t>
      </w:r>
    </w:p>
    <w:p>
      <w:pPr>
        <w:pStyle w:val="BodyText"/>
        <w:spacing w:line="273" w:lineRule="auto" w:before="37"/>
        <w:ind w:right="0" w:firstLine="420"/>
        <w:jc w:val="left"/>
      </w:pPr>
      <w:r>
        <w:rPr>
          <w:spacing w:val="-2"/>
        </w:rPr>
        <w:t>除上述情形外，公司按照关于设定受益计划的有关政策，确认和计量其他长期职工福利净负债或净资</w:t>
      </w:r>
      <w:r>
        <w:rPr>
          <w:w w:val="100"/>
        </w:rPr>
        <w:t> </w:t>
      </w:r>
      <w:r>
        <w:rPr/>
        <w:t>产。在报告期末，将其他长期职工福利产生的职工薪酬成本确认为下列组成部分：</w:t>
      </w:r>
    </w:p>
    <w:p>
      <w:pPr>
        <w:pStyle w:val="BodyText"/>
        <w:spacing w:line="256" w:lineRule="auto" w:before="7"/>
        <w:ind w:left="573" w:right="4554"/>
        <w:jc w:val="left"/>
      </w:pPr>
      <w:r>
        <w:rPr>
          <w:rFonts w:ascii="Times New Roman" w:hAnsi="Times New Roman" w:cs="Times New Roman" w:eastAsia="Times New Roman" w:hint="default"/>
        </w:rPr>
        <w:t>(1)</w:t>
      </w:r>
      <w:r>
        <w:rPr/>
        <w:t>服务成本。</w:t>
      </w:r>
      <w:r>
        <w:rPr>
          <w:spacing w:val="-103"/>
        </w:rPr>
        <w:t> </w:t>
      </w:r>
      <w:r>
        <w:rPr>
          <w:spacing w:val="-103"/>
        </w:rPr>
      </w:r>
      <w:r>
        <w:rPr>
          <w:rFonts w:ascii="Times New Roman" w:hAnsi="Times New Roman" w:cs="Times New Roman" w:eastAsia="Times New Roman" w:hint="default"/>
        </w:rPr>
        <w:t>(2)</w:t>
      </w:r>
      <w:r>
        <w:rPr/>
        <w:t>其他长期职工福利净负债或净资产的利息净额。</w:t>
      </w:r>
      <w:r>
        <w:rPr>
          <w:w w:val="100"/>
        </w:rPr>
        <w:t> </w:t>
      </w:r>
      <w:r>
        <w:rPr>
          <w:rFonts w:ascii="Times New Roman" w:hAnsi="Times New Roman" w:cs="Times New Roman" w:eastAsia="Times New Roman" w:hint="default"/>
          <w:spacing w:val="-2"/>
        </w:rPr>
        <w:t>(3)</w:t>
      </w:r>
      <w:r>
        <w:rPr>
          <w:spacing w:val="-2"/>
        </w:rPr>
        <w:t>重新计量其他长期职工福利净负债或净资产所产生的变动。</w:t>
      </w:r>
    </w:p>
    <w:p>
      <w:pPr>
        <w:pStyle w:val="BodyText"/>
        <w:spacing w:line="290" w:lineRule="auto" w:before="5"/>
        <w:ind w:right="0" w:firstLine="420"/>
        <w:jc w:val="left"/>
      </w:pPr>
      <w:r>
        <w:rPr/>
        <w:t>为简化相关会计处理，上述项目的总净额应计入当期损益或相关资产成本。</w:t>
      </w:r>
      <w:r>
        <w:rPr>
          <w:w w:val="100"/>
        </w:rPr>
        <w:t> </w:t>
      </w:r>
      <w:r>
        <w:rPr>
          <w:spacing w:val="-2"/>
        </w:rPr>
        <w:t>长期残疾福利水平取决于职工提供服务期间长短的，公司在职工提供服务的期间确认应付长期残疾福利义</w:t>
      </w:r>
      <w:r>
        <w:rPr>
          <w:spacing w:val="-43"/>
        </w:rPr>
        <w:t> </w:t>
      </w:r>
      <w:r>
        <w:rPr>
          <w:spacing w:val="-43"/>
        </w:rPr>
      </w:r>
      <w:r>
        <w:rPr>
          <w:spacing w:val="-2"/>
        </w:rPr>
        <w:t>务；长期残疾福利与职工提供服务期间长短无关的，公司在导致职工长期残疾的事件发生的当期确认应付</w:t>
      </w:r>
    </w:p>
    <w:p>
      <w:pPr>
        <w:pStyle w:val="BodyText"/>
        <w:spacing w:line="268" w:lineRule="exact"/>
        <w:ind w:right="0"/>
        <w:jc w:val="left"/>
      </w:pPr>
      <w:r>
        <w:rPr/>
        <w:t>长期残疾福利义务。</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35</w:t>
      </w:r>
      <w:r>
        <w:rPr/>
        <w:t>、租赁负债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36</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firstLine="420"/>
        <w:jc w:val="left"/>
      </w:pPr>
      <w:r>
        <w:rPr>
          <w:spacing w:val="-2"/>
        </w:rPr>
        <w:t>对因产品质量保证、亏损合同等形成的现时义务，其履行很可能导致经济利益的流出，在该义务的金</w:t>
      </w:r>
      <w:r>
        <w:rPr>
          <w:w w:val="100"/>
        </w:rPr>
        <w:t> </w:t>
      </w:r>
      <w:r>
        <w:rPr/>
        <w:t>额能够可靠计量时，确认为预计负债。对于未来经营亏损，不确认预计负债。</w:t>
      </w:r>
    </w:p>
    <w:p>
      <w:pPr>
        <w:pStyle w:val="BodyText"/>
        <w:spacing w:line="273" w:lineRule="auto" w:before="7"/>
        <w:ind w:right="1126" w:firstLine="420"/>
        <w:jc w:val="both"/>
      </w:pPr>
      <w:r>
        <w:rPr>
          <w:spacing w:val="-2"/>
        </w:rPr>
        <w:t>预计负债按照履行相关现时义务所需支出的最佳估计数进行初始计量，并综合考虑与或有事项有关的</w:t>
      </w:r>
      <w:r>
        <w:rPr>
          <w:w w:val="100"/>
        </w:rPr>
        <w:t> </w:t>
      </w:r>
      <w:r>
        <w:rPr>
          <w:spacing w:val="-2"/>
        </w:rPr>
        <w:t>风险、不确定性和货币时间价值等因素。货币时间价值影响重大的，通过对相关未来现金流出进行折现后</w:t>
      </w:r>
      <w:r>
        <w:rPr>
          <w:spacing w:val="-45"/>
        </w:rPr>
        <w:t> </w:t>
      </w:r>
      <w:r>
        <w:rPr>
          <w:spacing w:val="-45"/>
        </w:rPr>
      </w:r>
      <w:r>
        <w:rPr>
          <w:spacing w:val="-2"/>
        </w:rPr>
        <w:t>确定最佳估计数；因随着时间推移所进行的折现还原而导致的预计负债账面价值的增加金额，确认为利息</w:t>
      </w:r>
      <w:r>
        <w:rPr>
          <w:spacing w:val="-44"/>
        </w:rPr>
        <w:t> </w:t>
      </w:r>
      <w:r>
        <w:rPr>
          <w:spacing w:val="-44"/>
        </w:rPr>
      </w:r>
      <w:r>
        <w:rPr/>
        <w:t>费用。</w:t>
      </w:r>
    </w:p>
    <w:p>
      <w:pPr>
        <w:pStyle w:val="BodyText"/>
        <w:spacing w:line="240" w:lineRule="auto" w:before="49"/>
        <w:ind w:right="0"/>
        <w:jc w:val="left"/>
      </w:pPr>
      <w:r>
        <w:rPr/>
        <w:t>于资产负债表日，对预计负债的账面价值进行复核并作适当调整，以反映当前的最佳估计数。</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37</w:t>
      </w:r>
      <w:r>
        <w:rPr/>
        <w:t>、股份支付</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本报告期无</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38</w:t>
      </w:r>
      <w:r>
        <w:rPr/>
        <w:t>、优先股、永续债等其他金融工具</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39</w:t>
      </w:r>
      <w:r>
        <w:rPr/>
        <w:t>、收入</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40</w:t>
      </w:r>
      <w:r>
        <w:rPr/>
        <w:t>、政府补助</w:t>
      </w:r>
      <w:r>
        <w:rPr>
          <w:b w:val="0"/>
          <w:bCs w:val="0"/>
        </w:rPr>
      </w:r>
    </w:p>
    <w:p>
      <w:pPr>
        <w:spacing w:line="590" w:lineRule="atLeast" w:before="24"/>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与资产相关的政府补助，冲减相关资产的账面价值或确认为递延收益。与资产相关的政府补助确认为</w:t>
      </w:r>
    </w:p>
    <w:p>
      <w:pPr>
        <w:pStyle w:val="BodyText"/>
        <w:spacing w:line="273" w:lineRule="auto" w:before="37"/>
        <w:ind w:right="0"/>
        <w:jc w:val="left"/>
      </w:pPr>
      <w:r>
        <w:rPr>
          <w:spacing w:val="-5"/>
        </w:rPr>
        <w:t>递延收益的，在相关资产使用寿命内按照合理、系统的方法分期计入损益。按照名义金额计量的政府补助， </w:t>
      </w:r>
      <w:r>
        <w:rPr/>
        <w:t>直接计入当期损益。</w:t>
      </w:r>
    </w:p>
    <w:p>
      <w:pPr>
        <w:pStyle w:val="BodyText"/>
        <w:spacing w:line="273" w:lineRule="auto" w:before="7"/>
        <w:ind w:right="0" w:firstLine="420"/>
        <w:jc w:val="left"/>
      </w:pPr>
      <w:r>
        <w:rPr>
          <w:spacing w:val="-2"/>
        </w:rPr>
        <w:t>相关资产在使用寿命结束前被出售、转让、报废或发生毁损的，应当将尚未分配的相关递延收益余额</w:t>
      </w:r>
      <w:r>
        <w:rPr>
          <w:w w:val="100"/>
        </w:rPr>
        <w:t> </w:t>
      </w:r>
      <w:r>
        <w:rPr/>
        <w:t>转入资产处置当期的损益。</w:t>
      </w:r>
    </w:p>
    <w:p>
      <w:pPr>
        <w:spacing w:line="590" w:lineRule="atLeast" w:before="8"/>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用于补偿企业以后期间的相关成本费用或损失的，确认为递延收益，并在确认相关成本费用或损失的</w:t>
      </w:r>
    </w:p>
    <w:p>
      <w:pPr>
        <w:pStyle w:val="BodyText"/>
        <w:spacing w:line="273" w:lineRule="auto" w:before="37"/>
        <w:ind w:right="0"/>
        <w:jc w:val="left"/>
      </w:pPr>
      <w:r>
        <w:rPr>
          <w:spacing w:val="-2"/>
        </w:rPr>
        <w:t>期间，计入当期损益或冲减相关成本；用于补偿企业已发生的相关成本费用或损失的，直接计入当期损益</w:t>
      </w:r>
      <w:r>
        <w:rPr>
          <w:spacing w:val="-44"/>
        </w:rPr>
        <w:t> </w:t>
      </w:r>
      <w:r>
        <w:rPr>
          <w:spacing w:val="-44"/>
        </w:rPr>
      </w:r>
      <w:r>
        <w:rPr/>
        <w:t>或冲减相关成本。</w:t>
      </w:r>
    </w:p>
    <w:p>
      <w:pPr>
        <w:spacing w:line="590" w:lineRule="atLeast" w:before="8"/>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）同时包含与资产相关部分和与收益相关部分的政府补助</w:t>
      </w:r>
      <w:r>
        <w:rPr>
          <w:rFonts w:ascii="宋体" w:hAnsi="宋体" w:cs="宋体" w:eastAsia="宋体" w:hint="default"/>
          <w:b/>
          <w:bCs/>
          <w:w w:val="100"/>
          <w:sz w:val="21"/>
          <w:szCs w:val="21"/>
        </w:rPr>
        <w:t> </w:t>
      </w:r>
      <w:r>
        <w:rPr>
          <w:rFonts w:ascii="宋体" w:hAnsi="宋体" w:cs="宋体" w:eastAsia="宋体" w:hint="default"/>
          <w:spacing w:val="-2"/>
          <w:sz w:val="21"/>
          <w:szCs w:val="21"/>
        </w:rPr>
        <w:t>对于同时包含与资产相关部分和与收益相关部分的政府补助，区分不同部分分别进行会计处理；难以</w:t>
      </w:r>
    </w:p>
    <w:p>
      <w:pPr>
        <w:pStyle w:val="BodyText"/>
        <w:spacing w:line="240" w:lineRule="auto" w:before="37"/>
        <w:ind w:right="0"/>
        <w:jc w:val="left"/>
      </w:pPr>
      <w:r>
        <w:rPr/>
        <w:t>区分的，应当整体归类为与收益相关的政府补助。</w:t>
      </w:r>
    </w:p>
    <w:p>
      <w:pPr>
        <w:spacing w:line="590" w:lineRule="atLeast" w:before="38"/>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）政府补助在利润表中的核算</w:t>
      </w:r>
      <w:r>
        <w:rPr>
          <w:rFonts w:ascii="宋体" w:hAnsi="宋体" w:cs="宋体" w:eastAsia="宋体" w:hint="default"/>
          <w:b/>
          <w:bCs/>
          <w:w w:val="100"/>
          <w:sz w:val="21"/>
          <w:szCs w:val="21"/>
        </w:rPr>
        <w:t> </w:t>
      </w:r>
      <w:r>
        <w:rPr>
          <w:rFonts w:ascii="宋体" w:hAnsi="宋体" w:cs="宋体" w:eastAsia="宋体" w:hint="default"/>
          <w:spacing w:val="-2"/>
          <w:sz w:val="21"/>
          <w:szCs w:val="21"/>
        </w:rPr>
        <w:t>与企业日常活动相关的政府补助，应当按照经济业务实质，计入其他收益或冲减相关成本费用。与企</w:t>
      </w:r>
    </w:p>
    <w:p>
      <w:pPr>
        <w:pStyle w:val="BodyText"/>
        <w:spacing w:line="240" w:lineRule="auto" w:before="37"/>
        <w:ind w:right="0"/>
        <w:jc w:val="left"/>
      </w:pPr>
      <w:r>
        <w:rPr/>
        <w:t>业日常活动无关的政府补助，应当计入营业外收支。</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）政府补助退回的处理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573" w:right="0"/>
        <w:jc w:val="left"/>
      </w:pPr>
      <w:r>
        <w:rPr>
          <w:spacing w:val="-2"/>
        </w:rPr>
        <w:t>已确认的政府补助需要退回的，在需要退回的当期分情况按照以下规定进行会计处理：</w:t>
      </w:r>
      <w:r>
        <w:rPr>
          <w:spacing w:val="-32"/>
        </w:rPr>
        <w:t> </w:t>
      </w:r>
      <w:r>
        <w:rPr>
          <w:spacing w:val="-32"/>
        </w:rPr>
      </w:r>
      <w:r>
        <w:rPr/>
        <w:t>初始确认时冲减相关资产账面价值的，调整资产账面价值；</w:t>
      </w:r>
      <w:r>
        <w:rPr>
          <w:w w:val="100"/>
        </w:rPr>
        <w:t> </w:t>
      </w:r>
      <w:r>
        <w:rPr/>
        <w:t>存在相关递延收益的，冲减相关递延收益账面余额，超出部分计入当期损益；</w:t>
      </w:r>
      <w:r>
        <w:rPr>
          <w:w w:val="100"/>
        </w:rPr>
        <w:t> </w:t>
      </w:r>
      <w:r>
        <w:rPr/>
        <w:t>属于其他情况的，直接计入当期损益。</w:t>
      </w:r>
    </w:p>
    <w:p>
      <w:pPr>
        <w:spacing w:line="240" w:lineRule="auto" w:before="7"/>
        <w:rPr>
          <w:rFonts w:ascii="宋体" w:hAnsi="宋体" w:cs="宋体" w:eastAsia="宋体" w:hint="default"/>
          <w:sz w:val="23"/>
          <w:szCs w:val="23"/>
        </w:rPr>
      </w:pPr>
    </w:p>
    <w:p>
      <w:pPr>
        <w:spacing w:line="506" w:lineRule="auto"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）政策性优惠贷款贴息的处理</w:t>
      </w:r>
      <w:r>
        <w:rPr>
          <w:rFonts w:ascii="宋体" w:hAnsi="宋体" w:cs="宋体" w:eastAsia="宋体" w:hint="default"/>
          <w:b/>
          <w:bCs/>
          <w:w w:val="100"/>
          <w:sz w:val="21"/>
          <w:szCs w:val="21"/>
        </w:rPr>
        <w:t> </w:t>
      </w:r>
      <w:r>
        <w:rPr>
          <w:rFonts w:ascii="宋体" w:hAnsi="宋体" w:cs="宋体" w:eastAsia="宋体" w:hint="default"/>
          <w:spacing w:val="-2"/>
          <w:sz w:val="21"/>
          <w:szCs w:val="21"/>
        </w:rPr>
        <w:t>财政将贴息资金拨付给贷款银行，由贷款银行以政策性优惠利率向企业提供贷款的，按以下方法进行</w:t>
      </w:r>
    </w:p>
    <w:p>
      <w:pPr>
        <w:spacing w:after="0" w:line="506"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会计处理：</w:t>
      </w:r>
    </w:p>
    <w:p>
      <w:pPr>
        <w:pStyle w:val="BodyText"/>
        <w:spacing w:line="307" w:lineRule="auto" w:before="37"/>
        <w:ind w:right="0" w:firstLine="420"/>
        <w:jc w:val="left"/>
      </w:pPr>
      <w:r>
        <w:rPr>
          <w:spacing w:val="-2"/>
        </w:rPr>
        <w:t>以实际收到的借款金额作为借款的入账价值，按照借款本金和该政策性优惠利率计算相关借款费用。</w:t>
      </w:r>
      <w:r>
        <w:rPr>
          <w:w w:val="100"/>
        </w:rPr>
        <w:t> </w:t>
      </w:r>
      <w:r>
        <w:rPr/>
        <w:t>财政将贴息资金直接拨付给企业，企业应当将对应的贴息冲减相关借款费用。</w:t>
      </w:r>
    </w:p>
    <w:p>
      <w:pPr>
        <w:spacing w:line="614" w:lineRule="exact" w:before="30"/>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递延所得税资产和递延所得税负债根据资产和负债的计税基础与其账面价值的差额（包括应纳税暂时</w:t>
      </w:r>
    </w:p>
    <w:p>
      <w:pPr>
        <w:pStyle w:val="BodyText"/>
        <w:spacing w:line="219" w:lineRule="exact"/>
        <w:ind w:right="0"/>
        <w:jc w:val="both"/>
      </w:pPr>
      <w:r>
        <w:rPr/>
        <w:t>性差异和可抵扣暂时性差异）计算确认。对于按照税法规定能够于以后年度抵减应纳税所得额的可抵扣亏</w:t>
      </w:r>
    </w:p>
    <w:p>
      <w:pPr>
        <w:pStyle w:val="BodyText"/>
        <w:spacing w:line="273" w:lineRule="auto" w:before="37"/>
        <w:ind w:right="1126"/>
        <w:jc w:val="both"/>
      </w:pPr>
      <w:r>
        <w:rPr>
          <w:spacing w:val="-2"/>
        </w:rPr>
        <w:t>损，视同可抵扣暂时性差异。对于商誉的初始确认产生的暂时性差异，不确认相应的递延所得税负债。对</w:t>
      </w:r>
      <w:r>
        <w:rPr>
          <w:spacing w:val="-47"/>
        </w:rPr>
        <w:t> </w:t>
      </w:r>
      <w:r>
        <w:rPr>
          <w:spacing w:val="-47"/>
        </w:rPr>
      </w:r>
      <w:r>
        <w:rPr>
          <w:spacing w:val="-2"/>
        </w:rPr>
        <w:t>于既不影响会计利润也不影响应纳税所得额（或可抵扣亏损）的非企业合并的交易中产生的资产或负债的</w:t>
      </w:r>
      <w:r>
        <w:rPr>
          <w:spacing w:val="-43"/>
        </w:rPr>
        <w:t> </w:t>
      </w:r>
      <w:r>
        <w:rPr>
          <w:spacing w:val="-43"/>
        </w:rPr>
      </w:r>
      <w:r>
        <w:rPr>
          <w:spacing w:val="-2"/>
        </w:rPr>
        <w:t>初始确认形成的暂时性差异，不确认相应的递延所得税资产和递延所得税负债。于资产负债表日，递延所</w:t>
      </w:r>
      <w:r>
        <w:rPr>
          <w:spacing w:val="-42"/>
        </w:rPr>
        <w:t> </w:t>
      </w:r>
      <w:r>
        <w:rPr>
          <w:spacing w:val="-42"/>
        </w:rPr>
      </w:r>
      <w:r>
        <w:rPr/>
        <w:t>得税资产和递延所得税负债，按照预期收回该资产或清偿该负债期间的适用税率计量。</w:t>
      </w:r>
    </w:p>
    <w:p>
      <w:pPr>
        <w:pStyle w:val="BodyText"/>
        <w:spacing w:line="290" w:lineRule="auto" w:before="7"/>
        <w:ind w:right="0" w:firstLine="420"/>
        <w:jc w:val="left"/>
      </w:pPr>
      <w:r>
        <w:rPr>
          <w:spacing w:val="-2"/>
        </w:rPr>
        <w:t>递延所得税资产的确认以本公司很可能取得用来抵扣可抵扣暂时性差异、可抵扣亏损和税款抵减的应</w:t>
      </w:r>
      <w:r>
        <w:rPr>
          <w:w w:val="100"/>
        </w:rPr>
        <w:t> </w:t>
      </w:r>
      <w:r>
        <w:rPr/>
        <w:t>纳税所得额为限。</w:t>
      </w:r>
      <w:r>
        <w:rPr>
          <w:w w:val="100"/>
        </w:rPr>
        <w:t> </w:t>
      </w:r>
      <w:r>
        <w:rPr>
          <w:spacing w:val="-2"/>
        </w:rPr>
        <w:t>对子公司、联营企业及合营企业投资相关的暂时性差异产生的递延所得税资产和递延所得税负债，予以确</w:t>
      </w:r>
    </w:p>
    <w:p>
      <w:pPr>
        <w:pStyle w:val="BodyText"/>
        <w:spacing w:line="273" w:lineRule="auto"/>
        <w:ind w:right="1126"/>
        <w:jc w:val="left"/>
      </w:pPr>
      <w:r>
        <w:rPr>
          <w:spacing w:val="-2"/>
        </w:rPr>
        <w:t>认。但本公司能够控制暂时性差异转回的时间且该暂时性差异在可预见的未来很可能不会转回的，不予确</w:t>
      </w:r>
      <w:r>
        <w:rPr>
          <w:spacing w:val="-44"/>
        </w:rPr>
        <w:t> </w:t>
      </w:r>
      <w:r>
        <w:rPr>
          <w:spacing w:val="-44"/>
        </w:rPr>
      </w:r>
      <w:r>
        <w:rPr/>
        <w:t>认。</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42</w:t>
      </w:r>
      <w:r>
        <w:rPr/>
        <w:t>、租赁</w:t>
      </w:r>
      <w:r>
        <w:rPr>
          <w:b w:val="0"/>
          <w:bCs w:val="0"/>
        </w:rPr>
      </w:r>
    </w:p>
    <w:p>
      <w:pPr>
        <w:spacing w:line="240" w:lineRule="auto" w:before="7"/>
        <w:rPr>
          <w:rFonts w:ascii="宋体" w:hAnsi="宋体" w:cs="宋体" w:eastAsia="宋体" w:hint="default"/>
          <w:b/>
          <w:bCs/>
          <w:sz w:val="24"/>
          <w:szCs w:val="24"/>
        </w:rPr>
      </w:pPr>
    </w:p>
    <w:p>
      <w:pPr>
        <w:spacing w:line="506" w:lineRule="auto" w:before="0"/>
        <w:ind w:left="152" w:right="112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经营租赁的租金支出在租赁期内按照直线法计入相关资产成本或当期损益。</w:t>
      </w:r>
    </w:p>
    <w:p>
      <w:pPr>
        <w:pStyle w:val="Heading4"/>
        <w:spacing w:line="240" w:lineRule="auto" w:before="104"/>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26"/>
        <w:jc w:val="both"/>
      </w:pPr>
      <w:r>
        <w:rPr>
          <w:spacing w:val="-2"/>
        </w:rPr>
        <w:t>按租赁资产的公允价值与最低租赁付款额的现值两者中较低者作为租入资产的入账价值，租入资产的入账</w:t>
      </w:r>
      <w:r>
        <w:rPr>
          <w:spacing w:val="-42"/>
        </w:rPr>
        <w:t> </w:t>
      </w:r>
      <w:r>
        <w:rPr>
          <w:spacing w:val="-42"/>
        </w:rPr>
      </w:r>
      <w:r>
        <w:rPr>
          <w:spacing w:val="-2"/>
        </w:rPr>
        <w:t>价值与最低租赁付款额之间的差额为未确认融资费用，在租赁期内按实际利率法摊销。最低租赁付款额扣</w:t>
      </w:r>
      <w:r>
        <w:rPr>
          <w:spacing w:val="-43"/>
        </w:rPr>
        <w:t> </w:t>
      </w:r>
      <w:r>
        <w:rPr>
          <w:spacing w:val="-43"/>
        </w:rPr>
      </w:r>
      <w:r>
        <w:rPr/>
        <w:t>除未确认融资费用后的余额以长期应付款列示。</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43</w:t>
      </w:r>
      <w:r>
        <w:rPr/>
        <w:t>、其他重要的会计政策和会计估计</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44</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22"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财政部于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日修订发</w:t>
            </w:r>
          </w:p>
          <w:p>
            <w:pPr>
              <w:pStyle w:val="TableParagraph"/>
              <w:spacing w:line="300"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布了《企业会计准则第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 </w:t>
            </w:r>
            <w:r>
              <w:rPr>
                <w:rFonts w:ascii="宋体" w:hAnsi="宋体" w:cs="宋体" w:eastAsia="宋体" w:hint="default"/>
                <w:spacing w:val="-15"/>
                <w:sz w:val="18"/>
                <w:szCs w:val="18"/>
              </w:rPr>
              <w:t>具确认和计量》（财会【</w:t>
            </w:r>
            <w:r>
              <w:rPr>
                <w:rFonts w:ascii="Times New Roman" w:hAnsi="Times New Roman" w:cs="Times New Roman" w:eastAsia="Times New Roman" w:hint="default"/>
                <w:spacing w:val="-15"/>
                <w:sz w:val="18"/>
                <w:szCs w:val="18"/>
              </w:rPr>
              <w:t>2017</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pacing w:val="-47"/>
                <w:sz w:val="18"/>
                <w:szCs w:val="18"/>
              </w:rPr>
              <w:t>号）、《企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业会计准则第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w:t>
            </w:r>
          </w:p>
          <w:p>
            <w:pPr>
              <w:pStyle w:val="TableParagraph"/>
              <w:spacing w:line="300" w:lineRule="auto" w:before="13"/>
              <w:ind w:left="24" w:right="92"/>
              <w:jc w:val="left"/>
              <w:rPr>
                <w:rFonts w:ascii="Times New Roman" w:hAnsi="Times New Roman" w:cs="Times New Roman" w:eastAsia="Times New Roman"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8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《企业会计准则</w:t>
            </w:r>
            <w:r>
              <w:rPr>
                <w:rFonts w:ascii="宋体" w:hAnsi="宋体" w:cs="宋体" w:eastAsia="宋体" w:hint="default"/>
                <w:sz w:val="18"/>
                <w:szCs w:val="18"/>
              </w:rPr>
              <w:t> 第</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  </w:t>
            </w:r>
            <w:r>
              <w:rPr>
                <w:rFonts w:ascii="宋体" w:hAnsi="宋体" w:cs="宋体" w:eastAsia="宋体" w:hint="default"/>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套期会计</w:t>
            </w:r>
            <w:r>
              <w:rPr>
                <w:rFonts w:ascii="宋体" w:hAnsi="宋体" w:cs="宋体" w:eastAsia="宋体" w:hint="default"/>
                <w:spacing w:val="-92"/>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董事会审议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公司自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日起执行新金 融工具准则未导致金融工具账面价值产 生差额，无需衔接调整。根据新旧准则 衔接规定，公司无需追溯调整前期可比 数据。本次会计政策变更不影响公司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年度相关财务指标。本次会计政策</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84.360001pt;margin-top:72.47998pt;width:291.2pt;height:126.9pt;mso-position-horizontal-relative:page;mso-position-vertical-relative:page;z-index:-9173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2"/>
                    <w:ind w:left="0" w:right="0" w:firstLine="0"/>
                    <w:jc w:val="left"/>
                    <w:rPr>
                      <w:rFonts w:ascii="宋体" w:hAnsi="宋体" w:cs="宋体" w:eastAsia="宋体" w:hint="default"/>
                      <w:sz w:val="18"/>
                      <w:szCs w:val="18"/>
                    </w:rPr>
                  </w:pPr>
                  <w:r>
                    <w:rPr>
                      <w:rFonts w:ascii="宋体" w:hAnsi="宋体" w:cs="宋体" w:eastAsia="宋体" w:hint="default"/>
                      <w:sz w:val="18"/>
                      <w:szCs w:val="18"/>
                    </w:rPr>
                    <w:t>对会计政策的相关内容进行调整。</w:t>
                  </w:r>
                </w:p>
              </w:txbxContent>
            </v:textbox>
            <w10:wrap type="none"/>
          </v:shape>
        </w:pict>
      </w:r>
      <w:r>
        <w:rPr/>
        <w:pict>
          <v:group style="position:absolute;margin-left:216.529999pt;margin-top:72.47998pt;width:159.050pt;height:126.9pt;mso-position-horizontal-relative:page;mso-position-vertical-relative:page;z-index:-917296" coordorigin="4331,1450" coordsize="3181,2538">
            <v:shape style="position:absolute;left:4331;top:1450;width:3181;height:2538" coordorigin="4331,1450" coordsize="3181,2538" path="m4331,3987l7511,3987,7511,1450,4331,1450,4331,3987xe" filled="true" fillcolor="#ffffff" stroked="false">
              <v:path arrowok="t"/>
              <v:fill type="solid"/>
            </v:shape>
            <w10:wrap type="none"/>
          </v:group>
        </w:pict>
      </w:r>
      <w:r>
        <w:rPr/>
        <w:pict>
          <v:group style="position:absolute;margin-left:216.529999pt;margin-top:238.219986pt;width:157.85pt;height:20.8pt;mso-position-horizontal-relative:page;mso-position-vertical-relative:page;z-index:-917272" coordorigin="4331,4764" coordsize="3157,416">
            <v:group style="position:absolute;left:4343;top:4776;width:2;height:392" coordorigin="4343,4776" coordsize="2,392">
              <v:shape style="position:absolute;left:4343;top:4776;width:2;height:392" coordorigin="4343,4776" coordsize="0,392" path="m4343,4776l4343,5168e" filled="false" stroked="true" strokeweight="1.2pt" strokecolor="#ffffff">
                <v:path arrowok="t"/>
              </v:shape>
            </v:group>
            <v:group style="position:absolute;left:4355;top:4776;width:3133;height:392" coordorigin="4355,4776" coordsize="3133,392">
              <v:shape style="position:absolute;left:4355;top:4776;width:3133;height:392" coordorigin="4355,4776" coordsize="3133,392" path="m4355,5168l7487,5168,7487,4776,4355,4776,4355,516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320" w:hRule="exact"/>
        </w:trPr>
        <w:tc>
          <w:tcPr>
            <w:tcW w:w="31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于</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r>
              <w:rPr>
                <w:rFonts w:ascii="宋体" w:hAnsi="宋体" w:cs="宋体" w:eastAsia="宋体" w:hint="default"/>
                <w:spacing w:val="-3"/>
                <w:sz w:val="18"/>
                <w:szCs w:val="18"/>
              </w:rPr>
              <w:t>发</w:t>
            </w:r>
            <w:r>
              <w:rPr>
                <w:rFonts w:ascii="宋体" w:hAnsi="宋体" w:cs="宋体" w:eastAsia="宋体" w:hint="default"/>
                <w:sz w:val="18"/>
                <w:szCs w:val="18"/>
              </w:rPr>
              <w:t>布</w:t>
            </w:r>
            <w:r>
              <w:rPr>
                <w:rFonts w:ascii="宋体" w:hAnsi="宋体" w:cs="宋体" w:eastAsia="宋体" w:hint="default"/>
                <w:spacing w:val="-8"/>
                <w:sz w:val="18"/>
                <w:szCs w:val="18"/>
              </w:rPr>
              <w:t>了</w:t>
            </w:r>
            <w:r>
              <w:rPr>
                <w:rFonts w:ascii="宋体" w:hAnsi="宋体" w:cs="宋体" w:eastAsia="宋体" w:hint="default"/>
                <w:sz w:val="18"/>
                <w:szCs w:val="18"/>
              </w:rPr>
              <w:t>《企</w:t>
            </w:r>
          </w:p>
        </w:tc>
        <w:tc>
          <w:tcPr>
            <w:tcW w:w="3188"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变更属于国家法律、法规的要求，符合</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业会计准则第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相关规定和公司的实际情况，不存在损</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年修订</w:t>
            </w:r>
            <w:r>
              <w:rPr>
                <w:rFonts w:ascii="宋体" w:hAnsi="宋体" w:cs="宋体" w:eastAsia="宋体" w:hint="default"/>
                <w:spacing w:val="-92"/>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害公司及股东利益的情况。本次会计政</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（上述准则以下统称</w:t>
            </w:r>
            <w:r>
              <w:rPr>
                <w:rFonts w:ascii="Times New Roman" w:hAnsi="Times New Roman" w:cs="Times New Roman" w:eastAsia="Times New Roman" w:hint="default"/>
                <w:sz w:val="18"/>
                <w:szCs w:val="18"/>
              </w:rPr>
              <w:t>“</w:t>
            </w:r>
            <w:r>
              <w:rPr>
                <w:rFonts w:ascii="宋体" w:hAnsi="宋体" w:cs="宋体" w:eastAsia="宋体" w:hint="default"/>
                <w:sz w:val="18"/>
                <w:szCs w:val="18"/>
              </w:rPr>
              <w:t>新金融工具准</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策变更对公司财务状况、经营成果和现</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则</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。要求境内上市企业自</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金流量无重大影响。</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日起执行新金融工具准则。本公司</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日执行上述新金融工具</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31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准则，</w:t>
            </w:r>
          </w:p>
        </w:tc>
        <w:tc>
          <w:tcPr>
            <w:tcW w:w="3188"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3193" w:type="dxa"/>
            <w:tcBorders>
              <w:top w:val="single" w:sz="4" w:space="0" w:color="000000"/>
              <w:left w:val="single" w:sz="4" w:space="0" w:color="000000"/>
              <w:bottom w:val="nil" w:sz="6" w:space="0" w:color="auto"/>
              <w:right w:val="single" w:sz="4" w:space="0" w:color="000000"/>
            </w:tcBorders>
          </w:tcPr>
          <w:p>
            <w:pPr/>
          </w:p>
        </w:tc>
        <w:tc>
          <w:tcPr>
            <w:tcW w:w="3188"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号通知要求对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r>
      <w:tr>
        <w:trPr>
          <w:trHeight w:val="1248"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日，财政部发布了《企业</w:t>
            </w:r>
          </w:p>
          <w:p>
            <w:pPr>
              <w:pStyle w:val="TableParagraph"/>
              <w:spacing w:line="240" w:lineRule="auto" w:before="63"/>
              <w:ind w:left="24" w:right="-34"/>
              <w:jc w:val="left"/>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非货币性资产交换》</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[2019]8 </w:t>
            </w:r>
            <w:r>
              <w:rPr>
                <w:rFonts w:ascii="宋体" w:hAnsi="宋体" w:cs="宋体" w:eastAsia="宋体" w:hint="default"/>
                <w:sz w:val="18"/>
                <w:szCs w:val="18"/>
              </w:rPr>
              <w:t>号）</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253"/>
              <w:jc w:val="right"/>
              <w:rPr>
                <w:rFonts w:ascii="宋体" w:hAnsi="宋体" w:cs="宋体" w:eastAsia="宋体" w:hint="default"/>
                <w:sz w:val="18"/>
                <w:szCs w:val="18"/>
              </w:rPr>
            </w:pPr>
            <w:r>
              <w:rPr>
                <w:rFonts w:ascii="宋体" w:hAnsi="宋体" w:cs="宋体" w:eastAsia="宋体" w:hint="default"/>
                <w:sz w:val="18"/>
                <w:szCs w:val="18"/>
              </w:rPr>
              <w:t>董事会审议</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日至执行日之间发生的非货币性资</w:t>
            </w:r>
          </w:p>
          <w:p>
            <w:pPr>
              <w:pStyle w:val="TableParagraph"/>
              <w:spacing w:line="309"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产交换进行调整，对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日之 前发生的非货币性资产交换，不进行追 </w:t>
            </w:r>
            <w:r>
              <w:rPr>
                <w:rFonts w:ascii="宋体" w:hAnsi="宋体" w:cs="宋体" w:eastAsia="宋体" w:hint="default"/>
                <w:spacing w:val="-5"/>
                <w:sz w:val="18"/>
                <w:szCs w:val="18"/>
              </w:rPr>
              <w:t>溯调整。财会〔</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8</w:t>
            </w:r>
            <w:r>
              <w:rPr>
                <w:rFonts w:ascii="Times New Roman" w:hAnsi="Times New Roman" w:cs="Times New Roman" w:eastAsia="Times New Roman" w:hint="default"/>
                <w:sz w:val="18"/>
                <w:szCs w:val="18"/>
              </w:rPr>
              <w:t> </w:t>
            </w:r>
            <w:r>
              <w:rPr>
                <w:rFonts w:ascii="宋体" w:hAnsi="宋体" w:cs="宋体" w:eastAsia="宋体" w:hint="default"/>
                <w:sz w:val="18"/>
                <w:szCs w:val="18"/>
              </w:rPr>
              <w:t>号通知不影响公</w:t>
            </w:r>
          </w:p>
        </w:tc>
      </w:tr>
      <w:tr>
        <w:trPr>
          <w:trHeight w:val="353" w:hRule="exact"/>
        </w:trPr>
        <w:tc>
          <w:tcPr>
            <w:tcW w:w="3193" w:type="dxa"/>
            <w:tcBorders>
              <w:top w:val="nil" w:sz="6" w:space="0" w:color="auto"/>
              <w:left w:val="single" w:sz="4" w:space="0" w:color="000000"/>
              <w:bottom w:val="single" w:sz="4" w:space="0" w:color="000000"/>
              <w:right w:val="single" w:sz="4" w:space="0" w:color="000000"/>
            </w:tcBorders>
          </w:tcPr>
          <w:p>
            <w:pPr/>
          </w:p>
        </w:tc>
        <w:tc>
          <w:tcPr>
            <w:tcW w:w="3188"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司财务报表数据。</w:t>
            </w:r>
          </w:p>
        </w:tc>
      </w:tr>
      <w:tr>
        <w:trPr>
          <w:trHeight w:val="360" w:hRule="exact"/>
        </w:trPr>
        <w:tc>
          <w:tcPr>
            <w:tcW w:w="3193" w:type="dxa"/>
            <w:tcBorders>
              <w:top w:val="single" w:sz="4" w:space="0" w:color="000000"/>
              <w:left w:val="single" w:sz="4" w:space="0" w:color="000000"/>
              <w:bottom w:val="nil" w:sz="6" w:space="0" w:color="auto"/>
              <w:right w:val="single" w:sz="4" w:space="0" w:color="000000"/>
            </w:tcBorders>
          </w:tcPr>
          <w:p>
            <w:pPr/>
          </w:p>
        </w:tc>
        <w:tc>
          <w:tcPr>
            <w:tcW w:w="3188"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号通知要求对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r>
      <w:tr>
        <w:trPr>
          <w:trHeight w:val="1248"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日，财政部发布了《企业</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w:t>
            </w:r>
            <w:r>
              <w:rPr>
                <w:rFonts w:ascii="宋体" w:hAnsi="宋体" w:cs="宋体" w:eastAsia="宋体" w:hint="default"/>
                <w:spacing w:val="-3"/>
                <w:sz w:val="18"/>
                <w:szCs w:val="18"/>
              </w:rPr>
              <w:t>组</w:t>
            </w:r>
            <w:r>
              <w:rPr>
                <w:rFonts w:ascii="宋体" w:hAnsi="宋体" w:cs="宋体" w:eastAsia="宋体" w:hint="default"/>
                <w:spacing w:val="-92"/>
                <w:sz w:val="18"/>
                <w:szCs w:val="18"/>
              </w:rPr>
              <w:t>》</w:t>
            </w:r>
            <w:r>
              <w:rPr>
                <w:rFonts w:ascii="宋体" w:hAnsi="宋体" w:cs="宋体" w:eastAsia="宋体" w:hint="default"/>
                <w:sz w:val="18"/>
                <w:szCs w:val="18"/>
              </w:rPr>
              <w:t>（财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会</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253"/>
              <w:jc w:val="right"/>
              <w:rPr>
                <w:rFonts w:ascii="宋体" w:hAnsi="宋体" w:cs="宋体" w:eastAsia="宋体" w:hint="default"/>
                <w:sz w:val="18"/>
                <w:szCs w:val="18"/>
              </w:rPr>
            </w:pPr>
            <w:r>
              <w:rPr>
                <w:rFonts w:ascii="宋体" w:hAnsi="宋体" w:cs="宋体" w:eastAsia="宋体" w:hint="default"/>
                <w:sz w:val="18"/>
                <w:szCs w:val="18"/>
              </w:rPr>
              <w:t>董事会审议</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日至执行日之间发生的债务重组，</w:t>
            </w:r>
          </w:p>
          <w:p>
            <w:pPr>
              <w:pStyle w:val="TableParagraph"/>
              <w:spacing w:line="309"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根据本准则进行调整，对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日之前发生的债务重组不进行追溯调 </w:t>
            </w:r>
            <w:r>
              <w:rPr>
                <w:rFonts w:ascii="宋体" w:hAnsi="宋体" w:cs="宋体" w:eastAsia="宋体" w:hint="default"/>
                <w:spacing w:val="-6"/>
                <w:sz w:val="18"/>
                <w:szCs w:val="18"/>
              </w:rPr>
              <w:t>整。财会〔</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9</w:t>
            </w:r>
            <w:r>
              <w:rPr>
                <w:rFonts w:ascii="Times New Roman" w:hAnsi="Times New Roman" w:cs="Times New Roman" w:eastAsia="Times New Roman" w:hint="default"/>
                <w:sz w:val="18"/>
                <w:szCs w:val="18"/>
              </w:rPr>
              <w:t> </w:t>
            </w:r>
            <w:r>
              <w:rPr>
                <w:rFonts w:ascii="宋体" w:hAnsi="宋体" w:cs="宋体" w:eastAsia="宋体" w:hint="default"/>
                <w:sz w:val="18"/>
                <w:szCs w:val="18"/>
              </w:rPr>
              <w:t>号通知不影响公司财</w:t>
            </w:r>
          </w:p>
        </w:tc>
      </w:tr>
      <w:tr>
        <w:trPr>
          <w:trHeight w:val="355" w:hRule="exact"/>
        </w:trPr>
        <w:tc>
          <w:tcPr>
            <w:tcW w:w="3193" w:type="dxa"/>
            <w:tcBorders>
              <w:top w:val="nil" w:sz="6" w:space="0" w:color="auto"/>
              <w:left w:val="single" w:sz="4" w:space="0" w:color="000000"/>
              <w:bottom w:val="single" w:sz="4" w:space="0" w:color="000000"/>
              <w:right w:val="single" w:sz="4" w:space="0" w:color="000000"/>
            </w:tcBorders>
          </w:tcPr>
          <w:p>
            <w:pPr/>
          </w:p>
        </w:tc>
        <w:tc>
          <w:tcPr>
            <w:tcW w:w="3188"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务报表数据。</w:t>
            </w:r>
          </w:p>
        </w:tc>
      </w:tr>
      <w:tr>
        <w:trPr>
          <w:trHeight w:val="360" w:hRule="exact"/>
        </w:trPr>
        <w:tc>
          <w:tcPr>
            <w:tcW w:w="3193" w:type="dxa"/>
            <w:tcBorders>
              <w:top w:val="single" w:sz="4" w:space="0" w:color="000000"/>
              <w:left w:val="single" w:sz="4" w:space="0" w:color="000000"/>
              <w:bottom w:val="nil" w:sz="6" w:space="0" w:color="auto"/>
              <w:right w:val="single" w:sz="4" w:space="0" w:color="000000"/>
            </w:tcBorders>
          </w:tcPr>
          <w:p>
            <w:pPr/>
          </w:p>
        </w:tc>
        <w:tc>
          <w:tcPr>
            <w:tcW w:w="3188"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涉及的科目及调整金额： </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日，财政部发布《关于修</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分拆为</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订印发合并财务报表格式（</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版）的</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，应收票据本期余额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22,203,927.24</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通知</w:t>
            </w:r>
            <w:r>
              <w:rPr>
                <w:rFonts w:ascii="宋体" w:hAnsi="宋体" w:cs="宋体" w:eastAsia="宋体" w:hint="default"/>
                <w:spacing w:val="-118"/>
                <w:sz w:val="18"/>
                <w:szCs w:val="18"/>
              </w:rPr>
              <w:t>》</w:t>
            </w:r>
            <w:r>
              <w:rPr>
                <w:rFonts w:ascii="宋体" w:hAnsi="宋体" w:cs="宋体" w:eastAsia="宋体" w:hint="default"/>
                <w:sz w:val="18"/>
                <w:szCs w:val="18"/>
              </w:rPr>
              <w:t>（财</w:t>
            </w:r>
            <w:r>
              <w:rPr>
                <w:rFonts w:ascii="宋体" w:hAnsi="宋体" w:cs="宋体" w:eastAsia="宋体" w:hint="default"/>
                <w:spacing w:val="-1"/>
                <w:sz w:val="18"/>
                <w:szCs w:val="18"/>
              </w:rPr>
              <w:t>会</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27"/>
                <w:sz w:val="18"/>
                <w:szCs w:val="18"/>
              </w:rPr>
              <w:t>，</w:t>
            </w:r>
            <w:r>
              <w:rPr>
                <w:rFonts w:ascii="宋体" w:hAnsi="宋体" w:cs="宋体" w:eastAsia="宋体" w:hint="default"/>
                <w:sz w:val="18"/>
                <w:szCs w:val="18"/>
              </w:rPr>
              <w:t>下称</w:t>
            </w:r>
            <w:r>
              <w:rPr>
                <w:rFonts w:ascii="Times New Roman" w:hAnsi="Times New Roman" w:cs="Times New Roman" w:eastAsia="Times New Roman" w:hint="default"/>
                <w:spacing w:val="-30"/>
                <w:w w:val="100"/>
                <w:sz w:val="18"/>
                <w:szCs w:val="18"/>
              </w:rPr>
              <w:t>“</w:t>
            </w:r>
            <w:r>
              <w:rPr>
                <w:rFonts w:ascii="宋体" w:hAnsi="宋体" w:cs="宋体" w:eastAsia="宋体" w:hint="default"/>
                <w:sz w:val="18"/>
                <w:szCs w:val="18"/>
              </w:rPr>
              <w:t>《修订通</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元，上期余额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232,529,170.92</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元；应收账</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，对合并财务报表格</w:t>
            </w:r>
            <w:r>
              <w:rPr>
                <w:rFonts w:ascii="宋体" w:hAnsi="宋体" w:cs="宋体" w:eastAsia="宋体" w:hint="default"/>
                <w:spacing w:val="2"/>
                <w:sz w:val="18"/>
                <w:szCs w:val="18"/>
              </w:rPr>
              <w:t>式</w:t>
            </w:r>
            <w:r>
              <w:rPr>
                <w:rFonts w:ascii="宋体" w:hAnsi="宋体" w:cs="宋体" w:eastAsia="宋体" w:hint="default"/>
                <w:sz w:val="18"/>
                <w:szCs w:val="18"/>
              </w:rPr>
              <w:t>进行了修</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款本期余额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950,071,327.16</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元，上期余额</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订，要求按照会计准则和《修订通知》</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253"/>
              <w:jc w:val="right"/>
              <w:rPr>
                <w:rFonts w:ascii="宋体" w:hAnsi="宋体" w:cs="宋体" w:eastAsia="宋体" w:hint="default"/>
                <w:sz w:val="18"/>
                <w:szCs w:val="18"/>
              </w:rPr>
            </w:pPr>
            <w:r>
              <w:rPr>
                <w:rFonts w:ascii="宋体" w:hAnsi="宋体" w:cs="宋体" w:eastAsia="宋体" w:hint="default"/>
                <w:sz w:val="18"/>
                <w:szCs w:val="18"/>
              </w:rPr>
              <w:t>董事会审议</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921,560,212.41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的要求编制</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年度合并财务报表及以</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分拆为</w:t>
            </w:r>
            <w:r>
              <w:rPr>
                <w:rFonts w:ascii="宋体" w:hAnsi="宋体" w:cs="宋体" w:eastAsia="宋体" w:hint="default"/>
                <w:spacing w:val="2"/>
                <w:sz w:val="18"/>
                <w:szCs w:val="18"/>
              </w:rPr>
              <w:t> </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应付票据</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和</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应付账款</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，应</w:t>
            </w:r>
            <w:r>
              <w:rPr>
                <w:rFonts w:ascii="宋体" w:hAnsi="宋体" w:cs="宋体" w:eastAsia="宋体" w:hint="default"/>
                <w:sz w:val="18"/>
                <w:szCs w:val="18"/>
              </w:rPr>
            </w: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后期间的合并财务报表。根据上述《通</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付票据本期余额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986,095,498.80</w:t>
            </w:r>
            <w:r>
              <w:rPr>
                <w:rFonts w:ascii="Times New Roman" w:hAnsi="Times New Roman" w:cs="Times New Roman" w:eastAsia="Times New Roman" w:hint="default"/>
                <w:spacing w:val="-1"/>
                <w:sz w:val="18"/>
                <w:szCs w:val="18"/>
              </w:rPr>
              <w:t> </w:t>
            </w:r>
            <w:r>
              <w:rPr>
                <w:rFonts w:ascii="宋体" w:hAnsi="宋体" w:cs="宋体" w:eastAsia="宋体" w:hint="default"/>
                <w:spacing w:val="-16"/>
                <w:sz w:val="18"/>
                <w:szCs w:val="18"/>
              </w:rPr>
              <w:t>元，上期</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知》的有关要求，公司对合并财务报表</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543,461,940.00</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元；应付账款本期余</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格式进行相应调整。</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118,408,820.00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元，上期余额</w:t>
            </w:r>
          </w:p>
        </w:tc>
      </w:tr>
      <w:tr>
        <w:trPr>
          <w:trHeight w:val="353" w:hRule="exact"/>
        </w:trPr>
        <w:tc>
          <w:tcPr>
            <w:tcW w:w="3193" w:type="dxa"/>
            <w:tcBorders>
              <w:top w:val="nil" w:sz="6" w:space="0" w:color="auto"/>
              <w:left w:val="single" w:sz="4" w:space="0" w:color="000000"/>
              <w:bottom w:val="single" w:sz="4" w:space="0" w:color="000000"/>
              <w:right w:val="single" w:sz="4" w:space="0" w:color="000000"/>
            </w:tcBorders>
          </w:tcPr>
          <w:p>
            <w:pPr/>
          </w:p>
        </w:tc>
        <w:tc>
          <w:tcPr>
            <w:tcW w:w="3188"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63,316,743.71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360" w:hRule="exact"/>
        </w:trPr>
        <w:tc>
          <w:tcPr>
            <w:tcW w:w="31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日，财政部修订发布</w:t>
            </w:r>
          </w:p>
        </w:tc>
        <w:tc>
          <w:tcPr>
            <w:tcW w:w="3188"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收</w:t>
            </w:r>
            <w:r>
              <w:rPr>
                <w:rFonts w:ascii="宋体" w:hAnsi="宋体" w:cs="宋体" w:eastAsia="宋体" w:hint="default"/>
                <w:spacing w:val="-3"/>
                <w:sz w:val="18"/>
                <w:szCs w:val="18"/>
              </w:rPr>
              <w:t>入</w:t>
            </w:r>
            <w:r>
              <w:rPr>
                <w:rFonts w:ascii="宋体" w:hAnsi="宋体" w:cs="宋体" w:eastAsia="宋体" w:hint="default"/>
                <w:spacing w:val="-92"/>
                <w:sz w:val="18"/>
                <w:szCs w:val="18"/>
              </w:rPr>
              <w:t>》</w:t>
            </w:r>
            <w:r>
              <w:rPr>
                <w:rFonts w:ascii="宋体" w:hAnsi="宋体" w:cs="宋体" w:eastAsia="宋体" w:hint="default"/>
                <w:sz w:val="18"/>
                <w:szCs w:val="18"/>
              </w:rPr>
              <w:t>（财会</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spacing w:val="-2"/>
                <w:w w:val="99"/>
                <w:sz w:val="18"/>
                <w:szCs w:val="18"/>
              </w:rPr>
              <w:t>7</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w w:val="99"/>
                <w:sz w:val="18"/>
                <w:szCs w:val="18"/>
              </w:rPr>
              <w:t>2</w:t>
            </w:r>
            <w:r>
              <w:rPr>
                <w:rFonts w:ascii="Times New Roman" w:hAnsi="Times New Roman" w:cs="Times New Roman" w:eastAsia="Times New Roman" w:hint="default"/>
                <w:spacing w:val="2"/>
                <w:w w:val="99"/>
                <w:sz w:val="18"/>
                <w:szCs w:val="18"/>
              </w:rPr>
              <w:t> </w:t>
            </w:r>
            <w:r>
              <w:rPr>
                <w:rFonts w:ascii="宋体" w:hAnsi="宋体" w:cs="宋体" w:eastAsia="宋体" w:hint="default"/>
                <w:w w:val="99"/>
                <w:sz w:val="18"/>
                <w:szCs w:val="18"/>
              </w:rPr>
              <w:t>号，以下简</w:t>
            </w:r>
            <w:r>
              <w:rPr>
                <w:rFonts w:ascii="宋体" w:hAnsi="宋体" w:cs="宋体" w:eastAsia="宋体" w:hint="default"/>
                <w:spacing w:val="-1"/>
                <w:w w:val="99"/>
                <w:sz w:val="18"/>
                <w:szCs w:val="18"/>
              </w:rPr>
              <w:t>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新收</w:t>
            </w:r>
            <w:r>
              <w:rPr>
                <w:rFonts w:ascii="宋体" w:hAnsi="宋体" w:cs="宋体" w:eastAsia="宋体" w:hint="default"/>
                <w:spacing w:val="-3"/>
                <w:sz w:val="18"/>
                <w:szCs w:val="18"/>
              </w:rPr>
              <w:t>入</w:t>
            </w:r>
            <w:r>
              <w:rPr>
                <w:rFonts w:ascii="宋体" w:hAnsi="宋体" w:cs="宋体" w:eastAsia="宋体" w:hint="default"/>
                <w:sz w:val="18"/>
                <w:szCs w:val="18"/>
              </w:rPr>
              <w:t>准</w:t>
            </w:r>
            <w:r>
              <w:rPr>
                <w:rFonts w:ascii="宋体" w:hAnsi="宋体" w:cs="宋体" w:eastAsia="宋体" w:hint="default"/>
                <w:spacing w:val="-1"/>
                <w:sz w:val="18"/>
                <w:szCs w:val="18"/>
              </w:rPr>
              <w:t>则</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根据财政部要求，在境内外同时上市的</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日起执行新收入准</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企业以及在境外上市并采用国际财务报</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则，不追溯调整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年可比数，不影响</w:t>
            </w:r>
          </w:p>
        </w:tc>
      </w:tr>
      <w:tr>
        <w:trPr>
          <w:trHeight w:val="624"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22"/>
              <w:jc w:val="left"/>
              <w:rPr>
                <w:rFonts w:ascii="宋体" w:hAnsi="宋体" w:cs="宋体" w:eastAsia="宋体" w:hint="default"/>
                <w:sz w:val="18"/>
                <w:szCs w:val="18"/>
              </w:rPr>
            </w:pPr>
            <w:r>
              <w:rPr>
                <w:rFonts w:ascii="宋体" w:hAnsi="宋体" w:cs="宋体" w:eastAsia="宋体" w:hint="default"/>
                <w:sz w:val="18"/>
                <w:szCs w:val="18"/>
              </w:rPr>
              <w:t>告准则或企业会计准则编制财务报表的 企业，自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日起施行；其他</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2253"/>
              <w:jc w:val="right"/>
              <w:rPr>
                <w:rFonts w:ascii="宋体" w:hAnsi="宋体" w:cs="宋体" w:eastAsia="宋体" w:hint="default"/>
                <w:sz w:val="18"/>
                <w:szCs w:val="18"/>
              </w:rPr>
            </w:pPr>
            <w:r>
              <w:rPr>
                <w:rFonts w:ascii="宋体" w:hAnsi="宋体" w:cs="宋体" w:eastAsia="宋体" w:hint="default"/>
                <w:sz w:val="18"/>
                <w:szCs w:val="18"/>
              </w:rPr>
              <w:t>董事会审议</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3" w:right="22"/>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年度相关财务指标。新收入准 则的实施预计不会导致公司收入确认方</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境内上市企业，自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日起施</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式发生重大变化，不存在损害公司及股</w:t>
            </w: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行；执行企业会计准则的非上市企业，</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东利益的情形。</w:t>
            </w:r>
          </w:p>
        </w:tc>
      </w:tr>
      <w:tr>
        <w:trPr>
          <w:trHeight w:val="31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日起施行。由于上述会</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计准则修订，原采用的相关会计政策进</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31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行相应调整。</w:t>
            </w:r>
          </w:p>
        </w:tc>
        <w:tc>
          <w:tcPr>
            <w:tcW w:w="3188"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16"/>
          <w:pgSz w:w="11910" w:h="16840"/>
          <w:pgMar w:footer="980" w:header="745" w:top="1060" w:bottom="1160" w:left="980" w:right="0"/>
          <w:pgNumType w:start="110"/>
        </w:sectPr>
      </w:pPr>
    </w:p>
    <w:p>
      <w:pPr>
        <w:spacing w:line="340" w:lineRule="auto"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621,264,238.56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621,264,238.56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232,529,170.92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232,529,170.92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921,560,212.41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921,560,212.41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681,659,765.07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681,659,765.07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8,807,547.55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8,807,547.55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4,063,333.33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1,446,550,380.65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1,446,550,380.65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1,091,439,170.17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1,091,439,170.17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5,003,810,485.33</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403,194,200.00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-403,194,200.00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403,194,200.00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3,329,463,894.91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3,329,463,894.91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224,747,061.08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224,747,061.08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127,430,768.03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127,430,768.03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2,856,068.64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2,856,068.64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14,692,396.22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14,692,396.22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176,472,736.35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176,472,736.35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4,298,857,125.23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4,298,857,125.23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9,302,667,610.56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9,302,667,610.56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543,461,940.00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543,461,940.00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63,316,743.71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63,316,743.71</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41,899,137.40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41,899,137.40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21,977,141.98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21,977,141.98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13,324,241.78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13,324,241.78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118,583,361.97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112,846,156.46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802,562,566.84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802,562,566.84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798,282,967.15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798,282,967.15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609,583.33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609,583.33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798,892,550.48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798,892,550.48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1,601,455,117.32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1,601,455,117.32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1,156,278,085.00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1,156,278,085.00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5,185,545,435.71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5,185,545,435.71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167,340,850.69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167,340,850.69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1,192,048,121.84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1,192,048,121.84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7,701,212,493.24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7,701,212,493.24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7,701,212,493.24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7,701,212,493.24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9,302,667,610.56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9,302,667,610.56</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93" w:space="7327"/>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617,190,751.10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617,190,751.10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232,529,170.92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232,529,170.92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941,418,873.87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941,418,873.87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672,847,386.75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672,847,386.75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8,464,317.27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8,464,317.27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4,063,333.33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1,364,383,351.67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1,364,383,351.67</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1,090,603,040.35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1,090,603,040.35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4,927,436,891.93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4,927,436,891.93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403,194,200.00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-403,194,200.00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115,100,955.61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115,100,955.61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403,194,200.00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403,194,200.00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3,277,087,682.47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3,277,087,682.47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223,694,026.67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223,694,026.67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124,706,773.75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124,706,773.75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2,856,068.64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2,856,068.64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12,939,709.97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12,939,709.97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176,472,736.35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176,472,736.35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4,336,052,153.46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4,336,052,153.46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9,263,489,045.39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9,263,489,045.39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543,461,940.00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543,461,940.00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57,760,340.01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57,760,340.01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36,098,765.88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36,098,765.88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21,977,141.98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21,977,141.98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12,803,963.11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12,803,963.11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118,286,314.08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118,286,314.08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790,388,465.06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790,388,465.06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798,282,967.15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798,282,967.15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798,282,967.15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798,282,967.15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1,588,671,432.21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1,588,671,432.21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1,156,278,085.00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1,156,278,085.00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5,185,545,435.71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5,185,545,435.71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167,340,850.69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167,340,850.69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1,165,653,241.78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1,165,653,241.78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7,674,817,613.18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7,674,817,613.18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9,263,489,045.39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9,263,489,045.39</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line="487" w:lineRule="auto" w:before="0"/>
        <w:ind w:left="152" w:right="89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9"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7" w:lineRule="auto" w:before="51"/>
              <w:ind w:left="17"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 乘以适用税率扣除当期允计抵扣的进项 税后的余额计算</w:t>
            </w:r>
            <w:r>
              <w:rPr>
                <w:rFonts w:ascii="Times New Roman" w:hAnsi="Times New Roman" w:cs="Times New Roman" w:eastAsia="Times New Roman"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p>
        </w:tc>
      </w:tr>
      <w:tr>
        <w:trPr>
          <w:trHeight w:val="392"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当期应纳流转税额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当期应纳流转税额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江西科为江西科为薄膜新型材料有限公司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firstLine="420"/>
        <w:jc w:val="left"/>
      </w:pPr>
      <w:r>
        <w:rPr>
          <w:spacing w:val="-2"/>
        </w:rPr>
        <w:t>本公司于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14</w:t>
      </w:r>
      <w:r>
        <w:rPr>
          <w:spacing w:val="-2"/>
        </w:rPr>
        <w:t>日通过高新技术企业复评并取得认定证书，按照《中华人民共和国企业所得税</w:t>
      </w:r>
      <w:r>
        <w:rPr>
          <w:w w:val="100"/>
        </w:rPr>
        <w:t> </w:t>
      </w:r>
      <w:r>
        <w:rPr/>
        <w:t>法》的规定，</w:t>
      </w:r>
      <w:r>
        <w:rPr>
          <w:rFonts w:ascii="Times New Roman" w:hAnsi="Times New Roman" w:cs="Times New Roman" w:eastAsia="Times New Roman" w:hint="default"/>
        </w:rPr>
        <w:t>2019</w:t>
      </w:r>
      <w:r>
        <w:rPr/>
        <w:t>年度执行</w:t>
      </w:r>
      <w:r>
        <w:rPr>
          <w:rFonts w:ascii="Times New Roman" w:hAnsi="Times New Roman" w:cs="Times New Roman" w:eastAsia="Times New Roman" w:hint="default"/>
        </w:rPr>
        <w:t>15%</w:t>
      </w:r>
      <w:r>
        <w:rPr/>
        <w:t>的所得税税率。</w:t>
      </w:r>
      <w:r>
        <w:rPr>
          <w:w w:val="100"/>
        </w:rPr>
        <w:t> </w:t>
      </w:r>
      <w:r>
        <w:rPr/>
        <w:t>本公司子公司江西科为江西科为薄膜新型材料有限公司于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日通过高新技术企业复评并取得认</w:t>
      </w:r>
    </w:p>
    <w:p>
      <w:pPr>
        <w:spacing w:after="0" w:line="273"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定证书，按照《中华人民共和国企业所得税法》的规定，</w:t>
      </w:r>
      <w:r>
        <w:rPr>
          <w:rFonts w:ascii="Times New Roman" w:hAnsi="Times New Roman" w:cs="Times New Roman" w:eastAsia="Times New Roman" w:hint="default"/>
        </w:rPr>
        <w:t>2019</w:t>
      </w:r>
      <w:r>
        <w:rPr/>
        <w:t>年度执行</w:t>
      </w:r>
      <w:r>
        <w:rPr>
          <w:rFonts w:ascii="Times New Roman" w:hAnsi="Times New Roman" w:cs="Times New Roman" w:eastAsia="Times New Roman" w:hint="default"/>
        </w:rPr>
        <w:t>15%</w:t>
      </w:r>
      <w:r>
        <w:rPr/>
        <w:t>的所得税税率。</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225"/>
        <w:jc w:val="left"/>
      </w:pPr>
      <w:r>
        <w:rPr/>
        <w:t>根据《财政部</w:t>
      </w:r>
      <w:r>
        <w:rPr>
          <w:spacing w:val="-26"/>
        </w:rPr>
        <w:t> </w:t>
      </w:r>
      <w:r>
        <w:rPr/>
        <w:t>税务总局关于调整增值税税率的通知》（财税〔</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32</w:t>
      </w:r>
      <w:r>
        <w:rPr/>
        <w:t>号），公司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日前适用</w:t>
      </w:r>
      <w:r>
        <w:rPr>
          <w:w w:val="100"/>
        </w:rPr>
        <w:t> </w:t>
      </w:r>
      <w:r>
        <w:rPr/>
        <w:t>增值税税率</w:t>
      </w:r>
      <w:r>
        <w:rPr>
          <w:rFonts w:ascii="Times New Roman" w:hAnsi="Times New Roman" w:cs="Times New Roman" w:eastAsia="Times New Roman" w:hint="default"/>
        </w:rPr>
        <w:t>17%</w:t>
      </w:r>
      <w:r>
        <w:rPr/>
        <w:t>，自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日后适用增值税税率</w:t>
      </w:r>
      <w:r>
        <w:rPr>
          <w:rFonts w:ascii="Times New Roman" w:hAnsi="Times New Roman" w:cs="Times New Roman" w:eastAsia="Times New Roman" w:hint="default"/>
        </w:rPr>
        <w:t>16%</w:t>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日后适用增值税税率</w:t>
      </w:r>
      <w:r>
        <w:rPr>
          <w:rFonts w:ascii="Times New Roman" w:hAnsi="Times New Roman" w:cs="Times New Roman" w:eastAsia="Times New Roman" w:hint="default"/>
        </w:rPr>
        <w:t>13%</w:t>
      </w:r>
      <w:r>
        <w:rPr/>
        <w:t>。</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121,113.28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128,744.76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595,676,682.37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524,605,101.03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153,512,913.91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96,530,392.77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749,310,709.56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621,264,238.56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债务工具投资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22,203,927.24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161,834,754.85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70,694,416.07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22,203,927.24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232,529,170.92</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6"/>
        <w:gridCol w:w="797"/>
        <w:gridCol w:w="931"/>
        <w:gridCol w:w="797"/>
        <w:gridCol w:w="792"/>
      </w:tblGrid>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0"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如是按照预期信用损失一般模型计提应收票据坏账准备，请参照其他应收款的披露方式披露坏账准备的相关信息：</w:t>
      </w:r>
    </w:p>
    <w:p>
      <w:pPr>
        <w:spacing w:before="2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3,720,758.74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3,720,758.74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3,720,758.74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3,720,758.74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其中重要的应收票据核销情况：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59"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应收票据核销说明：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4"/>
        <w:gridCol w:w="761"/>
        <w:gridCol w:w="763"/>
        <w:gridCol w:w="790"/>
        <w:gridCol w:w="776"/>
        <w:gridCol w:w="797"/>
        <w:gridCol w:w="799"/>
        <w:gridCol w:w="790"/>
        <w:gridCol w:w="920"/>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20"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20"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20"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1,059,01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8,680.92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108,947,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353.76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950,071,3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27.16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1,010,589</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,134.13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89,028,92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8.81%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921,560,21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2.41</w:t>
            </w: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6"/>
        <w:gridCol w:w="797"/>
        <w:gridCol w:w="799"/>
        <w:gridCol w:w="790"/>
        <w:gridCol w:w="931"/>
      </w:tblGrid>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1,059,01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8,680.92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108,947,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353.76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950,071,3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27.16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1,010,589</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,134.13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89,028,92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8.81%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921,560,21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2.41</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10"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1,059,01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8,680.92</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108,947,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353.76</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10.29%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950,071,3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27.16</w:t>
            </w:r>
          </w:p>
        </w:tc>
        <w:tc>
          <w:tcPr>
            <w:tcW w:w="776"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1,010,589</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,134.13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89,028,92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8.81%</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921,560,21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2.41</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10" w:space="0" w:color="D2D2D2"/>
              <w:right w:val="single" w:sz="4" w:space="0" w:color="000000"/>
            </w:tcBorders>
          </w:tcPr>
          <w:p>
            <w:pPr/>
          </w:p>
        </w:tc>
        <w:tc>
          <w:tcPr>
            <w:tcW w:w="764"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10"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40" w:lineRule="auto" w:before="29"/>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3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852,283,749.03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50,165,056.17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127,950,599.57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28,619,276.15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28,619,276.15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1,059,018,680.92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9"/>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footerReference w:type="default" r:id="rId17"/>
          <w:pgSz w:w="11910" w:h="16840"/>
          <w:pgMar w:footer="980" w:header="745" w:top="1060" w:bottom="1160" w:left="980" w:right="0"/>
          <w:pgNumType w:start="12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上海中圆环保科技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14,599,621.28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0"/>
              <w:jc w:val="left"/>
              <w:rPr>
                <w:rFonts w:ascii="宋体" w:hAnsi="宋体" w:cs="宋体" w:eastAsia="宋体" w:hint="default"/>
                <w:sz w:val="18"/>
                <w:szCs w:val="18"/>
              </w:rPr>
            </w:pPr>
            <w:r>
              <w:rPr>
                <w:rFonts w:ascii="宋体" w:hAnsi="宋体" w:cs="宋体" w:eastAsia="宋体" w:hint="default"/>
                <w:sz w:val="18"/>
                <w:szCs w:val="18"/>
              </w:rPr>
              <w:t>公司已经吊销无法 收回款项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14,599,621.28</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4"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深圳市海天塑材有限公 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319,936,756.34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30.21%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6,690,030.72</w:t>
            </w:r>
          </w:p>
        </w:tc>
      </w:tr>
      <w:tr>
        <w:trPr>
          <w:trHeight w:val="7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苏州幸福新能源科技有 限责任公司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136,141,417.01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12.86%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42,567,751.48</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苏州赛伍应用技术股份 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75,677,290.65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1,904,113.61</w:t>
            </w:r>
          </w:p>
        </w:tc>
      </w:tr>
      <w:tr>
        <w:trPr>
          <w:trHeight w:val="7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青州市富润包装材料有 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65,637,391.22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1,372,509.27</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苏州中来光伏新材股份 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59,704,144.55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1,502,213.85</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657,096,999.77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62.06%</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w:t>
      </w:r>
      <w:r>
        <w:rPr/>
        <w:t>、应收款项融资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 收益的应收票据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307,836,938.16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307,836,938.16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应收款项融资本期增减变动及公允价值变动情况</w:t>
      </w:r>
    </w:p>
    <w:p>
      <w:pPr>
        <w:spacing w:line="340" w:lineRule="auto" w:before="115"/>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如是按照预期信用损失一般模型计提应收款项融资减值准备，请参照其他应收款的披露方式披露减值准备的相关信息：</w:t>
      </w:r>
    </w:p>
    <w:p>
      <w:pPr>
        <w:spacing w:line="338" w:lineRule="auto" w:before="41"/>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710,121,053.29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665,715,951.16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97.66%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20,212,326.75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4,615,101.22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2,511,446.31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2,798,660.97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6,808,060.89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8,530,051.72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739,652,887.24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681,659,765.07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4395"/>
        <w:gridCol w:w="1844"/>
        <w:gridCol w:w="1274"/>
        <w:gridCol w:w="1702"/>
      </w:tblGrid>
      <w:tr>
        <w:trPr>
          <w:trHeight w:val="348"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日</w:t>
            </w:r>
            <w:r>
              <w:rPr>
                <w:rFonts w:ascii="宋体" w:hAnsi="宋体" w:cs="宋体" w:eastAsia="宋体" w:hint="default"/>
                <w:sz w:val="21"/>
                <w:szCs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b/>
                <w:bCs/>
                <w:sz w:val="20"/>
                <w:szCs w:val="20"/>
              </w:rPr>
              <w:t>未结算原因</w:t>
            </w:r>
            <w:r>
              <w:rPr>
                <w:rFonts w:ascii="宋体" w:hAnsi="宋体" w:cs="宋体" w:eastAsia="宋体" w:hint="default"/>
                <w:sz w:val="20"/>
                <w:szCs w:val="20"/>
              </w:rPr>
            </w:r>
          </w:p>
        </w:tc>
      </w:tr>
      <w:tr>
        <w:trPr>
          <w:trHeight w:val="346"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ATEC INTERNATIONAL</w:t>
            </w:r>
            <w:r>
              <w:rPr>
                <w:rFonts w:ascii="Times New Roman"/>
                <w:spacing w:val="-8"/>
                <w:sz w:val="20"/>
              </w:rPr>
              <w:t> </w:t>
            </w:r>
            <w:r>
              <w:rPr>
                <w:rFonts w:ascii="Times New Roman"/>
                <w:sz w:val="20"/>
              </w:rPr>
              <w:t>INC</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15,972,774.18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尚没到结算期</w:t>
            </w:r>
          </w:p>
        </w:tc>
      </w:tr>
      <w:tr>
        <w:trPr>
          <w:trHeight w:val="348"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深圳市爱伦特科技有限公司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1,158,221.48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尚没到结算期</w:t>
            </w:r>
          </w:p>
        </w:tc>
      </w:tr>
      <w:tr>
        <w:trPr>
          <w:trHeight w:val="348"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徐州博途传动设备有限公司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666,417.00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尚没到结算期</w:t>
            </w:r>
          </w:p>
        </w:tc>
      </w:tr>
      <w:tr>
        <w:trPr>
          <w:trHeight w:val="346"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环境保护部南京环境科技学研究所</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198,400.00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尚没到结算期</w:t>
            </w:r>
          </w:p>
        </w:tc>
      </w:tr>
      <w:tr>
        <w:trPr>
          <w:trHeight w:val="348"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彭泽县财政局</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150,000.00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尚没到结算期</w:t>
            </w:r>
          </w:p>
        </w:tc>
      </w:tr>
      <w:tr>
        <w:trPr>
          <w:trHeight w:val="427"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18,145,812.66</w:t>
            </w:r>
          </w:p>
        </w:tc>
        <w:tc>
          <w:tcPr>
            <w:tcW w:w="127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4196"/>
        <w:gridCol w:w="2067"/>
        <w:gridCol w:w="3296"/>
      </w:tblGrid>
      <w:tr>
        <w:trPr>
          <w:trHeight w:val="349" w:hRule="exact"/>
        </w:trPr>
        <w:tc>
          <w:tcPr>
            <w:tcW w:w="4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日</w:t>
            </w:r>
            <w:r>
              <w:rPr>
                <w:rFonts w:ascii="宋体" w:hAnsi="宋体" w:cs="宋体" w:eastAsia="宋体" w:hint="default"/>
                <w:sz w:val="21"/>
                <w:szCs w:val="21"/>
              </w:rPr>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b/>
                <w:bCs/>
                <w:sz w:val="21"/>
                <w:szCs w:val="21"/>
              </w:rPr>
              <w:t>占预付款项总额的比例</w:t>
            </w:r>
            <w:r>
              <w:rPr>
                <w:rFonts w:ascii="宋体" w:hAnsi="宋体" w:cs="宋体" w:eastAsia="宋体" w:hint="default"/>
                <w:sz w:val="21"/>
                <w:szCs w:val="21"/>
              </w:rPr>
            </w:r>
          </w:p>
        </w:tc>
      </w:tr>
      <w:tr>
        <w:trPr>
          <w:trHeight w:val="348" w:hRule="exact"/>
        </w:trPr>
        <w:tc>
          <w:tcPr>
            <w:tcW w:w="41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41" w:right="0"/>
              <w:jc w:val="left"/>
              <w:rPr>
                <w:rFonts w:ascii="宋体" w:hAnsi="宋体" w:cs="宋体" w:eastAsia="宋体" w:hint="default"/>
                <w:sz w:val="21"/>
                <w:szCs w:val="21"/>
              </w:rPr>
            </w:pPr>
            <w:r>
              <w:rPr>
                <w:rFonts w:ascii="宋体" w:hAnsi="宋体" w:cs="宋体" w:eastAsia="宋体" w:hint="default"/>
                <w:sz w:val="21"/>
                <w:szCs w:val="21"/>
              </w:rPr>
              <w:t>江阴轩诺贸易有限公司</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6" w:right="0"/>
              <w:jc w:val="center"/>
              <w:rPr>
                <w:rFonts w:ascii="Times New Roman" w:hAnsi="Times New Roman" w:cs="Times New Roman" w:eastAsia="Times New Roman" w:hint="default"/>
                <w:sz w:val="21"/>
                <w:szCs w:val="21"/>
              </w:rPr>
            </w:pPr>
            <w:r>
              <w:rPr>
                <w:rFonts w:ascii="Times New Roman"/>
                <w:sz w:val="21"/>
              </w:rPr>
              <w:t>297,691,793.12</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40.25%</w:t>
            </w:r>
          </w:p>
        </w:tc>
      </w:tr>
      <w:tr>
        <w:trPr>
          <w:trHeight w:val="346" w:hRule="exact"/>
        </w:trPr>
        <w:tc>
          <w:tcPr>
            <w:tcW w:w="41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830" w:right="0"/>
              <w:jc w:val="left"/>
              <w:rPr>
                <w:rFonts w:ascii="宋体" w:hAnsi="宋体" w:cs="宋体" w:eastAsia="宋体" w:hint="default"/>
                <w:sz w:val="21"/>
                <w:szCs w:val="21"/>
              </w:rPr>
            </w:pPr>
            <w:r>
              <w:rPr>
                <w:rFonts w:ascii="宋体" w:hAnsi="宋体" w:cs="宋体" w:eastAsia="宋体" w:hint="default"/>
                <w:sz w:val="21"/>
                <w:szCs w:val="21"/>
              </w:rPr>
              <w:t>江阴永鹏化工贸易有限公司</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6" w:right="0"/>
              <w:jc w:val="center"/>
              <w:rPr>
                <w:rFonts w:ascii="Times New Roman" w:hAnsi="Times New Roman" w:cs="Times New Roman" w:eastAsia="Times New Roman" w:hint="default"/>
                <w:sz w:val="21"/>
                <w:szCs w:val="21"/>
              </w:rPr>
            </w:pPr>
            <w:r>
              <w:rPr>
                <w:rFonts w:ascii="Times New Roman"/>
                <w:sz w:val="21"/>
              </w:rPr>
              <w:t>235,660,380.00</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31.86%</w:t>
            </w:r>
          </w:p>
        </w:tc>
      </w:tr>
      <w:tr>
        <w:trPr>
          <w:trHeight w:val="348" w:hRule="exact"/>
        </w:trPr>
        <w:tc>
          <w:tcPr>
            <w:tcW w:w="41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41" w:right="0"/>
              <w:jc w:val="left"/>
              <w:rPr>
                <w:rFonts w:ascii="宋体" w:hAnsi="宋体" w:cs="宋体" w:eastAsia="宋体" w:hint="default"/>
                <w:sz w:val="21"/>
                <w:szCs w:val="21"/>
              </w:rPr>
            </w:pPr>
            <w:r>
              <w:rPr>
                <w:rFonts w:ascii="宋体" w:hAnsi="宋体" w:cs="宋体" w:eastAsia="宋体" w:hint="default"/>
                <w:sz w:val="21"/>
                <w:szCs w:val="21"/>
              </w:rPr>
              <w:t>南京希格化工有限公司</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6" w:right="0"/>
              <w:jc w:val="center"/>
              <w:rPr>
                <w:rFonts w:ascii="Times New Roman" w:hAnsi="Times New Roman" w:cs="Times New Roman" w:eastAsia="Times New Roman" w:hint="default"/>
                <w:sz w:val="21"/>
                <w:szCs w:val="21"/>
              </w:rPr>
            </w:pPr>
            <w:r>
              <w:rPr>
                <w:rFonts w:ascii="Times New Roman"/>
                <w:sz w:val="21"/>
              </w:rPr>
              <w:t>27,930,000.00</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3.78%</w:t>
            </w:r>
          </w:p>
        </w:tc>
      </w:tr>
      <w:tr>
        <w:trPr>
          <w:trHeight w:val="346" w:hRule="exact"/>
        </w:trPr>
        <w:tc>
          <w:tcPr>
            <w:tcW w:w="41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22" w:right="0"/>
              <w:jc w:val="left"/>
              <w:rPr>
                <w:rFonts w:ascii="宋体" w:hAnsi="宋体" w:cs="宋体" w:eastAsia="宋体" w:hint="default"/>
                <w:sz w:val="21"/>
                <w:szCs w:val="21"/>
              </w:rPr>
            </w:pPr>
            <w:r>
              <w:rPr>
                <w:rFonts w:ascii="宋体" w:hAnsi="宋体" w:cs="宋体" w:eastAsia="宋体" w:hint="default"/>
                <w:sz w:val="21"/>
                <w:szCs w:val="21"/>
              </w:rPr>
              <w:t>国投国际贸易（北京）有限公司</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6" w:right="0"/>
              <w:jc w:val="center"/>
              <w:rPr>
                <w:rFonts w:ascii="Times New Roman" w:hAnsi="Times New Roman" w:cs="Times New Roman" w:eastAsia="Times New Roman" w:hint="default"/>
                <w:sz w:val="21"/>
                <w:szCs w:val="21"/>
              </w:rPr>
            </w:pPr>
            <w:r>
              <w:rPr>
                <w:rFonts w:ascii="Times New Roman"/>
                <w:sz w:val="21"/>
              </w:rPr>
              <w:t>27,079,000.00</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3.66%</w:t>
            </w:r>
          </w:p>
        </w:tc>
      </w:tr>
      <w:tr>
        <w:trPr>
          <w:trHeight w:val="427" w:hRule="exact"/>
        </w:trPr>
        <w:tc>
          <w:tcPr>
            <w:tcW w:w="4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636" w:right="0"/>
              <w:jc w:val="left"/>
              <w:rPr>
                <w:rFonts w:ascii="宋体" w:hAnsi="宋体" w:cs="宋体" w:eastAsia="宋体" w:hint="default"/>
                <w:sz w:val="21"/>
                <w:szCs w:val="21"/>
              </w:rPr>
            </w:pPr>
            <w:r>
              <w:rPr>
                <w:rFonts w:ascii="宋体" w:hAnsi="宋体" w:cs="宋体" w:eastAsia="宋体" w:hint="default"/>
                <w:sz w:val="21"/>
                <w:szCs w:val="21"/>
              </w:rPr>
              <w:t>张家港保税区丰瑞成贸易有限公司</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6" w:right="0"/>
              <w:jc w:val="center"/>
              <w:rPr>
                <w:rFonts w:ascii="Times New Roman" w:hAnsi="Times New Roman" w:cs="Times New Roman" w:eastAsia="Times New Roman" w:hint="default"/>
                <w:sz w:val="21"/>
                <w:szCs w:val="21"/>
              </w:rPr>
            </w:pPr>
            <w:r>
              <w:rPr>
                <w:rFonts w:ascii="Times New Roman"/>
                <w:sz w:val="21"/>
              </w:rPr>
              <w:t>21,749,000.00</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center"/>
              <w:rPr>
                <w:rFonts w:ascii="Times New Roman" w:hAnsi="Times New Roman" w:cs="Times New Roman" w:eastAsia="Times New Roman" w:hint="default"/>
                <w:sz w:val="21"/>
                <w:szCs w:val="21"/>
              </w:rPr>
            </w:pPr>
            <w:r>
              <w:rPr>
                <w:rFonts w:ascii="宋体"/>
                <w:sz w:val="21"/>
              </w:rPr>
              <w:t>2.94</w:t>
            </w:r>
            <w:r>
              <w:rPr>
                <w:rFonts w:ascii="Times New Roman"/>
                <w:sz w:val="21"/>
              </w:rPr>
              <w:t>%</w:t>
            </w:r>
          </w:p>
        </w:tc>
      </w:tr>
    </w:tbl>
    <w:p>
      <w:pPr>
        <w:spacing w:after="0" w:line="290" w:lineRule="exact"/>
        <w:jc w:val="center"/>
        <w:rPr>
          <w:rFonts w:ascii="Times New Roman" w:hAnsi="Times New Roman" w:cs="Times New Roman" w:eastAsia="Times New Roman"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4196"/>
        <w:gridCol w:w="2067"/>
        <w:gridCol w:w="3296"/>
      </w:tblGrid>
      <w:tr>
        <w:trPr>
          <w:trHeight w:val="348" w:hRule="exact"/>
        </w:trPr>
        <w:tc>
          <w:tcPr>
            <w:tcW w:w="41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74" w:right="0"/>
              <w:jc w:val="left"/>
              <w:rPr>
                <w:rFonts w:ascii="Times New Roman" w:hAnsi="Times New Roman" w:cs="Times New Roman" w:eastAsia="Times New Roman" w:hint="default"/>
                <w:sz w:val="21"/>
                <w:szCs w:val="21"/>
              </w:rPr>
            </w:pPr>
            <w:r>
              <w:rPr>
                <w:rFonts w:ascii="Times New Roman"/>
                <w:sz w:val="21"/>
              </w:rPr>
              <w:t>610,110,173.12</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center"/>
              <w:rPr>
                <w:rFonts w:ascii="Times New Roman" w:hAnsi="Times New Roman" w:cs="Times New Roman" w:eastAsia="Times New Roman" w:hint="default"/>
                <w:sz w:val="21"/>
                <w:szCs w:val="21"/>
              </w:rPr>
            </w:pPr>
            <w:r>
              <w:rPr>
                <w:rFonts w:ascii="Times New Roman"/>
                <w:sz w:val="21"/>
              </w:rPr>
              <w:t>82.4</w:t>
            </w:r>
            <w:r>
              <w:rPr>
                <w:rFonts w:ascii="宋体"/>
                <w:sz w:val="21"/>
              </w:rPr>
              <w:t>9</w:t>
            </w:r>
            <w:r>
              <w:rPr>
                <w:rFonts w:ascii="Times New Roman"/>
                <w:sz w:val="21"/>
              </w:rPr>
              <w:t>%</w:t>
            </w:r>
          </w:p>
        </w:tc>
      </w:tr>
    </w:tbl>
    <w:p>
      <w:pPr>
        <w:spacing w:line="240" w:lineRule="auto" w:before="3"/>
        <w:rPr>
          <w:rFonts w:ascii="宋体" w:hAnsi="宋体" w:cs="宋体" w:eastAsia="宋体" w:hint="default"/>
          <w:b/>
          <w:bCs/>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4,063,333.33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2,983,958.80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4,744,214.22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2,983,958.80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8,807,547.55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募集资金理财产品利息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4,063,333.33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4,063,333.33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5"/>
        <w:gridCol w:w="1663"/>
        <w:gridCol w:w="2098"/>
        <w:gridCol w:w="2100"/>
        <w:gridCol w:w="1805"/>
      </w:tblGrid>
      <w:tr>
        <w:trPr>
          <w:trHeight w:val="401"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9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18"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3"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0"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215,059.56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245,344.90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7" w:right="0"/>
              <w:jc w:val="left"/>
              <w:rPr>
                <w:rFonts w:ascii="Times New Roman" w:hAnsi="Times New Roman" w:cs="Times New Roman" w:eastAsia="Times New Roman" w:hint="default"/>
                <w:sz w:val="18"/>
                <w:szCs w:val="18"/>
              </w:rPr>
            </w:pPr>
            <w:r>
              <w:rPr>
                <w:rFonts w:ascii="Times New Roman"/>
                <w:sz w:val="18"/>
              </w:rPr>
              <w:t>866,063.19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6" w:right="0"/>
              <w:jc w:val="left"/>
              <w:rPr>
                <w:rFonts w:ascii="Times New Roman" w:hAnsi="Times New Roman" w:cs="Times New Roman" w:eastAsia="Times New Roman" w:hint="default"/>
                <w:sz w:val="18"/>
                <w:szCs w:val="18"/>
              </w:rPr>
            </w:pPr>
            <w:r>
              <w:rPr>
                <w:rFonts w:ascii="Times New Roman"/>
                <w:sz w:val="18"/>
              </w:rPr>
              <w:t>1,326,467.65</w:t>
            </w:r>
          </w:p>
        </w:tc>
      </w:tr>
      <w:tr>
        <w:trPr>
          <w:trHeight w:val="161" w:hRule="exact"/>
        </w:trPr>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05"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05"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-38,293.21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38,293.21</w:t>
            </w: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0"/>
        <w:gridCol w:w="1805"/>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-106,226.34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106,226.34</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373,055.13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55,587.13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428,642.26</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115,030.00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75,678.55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190,708.55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61,736.35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550,466.90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952,198.11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1,564,401.36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其他应收款员工暂支款组合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4,290,995.70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5,780,535.87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其他应收款业务往来组合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257,364.46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290,146.00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4,548,360.16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6,070,681.87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0"/>
        <w:gridCol w:w="1805"/>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tc>
        <w:tc>
          <w:tcPr>
            <w:tcW w:w="180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0"/>
        <w:gridCol w:w="1805"/>
      </w:tblGrid>
      <w:tr>
        <w:trPr>
          <w:trHeight w:val="362"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5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215,059.56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245,344.90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866,063.19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1,326,467.65</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-38,293.21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38,293.21</w:t>
            </w: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-106,226.34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106,226.34</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373,055.13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55,587.13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428,642.26</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115,030.00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75,678.55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190,708.55</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61,736.35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550,466.90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952,198.11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1,564,401.36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38" w:lineRule="auto" w:before="117"/>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2,429,579.90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765,864.21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365,293.94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987,622.11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987,622.11</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4,548,360.16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196"/>
        <w:gridCol w:w="1303"/>
        <w:gridCol w:w="1092"/>
        <w:gridCol w:w="1735"/>
        <w:gridCol w:w="1731"/>
      </w:tblGrid>
      <w:tr>
        <w:trPr>
          <w:trHeight w:val="402"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员工暂支款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1,193,091.08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191,824.68</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1,384,915.76</w:t>
            </w: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业务往来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133,376.57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46,109.03</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179,485.60</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1,326,467.65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237,933.71</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1,564,401.36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1"/>
        <w:gridCol w:w="4789"/>
      </w:tblGrid>
      <w:tr>
        <w:trPr>
          <w:trHeight w:val="334" w:hRule="exact"/>
        </w:trPr>
        <w:tc>
          <w:tcPr>
            <w:tcW w:w="4781" w:type="dxa"/>
            <w:tcBorders>
              <w:top w:val="single" w:sz="6" w:space="0" w:color="000000"/>
              <w:left w:val="nil" w:sz="6" w:space="0" w:color="auto"/>
              <w:bottom w:val="single" w:sz="4" w:space="0" w:color="000000"/>
              <w:right w:val="nil" w:sz="6" w:space="0" w:color="auto"/>
            </w:tcBorders>
          </w:tcPr>
          <w:p>
            <w:pPr/>
          </w:p>
        </w:tc>
        <w:tc>
          <w:tcPr>
            <w:tcW w:w="4789"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3"/>
        <w:gridCol w:w="1594"/>
        <w:gridCol w:w="1596"/>
        <w:gridCol w:w="1594"/>
        <w:gridCol w:w="1594"/>
        <w:gridCol w:w="158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6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4"/>
        <w:spacing w:line="240" w:lineRule="auto" w:before="120"/>
        <w:ind w:left="112" w:right="0"/>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张亚军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个人暂支款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505,678.25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728.20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朱良春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个人暂支款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258,202.00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191,206.84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个人暂支款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255,940.64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642.78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陈宝军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个人暂支款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237,827.81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440.17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钱惠琴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个人暂支款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183,716.28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1,449,488.70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31.88%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376,734.27</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3"/>
        <w:gridCol w:w="1916"/>
        <w:gridCol w:w="1913"/>
        <w:gridCol w:w="1906"/>
      </w:tblGrid>
      <w:tr>
        <w:trPr>
          <w:trHeight w:val="716"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41"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12" w:right="0"/>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left="112"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8"/>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4103"/>
        <w:gridCol w:w="4101"/>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9"/>
        <w:gridCol w:w="1366"/>
        <w:gridCol w:w="1368"/>
        <w:gridCol w:w="1366"/>
        <w:gridCol w:w="1369"/>
      </w:tblGrid>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546,222,097.63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546,222,097.63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542,865,827.44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542,865,827.44</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671,480,549.06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10,868,895.62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660,611,653.44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893,867,432.20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893,867,432.20</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6,378,848.41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6,378,848.41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6,773,089.88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6,773,089.88</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4,117,203.44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1,029,012.33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3,088,191.11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3,044,031.13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3,044,031.13</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1,228,198,698.54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11,897,907.95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1,216,300,790.59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1,446,550,380.65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1,446,550,380.65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right w:val="single" w:sz="4" w:space="0" w:color="000000"/>
            </w:tcBorders>
            <w:shd w:val="clear" w:color="auto" w:fill="D2D2D2"/>
          </w:tcPr>
          <w:p>
            <w:pPr/>
          </w:p>
        </w:tc>
      </w:tr>
      <w:tr>
        <w:trPr>
          <w:trHeight w:val="20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10,868,895.62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10,868,895.62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1,029,012.33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1,029,012.33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11,897,907.95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11,897,907.95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10</w:t>
      </w:r>
      <w:r>
        <w:rPr/>
        <w:t>、合同资产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198"/>
        <w:gridCol w:w="1327"/>
        <w:gridCol w:w="1196"/>
        <w:gridCol w:w="1198"/>
        <w:gridCol w:w="1196"/>
        <w:gridCol w:w="1327"/>
      </w:tblGrid>
      <w:tr>
        <w:trPr>
          <w:trHeight w:val="403"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合同资产的账面价值在本期内发生的重大变动金额和原因：</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如是按照预期信用损失一般模型计提合同资产坏账准备，请参照其他应收款的披露方式披露坏账准备的相关信息：</w:t>
      </w:r>
    </w:p>
    <w:p>
      <w:pPr>
        <w:spacing w:line="340" w:lineRule="auto" w:before="115"/>
        <w:ind w:left="152" w:right="82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本期合同资产计提减值准备情况</w:t>
      </w:r>
    </w:p>
    <w:p>
      <w:pPr>
        <w:spacing w:before="4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11</w:t>
      </w:r>
      <w:r>
        <w:rPr/>
        <w:t>、持有待售资产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7"/>
        <w:gridCol w:w="1367"/>
        <w:gridCol w:w="1366"/>
        <w:gridCol w:w="1369"/>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8"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重要的债权投资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其他债权投资</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待抵扣增值税额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26,698,091.19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90,603,040.35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83,950.41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836,129.82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26,782,041.60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1,091,439,170.17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14</w:t>
      </w:r>
      <w:r>
        <w:rPr/>
        <w:t>、债权投资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7"/>
        <w:gridCol w:w="1367"/>
        <w:gridCol w:w="1366"/>
        <w:gridCol w:w="1369"/>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重要的债权投资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0"/>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38" w:lineRule="auto" w:before="117"/>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15</w:t>
      </w:r>
      <w:r>
        <w:rPr/>
        <w:t>、其他债权投资</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95"/>
        <w:gridCol w:w="1034"/>
        <w:gridCol w:w="1035"/>
        <w:gridCol w:w="1034"/>
        <w:gridCol w:w="1034"/>
        <w:gridCol w:w="1035"/>
        <w:gridCol w:w="1032"/>
        <w:gridCol w:w="1035"/>
        <w:gridCol w:w="1037"/>
      </w:tblGrid>
      <w:tr>
        <w:trPr>
          <w:trHeight w:val="1337"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2" w:right="60" w:hanging="180"/>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2" w:right="59" w:hanging="180"/>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58"/>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重要的其他债权投资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0"/>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坏账准备减值情况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0"/>
        <w:gridCol w:w="1805"/>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800"/>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4"/>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18</w:t>
      </w:r>
      <w:r>
        <w:rPr/>
        <w:t>、其他权益工具投资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9"/>
      </w:tblGrid>
      <w:tr>
        <w:trPr>
          <w:trHeight w:val="1340"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8"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8"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19</w:t>
      </w:r>
      <w:r>
        <w:rPr/>
        <w:t>、其他非流动金融资产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江苏民丰农村商业银行股份有限公司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8,942,960.32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江苏苏宁银行股份有限公司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406,771,824.64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415,714,784.96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21</w:t>
      </w:r>
      <w:r>
        <w:rPr/>
        <w:t>、固定资产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3,154,553,777.99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3,329,463,894.91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3,154,553,777.99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3,329,463,894.91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1,187,152,819.60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4,023,567,870.69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8,615,706.66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11,115,977.82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5,230,452,374.77</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134,696,441.12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111,425,826.30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763,037.82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3,562,172.13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250,447,477.37</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7,120,689.02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20,990,259.72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763,037.82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3,308,865.13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32,182,851.69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127,575,752.10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90,435,566.58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253,307.00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218,264,625.68</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453,000.00</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453,000.00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1,321,849,260.72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4,134,993,696.99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8,925,744.48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14,678,149.95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5,480,446,852.14</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175,841,495.20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1,712,554,078.80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6,368,853.67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6,224,052.19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1,900,988,479.86</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56,361,272.89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366,898,397.83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575,968.70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1,499,304.87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425,334,944.29</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56,361,272.89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366,898,397.83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575,968.70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1,499,304.87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425,334,944.29</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430,350.00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430,350.00</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430,350.00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430,350.00</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232,202,768.09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2,079,452,476.63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6,514,472.37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7,723,357.06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2,325,893,074.15</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1,089,646,492.63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2,055,541,220.36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2,411,272.11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6,954,792.89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3,154,553,777.99</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1,011,311,324.40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2,311,013,791.89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2,246,852.99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4,891,925.63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3,329,463,894.91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83"/>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研发办公楼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3,666,780.15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尚未批复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固废仓库</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618,999.03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尚未批复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89 </w:t>
            </w:r>
            <w:r>
              <w:rPr>
                <w:rFonts w:ascii="宋体" w:hAnsi="宋体" w:cs="宋体" w:eastAsia="宋体" w:hint="default"/>
                <w:sz w:val="18"/>
                <w:szCs w:val="18"/>
              </w:rPr>
              <w:t>线厂房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52,382,047.74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尚未批复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1702-1703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厂房及部分仓库</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63,412,434.84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尚未批复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区光学膜二期厂房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61,834,459.99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尚未批复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区三期厂房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6,208,776.03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尚未批复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区新建仓库</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1,121,450.00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尚未批复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包材车间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34,828,363.27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尚未批复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聚合二厂房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21,214,850.91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尚未批复</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22</w:t>
      </w:r>
      <w:r>
        <w:rPr/>
        <w:t>、在建工程</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656,570,989.75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224,747,061.08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656,570,989.75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224,747,061.08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职工服务中心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590,796.12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590,796.12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972,788.12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972,788.12</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区厂房光学膜 二期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12,709,239.66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12,709,239.66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燃气工程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327,576.62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327,576.62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327,576.62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327,576.62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其他房屋改造工 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9,362,025.05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9,362,025.05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13,950,518.83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13,950,518.83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区厂房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12,200,363.18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12,200,363.18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区厂房三期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区聚合厂房二 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光学膜二期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578,436,257.30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578,436,257.30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135,424,154.83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135,424,154.83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背材二期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16,321,863.87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16,321,863.87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15,330,484.52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15,330,484.52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光学薄膜生产线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19,074,786.34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19,074,786.34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37,927,419.22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37,927,419.22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设备升级改造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20,257,321.27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20,257,321.27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7,957,744.14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7,957,744.14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科为研发楼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147,135.14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147,135.14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656,570,989.75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656,570,989.75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224,747,061.08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224,747,061.08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5"/>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3"/>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职工服 务中心</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972,788.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381,992.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590,796.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56"/>
              <w:jc w:val="both"/>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区厂 房光学 膜二期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12,709,2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40,963,9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66.51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53,673,2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06.17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5"/>
        <w:gridCol w:w="737"/>
      </w:tblGrid>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燃气工 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327,576.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327,576.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其他房 屋改造 工程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13,950,5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18.83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42,143,7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32.21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46,732,2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25.99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9,362,02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5.05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区厂房</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12,200,3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63.18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12,200,3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63.18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区厂 房三期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6,208,77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6,208,77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6.03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56"/>
              <w:jc w:val="both"/>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区聚 合厂房 二期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21,214,8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21,214,8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50.91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56"/>
              <w:jc w:val="left"/>
              <w:rPr>
                <w:rFonts w:ascii="宋体" w:hAnsi="宋体" w:cs="宋体" w:eastAsia="宋体" w:hint="default"/>
                <w:sz w:val="18"/>
                <w:szCs w:val="18"/>
              </w:rPr>
            </w:pPr>
            <w:r>
              <w:rPr>
                <w:rFonts w:ascii="宋体" w:hAnsi="宋体" w:cs="宋体" w:eastAsia="宋体" w:hint="default"/>
                <w:sz w:val="18"/>
                <w:szCs w:val="18"/>
              </w:rPr>
              <w:t>光学膜 二期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1" w:right="0"/>
              <w:jc w:val="center"/>
              <w:rPr>
                <w:rFonts w:ascii="Times New Roman" w:hAnsi="Times New Roman" w:cs="Times New Roman" w:eastAsia="Times New Roman" w:hint="default"/>
                <w:sz w:val="18"/>
                <w:szCs w:val="18"/>
              </w:rPr>
            </w:pPr>
            <w:r>
              <w:rPr>
                <w:rFonts w:ascii="Times New Roman"/>
                <w:sz w:val="18"/>
              </w:rPr>
              <w:t>135,424,</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154.83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8" w:right="0"/>
              <w:jc w:val="center"/>
              <w:rPr>
                <w:rFonts w:ascii="Times New Roman" w:hAnsi="Times New Roman" w:cs="Times New Roman" w:eastAsia="Times New Roman" w:hint="default"/>
                <w:sz w:val="18"/>
                <w:szCs w:val="18"/>
              </w:rPr>
            </w:pPr>
            <w:r>
              <w:rPr>
                <w:rFonts w:ascii="Times New Roman"/>
                <w:sz w:val="18"/>
              </w:rPr>
              <w:t>471,629,</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589.12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28,617,4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86.65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8" w:right="0"/>
              <w:jc w:val="center"/>
              <w:rPr>
                <w:rFonts w:ascii="Times New Roman" w:hAnsi="Times New Roman" w:cs="Times New Roman" w:eastAsia="Times New Roman" w:hint="default"/>
                <w:sz w:val="18"/>
                <w:szCs w:val="18"/>
              </w:rPr>
            </w:pPr>
            <w:r>
              <w:rPr>
                <w:rFonts w:ascii="Times New Roman"/>
                <w:sz w:val="18"/>
              </w:rPr>
              <w:t>578,436,</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257.30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背材二 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15,330,4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84.52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991,379.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16,321,8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63.87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光学薄 膜生产 线</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37,927,4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19.22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8,323,83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27,176,4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72.75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19,074,7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86.34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设备升 级改造</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7,957,74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45,396,3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90.87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33,096,8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13.74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20,257,3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21.27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科为研 发楼</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147,135.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1,397,65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1,544,79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3.44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224,747,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061.08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650,470,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546.35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218,264,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625.68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381,992.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656,570,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989.75</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2"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25</w:t>
      </w:r>
      <w:r>
        <w:rPr/>
        <w:t>、使用权资产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146,866,753.72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187,876.15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155,054,629.87</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27,667,810.56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27,667,810.56</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27,667,810.56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27,667,810.56</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174,534,564.28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187,876.15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182,722,440.43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19,562,987.92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60,873.92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7,154,166.66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26,778,028.50</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3,061,845.36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18,787.60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3,080,632.96</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3,061,845.36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18,787.60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3,080,632.96</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22,624,833.28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79,661.52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7,154,166.66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29,858,661.46</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845,833.34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845,833.34</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845,833.34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845,833.34</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151,909,731.00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108,214.63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152,017,945.63</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127,303,765.80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127,002.23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127,430,768.03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27</w:t>
      </w:r>
      <w:r>
        <w:rPr/>
        <w:t>、开发支出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052"/>
        <w:gridCol w:w="1063"/>
        <w:gridCol w:w="1064"/>
        <w:gridCol w:w="1063"/>
        <w:gridCol w:w="1063"/>
        <w:gridCol w:w="1064"/>
        <w:gridCol w:w="1061"/>
        <w:gridCol w:w="1064"/>
        <w:gridCol w:w="1063"/>
      </w:tblGrid>
      <w:tr>
        <w:trPr>
          <w:trHeight w:val="402" w:hRule="exact"/>
        </w:trPr>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2" w:hRule="exact"/>
        </w:trPr>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48" w:right="75"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05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52"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52"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28</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9"/>
        <w:gridCol w:w="1366"/>
        <w:gridCol w:w="1368"/>
        <w:gridCol w:w="1368"/>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6"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江西科为薄膜新 型材料有限公司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84,899,044.39</w:t>
            </w: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84,899,044.39</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84,899,044.39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84,899,044.39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9"/>
        <w:gridCol w:w="1366"/>
        <w:gridCol w:w="1368"/>
        <w:gridCol w:w="1368"/>
        <w:gridCol w:w="1366"/>
      </w:tblGrid>
      <w:tr>
        <w:trPr>
          <w:trHeight w:val="319"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6"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江西科为薄膜新 型材料有限公司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64,899,044.39</w:t>
            </w:r>
          </w:p>
        </w:tc>
        <w:tc>
          <w:tcPr>
            <w:tcW w:w="1369"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66"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84,899,044.39</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64,899,044.39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84,899,044.39</w:t>
            </w:r>
          </w:p>
        </w:tc>
      </w:tr>
    </w:tbl>
    <w:p>
      <w:pPr>
        <w:spacing w:line="338" w:lineRule="auto"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 </w:t>
      </w: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等）及商誉减值损失的确认方法：</w:t>
      </w:r>
    </w:p>
    <w:p>
      <w:pPr>
        <w:spacing w:line="360" w:lineRule="auto" w:before="43"/>
        <w:ind w:left="152" w:right="8594" w:firstLine="0"/>
        <w:jc w:val="left"/>
        <w:rPr>
          <w:rFonts w:ascii="宋体" w:hAnsi="宋体" w:cs="宋体" w:eastAsia="宋体" w:hint="default"/>
          <w:sz w:val="18"/>
          <w:szCs w:val="18"/>
        </w:rPr>
      </w:pPr>
      <w:r>
        <w:rPr>
          <w:rFonts w:ascii="宋体" w:hAnsi="宋体" w:cs="宋体" w:eastAsia="宋体" w:hint="default"/>
          <w:sz w:val="18"/>
          <w:szCs w:val="18"/>
        </w:rPr>
        <w:t>商誉减值测试的影响 其他说明</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29</w:t>
      </w:r>
      <w:r>
        <w:rPr/>
        <w:t>、长期待摊费用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聚合年度维保</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25,332,605.47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3,224,122.14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22,108,483.33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苗木绿化费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2,363,733.34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904,440.00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1,009,346.37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2,258,826.97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办公家具</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492,335.30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461,224.19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3"/>
                <w:sz w:val="18"/>
              </w:rPr>
              <w:t>31,111.11</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2,856,068.64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7" w:right="0"/>
              <w:jc w:val="left"/>
              <w:rPr>
                <w:rFonts w:ascii="Times New Roman" w:hAnsi="Times New Roman" w:cs="Times New Roman" w:eastAsia="Times New Roman" w:hint="default"/>
                <w:sz w:val="18"/>
                <w:szCs w:val="18"/>
              </w:rPr>
            </w:pPr>
            <w:r>
              <w:rPr>
                <w:rFonts w:ascii="Times New Roman"/>
                <w:sz w:val="18"/>
              </w:rPr>
              <w:t>26,237,045.47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4,694,692.70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24,398,421.41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4"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11,897,907.95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1,784,686.20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94,076,148.11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14,111,422.22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3,873,160.00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580,974.00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3,873,160.00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580,974.00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110,511,755.12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16,576,763.27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126,282,823.07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18,942,423.47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97,949,308.11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14,692,396.22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其他非流动金融资产公 允价值变动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12,520,584.96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1,878,087.74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12,520,584.96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1,878,087.74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18,942,423.47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14,692,396.22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1,878,087.74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85,744,877.73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65,744,877.73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12,292,182.52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98,037,060.25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65,744,877.73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31</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58,077,167.92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176,472,736.35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58,077,167.92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176,472,736.35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33</w:t>
      </w:r>
      <w:r>
        <w:rPr/>
        <w:t>、交易性金融负债</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34</w:t>
      </w:r>
      <w:r>
        <w:rPr/>
        <w:t>、衍生金融负债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35</w:t>
      </w:r>
      <w:r>
        <w:rPr/>
        <w:t>、应付票据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986,095,498.80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543,461,940.00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986,095,498.80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543,461,940.00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118,408,820.00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63,316,743.71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118,408,820.00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63,316,743.71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TCC</w:t>
            </w:r>
            <w:r>
              <w:rPr>
                <w:rFonts w:ascii="Times New Roman"/>
                <w:spacing w:val="-1"/>
                <w:sz w:val="18"/>
              </w:rPr>
              <w:t> </w:t>
            </w:r>
            <w:r>
              <w:rPr>
                <w:rFonts w:ascii="Times New Roman"/>
                <w:spacing w:val="-3"/>
                <w:sz w:val="18"/>
              </w:rPr>
              <w:t>CO.,LTD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1,903,137.39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尚未到付款期</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114"/>
              <w:jc w:val="left"/>
              <w:rPr>
                <w:rFonts w:ascii="Times New Roman" w:hAnsi="Times New Roman" w:cs="Times New Roman" w:eastAsia="Times New Roman" w:hint="default"/>
                <w:sz w:val="18"/>
                <w:szCs w:val="18"/>
              </w:rPr>
            </w:pPr>
            <w:r>
              <w:rPr>
                <w:rFonts w:ascii="Times New Roman"/>
                <w:sz w:val="18"/>
              </w:rPr>
              <w:t>REFIEK</w:t>
            </w:r>
            <w:r>
              <w:rPr>
                <w:rFonts w:ascii="Times New Roman"/>
                <w:spacing w:val="-8"/>
                <w:sz w:val="18"/>
              </w:rPr>
              <w:t> </w:t>
            </w:r>
            <w:r>
              <w:rPr>
                <w:rFonts w:ascii="Times New Roman"/>
                <w:sz w:val="18"/>
              </w:rPr>
              <w:t>TECHNOLOGIES</w:t>
            </w:r>
            <w:r>
              <w:rPr>
                <w:rFonts w:ascii="Times New Roman"/>
                <w:w w:val="99"/>
                <w:sz w:val="18"/>
              </w:rPr>
              <w:t> </w:t>
            </w:r>
            <w:r>
              <w:rPr>
                <w:rFonts w:ascii="Times New Roman"/>
                <w:spacing w:val="-3"/>
                <w:sz w:val="18"/>
              </w:rPr>
              <w:t>CORPORATION</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964,587.21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LUXO INTERNATIONAL</w:t>
            </w:r>
            <w:r>
              <w:rPr>
                <w:rFonts w:ascii="Times New Roman"/>
                <w:spacing w:val="-33"/>
                <w:sz w:val="18"/>
              </w:rPr>
              <w:t> </w:t>
            </w:r>
            <w:r>
              <w:rPr>
                <w:rFonts w:ascii="Times New Roman"/>
                <w:sz w:val="18"/>
              </w:rPr>
              <w:t>INC</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256,648.30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尚未到付款期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皓释国际贸易（上海）有限公司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杭州晋湛空气处理设备有限公司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220,769.23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尚未到付款期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3,568,742.13</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37</w:t>
      </w:r>
      <w:r>
        <w:rPr/>
        <w:t>、预收款项</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71,299,055.21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33,810,719.80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1,479,636.11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1,866,755.18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1,507,646.67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3,262,887.79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5,314,011.44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2,958,774.63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79,600,349.43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41,899,137.40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38</w:t>
      </w:r>
      <w:r>
        <w:rPr/>
        <w:t>、合同负债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报告期内账面价值发生重大变动的金额和原因</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21,977,141.98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124,263,238.33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113,420,201.40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32,820,178.91</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8,446,690.52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8,446,690.52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21,977,141.98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132,709,928.85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121,866,891.92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32,820,178.91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21,835,938.38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113,739,891.99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102,928,198.66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32,647,631.71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165,853.72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4,422,403.97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4,422,403.97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165,853.72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-22,318.69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4,326,907.94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4,315,564.34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-10,975.09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3,384,606.63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3,384,606.63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451,578.73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466,578.73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-22,318.69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486,876.54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460,532.94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4,024.91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-2,331.43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1,330,740.00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1,330,740.00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-2,331.43</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443,294.43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423,294.43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21,977,141.98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124,263,238.33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113,420,201.40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32,820,178.91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8,203,219.81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8,203,219.81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243,470.71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243,470.71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8,446,690.52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8,446,690.52</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40</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321,248.06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256,030.69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2,630,867.03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10,483,830.86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1,882,522.83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922,159.48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1,647,976.99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1,356,672.27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306,682.89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77,305.94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329,949.34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228,242.54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7,119,247.14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13,324,241.78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125,538,077.31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112,846,156.46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125,538,077.31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112,846,156.46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5,737,205.51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120,014,371.05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106,654,574.42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365,603.75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1,097,540.82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费用及其他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5,158,102.51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5,094,041.22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125,538,077.31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112,846,156.46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江苏南通二建有限公司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23,453,896.46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尚未到付款期</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People</w:t>
            </w:r>
            <w:r>
              <w:rPr>
                <w:rFonts w:ascii="Times New Roman"/>
                <w:spacing w:val="-16"/>
                <w:sz w:val="18"/>
              </w:rPr>
              <w:t> </w:t>
            </w:r>
            <w:r>
              <w:rPr>
                <w:rFonts w:ascii="Times New Roman"/>
                <w:sz w:val="18"/>
              </w:rPr>
              <w:t>And</w:t>
            </w:r>
            <w:r>
              <w:rPr>
                <w:rFonts w:ascii="Times New Roman"/>
                <w:spacing w:val="-10"/>
                <w:sz w:val="18"/>
              </w:rPr>
              <w:t> </w:t>
            </w:r>
            <w:r>
              <w:rPr>
                <w:rFonts w:ascii="Times New Roman"/>
                <w:sz w:val="18"/>
              </w:rPr>
              <w:t>Technology</w:t>
            </w:r>
            <w:r>
              <w:rPr>
                <w:rFonts w:ascii="Times New Roman"/>
                <w:spacing w:val="-10"/>
                <w:sz w:val="18"/>
              </w:rPr>
              <w:t> </w:t>
            </w:r>
            <w:r>
              <w:rPr>
                <w:rFonts w:ascii="Times New Roman"/>
                <w:sz w:val="18"/>
              </w:rPr>
              <w:t>Inc</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9,630,560.70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尚未到付款期</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宿迁市彩缘置业有限公司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9,546,000.00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尚未到付款期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扬州士保空调净化设备有限公司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4,764,048.00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上海永疆环保能源科技有限公司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4,305,538.20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51,700,043.36</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42</w:t>
      </w:r>
      <w:r>
        <w:rPr/>
        <w:t>、持有待售负债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7"/>
        <w:gridCol w:w="800"/>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60" w:lineRule="auto" w:before="49"/>
        <w:ind w:left="152" w:right="859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after="0" w:line="36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公司债</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798,282,967.15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798,282,967.15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9"/>
        <w:gridCol w:w="797"/>
        <w:gridCol w:w="799"/>
        <w:gridCol w:w="797"/>
        <w:gridCol w:w="800"/>
        <w:gridCol w:w="797"/>
        <w:gridCol w:w="799"/>
        <w:gridCol w:w="797"/>
        <w:gridCol w:w="800"/>
        <w:gridCol w:w="797"/>
      </w:tblGrid>
      <w:tr>
        <w:trPr>
          <w:trHeight w:val="161" w:hRule="exact"/>
        </w:trPr>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61" w:hRule="exact"/>
        </w:trPr>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13" w:space="0" w:color="D2D2D2"/>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12" w:space="0" w:color="D2D2D2"/>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3" w:space="4176"/>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3"/>
        <w:gridCol w:w="1064"/>
        <w:gridCol w:w="1061"/>
        <w:gridCol w:w="1064"/>
        <w:gridCol w:w="1061"/>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0"/>
        <w:ind w:left="152" w:right="751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47</w:t>
      </w:r>
      <w:r>
        <w:rPr/>
        <w:t>、租赁负债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48</w:t>
      </w:r>
      <w:r>
        <w:rPr/>
        <w:t>、长期应付款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83"/>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49"/>
        <w:ind w:left="152" w:right="355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5"/>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83"/>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12"/>
        <w:gridCol w:w="1248"/>
        <w:gridCol w:w="1011"/>
        <w:gridCol w:w="1010"/>
        <w:gridCol w:w="1010"/>
        <w:gridCol w:w="1008"/>
        <w:gridCol w:w="1010"/>
        <w:gridCol w:w="1249"/>
        <w:gridCol w:w="1010"/>
      </w:tblGrid>
      <w:tr>
        <w:trPr>
          <w:trHeight w:val="1026" w:hRule="exact"/>
        </w:trPr>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0"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6"/>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514,583.33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609,583.33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514,583.33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609,583.33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1,156,278,085.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1,156,278,085.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2129"/>
        <w:gridCol w:w="2126"/>
        <w:gridCol w:w="2124"/>
        <w:gridCol w:w="2114"/>
      </w:tblGrid>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5" w:right="0"/>
              <w:jc w:val="left"/>
              <w:rPr>
                <w:rFonts w:ascii="宋体" w:hAnsi="宋体" w:cs="宋体" w:eastAsia="宋体" w:hint="default"/>
                <w:sz w:val="18"/>
                <w:szCs w:val="18"/>
              </w:rPr>
            </w:pPr>
            <w:r>
              <w:rPr>
                <w:rFonts w:ascii="宋体" w:hAnsi="宋体" w:cs="宋体" w:eastAsia="宋体" w:hint="default"/>
                <w:sz w:val="18"/>
                <w:szCs w:val="18"/>
              </w:rPr>
              <w:t>发行在外的</w:t>
            </w:r>
          </w:p>
        </w:tc>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2"/>
        <w:gridCol w:w="1061"/>
        <w:gridCol w:w="1064"/>
        <w:gridCol w:w="1061"/>
      </w:tblGrid>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6" w:right="0"/>
              <w:jc w:val="left"/>
              <w:rPr>
                <w:rFonts w:ascii="宋体" w:hAnsi="宋体" w:cs="宋体" w:eastAsia="宋体" w:hint="default"/>
                <w:sz w:val="18"/>
                <w:szCs w:val="18"/>
              </w:rPr>
            </w:pPr>
            <w:r>
              <w:rPr>
                <w:rFonts w:ascii="宋体" w:hAnsi="宋体" w:cs="宋体" w:eastAsia="宋体" w:hint="default"/>
                <w:sz w:val="18"/>
                <w:szCs w:val="18"/>
              </w:rPr>
              <w:t>金融工具</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49"/>
        <w:ind w:left="152" w:right="463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5,167,094,758.13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FFFFFF"/>
            </w:tcBorders>
          </w:tcPr>
          <w:p>
            <w:pP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5,167,094,758.13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18,450,677.58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FFFFFF"/>
            </w:tcBorders>
          </w:tcPr>
          <w:p>
            <w:pP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18,450,677.58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5,185,545,435.71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FFFFFF"/>
            </w:tcBorders>
          </w:tcPr>
          <w:p>
            <w:pP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5,185,545,435.71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1"/>
        <w:gridCol w:w="852"/>
        <w:gridCol w:w="852"/>
        <w:gridCol w:w="852"/>
        <w:gridCol w:w="853"/>
        <w:gridCol w:w="727"/>
      </w:tblGrid>
      <w:tr>
        <w:trPr>
          <w:trHeight w:val="401" w:hRule="exact"/>
        </w:trPr>
        <w:tc>
          <w:tcPr>
            <w:tcW w:w="25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4"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651" w:hRule="exact"/>
        </w:trPr>
        <w:tc>
          <w:tcPr>
            <w:tcW w:w="2555"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8"/>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2" w:right="5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159,625,026.77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19,510,207.24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179,135,234.01</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7,715,823.92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7,715,823.92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167,340,850.69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19,510,207.24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186,851,057.93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1,192,048,121.84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914,192,559.67</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1,192,048,121.84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914,192,559.67</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173,486,372.58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321,348,433.81</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19,510,207.24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31,930,090.79</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231,255,617.00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11,562,780.85</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1,114,768,670.18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1,192,048,121.84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4,447,356,492.12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3,893,604,449.79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3,820,250,943.79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3,185,784,644.60</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24,950,168.36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37,314,400.22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5,276,289.55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4,472,306,660.48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3,893,604,449.79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3,857,565,344.01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3,191,060,934.15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0" w:lineRule="auto" w:before="115"/>
        <w:ind w:left="152" w:right="92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175,060.91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163,023.73</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156,930.20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163,023.75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10,153,549.37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5,151,825.17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3,758,590.92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3,681,205.54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2,452.80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2,092.80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1,159,827.22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1,370,806.04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447,636.32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370,242.20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环保税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7,797.60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15,867,043.74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10,910,016.83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销售工资及奖金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8,872,346.66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7,699,603.95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90,365,976.18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89,674,444.04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3,628,367.98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3,524,943.45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3,388,695.19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6,186,523.47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832,035.41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1,038,448.97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314,961.49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220,896.12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6,348,117.70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3,225,545.43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113,750,500.61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111,570,405.43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32,030,598.09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9,047,682.84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管理工资、奖金、福利及社保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26,262,253.18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28,239,546.61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2,075,555.57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2,774,856.12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3,080,632.96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2,989,012.92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298,857.58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1,669,374.20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3,119,682.23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2,648,721.54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1,470,570.61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1,505,687.71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897,131.02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1,256,863.35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4,958,404.88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3,389,007.66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9,196,298.29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7,842,132.35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83,389,984.41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61,362,885.30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65</w:t>
      </w:r>
      <w:r>
        <w:rPr/>
        <w:t>、研发费用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14,002,385.84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12,893,476.04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直接消耗材料、燃料和动力费用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68,271,078.98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47,937,383.47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49,615,070.19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42,970,743.82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与研发活动直接相关的其它费用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13,315,260.80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17,706,663.78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145,203,795.81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121,508,267.11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66</w:t>
      </w:r>
      <w:r>
        <w:rPr/>
        <w:t>、财务费用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28,747,152.00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33,322,119.48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8,178,902.05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3,565,842.25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20,568,249.95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29,756,277.23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-901,826.81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-3,589,943.42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41,499.33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-943,326.14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-3,590,074.84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2,600,752.86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1,337,861.80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2,772.00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2,740.00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22,228,448.67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27,506,804.19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67</w:t>
      </w:r>
      <w:r>
        <w:rPr/>
        <w:t>、其他收益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7,312,823.00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8,024,300.00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739,332.00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665,398.80</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26,488,652.96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56,465,861.72</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27,227,984.96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57,131,260.52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69</w:t>
      </w:r>
      <w:r>
        <w:rPr/>
        <w:t>、净敞口套期收益</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70</w:t>
      </w:r>
      <w:r>
        <w:rPr/>
        <w:t>、公允价值变动收益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12,520,584.96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12,520,584.96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71</w:t>
      </w:r>
      <w:r>
        <w:rPr/>
        <w:t>、信用减值损失</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3,720,758.74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-19,918,432.04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-237,933.71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-16,435,607.01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72</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-35,418,321.21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-11,897,907.95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-31,897,907.95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-35,418,321.21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73</w:t>
      </w:r>
      <w:r>
        <w:rPr/>
        <w:t>、资产处置收益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74</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1,977,600.00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112,102.54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961,375.31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112,102.54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212,102.54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2,938,975.31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212,102.54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4"/>
        <w:gridCol w:w="1063"/>
        <w:gridCol w:w="1065"/>
        <w:gridCol w:w="1051"/>
      </w:tblGrid>
      <w:tr>
        <w:trPr>
          <w:trHeight w:val="71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9" w:right="72" w:hanging="361"/>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6"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75" w:right="39"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75</w:t>
      </w:r>
      <w:r>
        <w:rPr/>
        <w:t>、营业外支出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6"/>
        <w:gridCol w:w="2396"/>
        <w:gridCol w:w="2393"/>
        <w:gridCol w:w="2393"/>
      </w:tblGrid>
      <w:tr>
        <w:trPr>
          <w:trHeight w:val="161" w:hRule="exact"/>
        </w:trPr>
        <w:tc>
          <w:tcPr>
            <w:tcW w:w="2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22,650.00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22,650.00</w:t>
            </w:r>
          </w:p>
        </w:tc>
      </w:tr>
      <w:tr>
        <w:trPr>
          <w:trHeight w:val="404"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287,391.31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24.15</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赔款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17,706.00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17,706.00</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70,380.15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289,391.31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70,380.15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26,017,604.73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49,847,168.69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-2,371,939.51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-5,162,748.19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23,645,665.22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44,684,420.50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197,132,037.80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29,569,805.66</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350,229.15</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72,357.20</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4,843,827.38</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-110,899.80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-11,079,654.37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23,645,665.22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77</w:t>
      </w:r>
      <w:r>
        <w:rPr/>
        <w:t>、其他综合收益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78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8,178,902.05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3,565,842.25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212,102.54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2,938,975.31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7,217,823.00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8,024,300.00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6,526,387.91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18,637,301.54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22,135,215.50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33,166,419.10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支付的各项费用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209,292,024.79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152,328,185.84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12,644,766.90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22,844,195.42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287,391.31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47,706.00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支付受限制货币资金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56,982,521.14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278,967,042.98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175,461,772.57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650,002,439.00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4,250,002,439.00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309,994,629.50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3,709,994,629.50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r>
        <w:rPr/>
        <w:pict>
          <v:group style="position:absolute;margin-left:223.369995pt;margin-top:591.729980pt;width:151.25pt;height:20.65pt;mso-position-horizontal-relative:page;mso-position-vertical-relative:page;z-index:-917224" coordorigin="4467,11835" coordsize="3025,413">
            <v:group style="position:absolute;left:4478;top:11845;width:2;height:392" coordorigin="4478,11845" coordsize="2,392">
              <v:shape style="position:absolute;left:4478;top:11845;width:2;height:392" coordorigin="4478,11845" coordsize="0,392" path="m4478,11845l4478,12237e" filled="false" stroked="true" strokeweight="1.08pt" strokecolor="#ffffff">
                <v:path arrowok="t"/>
              </v:shape>
            </v:group>
            <v:group style="position:absolute;left:4489;top:11845;width:3003;height:392" coordorigin="4489,11845" coordsize="3003,392">
              <v:shape style="position:absolute;left:4489;top:11845;width:3003;height:392" coordorigin="4489,11845" coordsize="3003,392" path="m4489,12237l7492,12237,7492,11845,4489,11845,4489,12237xe" filled="true" fillcolor="#ffffff" stroked="false">
                <v:path arrowok="t"/>
                <v:fill type="solid"/>
              </v:shape>
            </v:group>
            <w10:wrap type="none"/>
          </v:group>
        </w:pict>
      </w: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997"/>
        <w:gridCol w:w="2072"/>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173,486,372.58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321,348,433.81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48,333,514.96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35,418,321.21</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425,334,944.29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357,085,174.34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3,080,632.96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2,989,012.92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4,694,692.70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1,505,687.71</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22,650.00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-12,520,584.96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26,470,950.17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29,732,044.64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-27,227,984.96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-57,131,260.52</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-4,250,027.25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-5,162,748.19</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1,878,087.74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0"/>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99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24" w:right="0"/>
              <w:jc w:val="left"/>
              <w:rPr>
                <w:rFonts w:ascii="Times New Roman" w:hAnsi="Times New Roman" w:cs="Times New Roman" w:eastAsia="Times New Roman" w:hint="default"/>
                <w:sz w:val="18"/>
                <w:szCs w:val="18"/>
              </w:rPr>
            </w:pPr>
            <w:r>
              <w:rPr>
                <w:rFonts w:ascii="Times New Roman"/>
                <w:sz w:val="18"/>
              </w:rPr>
              <w:t>218,351,682.11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-357,617,579.73</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9" w:right="0"/>
              <w:jc w:val="left"/>
              <w:rPr>
                <w:rFonts w:ascii="Times New Roman" w:hAnsi="Times New Roman" w:cs="Times New Roman" w:eastAsia="Times New Roman" w:hint="default"/>
                <w:sz w:val="18"/>
                <w:szCs w:val="18"/>
              </w:rPr>
            </w:pPr>
            <w:r>
              <w:rPr>
                <w:rFonts w:ascii="Times New Roman"/>
                <w:sz w:val="18"/>
              </w:rPr>
              <w:t>-436,117,247.23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-278,603,158.25</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701,517,783.55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123,900,199.07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-56,982,521.14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0"/>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67" w:right="0"/>
              <w:jc w:val="left"/>
              <w:rPr>
                <w:rFonts w:ascii="Times New Roman" w:hAnsi="Times New Roman" w:cs="Times New Roman" w:eastAsia="Times New Roman" w:hint="default"/>
                <w:sz w:val="18"/>
                <w:szCs w:val="18"/>
              </w:rPr>
            </w:pPr>
            <w:r>
              <w:rPr>
                <w:rFonts w:ascii="Times New Roman"/>
                <w:sz w:val="18"/>
              </w:rPr>
              <w:t>1,066,072,945.52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173,464,127.01</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595,797,795.65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524,733,845.79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524,733,845.79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385,383,615.90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71,063,949.86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139,350,229.89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595,797,795.65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524,733,845.79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121,113.28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128,744.76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595,676,682.37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524,605,101.03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595,797,795.65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524,733,845.79</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153,512,913.91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96,530,392.77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80</w:t>
      </w:r>
      <w:r>
        <w:rPr/>
        <w:t>、所有者权益变动表项目注释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81</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153,512,913.91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153,512,913.91</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8,595,433.41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59,958,859.90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4,168,090.90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32,575,714.19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7,176,393.53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49,881,032.39</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1,436,888.73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11,230,003.87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3,087,917.92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21,497,123.04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421,724.38</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68,331.86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534,601.14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403,379.21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2,723,344.72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2,116,896.69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14,487,328.92</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1,259,301.82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8,785,141.36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22,664.95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59" w:lineRule="auto" w:before="118"/>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83</w:t>
      </w:r>
      <w:r>
        <w:rPr/>
        <w:t>、套期</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84</w:t>
      </w:r>
      <w:r>
        <w:rPr/>
        <w:t>、政府补助</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强 企业奖励资金的通知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市级工业企业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112,102.54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112,102.54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3"/>
        <w:rPr>
          <w:rFonts w:ascii="宋体" w:hAnsi="宋体" w:cs="宋体" w:eastAsia="宋体" w:hint="default"/>
          <w:sz w:val="21"/>
          <w:szCs w:val="21"/>
        </w:rPr>
      </w:pPr>
    </w:p>
    <w:p>
      <w:pPr>
        <w:spacing w:line="487" w:lineRule="auto" w:before="0"/>
        <w:ind w:left="152" w:right="8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1"/>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3"/>
        <w:gridCol w:w="1066"/>
        <w:gridCol w:w="1061"/>
        <w:gridCol w:w="1064"/>
        <w:gridCol w:w="1061"/>
      </w:tblGrid>
      <w:tr>
        <w:trPr>
          <w:trHeight w:val="714"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76" w:right="75"/>
              <w:jc w:val="left"/>
              <w:rPr>
                <w:rFonts w:ascii="宋体" w:hAnsi="宋体" w:cs="宋体" w:eastAsia="宋体" w:hint="default"/>
                <w:sz w:val="18"/>
                <w:szCs w:val="18"/>
              </w:rPr>
            </w:pPr>
            <w:r>
              <w:rPr>
                <w:rFonts w:ascii="宋体" w:hAnsi="宋体" w:cs="宋体" w:eastAsia="宋体" w:hint="default"/>
                <w:sz w:val="18"/>
                <w:szCs w:val="18"/>
              </w:rPr>
              <w:t>购买日至期 末被购买方</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76" w:right="72"/>
              <w:jc w:val="left"/>
              <w:rPr>
                <w:rFonts w:ascii="宋体" w:hAnsi="宋体" w:cs="宋体" w:eastAsia="宋体" w:hint="default"/>
                <w:sz w:val="18"/>
                <w:szCs w:val="18"/>
              </w:rPr>
            </w:pPr>
            <w:r>
              <w:rPr>
                <w:rFonts w:ascii="宋体" w:hAnsi="宋体" w:cs="宋体" w:eastAsia="宋体" w:hint="default"/>
                <w:sz w:val="18"/>
                <w:szCs w:val="18"/>
              </w:rPr>
              <w:t>购买日至期 末被购买方</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3"/>
        <w:gridCol w:w="1066"/>
        <w:gridCol w:w="1061"/>
        <w:gridCol w:w="1064"/>
        <w:gridCol w:w="1061"/>
      </w:tblGrid>
      <w:tr>
        <w:trPr>
          <w:trHeight w:val="362"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6" w:right="0"/>
              <w:jc w:val="left"/>
              <w:rPr>
                <w:rFonts w:ascii="宋体" w:hAnsi="宋体" w:cs="宋体" w:eastAsia="宋体" w:hint="default"/>
                <w:sz w:val="18"/>
                <w:szCs w:val="18"/>
              </w:rPr>
            </w:pPr>
            <w:r>
              <w:rPr>
                <w:rFonts w:ascii="宋体" w:hAnsi="宋体" w:cs="宋体" w:eastAsia="宋体" w:hint="default"/>
                <w:sz w:val="18"/>
                <w:szCs w:val="18"/>
              </w:rPr>
              <w:t>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5" w:right="0"/>
              <w:jc w:val="left"/>
              <w:rPr>
                <w:rFonts w:ascii="宋体" w:hAnsi="宋体" w:cs="宋体" w:eastAsia="宋体" w:hint="default"/>
                <w:sz w:val="18"/>
                <w:szCs w:val="18"/>
              </w:rPr>
            </w:pPr>
            <w:r>
              <w:rPr>
                <w:rFonts w:ascii="宋体" w:hAnsi="宋体" w:cs="宋体" w:eastAsia="宋体" w:hint="default"/>
                <w:sz w:val="18"/>
                <w:szCs w:val="18"/>
              </w:rPr>
              <w:t>的净利润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3;height:402"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4"/>
        <w:ind w:left="152" w:right="607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57" w:lineRule="auto" w:before="49"/>
        <w:ind w:left="152" w:right="753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4"/>
        <w:gridCol w:w="1063"/>
        <w:gridCol w:w="1066"/>
        <w:gridCol w:w="1063"/>
      </w:tblGrid>
      <w:tr>
        <w:trPr>
          <w:trHeight w:val="1339"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775;top:14;width:2;height:394" coordorigin="4775,14" coordsize="2,394">
              <v:shape style="position:absolute;left:4775;top:14;width:2;height:394" coordorigin="4775,14" coordsize="0,394" path="m4775,14l4775,408e" filled="false" stroked="true" strokeweight="1.2pt" strokecolor="#d2d2d2">
                <v:path arrowok="t"/>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807;top:14;width:2;height:394" coordorigin="4807,14" coordsize="2,394">
              <v:shape style="position:absolute;left:4807;top:14;width:2;height:394" coordorigin="4807,14" coordsize="0,394" path="m4807,14l4807,408e" filled="false" stroked="true" strokeweight="1.08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4818;top:14;width:4729;height:394" coordorigin="4818,14" coordsize="4729,394">
              <v:shape style="position:absolute;left:4818;top:14;width:4729;height:394" coordorigin="4818,14" coordsize="4729,394" path="m4818,408l9547,408,9547,14,4818,14,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3;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4"/>
        <w:ind w:left="152" w:right="8594"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825" w:lineRule="exact"/>
        <w:ind w:left="148"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79.15pt;height:41.3pt;mso-position-horizontal-relative:char;mso-position-vertical-relative:line" coordorigin="0,0" coordsize="9583,826">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3181;top:17;width:2;height:392" coordorigin="3181,17" coordsize="2,392">
              <v:shape style="position:absolute;left:3181;top:17;width:2;height:392" coordorigin="3181,17" coordsize="0,392" path="m3181,17l3181,408e" filled="false" stroked="true" strokeweight="1.2pt" strokecolor="#d2d2d2">
                <v:path arrowok="t"/>
              </v:shape>
            </v:group>
            <v:group style="position:absolute;left:34;top:17;width:3136;height:392" coordorigin="34,17" coordsize="3136,392">
              <v:shape style="position:absolute;left:34;top:17;width:3136;height:392" coordorigin="34,17" coordsize="3136,392" path="m34,408l3169,408,3169,17,34,17,34,408xe" filled="true" fillcolor="#d2d2d2" stroked="false">
                <v:path arrowok="t"/>
                <v:fill type="solid"/>
              </v:shape>
            </v:group>
            <v:group style="position:absolute;left:3213;top:17;width:2;height:392" coordorigin="3213,17" coordsize="2,392">
              <v:shape style="position:absolute;left:3213;top:17;width:2;height:392" coordorigin="3213,17" coordsize="0,392" path="m3213,17l3213,408e" filled="false" stroked="true" strokeweight="1.08pt" strokecolor="#d2d2d2">
                <v:path arrowok="t"/>
              </v:shape>
            </v:group>
            <v:group style="position:absolute;left:9561;top:17;width:2;height:392" coordorigin="9561,17" coordsize="2,392">
              <v:shape style="position:absolute;left:9561;top:17;width:2;height:392" coordorigin="9561,17" coordsize="0,392" path="m9561,17l9561,408e" filled="false" stroked="true" strokeweight="1.2pt" strokecolor="#d2d2d2">
                <v:path arrowok="t"/>
              </v:shape>
            </v:group>
            <v:group style="position:absolute;left:3224;top:17;width:6325;height:392" coordorigin="3224,17" coordsize="6325,392">
              <v:shape style="position:absolute;left:3224;top:17;width:6325;height:392" coordorigin="3224,17" coordsize="6325,392" path="m3224,408l9549,408,9549,17,3224,17,3224,408xe" filled="true" fillcolor="#d2d2d2"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3181;top:418;width:2;height:392" coordorigin="3181,418" coordsize="2,392">
              <v:shape style="position:absolute;left:3181;top:418;width:2;height:392" coordorigin="3181,418" coordsize="0,392" path="m3181,418l3181,809e" filled="false" stroked="true" strokeweight="1.2pt" strokecolor="#d2d2d2">
                <v:path arrowok="t"/>
              </v:shape>
            </v:group>
            <v:group style="position:absolute;left:34;top:418;width:3136;height:392" coordorigin="34,418" coordsize="3136,392">
              <v:shape style="position:absolute;left:34;top:418;width:3136;height:392" coordorigin="34,418" coordsize="3136,392" path="m34,809l3169,809,3169,418,34,418,34,809xe" filled="true" fillcolor="#d2d2d2" stroked="false">
                <v:path arrowok="t"/>
                <v:fill type="solid"/>
              </v:shape>
            </v:group>
            <v:group style="position:absolute;left:3213;top:418;width:2;height:392" coordorigin="3213,418" coordsize="2,392">
              <v:shape style="position:absolute;left:3213;top:418;width:2;height:392" coordorigin="3213,418" coordsize="0,392" path="m3213,418l3213,809e" filled="false" stroked="true" strokeweight="1.08pt" strokecolor="#d2d2d2">
                <v:path arrowok="t"/>
              </v:shape>
            </v:group>
            <v:group style="position:absolute;left:6371;top:418;width:2;height:392" coordorigin="6371,418" coordsize="2,392">
              <v:shape style="position:absolute;left:6371;top:418;width:2;height:392" coordorigin="6371,418" coordsize="0,392" path="m6371,418l6371,809e" filled="false" stroked="true" strokeweight="1.2pt" strokecolor="#d2d2d2">
                <v:path arrowok="t"/>
              </v:shape>
            </v:group>
            <v:group style="position:absolute;left:3224;top:418;width:3135;height:392" coordorigin="3224,418" coordsize="3135,392">
              <v:shape style="position:absolute;left:3224;top:418;width:3135;height:392" coordorigin="3224,418" coordsize="3135,392" path="m3224,809l6359,809,6359,418,3224,418,3224,809xe" filled="true" fillcolor="#d2d2d2" stroked="false">
                <v:path arrowok="t"/>
                <v:fill type="solid"/>
              </v:shape>
            </v:group>
            <v:group style="position:absolute;left:6403;top:418;width:2;height:392" coordorigin="6403,418" coordsize="2,392">
              <v:shape style="position:absolute;left:6403;top:418;width:2;height:392" coordorigin="6403,418" coordsize="0,392" path="m6403,418l6403,809e" filled="false" stroked="true" strokeweight="1.08pt" strokecolor="#d2d2d2">
                <v:path arrowok="t"/>
              </v:shape>
            </v:group>
            <v:group style="position:absolute;left:9561;top:418;width:2;height:392" coordorigin="9561,418" coordsize="2,392">
              <v:shape style="position:absolute;left:9561;top:418;width:2;height:392" coordorigin="9561,418" coordsize="0,392" path="m9561,418l9561,809e" filled="false" stroked="true" strokeweight="1.2pt" strokecolor="#d2d2d2">
                <v:path arrowok="t"/>
              </v:shape>
            </v:group>
            <v:group style="position:absolute;left:6414;top:418;width:3135;height:392" coordorigin="6414,418" coordsize="3135,392">
              <v:shape style="position:absolute;left:6414;top:418;width:3135;height:392" coordorigin="6414,418" coordsize="3135,392" path="m6414,809l9549,809,9549,418,6414,418,6414,809xe" filled="true" fillcolor="#d2d2d2" stroked="false">
                <v:path arrowok="t"/>
                <v:fill type="solid"/>
              </v:shape>
            </v:group>
            <v:group style="position:absolute;left:10;top:413;width:3181;height:2" coordorigin="10,413" coordsize="3181,2">
              <v:shape style="position:absolute;left:10;top:413;width:3181;height:2" coordorigin="10,413" coordsize="3181,0" path="m10,413l3191,413e" filled="false" stroked="true" strokeweight=".48001pt" strokecolor="#000000">
                <v:path arrowok="t"/>
              </v:shape>
            </v:group>
            <v:group style="position:absolute;left:3200;top:413;width:3181;height:2" coordorigin="3200,413" coordsize="3181,2">
              <v:shape style="position:absolute;left:3200;top:413;width:3181;height:2" coordorigin="3200,413" coordsize="3181,0" path="m3200,413l6381,413e" filled="false" stroked="true" strokeweight=".48001pt" strokecolor="#000000">
                <v:path arrowok="t"/>
              </v:shape>
            </v:group>
            <v:group style="position:absolute;left:6390;top:413;width:3183;height:2" coordorigin="6390,413" coordsize="3183,2">
              <v:shape style="position:absolute;left:6390;top:413;width:3183;height:2" coordorigin="6390,413" coordsize="3183,0" path="m6390,413l9573,413e" filled="false" stroked="true" strokeweight=".48001pt" strokecolor="#000000">
                <v:path arrowok="t"/>
              </v:shape>
            </v:group>
            <v:group style="position:absolute;left:5;top:5;width:2;height:816" coordorigin="5,5" coordsize="2,816">
              <v:shape style="position:absolute;left:5;top:5;width:2;height:816" coordorigin="5,5" coordsize="0,816" path="m5,5l5,821e" filled="false" stroked="true" strokeweight=".48pt" strokecolor="#000000">
                <v:path arrowok="t"/>
              </v:shape>
            </v:group>
            <v:group style="position:absolute;left:10;top:816;width:3181;height:2" coordorigin="10,816" coordsize="3181,2">
              <v:shape style="position:absolute;left:10;top:816;width:3181;height:2" coordorigin="10,816" coordsize="3181,0" path="m10,816l3191,816e" filled="false" stroked="true" strokeweight=".48001pt" strokecolor="#000000">
                <v:path arrowok="t"/>
              </v:shape>
            </v:group>
            <v:group style="position:absolute;left:3195;top:5;width:2;height:816" coordorigin="3195,5" coordsize="2,816">
              <v:shape style="position:absolute;left:3195;top:5;width:2;height:816" coordorigin="3195,5" coordsize="0,816" path="m3195,5l3195,821e" filled="false" stroked="true" strokeweight=".48pt" strokecolor="#000000">
                <v:path arrowok="t"/>
              </v:shape>
            </v:group>
            <v:group style="position:absolute;left:3200;top:816;width:3181;height:2" coordorigin="3200,816" coordsize="3181,2">
              <v:shape style="position:absolute;left:3200;top:816;width:3181;height:2" coordorigin="3200,816" coordsize="3181,0" path="m3200,816l6381,816e" filled="false" stroked="true" strokeweight=".48001pt" strokecolor="#000000">
                <v:path arrowok="t"/>
              </v:shape>
            </v:group>
            <v:group style="position:absolute;left:6385;top:408;width:2;height:413" coordorigin="6385,408" coordsize="2,413">
              <v:shape style="position:absolute;left:6385;top:408;width:2;height:413" coordorigin="6385,408" coordsize="0,413" path="m6385,408l6385,821e" filled="false" stroked="true" strokeweight=".48001pt" strokecolor="#000000">
                <v:path arrowok="t"/>
              </v:shape>
            </v:group>
            <v:group style="position:absolute;left:6390;top:816;width:3183;height:2" coordorigin="6390,816" coordsize="3183,2">
              <v:shape style="position:absolute;left:6390;top:816;width:3183;height:2" coordorigin="6390,816" coordsize="3183,0" path="m6390,816l9573,816e" filled="false" stroked="true" strokeweight=".48001pt" strokecolor="#000000">
                <v:path arrowok="t"/>
              </v:shape>
            </v:group>
            <v:group style="position:absolute;left:9578;top:5;width:2;height:816" coordorigin="9578,5" coordsize="2,816">
              <v:shape style="position:absolute;left:9578;top:5;width:2;height:816" coordorigin="9578,5" coordsize="0,816" path="m9578,5l9578,821e" filled="false" stroked="true" strokeweight=".47998pt" strokecolor="#000000">
                <v:path arrowok="t"/>
              </v:shape>
              <v:shape style="position:absolute;left:3195;top:413;width:3190;height:402"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93;height:402"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6"/>
          <w:sz w:val="20"/>
          <w:szCs w:val="20"/>
        </w:rPr>
      </w:r>
    </w:p>
    <w:p>
      <w:pPr>
        <w:spacing w:line="357" w:lineRule="auto" w:before="45"/>
        <w:ind w:left="152" w:right="751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2"/>
        <w:rPr>
          <w:rFonts w:ascii="宋体" w:hAnsi="宋体" w:cs="宋体" w:eastAsia="宋体" w:hint="default"/>
          <w:b/>
          <w:bCs/>
          <w:sz w:val="26"/>
          <w:szCs w:val="26"/>
        </w:rPr>
      </w:pPr>
    </w:p>
    <w:p>
      <w:pPr>
        <w:spacing w:line="316" w:lineRule="auto" w:before="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性交易处理时调整权益的金额及其计算：</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8" w:lineRule="auto" w:before="117"/>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0"/>
        <w:rPr>
          <w:rFonts w:ascii="宋体" w:hAnsi="宋体" w:cs="宋体" w:eastAsia="宋体" w:hint="default"/>
          <w:sz w:val="18"/>
          <w:szCs w:val="18"/>
        </w:rPr>
      </w:pPr>
    </w:p>
    <w:p>
      <w:pPr>
        <w:spacing w:line="487" w:lineRule="auto" w:before="118"/>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2"/>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60" w:lineRule="auto" w:before="44"/>
        <w:ind w:left="152" w:right="2834"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对于纳入合并范围的重要的结构化主体，控制的依据：</w:t>
      </w:r>
    </w:p>
    <w:p>
      <w:pPr>
        <w:spacing w:line="360" w:lineRule="auto" w:before="25"/>
        <w:ind w:left="152" w:right="769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line="357" w:lineRule="auto" w:before="49"/>
        <w:ind w:left="152" w:right="643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5"/>
        <w:gridCol w:w="726"/>
      </w:tblGrid>
      <w:tr>
        <w:trPr>
          <w:trHeight w:val="403"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1" w:right="92"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4"/>
        <w:gridCol w:w="1063"/>
        <w:gridCol w:w="1064"/>
        <w:gridCol w:w="1055"/>
      </w:tblGrid>
      <w:tr>
        <w:trPr>
          <w:trHeight w:val="401"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4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4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2"/>
        <w:gridCol w:w="2392"/>
        <w:gridCol w:w="2382"/>
      </w:tblGrid>
      <w:tr>
        <w:trPr>
          <w:trHeight w:val="38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87"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9" w:right="0"/>
              <w:jc w:val="left"/>
              <w:rPr>
                <w:rFonts w:ascii="宋体" w:hAnsi="宋体" w:cs="宋体" w:eastAsia="宋体" w:hint="default"/>
                <w:sz w:val="18"/>
                <w:szCs w:val="18"/>
              </w:rPr>
            </w:pPr>
            <w:r>
              <w:rPr>
                <w:rFonts w:ascii="宋体" w:hAnsi="宋体" w:cs="宋体" w:eastAsia="宋体" w:hint="default"/>
                <w:sz w:val="18"/>
                <w:szCs w:val="18"/>
              </w:rPr>
              <w:t>累积未确认前期累计认的损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本期未确认的损失（或本期分</w:t>
            </w:r>
          </w:p>
        </w:tc>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00"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50" w:right="0"/>
              <w:jc w:val="left"/>
              <w:rPr>
                <w:rFonts w:ascii="宋体" w:hAnsi="宋体" w:cs="宋体" w:eastAsia="宋体" w:hint="default"/>
                <w:sz w:val="18"/>
                <w:szCs w:val="18"/>
              </w:rPr>
            </w:pPr>
            <w:r>
              <w:rPr>
                <w:rFonts w:ascii="宋体" w:hAnsi="宋体" w:cs="宋体" w:eastAsia="宋体" w:hint="default"/>
                <w:sz w:val="18"/>
                <w:szCs w:val="18"/>
              </w:rPr>
              <w:t>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83"/>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49"/>
        <w:ind w:left="152" w:right="553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5"/>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0"/>
        <w:rPr>
          <w:rFonts w:ascii="宋体" w:hAnsi="宋体" w:cs="宋体" w:eastAsia="宋体" w:hint="default"/>
          <w:sz w:val="18"/>
          <w:szCs w:val="18"/>
        </w:rPr>
      </w:pPr>
    </w:p>
    <w:p>
      <w:pPr>
        <w:pStyle w:val="Heading2"/>
        <w:spacing w:line="477" w:lineRule="auto" w:before="120"/>
        <w:ind w:right="7863"/>
        <w:jc w:val="left"/>
        <w:rPr>
          <w:b w:val="0"/>
          <w:bCs w:val="0"/>
        </w:rPr>
      </w:pPr>
      <w:r>
        <w:rPr>
          <w:rFonts w:ascii="Times New Roman" w:hAnsi="Times New Roman" w:cs="Times New Roman" w:eastAsia="Times New Roman" w:hint="default"/>
          <w:sz w:val="21"/>
          <w:szCs w:val="21"/>
        </w:rPr>
        <w:t>6</w:t>
      </w:r>
      <w:r>
        <w:rPr>
          <w:sz w:val="21"/>
          <w:szCs w:val="21"/>
        </w:rPr>
        <w:t>、其他</w:t>
      </w:r>
      <w:r>
        <w:rPr>
          <w:w w:val="100"/>
          <w:sz w:val="21"/>
          <w:szCs w:val="21"/>
        </w:rPr>
        <w:t> </w:t>
      </w:r>
      <w:r>
        <w:rPr/>
        <w:t>十、与金融工具相关的风险</w:t>
      </w:r>
      <w:r>
        <w:rPr>
          <w:w w:val="99"/>
        </w:rPr>
        <w:t> </w:t>
      </w:r>
      <w:r>
        <w:rPr/>
        <w:t>十一、公允价值的披露</w:t>
      </w:r>
      <w:r>
        <w:rPr>
          <w:b w:val="0"/>
          <w:bCs w:val="0"/>
        </w:rPr>
      </w:r>
    </w:p>
    <w:p>
      <w:pPr>
        <w:pStyle w:val="Heading4"/>
        <w:spacing w:line="240" w:lineRule="auto" w:before="88"/>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401"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21"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84" w:type="dxa"/>
            <w:vMerge w:val="restart"/>
            <w:tcBorders>
              <w:top w:val="nil" w:sz="6" w:space="0" w:color="auto"/>
              <w:left w:val="single" w:sz="4" w:space="0" w:color="000000"/>
              <w:right w:val="single" w:sz="4" w:space="0" w:color="000000"/>
            </w:tcBorders>
            <w:shd w:val="clear" w:color="auto" w:fill="D2D2D2"/>
          </w:tcPr>
          <w:p>
            <w:pPr/>
          </w:p>
        </w:tc>
        <w:tc>
          <w:tcPr>
            <w:tcW w:w="1835"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5"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5"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415,714,784.96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415,714,784.96</w:t>
            </w:r>
          </w:p>
        </w:tc>
      </w:tr>
      <w:tr>
        <w:trPr>
          <w:trHeight w:val="161" w:hRule="exact"/>
        </w:trPr>
        <w:tc>
          <w:tcPr>
            <w:tcW w:w="198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84" w:type="dxa"/>
            <w:vMerge/>
            <w:tcBorders>
              <w:left w:val="single" w:sz="4" w:space="0" w:color="000000"/>
              <w:right w:val="single" w:sz="4" w:space="0" w:color="000000"/>
            </w:tcBorders>
            <w:shd w:val="clear" w:color="auto" w:fill="D2D2D2"/>
          </w:tcPr>
          <w:p>
            <w:pPr/>
          </w:p>
        </w:tc>
        <w:tc>
          <w:tcPr>
            <w:tcW w:w="1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86"/>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3" w:right="6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57" w:lineRule="auto" w:before="49"/>
        <w:ind w:left="152" w:right="8414"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 其他说明：</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2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67"/>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宿迁市双星国际酒店有限公司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宿迁市彩缘置业有限公司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陆敬权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公司高管</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邹兆云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公司高管</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公司高管</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池卫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公司高管</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葛林</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公司高管</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葛慧</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公司高管子女</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公司高管配偶</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6"/>
        <w:gridCol w:w="1707"/>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宿迁市彩缘置业有 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双星大厦及公寓</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宿迁市双星国际酒 店有限公司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会议会等</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1,026,231.04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2260"/>
        <w:gridCol w:w="2258"/>
        <w:gridCol w:w="2643"/>
      </w:tblGrid>
      <w:tr>
        <w:trPr>
          <w:trHeight w:val="403"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9"/>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7"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91"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7"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3"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340" w:lineRule="auto" w:before="49"/>
        <w:ind w:left="152" w:right="-19"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4" w:space="628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9"/>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3"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宿迁市双星国际酒 店有限公司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陆敬权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606.05</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邹兆云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83,328.33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95,788.33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4,789.42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71,971.00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池卫</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34,992.74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26,998.24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1,349.91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50,237.50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52,881.90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2,644.10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30,559.14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宿迁市彩缘置业有限公司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15,546,000.00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22,685.42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3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5"/>
        <w:ind w:left="152"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56" w:lineRule="auto" w:before="95"/>
        <w:ind w:right="1126" w:firstLine="420"/>
        <w:jc w:val="both"/>
      </w:pPr>
      <w:r>
        <w:rPr>
          <w:spacing w:val="-3"/>
        </w:rPr>
        <w:t>公司</w:t>
      </w:r>
      <w:r>
        <w:rPr>
          <w:rFonts w:ascii="Times New Roman" w:hAnsi="Times New Roman" w:cs="Times New Roman" w:eastAsia="Times New Roman" w:hint="default"/>
          <w:spacing w:val="-3"/>
        </w:rPr>
        <w:t>2015</w:t>
      </w:r>
      <w:r>
        <w:rPr>
          <w:spacing w:val="-3"/>
        </w:rPr>
        <w:t>年收购了江西科为薄膜新型材料有限公司（以下简称</w:t>
      </w:r>
      <w:r>
        <w:rPr>
          <w:rFonts w:ascii="Times New Roman" w:hAnsi="Times New Roman" w:cs="Times New Roman" w:eastAsia="Times New Roman" w:hint="default"/>
          <w:spacing w:val="-3"/>
        </w:rPr>
        <w:t>“</w:t>
      </w:r>
      <w:r>
        <w:rPr>
          <w:spacing w:val="-3"/>
        </w:rPr>
        <w:t>江西科为</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100%</w:t>
      </w:r>
      <w:r>
        <w:rPr>
          <w:spacing w:val="-3"/>
        </w:rPr>
        <w:t>股权，江西科为成为</w:t>
      </w:r>
      <w:r>
        <w:rPr>
          <w:w w:val="100"/>
        </w:rPr>
        <w:t> </w:t>
      </w:r>
      <w:r>
        <w:rPr>
          <w:spacing w:val="-3"/>
        </w:rPr>
        <w:t>公司全资子公司。根据业绩承诺，</w:t>
      </w:r>
      <w:r>
        <w:rPr>
          <w:rFonts w:ascii="Times New Roman" w:hAnsi="Times New Roman" w:cs="Times New Roman" w:eastAsia="Times New Roman" w:hint="default"/>
          <w:spacing w:val="-3"/>
        </w:rPr>
        <w:t>2017</w:t>
      </w:r>
      <w:r>
        <w:rPr>
          <w:spacing w:val="-3"/>
        </w:rPr>
        <w:t>年江西科为需完成净利润</w:t>
      </w:r>
      <w:r>
        <w:rPr>
          <w:rFonts w:ascii="Times New Roman" w:hAnsi="Times New Roman" w:cs="Times New Roman" w:eastAsia="Times New Roman" w:hint="default"/>
          <w:spacing w:val="-3"/>
        </w:rPr>
        <w:t>7,000</w:t>
      </w:r>
      <w:r>
        <w:rPr>
          <w:spacing w:val="-3"/>
        </w:rPr>
        <w:t>万元，</w:t>
      </w:r>
      <w:r>
        <w:rPr>
          <w:rFonts w:ascii="Times New Roman" w:hAnsi="Times New Roman" w:cs="Times New Roman" w:eastAsia="Times New Roman" w:hint="default"/>
          <w:spacing w:val="-3"/>
        </w:rPr>
        <w:t>2018</w:t>
      </w:r>
      <w:r>
        <w:rPr>
          <w:spacing w:val="-3"/>
        </w:rPr>
        <w:t>年江西科为需完成净利润</w:t>
      </w:r>
      <w:r>
        <w:rPr>
          <w:spacing w:val="-36"/>
        </w:rPr>
        <w:t> </w:t>
      </w:r>
      <w:r>
        <w:rPr>
          <w:spacing w:val="-36"/>
        </w:rPr>
      </w:r>
      <w:r>
        <w:rPr>
          <w:rFonts w:ascii="Times New Roman" w:hAnsi="Times New Roman" w:cs="Times New Roman" w:eastAsia="Times New Roman" w:hint="default"/>
        </w:rPr>
        <w:t>10,000</w:t>
      </w:r>
      <w:r>
        <w:rPr/>
        <w:t>万元，低于利润承诺部分由江西科为原股东柯秋平、时招军（以下简称</w:t>
      </w:r>
      <w:r>
        <w:rPr>
          <w:rFonts w:ascii="Times New Roman" w:hAnsi="Times New Roman" w:cs="Times New Roman" w:eastAsia="Times New Roman" w:hint="default"/>
        </w:rPr>
        <w:t>“</w:t>
      </w:r>
      <w:r>
        <w:rPr/>
        <w:t>承诺人</w:t>
      </w:r>
      <w:r>
        <w:rPr>
          <w:rFonts w:ascii="Times New Roman" w:hAnsi="Times New Roman" w:cs="Times New Roman" w:eastAsia="Times New Roman" w:hint="default"/>
        </w:rPr>
        <w:t>”</w:t>
      </w:r>
      <w:r>
        <w:rPr/>
        <w:t>）以现金方式补偿</w:t>
      </w:r>
      <w:r>
        <w:rPr>
          <w:spacing w:val="-52"/>
        </w:rPr>
        <w:t> </w:t>
      </w:r>
      <w:r>
        <w:rPr>
          <w:spacing w:val="-52"/>
        </w:rPr>
      </w:r>
      <w:r>
        <w:rPr>
          <w:spacing w:val="-3"/>
        </w:rPr>
        <w:t>给公司。江西科为</w:t>
      </w:r>
      <w:r>
        <w:rPr>
          <w:rFonts w:ascii="Times New Roman" w:hAnsi="Times New Roman" w:cs="Times New Roman" w:eastAsia="Times New Roman" w:hint="default"/>
          <w:spacing w:val="-3"/>
        </w:rPr>
        <w:t>2017</w:t>
      </w:r>
      <w:r>
        <w:rPr>
          <w:spacing w:val="-3"/>
        </w:rPr>
        <w:t>年度扣除非经常性损益后净利润的实现数为</w:t>
      </w:r>
      <w:r>
        <w:rPr>
          <w:rFonts w:ascii="Times New Roman" w:hAnsi="Times New Roman" w:cs="Times New Roman" w:eastAsia="Times New Roman" w:hint="default"/>
          <w:spacing w:val="-3"/>
        </w:rPr>
        <w:t>4,345,330.40</w:t>
      </w:r>
      <w:r>
        <w:rPr>
          <w:spacing w:val="-3"/>
        </w:rPr>
        <w:t>元，</w:t>
      </w:r>
      <w:r>
        <w:rPr>
          <w:rFonts w:ascii="Times New Roman" w:hAnsi="Times New Roman" w:cs="Times New Roman" w:eastAsia="Times New Roman" w:hint="default"/>
          <w:spacing w:val="-3"/>
        </w:rPr>
        <w:t>2018</w:t>
      </w:r>
      <w:r>
        <w:rPr>
          <w:spacing w:val="-3"/>
        </w:rPr>
        <w:t>年度扣除非经常性</w:t>
      </w:r>
      <w:r>
        <w:rPr>
          <w:spacing w:val="-20"/>
        </w:rPr>
        <w:t> </w:t>
      </w:r>
      <w:r>
        <w:rPr>
          <w:spacing w:val="-20"/>
        </w:rPr>
      </w:r>
      <w:r>
        <w:rPr/>
        <w:t>损益后净利润的实现数为</w:t>
      </w:r>
      <w:r>
        <w:rPr>
          <w:rFonts w:ascii="Times New Roman" w:hAnsi="Times New Roman" w:cs="Times New Roman" w:eastAsia="Times New Roman" w:hint="default"/>
        </w:rPr>
        <w:t>402,827.54</w:t>
      </w:r>
      <w:r>
        <w:rPr/>
        <w:t>元，因此柯秋平及时招军需以现金方式补偿不足部分。截止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月</w:t>
      </w:r>
      <w:r>
        <w:rPr>
          <w:rFonts w:ascii="Times New Roman" w:hAnsi="Times New Roman" w:cs="Times New Roman" w:eastAsia="Times New Roman" w:hint="default"/>
        </w:rPr>
        <w:t>31</w:t>
      </w:r>
      <w:r>
        <w:rPr/>
        <w:t>日，公司撤销对柯秋平及时招军的诉讼。截至目前，公司尚未收到业绩承诺补偿款项。</w:t>
      </w:r>
    </w:p>
    <w:p>
      <w:pPr>
        <w:pStyle w:val="BodyText"/>
        <w:spacing w:line="240" w:lineRule="auto" w:before="46"/>
        <w:ind w:left="489"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日，本公司未发生其他影响本财务报表阅读和理解的其他重大承诺事项。</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right="0"/>
        <w:jc w:val="left"/>
      </w:pPr>
      <w:r>
        <w:rPr>
          <w:spacing w:val="-3"/>
        </w:rPr>
        <w:t>截止</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日，本公司已开立信用证</w:t>
      </w:r>
      <w:r>
        <w:rPr>
          <w:rFonts w:ascii="Times New Roman" w:hAnsi="Times New Roman" w:cs="Times New Roman" w:eastAsia="Times New Roman" w:hint="default"/>
          <w:spacing w:val="-3"/>
        </w:rPr>
        <w:t>5.14</w:t>
      </w:r>
      <w:r>
        <w:rPr>
          <w:spacing w:val="-3"/>
        </w:rPr>
        <w:t>亿元，已缴存保证金</w:t>
      </w:r>
      <w:r>
        <w:rPr>
          <w:rFonts w:ascii="Times New Roman" w:hAnsi="Times New Roman" w:cs="Times New Roman" w:eastAsia="Times New Roman" w:hint="default"/>
          <w:spacing w:val="-3"/>
        </w:rPr>
        <w:t>5,488.71</w:t>
      </w:r>
      <w:r>
        <w:rPr>
          <w:spacing w:val="-3"/>
        </w:rPr>
        <w:t>万元，剩余部分以银行授信额</w:t>
      </w:r>
      <w:r>
        <w:rPr>
          <w:spacing w:val="-23"/>
        </w:rPr>
        <w:t> </w:t>
      </w:r>
      <w:r>
        <w:rPr>
          <w:spacing w:val="-23"/>
        </w:rPr>
      </w:r>
      <w:r>
        <w:rPr/>
        <w:t>度提供信用担保。</w:t>
      </w:r>
    </w:p>
    <w:p>
      <w:pPr>
        <w:pStyle w:val="BodyText"/>
        <w:spacing w:line="240" w:lineRule="auto" w:before="22"/>
        <w:ind w:right="0"/>
        <w:jc w:val="left"/>
      </w:pPr>
      <w:r>
        <w:rPr/>
        <w:t>除上述事项外，公司不存在需要披露的其他重要或有事项。</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52" w:right="769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34,688,342.55</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34,688,342.55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71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4"/>
        <w:spacing w:line="240" w:lineRule="auto" w:before="84"/>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4"/>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9"/>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24" w:right="94" w:hanging="226"/>
              <w:jc w:val="left"/>
              <w:rPr>
                <w:rFonts w:ascii="宋体" w:hAnsi="宋体" w:cs="宋体" w:eastAsia="宋体" w:hint="default"/>
                <w:sz w:val="18"/>
                <w:szCs w:val="18"/>
              </w:rPr>
            </w:pPr>
            <w:r>
              <w:rPr>
                <w:rFonts w:ascii="宋体" w:hAnsi="宋体" w:cs="宋体" w:eastAsia="宋体" w:hint="default"/>
                <w:sz w:val="18"/>
                <w:szCs w:val="18"/>
              </w:rPr>
              <w:t>江苏双星彩塑新材料 股份有限公司</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01" w:right="96" w:hanging="315"/>
              <w:jc w:val="left"/>
              <w:rPr>
                <w:rFonts w:ascii="宋体" w:hAnsi="宋体" w:cs="宋体" w:eastAsia="宋体" w:hint="default"/>
                <w:sz w:val="18"/>
                <w:szCs w:val="18"/>
              </w:rPr>
            </w:pPr>
            <w:r>
              <w:rPr>
                <w:rFonts w:ascii="宋体" w:hAnsi="宋体" w:cs="宋体" w:eastAsia="宋体" w:hint="default"/>
                <w:sz w:val="18"/>
                <w:szCs w:val="18"/>
              </w:rPr>
              <w:t>江西科为薄膜新型材 料有限公司</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741,635,828.76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7,674,880.80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749,310,709.56</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71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交易性金融资产账面价 值</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22,203,927.24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22,203,927.24</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应收票据净额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22,203,927.24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22,203,927.24</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1,060,292,305.24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23,246,771.79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-24,520,396.11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1,059,018,680.92</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94,789,333.37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14,158,020.39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108,947,353.76</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应收账款净额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965,502,971.87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9,088,751.40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-24,520,396.11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950,071,327.16</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307,836,938.16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307,836,938.16</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应收款项融资账面价值</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307,836,938.16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307,836,938.16</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735,125,276.47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4,527,610.77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739,652,887.24</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4,163,080.51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385,279.65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4,548,360.16</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1,371,768.40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192,632.96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1,564,401.36</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其他应收款净额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2,791,312.11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192,646.69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2,983,958.80</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1,151,058,905.02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81,012,953.52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-3,873,160.00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1,228,198,698.54</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11,897,907.95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11,897,907.95</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存货净额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1,151,058,905.02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69,115,045.57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-3,873,160.00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1,216,300,790.59</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26,698,091.19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83,950.41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26,782,041.60</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4,452,853,250.82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90,682,885.64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-28,393,556.11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4,515,142,580.35</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84,899,044.39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-84,899,044.39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长期股权投资账面价值</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95,100,955.61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-95,100,955.61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403,194,200.00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403,194,200.00</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7"/>
              <w:jc w:val="left"/>
              <w:rPr>
                <w:rFonts w:ascii="宋体" w:hAnsi="宋体" w:cs="宋体" w:eastAsia="宋体" w:hint="default"/>
                <w:sz w:val="18"/>
                <w:szCs w:val="18"/>
              </w:rPr>
            </w:pPr>
            <w:r>
              <w:rPr>
                <w:rFonts w:ascii="宋体" w:hAnsi="宋体" w:cs="宋体" w:eastAsia="宋体" w:hint="default"/>
                <w:sz w:val="18"/>
                <w:szCs w:val="18"/>
              </w:rPr>
              <w:t>公允价值变动</w:t>
            </w:r>
            <w:r>
              <w:rPr>
                <w:rFonts w:ascii="Times New Roman" w:hAnsi="Times New Roman" w:cs="Times New Roman" w:eastAsia="Times New Roman" w:hint="default"/>
                <w:sz w:val="18"/>
                <w:szCs w:val="18"/>
              </w:rPr>
              <w:t>-</w:t>
            </w:r>
            <w:r>
              <w:rPr>
                <w:rFonts w:ascii="宋体" w:hAnsi="宋体" w:cs="宋体" w:eastAsia="宋体" w:hint="default"/>
                <w:sz w:val="18"/>
                <w:szCs w:val="18"/>
              </w:rPr>
              <w:t>其他非 流动金融资产</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12,520,584.96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12,520,584.96</w:t>
            </w:r>
          </w:p>
        </w:tc>
      </w:tr>
      <w:tr>
        <w:trPr>
          <w:trHeight w:val="71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其他非流动金融资产账 面价值</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415,714,784.96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415,714,784.96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5,355,944,750.94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124,502,101.20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5,480,446,852.14</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2,247,964,670.80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77,928,403.35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2,325,893,074.15</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3,107,980,080.14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46,573,697.85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3,154,553,777.99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655,790,499.95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780,489.80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656,570,989.75</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655,790,499.95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780,489.80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656,570,989.75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179,483,764.28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3,238,676.15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182,722,440.43</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29,264,175.99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594,485.47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29,858,661.46</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845,833.34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845,833.34</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149,373,754.95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2,644,190.68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152,017,945.63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84,899,044.39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84,899,044.39</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84,899,044.39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84,899,044.39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29,093,114.11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2"/>
                <w:sz w:val="18"/>
              </w:rPr>
              <w:t>29,093,114.11</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4,694,692.70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4,694,692.70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长期待摊费用净值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24,398,421.41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24,398,421.41</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14,424,165.27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3,937,284.20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580,974.00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18,942,423.47</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58,077,167.92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58,077,167.92</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其他非流动资产账面价 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58,077,167.92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58,077,167.92</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4,520,859,830.21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53,935,662.53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-94,519,981.61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4,480,275,511.13</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8,973,713,081.03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144,618,548.17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-122,913,537.72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8,995,418,091.48</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986,095,498.80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986,095,498.80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108,511,482.42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34,417,733.69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-24,520,396.11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118,408,820.00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73,746,884.68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5,853,464.75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79,600,349.43</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32,800,178.91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32,820,178.91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6,538,262.91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580,984.23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7,119,247.14</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125,478,616.95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59,460.36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125,538,077.31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1,333,170,924.67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40,931,643.03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-24,520,396.11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1,349,582,171.59</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1,878,087.74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1,878,087.74</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514,583.33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514,583.33</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1,878,087.74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514,583.33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2,392,671.07</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1,335,049,012.41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41,446,226.36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-24,520,396.11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1,351,974,842.66</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1,156,278,085.00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1,156,278,085.00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5,185,545,435.71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5,185,545,435.71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186,851,057.93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805,366.46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-805,366.46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186,851,057.93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1,109,989,489.98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-17,633,044.65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22,412,224.85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1,114,768,670.18</w:t>
            </w:r>
          </w:p>
        </w:tc>
      </w:tr>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归属于母公司所有者权 益（或股东权益）合计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7,638,664,068.62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103,172,321.81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-98,393,141.61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7,643,443,248.82</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所有者权益（或股东权 益）合计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7,638,664,068.62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103,172,321.81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-98,393,141.61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7,643,443,248.82</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负债和所有者权益（或 股东权益）总计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8,973,713,081.03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144,618,548.17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-122,913,537.72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8,995,418,091.48</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4,406,519,817.02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120,230,106.49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-54,443,263.03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4,472,306,660.48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4,381,655,749.98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120,144,005.17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-54,443,263.03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4,447,356,492.12</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24,864,067.04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86,101.32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24,950,168.36</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3,837,595,582.96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110,452,129.86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-54,443,263.03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3,893,604,449.79</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3,837,595,582.96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110,452,129.86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-54,443,263.03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3,893,604,449.79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15,058,721.06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808,322.68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15,867,043.74</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110,335,252.50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3,415,248.11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113,750,500.61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79,603,980.29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3,786,004.12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83,389,984.41</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136,520,944.49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8,682,851.32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145,203,795.81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22,260,734.29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-32,285.62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22,228,448.67</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6,361,000.00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951,823.00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7,312,823.00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27,227,984.96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27,227,984.96</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9"/>
              <w:jc w:val="left"/>
              <w:rPr>
                <w:rFonts w:ascii="宋体" w:hAnsi="宋体" w:cs="宋体" w:eastAsia="宋体" w:hint="default"/>
                <w:sz w:val="18"/>
                <w:szCs w:val="18"/>
              </w:rPr>
            </w:pPr>
            <w:r>
              <w:rPr>
                <w:rFonts w:ascii="宋体" w:hAnsi="宋体" w:cs="宋体" w:eastAsia="宋体" w:hint="default"/>
                <w:sz w:val="18"/>
                <w:szCs w:val="18"/>
              </w:rPr>
              <w:t>投资收益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其他投资收 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27,227,984.96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27,227,984.96</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12,520,584.96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12,520,584.96</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-9,896,368.63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-6,539,238.38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-16,435,607.01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-11,897,907.95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-31,897,907.95</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221,357,802.72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-24,367,487.31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196,990,315.41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50,602.54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212,102.54</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47,730.15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70,380.15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221,496,652.72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-24,364,614.92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197,132,037.80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26,394,580.28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-2,748,915.06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23,645,665.22</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195,102,072.44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-21,615,699.86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173,486,372.58</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持续经营净利润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195,102,072.44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-21,615,699.86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173,486,372.58</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归属于母公司所有者的 净利润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195,102,072.44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-21,615,699.86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173,486,372.58</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195,102,072.44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-21,615,699.86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173,486,372.58</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归属于母公司所有者的 综合收益总额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195,102,072.44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-21,615,699.86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173,486,372.58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年初未分配利润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1,165,653,241.78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3,982,655.21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1,169,635,896.99</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提取盈余公积</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19,510,207.24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19,510,207.24</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对股东的分配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231,255,617.00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231,255,617.00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年末未分配利润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1,109,989,489.98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-17,633,044.65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1,092,356,445.33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年末其他综合收益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1,109,989,489.98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-17,633,044.65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1,092,356,445.33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4"/>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6"/>
        <w:gridCol w:w="797"/>
        <w:gridCol w:w="799"/>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1,060,29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2,305.24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94,789,3</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33.37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965,502,9</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71.87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1,022,772</w:t>
            </w:r>
          </w:p>
          <w:p>
            <w:pPr>
              <w:pStyle w:val="TableParagraph"/>
              <w:spacing w:line="240" w:lineRule="auto" w:before="102"/>
              <w:ind w:left="183" w:right="0"/>
              <w:jc w:val="center"/>
              <w:rPr>
                <w:rFonts w:ascii="Times New Roman" w:hAnsi="Times New Roman" w:cs="Times New Roman" w:eastAsia="Times New Roman" w:hint="default"/>
                <w:sz w:val="18"/>
                <w:szCs w:val="18"/>
              </w:rPr>
            </w:pPr>
            <w:r>
              <w:rPr>
                <w:rFonts w:ascii="Times New Roman"/>
                <w:sz w:val="18"/>
              </w:rPr>
              <w:t>,409.94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81,353,53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6.07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941,418,87</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3.87</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1,060,29</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2,305.24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94,789,3</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33.37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965,502,9</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71.87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1,022,772</w:t>
            </w:r>
          </w:p>
          <w:p>
            <w:pPr>
              <w:pStyle w:val="TableParagraph"/>
              <w:spacing w:line="240" w:lineRule="auto" w:before="102"/>
              <w:ind w:left="183" w:right="0"/>
              <w:jc w:val="center"/>
              <w:rPr>
                <w:rFonts w:ascii="Times New Roman" w:hAnsi="Times New Roman" w:cs="Times New Roman" w:eastAsia="Times New Roman" w:hint="default"/>
                <w:sz w:val="18"/>
                <w:szCs w:val="18"/>
              </w:rPr>
            </w:pPr>
            <w:r>
              <w:rPr>
                <w:rFonts w:ascii="Times New Roman"/>
                <w:sz w:val="18"/>
              </w:rPr>
              <w:t>,409.94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81,353,53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6.07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941,418,87</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3.87</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10"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1,060,29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2,305.24</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94,789,3</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33.37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8.94%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965,502,9</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71.87</w:t>
            </w:r>
          </w:p>
        </w:tc>
        <w:tc>
          <w:tcPr>
            <w:tcW w:w="776"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1,022,772</w:t>
            </w:r>
          </w:p>
          <w:p>
            <w:pPr>
              <w:pStyle w:val="TableParagraph"/>
              <w:spacing w:line="240" w:lineRule="auto" w:before="102"/>
              <w:ind w:left="183" w:right="0"/>
              <w:jc w:val="center"/>
              <w:rPr>
                <w:rFonts w:ascii="Times New Roman" w:hAnsi="Times New Roman" w:cs="Times New Roman" w:eastAsia="Times New Roman" w:hint="default"/>
                <w:sz w:val="18"/>
                <w:szCs w:val="18"/>
              </w:rPr>
            </w:pPr>
            <w:r>
              <w:rPr>
                <w:rFonts w:ascii="Times New Roman"/>
                <w:sz w:val="18"/>
              </w:rPr>
              <w:t>,409.94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81,353,53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6.07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7.95%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941,418,87</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3.87</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10" w:space="0" w:color="D2D2D2"/>
              <w:right w:val="single" w:sz="4" w:space="0" w:color="000000"/>
            </w:tcBorders>
          </w:tcPr>
          <w:p>
            <w:pPr/>
          </w:p>
        </w:tc>
        <w:tc>
          <w:tcPr>
            <w:tcW w:w="764"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10"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38" w:lineRule="auto" w:before="29"/>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4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874,466,783.63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49,418,790.09</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115,708,918.40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20,697,813.12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20,697,813.12</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1,060,292,305.24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9"/>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0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3"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深圳市海天塑材有限公司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319,936,756.34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6,690,030.72</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苏州幸福新能源科技有限责 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136,141,417.01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42,567,751.48</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苏州赛伍应用技术股份有限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75,677,290.65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1,904,113.61</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青州市富润包装材料有限公 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65,637,391.22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1,372,509.27</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苏州中来光伏新材股份有限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59,704,144.55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1,502,213.85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657,096,999.77</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61.97%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4,063,333.33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2,791,312.11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4,400,983.94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2,791,312.11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8,464,317.27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募集资金理财产品利息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4,063,333.33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4,063,333.33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员工暂支款组合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4,163,080.51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5,591,422.27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4,163,080.51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5,591,422.27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0"/>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tc>
        <w:tc>
          <w:tcPr>
            <w:tcW w:w="180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0"/>
        <w:gridCol w:w="1805"/>
      </w:tblGrid>
      <w:tr>
        <w:trPr>
          <w:trHeight w:val="362"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5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204,735.84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147,585.30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838,117.19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1,190,438.33</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-31,954.41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31,954.41</w:t>
            </w: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-20,933.74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20,933.74</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368,695.92</w:t>
            </w: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368,695.92</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111,687.30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75,678.55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187,365.85</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61,094.13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527,301.89</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783,372.38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1,371,768.40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49"/>
        <w:ind w:left="152" w:right="-19"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38" w:lineRule="auto" w:before="117"/>
        <w:ind w:left="152" w:right="1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4" w:space="4895"/>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2,408,661.44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639,088.22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298,293.94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817,036.91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817,036.91</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4,163,080.51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78"/>
        <w:gridCol w:w="1087"/>
        <w:gridCol w:w="1333"/>
        <w:gridCol w:w="1330"/>
        <w:gridCol w:w="1090"/>
        <w:gridCol w:w="1577"/>
        <w:gridCol w:w="1575"/>
      </w:tblGrid>
      <w:tr>
        <w:trPr>
          <w:trHeight w:val="402" w:hRule="exact"/>
        </w:trPr>
        <w:tc>
          <w:tcPr>
            <w:tcW w:w="1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78"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5" w:type="dxa"/>
            <w:vMerge/>
            <w:tcBorders>
              <w:left w:val="single" w:sz="4" w:space="0" w:color="000000"/>
              <w:bottom w:val="single" w:sz="4" w:space="0" w:color="000000"/>
              <w:right w:val="single" w:sz="4" w:space="0" w:color="000000"/>
            </w:tcBorders>
            <w:shd w:val="clear" w:color="auto" w:fill="D2D2D2"/>
          </w:tcPr>
          <w:p>
            <w:pP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0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33"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16"/>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84,899,044.39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95,100,955.61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64,899,044.39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115,100,955.61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84,899,044.39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95,100,955.61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64,899,044.39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115,100,955.61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4"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江西科为薄膜 新型材料有限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115,100,955.6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20,000,000.00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95,100,955.61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84,899,044.39</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115,100,955.6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20,000,000.00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95,100,955.61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84,899,044.39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800"/>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4"/>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4,381,655,749.98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3,837,595,582.96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3,755,444,181.25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3,138,886,348.12</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24,864,067.04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37,028,837.33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5,276,289.55</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4,406,519,817.02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3,837,595,582.96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3,792,473,018.58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3,144,162,637.67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0" w:lineRule="auto" w:before="115"/>
        <w:ind w:left="152" w:right="92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739,332.00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0"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665,398.80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26,488,652.96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56,465,861.72</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27,227,984.96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57,131,260.52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-22,650.00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7,412,823.00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申请的一次性政府补贴</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26,488,652.96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募集资金委托理财</w:t>
            </w:r>
          </w:p>
        </w:tc>
      </w:tr>
      <w:tr>
        <w:trPr>
          <w:trHeight w:val="227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12,520,584.96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非流动金融资产评估增值</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64,372.39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偶发性营业外收支</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6,969,567.49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39,494,215.82</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0.12</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59" w:lineRule="auto" w:before="36"/>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0"/>
        <w:jc w:val="left"/>
        <w:rPr>
          <w:b w:val="0"/>
          <w:bCs w:val="0"/>
        </w:rPr>
      </w:pPr>
      <w:bookmarkStart w:name="_bookmark12" w:id="13"/>
      <w:bookmarkEnd w:id="13"/>
      <w:r>
        <w:rPr>
          <w:b w:val="0"/>
          <w:bCs w:val="0"/>
        </w:rPr>
      </w:r>
      <w:r>
        <w:rPr/>
        <w:t>第十三节</w:t>
      </w:r>
      <w:r>
        <w:rPr>
          <w:spacing w:val="-6"/>
        </w:rPr>
        <w:t> </w:t>
      </w:r>
      <w:r>
        <w:rPr/>
        <w:t>备查文件目录</w:t>
      </w:r>
      <w:r>
        <w:rPr>
          <w:b w:val="0"/>
          <w:bCs w:val="0"/>
        </w:rPr>
      </w:r>
    </w:p>
    <w:p>
      <w:pPr>
        <w:spacing w:line="240" w:lineRule="auto" w:before="12"/>
        <w:rPr>
          <w:rFonts w:ascii="宋体" w:hAnsi="宋体" w:cs="宋体" w:eastAsia="宋体" w:hint="default"/>
          <w:b/>
          <w:bCs/>
          <w:sz w:val="41"/>
          <w:szCs w:val="41"/>
        </w:rPr>
      </w:pPr>
    </w:p>
    <w:p>
      <w:pPr>
        <w:pStyle w:val="Heading3"/>
        <w:spacing w:line="240" w:lineRule="auto"/>
        <w:ind w:left="633" w:right="0"/>
        <w:jc w:val="left"/>
      </w:pPr>
      <w:r>
        <w:rPr>
          <w:rFonts w:ascii="Times New Roman" w:hAnsi="Times New Roman" w:cs="Times New Roman" w:eastAsia="Times New Roman" w:hint="default"/>
        </w:rPr>
        <w:t>1</w:t>
      </w:r>
      <w:r>
        <w:rPr/>
        <w:t>、载有公司全体董事、高级管理人员签名确认的</w:t>
      </w:r>
      <w:r>
        <w:rPr>
          <w:rFonts w:ascii="Times New Roman" w:hAnsi="Times New Roman" w:cs="Times New Roman" w:eastAsia="Times New Roman" w:hint="default"/>
        </w:rPr>
        <w:t>2019</w:t>
      </w:r>
      <w:r>
        <w:rPr/>
        <w:t>年年度报告正本。</w:t>
      </w:r>
    </w:p>
    <w:p>
      <w:pPr>
        <w:pStyle w:val="Heading3"/>
        <w:spacing w:line="280" w:lineRule="auto" w:before="179"/>
        <w:ind w:right="0" w:firstLine="480"/>
        <w:jc w:val="left"/>
      </w:pPr>
      <w:r>
        <w:rPr>
          <w:rFonts w:ascii="Times New Roman" w:hAnsi="Times New Roman" w:cs="Times New Roman" w:eastAsia="Times New Roman" w:hint="default"/>
          <w:spacing w:val="-3"/>
        </w:rPr>
        <w:t>2</w:t>
      </w:r>
      <w:r>
        <w:rPr>
          <w:spacing w:val="-3"/>
        </w:rPr>
        <w:t>、载有公司法定代表人吴培服、主管会计工作负责人邹雪梅及会计机构负责人胡立群签</w:t>
      </w:r>
      <w:r>
        <w:rPr/>
        <w:t> 名并盖章的会计报表。</w:t>
      </w:r>
    </w:p>
    <w:p>
      <w:pPr>
        <w:pStyle w:val="Heading3"/>
        <w:spacing w:line="280" w:lineRule="auto" w:before="156"/>
        <w:ind w:right="0" w:firstLine="480"/>
        <w:jc w:val="left"/>
      </w:pPr>
      <w:r>
        <w:rPr>
          <w:rFonts w:ascii="Times New Roman" w:hAnsi="Times New Roman" w:cs="Times New Roman" w:eastAsia="Times New Roman" w:hint="default"/>
          <w:spacing w:val="-3"/>
        </w:rPr>
        <w:t>3</w:t>
      </w:r>
      <w:r>
        <w:rPr>
          <w:spacing w:val="-3"/>
        </w:rPr>
        <w:t>、载有众华会计师事务所（特殊普通合伙）盖章，注册会计师莫旭巍、李明签名并盖章</w:t>
      </w:r>
      <w:r>
        <w:rPr/>
        <w:t> 的公司</w:t>
      </w:r>
      <w:r>
        <w:rPr>
          <w:rFonts w:ascii="Times New Roman" w:hAnsi="Times New Roman" w:cs="Times New Roman" w:eastAsia="Times New Roman" w:hint="default"/>
        </w:rPr>
        <w:t>2019</w:t>
      </w:r>
      <w:r>
        <w:rPr/>
        <w:t>年度审计报告原件。</w:t>
      </w:r>
    </w:p>
    <w:p>
      <w:pPr>
        <w:pStyle w:val="Heading3"/>
        <w:spacing w:line="240" w:lineRule="auto" w:before="133"/>
        <w:ind w:left="633" w:right="0"/>
        <w:jc w:val="left"/>
      </w:pPr>
      <w:r>
        <w:rPr>
          <w:rFonts w:ascii="Times New Roman" w:hAnsi="Times New Roman" w:cs="Times New Roman" w:eastAsia="Times New Roman" w:hint="default"/>
        </w:rPr>
        <w:t>4</w:t>
      </w:r>
      <w:r>
        <w:rPr/>
        <w:t>、报告期内在中国证监会指定报纸上公开披露过的所有公司文件的正本及公告的原稿。</w:t>
      </w:r>
    </w:p>
    <w:p>
      <w:pPr>
        <w:pStyle w:val="Heading3"/>
        <w:spacing w:line="240" w:lineRule="auto" w:before="177"/>
        <w:ind w:left="657" w:right="0"/>
        <w:jc w:val="left"/>
      </w:pPr>
      <w:r>
        <w:rPr>
          <w:rFonts w:ascii="Times New Roman" w:hAnsi="Times New Roman" w:cs="Times New Roman" w:eastAsia="Times New Roman" w:hint="default"/>
        </w:rPr>
        <w:t>5</w:t>
      </w:r>
      <w:r>
        <w:rPr/>
        <w:t>、备查文件备置地点：董事会办公室。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595" w:lineRule="auto" w:before="209"/>
        <w:ind w:left="6415" w:right="1838" w:hanging="961"/>
        <w:jc w:val="left"/>
        <w:rPr>
          <w:b w:val="0"/>
          <w:bCs w:val="0"/>
        </w:rPr>
      </w:pPr>
      <w:r>
        <w:rPr/>
        <w:t>江苏双星彩塑新材料股份有限公司</w:t>
      </w:r>
      <w:r>
        <w:rPr>
          <w:w w:val="99"/>
        </w:rPr>
        <w:t> </w:t>
      </w:r>
      <w:r>
        <w:rPr/>
        <w:t>董事长：吴培服</w:t>
      </w:r>
      <w:r>
        <w:rPr>
          <w:b w:val="0"/>
          <w:bCs w:val="0"/>
        </w:rPr>
      </w:r>
    </w:p>
    <w:p>
      <w:pPr>
        <w:pStyle w:val="Heading2"/>
        <w:spacing w:line="240" w:lineRule="auto" w:before="111"/>
        <w:ind w:left="6053" w:right="0"/>
        <w:jc w:val="left"/>
        <w:rPr>
          <w:b w:val="0"/>
          <w:bCs w:val="0"/>
        </w:rPr>
      </w:pPr>
      <w:r>
        <w:rPr/>
        <w:t>二〇二〇年四月二十七日</w:t>
      </w:r>
      <w:r>
        <w:rPr>
          <w:b w:val="0"/>
          <w:bCs w:val="0"/>
        </w:rPr>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7680" type="#_x0000_t75" stroked="false">
          <v:imagedata r:id="rId1" o:title=""/>
        </v:shape>
      </w:pict>
    </w:r>
    <w:r>
      <w:rPr/>
      <w:pict>
        <v:shape style="position:absolute;margin-left:533.099976pt;margin-top:795.613892pt;width:6.5pt;height:11pt;mso-position-horizontal-relative:page;mso-position-vertical-relative:page;z-index:-9176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7632" type="#_x0000_t75" stroked="false">
          <v:imagedata r:id="rId1" o:title=""/>
        </v:shape>
      </w:pict>
    </w:r>
    <w:r>
      <w:rPr/>
      <w:pict>
        <v:shape style="position:absolute;margin-left:527.659973pt;margin-top:781.933899pt;width:13.15pt;height:11pt;mso-position-horizontal-relative:page;mso-position-vertical-relative:page;z-index:-917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7584" type="#_x0000_t75" stroked="false">
          <v:imagedata r:id="rId1" o:title=""/>
        </v:shape>
      </w:pict>
    </w:r>
    <w:r>
      <w:rPr/>
      <w:pict>
        <v:shape style="position:absolute;margin-left:524.099976pt;margin-top:781.933899pt;width:15.7pt;height:11pt;mso-position-horizontal-relative:page;mso-position-vertical-relative:page;z-index:-9175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7536" type="#_x0000_t75" stroked="false">
          <v:imagedata r:id="rId1" o:title=""/>
        </v:shape>
      </w:pict>
    </w:r>
    <w:r>
      <w:rPr/>
      <w:pict>
        <v:shape style="position:absolute;margin-left:523.099976pt;margin-top:781.933899pt;width:17.7pt;height:11pt;mso-position-horizontal-relative:page;mso-position-vertical-relative:page;z-index:-917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7488" type="#_x0000_t75" stroked="false">
          <v:imagedata r:id="rId1" o:title=""/>
        </v:shape>
      </w:pict>
    </w:r>
    <w:r>
      <w:rPr/>
      <w:pict>
        <v:shape style="position:absolute;margin-left:523.460022pt;margin-top:781.933899pt;width:17.3pt;height:11pt;mso-position-horizontal-relative:page;mso-position-vertical-relative:page;z-index:-917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7440" type="#_x0000_t75" stroked="false">
          <v:imagedata r:id="rId1" o:title=""/>
        </v:shape>
      </w:pict>
    </w:r>
    <w:r>
      <w:rPr/>
      <w:pict>
        <v:shape style="position:absolute;margin-left:523.099976pt;margin-top:781.933899pt;width:17.7pt;height:11pt;mso-position-horizontal-relative:page;mso-position-vertical-relative:page;z-index:-917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049988pt;margin-top:36.265610pt;width:222.75pt;height:11.5pt;mso-position-horizontal-relative:page;mso-position-vertical-relative:page;z-index:-9177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9"/>
      <w:ind w:left="152"/>
    </w:pPr>
    <w:rPr>
      <w:rFonts w:ascii="宋体" w:hAnsi="宋体" w:eastAsia="宋体"/>
      <w:sz w:val="18"/>
      <w:szCs w:val="18"/>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224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huangxingcaisu.com/" TargetMode="External"/><Relationship Id="rId10" Type="http://schemas.openxmlformats.org/officeDocument/2006/relationships/hyperlink" Target="mailto:wudi@shuangxingcaisu.com" TargetMode="External"/><Relationship Id="rId11" Type="http://schemas.openxmlformats.org/officeDocument/2006/relationships/hyperlink" Target="mailto:002585@shuangxingcaisu.com" TargetMode="External"/><Relationship Id="rId12" Type="http://schemas.openxmlformats.org/officeDocument/2006/relationships/hyperlink" Target="http://www.cninfo.com.cn/" TargetMode="External"/><Relationship Id="rId13" Type="http://schemas.openxmlformats.org/officeDocument/2006/relationships/image" Target="media/image3.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江苏双星彩塑新材料股份有限公司</dc:creator>
  <dc:title>江苏双星彩塑新材料股份有限公司2019年年度报告全文</dc:title>
  <dcterms:created xsi:type="dcterms:W3CDTF">2020-05-19T13:03:01Z</dcterms:created>
  <dcterms:modified xsi:type="dcterms:W3CDTF">2020-05-19T13:03:01Z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Office Word 2007</vt:lpwstr>
  </property>
  <property fmtid="{D5CDD505-2E9C-101B-9397-08002B2CF9AE}" pid="4" name="LastSaved">
    <vt:filetime>2020-05-19T00:00:00Z</vt:filetime>
  </property>
</Properties>
</file>