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png" ContentType="image/png"/>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r>
        <w:rPr/>
        <w:pict>
          <v:group style="position:absolute;margin-left:55.200001pt;margin-top:49.079983pt;width:485pt;height:.1pt;mso-position-horizontal-relative:page;mso-position-vertical-relative:page;z-index:1048" coordorigin="1104,982" coordsize="9700,2">
            <v:shape style="position:absolute;left:1104;top:982;width:9700;height:2" coordorigin="1104,982" coordsize="9700,0" path="m1104,982l10804,982e" filled="false" stroked="true" strokeweight=".72pt" strokecolor="#000000">
              <v:path arrowok="t"/>
            </v:shape>
            <w10:wrap type="none"/>
          </v:group>
        </w:pic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9"/>
          <w:szCs w:val="19"/>
        </w:rPr>
      </w:pPr>
    </w:p>
    <w:p>
      <w:pPr>
        <w:spacing w:line="2550" w:lineRule="exact"/>
        <w:ind w:left="1182"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50"/>
          <w:sz w:val="20"/>
          <w:szCs w:val="20"/>
        </w:rPr>
        <w:drawing>
          <wp:inline distT="0" distB="0" distL="0" distR="0">
            <wp:extent cx="4813247" cy="1619250"/>
            <wp:effectExtent l="0" t="0" r="0" b="0"/>
            <wp:docPr id="1" name="image2.jpeg" descr=""/>
            <wp:cNvGraphicFramePr>
              <a:graphicFrameLocks noChangeAspect="1"/>
            </wp:cNvGraphicFramePr>
            <a:graphic>
              <a:graphicData uri="http://schemas.openxmlformats.org/drawingml/2006/picture">
                <pic:pic>
                  <pic:nvPicPr>
                    <pic:cNvPr id="2" name="image2.jpeg"/>
                    <pic:cNvPicPr/>
                  </pic:nvPicPr>
                  <pic:blipFill>
                    <a:blip r:embed="rId7" cstate="print"/>
                    <a:stretch>
                      <a:fillRect/>
                    </a:stretch>
                  </pic:blipFill>
                  <pic:spPr>
                    <a:xfrm>
                      <a:off x="0" y="0"/>
                      <a:ext cx="4813247" cy="1619250"/>
                    </a:xfrm>
                    <a:prstGeom prst="rect">
                      <a:avLst/>
                    </a:prstGeom>
                  </pic:spPr>
                </pic:pic>
              </a:graphicData>
            </a:graphic>
          </wp:inline>
        </w:drawing>
      </w:r>
      <w:r>
        <w:rPr>
          <w:rFonts w:ascii="Times New Roman" w:hAnsi="Times New Roman" w:cs="Times New Roman" w:eastAsia="Times New Roman" w:hint="default"/>
          <w:position w:val="-50"/>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before="59"/>
        <w:ind w:left="3066" w:right="4042" w:firstLine="0"/>
        <w:jc w:val="center"/>
        <w:rPr>
          <w:rFonts w:ascii="宋体" w:hAnsi="宋体" w:cs="宋体" w:eastAsia="宋体" w:hint="default"/>
          <w:sz w:val="52"/>
          <w:szCs w:val="52"/>
        </w:rPr>
      </w:pPr>
      <w:r>
        <w:rPr/>
        <w:pict>
          <v:shape style="position:absolute;margin-left:108.100006pt;margin-top:-150.492828pt;width:378.55pt;height:127.35pt;mso-position-horizontal-relative:page;mso-position-vertical-relative:paragraph;z-index:-1254592" type="#_x0000_t202" filled="false" stroked="false">
            <v:textbox inset="0,0,0,0">
              <w:txbxContent>
                <w:p>
                  <w:pPr>
                    <w:spacing w:line="240" w:lineRule="auto" w:before="7"/>
                    <w:rPr>
                      <w:rFonts w:ascii="宋体" w:hAnsi="宋体" w:cs="宋体" w:eastAsia="宋体" w:hint="default"/>
                      <w:b/>
                      <w:bCs/>
                      <w:sz w:val="29"/>
                      <w:szCs w:val="29"/>
                    </w:rPr>
                  </w:pPr>
                </w:p>
                <w:p>
                  <w:pPr>
                    <w:spacing w:before="0"/>
                    <w:ind w:left="1443" w:right="0" w:firstLine="0"/>
                    <w:jc w:val="left"/>
                    <w:rPr>
                      <w:rFonts w:ascii="宋体" w:hAnsi="宋体" w:cs="宋体" w:eastAsia="宋体" w:hint="default"/>
                      <w:sz w:val="36"/>
                      <w:szCs w:val="36"/>
                    </w:rPr>
                  </w:pPr>
                  <w:r>
                    <w:rPr>
                      <w:rFonts w:ascii="宋体" w:hAnsi="宋体" w:cs="宋体" w:eastAsia="宋体" w:hint="default"/>
                      <w:b/>
                      <w:bCs/>
                      <w:sz w:val="36"/>
                      <w:szCs w:val="36"/>
                    </w:rPr>
                    <w:t>深圳市奥拓电子股份有限公司</w:t>
                  </w:r>
                  <w:r>
                    <w:rPr>
                      <w:rFonts w:ascii="宋体" w:hAnsi="宋体" w:cs="宋体" w:eastAsia="宋体" w:hint="default"/>
                      <w:sz w:val="36"/>
                      <w:szCs w:val="36"/>
                    </w:rPr>
                  </w:r>
                </w:p>
              </w:txbxContent>
            </v:textbox>
            <w10:wrap type="none"/>
          </v:shape>
        </w:pict>
      </w:r>
      <w:r>
        <w:rPr>
          <w:rFonts w:ascii="Times New Roman" w:hAnsi="Times New Roman" w:cs="Times New Roman" w:eastAsia="Times New Roman" w:hint="default"/>
          <w:b/>
          <w:bCs/>
          <w:sz w:val="52"/>
          <w:szCs w:val="52"/>
        </w:rPr>
        <w:t>2017</w:t>
      </w:r>
      <w:r>
        <w:rPr>
          <w:rFonts w:ascii="Times New Roman" w:hAnsi="Times New Roman" w:cs="Times New Roman" w:eastAsia="Times New Roman" w:hint="default"/>
          <w:b/>
          <w:bCs/>
          <w:spacing w:val="-2"/>
          <w:sz w:val="52"/>
          <w:szCs w:val="52"/>
        </w:rPr>
        <w:t> </w:t>
      </w:r>
      <w:r>
        <w:rPr>
          <w:rFonts w:ascii="宋体" w:hAnsi="宋体" w:cs="宋体" w:eastAsia="宋体" w:hint="default"/>
          <w:b/>
          <w:bCs/>
          <w:sz w:val="52"/>
          <w:szCs w:val="52"/>
        </w:rPr>
        <w:t>年年度报告</w:t>
      </w:r>
      <w:r>
        <w:rPr>
          <w:rFonts w:ascii="宋体" w:hAnsi="宋体" w:cs="宋体" w:eastAsia="宋体" w:hint="default"/>
          <w:sz w:val="52"/>
          <w:szCs w:val="52"/>
        </w:rPr>
      </w:r>
    </w:p>
    <w:p>
      <w:pPr>
        <w:spacing w:line="240" w:lineRule="auto" w:before="0"/>
        <w:rPr>
          <w:rFonts w:ascii="宋体" w:hAnsi="宋体" w:cs="宋体" w:eastAsia="宋体" w:hint="default"/>
          <w:b/>
          <w:bCs/>
          <w:sz w:val="54"/>
          <w:szCs w:val="54"/>
        </w:rPr>
      </w:pPr>
    </w:p>
    <w:p>
      <w:pPr>
        <w:spacing w:line="240" w:lineRule="auto" w:before="0"/>
        <w:rPr>
          <w:rFonts w:ascii="宋体" w:hAnsi="宋体" w:cs="宋体" w:eastAsia="宋体" w:hint="default"/>
          <w:b/>
          <w:bCs/>
          <w:sz w:val="54"/>
          <w:szCs w:val="54"/>
        </w:rPr>
      </w:pPr>
    </w:p>
    <w:p>
      <w:pPr>
        <w:spacing w:line="240" w:lineRule="auto" w:before="0"/>
        <w:rPr>
          <w:rFonts w:ascii="宋体" w:hAnsi="宋体" w:cs="宋体" w:eastAsia="宋体" w:hint="default"/>
          <w:b/>
          <w:bCs/>
          <w:sz w:val="54"/>
          <w:szCs w:val="54"/>
        </w:rPr>
      </w:pPr>
    </w:p>
    <w:p>
      <w:pPr>
        <w:spacing w:line="240" w:lineRule="auto" w:before="0"/>
        <w:rPr>
          <w:rFonts w:ascii="宋体" w:hAnsi="宋体" w:cs="宋体" w:eastAsia="宋体" w:hint="default"/>
          <w:b/>
          <w:bCs/>
          <w:sz w:val="54"/>
          <w:szCs w:val="54"/>
        </w:rPr>
      </w:pPr>
    </w:p>
    <w:p>
      <w:pPr>
        <w:spacing w:line="240" w:lineRule="auto" w:before="0"/>
        <w:rPr>
          <w:rFonts w:ascii="宋体" w:hAnsi="宋体" w:cs="宋体" w:eastAsia="宋体" w:hint="default"/>
          <w:b/>
          <w:bCs/>
          <w:sz w:val="54"/>
          <w:szCs w:val="54"/>
        </w:rPr>
      </w:pPr>
    </w:p>
    <w:p>
      <w:pPr>
        <w:spacing w:line="240" w:lineRule="auto" w:before="0"/>
        <w:rPr>
          <w:rFonts w:ascii="宋体" w:hAnsi="宋体" w:cs="宋体" w:eastAsia="宋体" w:hint="default"/>
          <w:b/>
          <w:bCs/>
          <w:sz w:val="54"/>
          <w:szCs w:val="54"/>
        </w:rPr>
      </w:pPr>
    </w:p>
    <w:p>
      <w:pPr>
        <w:spacing w:line="240" w:lineRule="auto" w:before="0"/>
        <w:rPr>
          <w:rFonts w:ascii="宋体" w:hAnsi="宋体" w:cs="宋体" w:eastAsia="宋体" w:hint="default"/>
          <w:b/>
          <w:bCs/>
          <w:sz w:val="54"/>
          <w:szCs w:val="54"/>
        </w:rPr>
      </w:pPr>
    </w:p>
    <w:p>
      <w:pPr>
        <w:spacing w:line="240" w:lineRule="auto" w:before="0"/>
        <w:rPr>
          <w:rFonts w:ascii="宋体" w:hAnsi="宋体" w:cs="宋体" w:eastAsia="宋体" w:hint="default"/>
          <w:b/>
          <w:bCs/>
          <w:sz w:val="54"/>
          <w:szCs w:val="54"/>
        </w:rPr>
      </w:pPr>
    </w:p>
    <w:p>
      <w:pPr>
        <w:spacing w:line="240" w:lineRule="auto" w:before="0"/>
        <w:rPr>
          <w:rFonts w:ascii="宋体" w:hAnsi="宋体" w:cs="宋体" w:eastAsia="宋体" w:hint="default"/>
          <w:b/>
          <w:bCs/>
          <w:sz w:val="54"/>
          <w:szCs w:val="54"/>
        </w:rPr>
      </w:pPr>
    </w:p>
    <w:p>
      <w:pPr>
        <w:spacing w:before="395"/>
        <w:ind w:left="3066" w:right="4042" w:firstLine="0"/>
        <w:jc w:val="center"/>
        <w:rPr>
          <w:rFonts w:ascii="宋体" w:hAnsi="宋体" w:cs="宋体" w:eastAsia="宋体" w:hint="default"/>
          <w:sz w:val="32"/>
          <w:szCs w:val="32"/>
        </w:rPr>
      </w:pPr>
      <w:r>
        <w:rPr>
          <w:rFonts w:ascii="Times New Roman" w:hAnsi="Times New Roman" w:cs="Times New Roman" w:eastAsia="Times New Roman" w:hint="default"/>
          <w:b/>
          <w:bCs/>
          <w:sz w:val="32"/>
          <w:szCs w:val="32"/>
        </w:rPr>
        <w:t>2018</w:t>
      </w:r>
      <w:r>
        <w:rPr>
          <w:rFonts w:ascii="Times New Roman" w:hAnsi="Times New Roman" w:cs="Times New Roman" w:eastAsia="Times New Roman" w:hint="default"/>
          <w:b/>
          <w:bCs/>
          <w:spacing w:val="-1"/>
          <w:sz w:val="32"/>
          <w:szCs w:val="32"/>
        </w:rPr>
        <w:t> </w:t>
      </w:r>
      <w:r>
        <w:rPr>
          <w:rFonts w:ascii="宋体" w:hAnsi="宋体" w:cs="宋体" w:eastAsia="宋体" w:hint="default"/>
          <w:b/>
          <w:bCs/>
          <w:sz w:val="32"/>
          <w:szCs w:val="32"/>
        </w:rPr>
        <w:t>年</w:t>
      </w:r>
      <w:r>
        <w:rPr>
          <w:rFonts w:ascii="宋体" w:hAnsi="宋体" w:cs="宋体" w:eastAsia="宋体" w:hint="default"/>
          <w:b/>
          <w:bCs/>
          <w:spacing w:val="-82"/>
          <w:sz w:val="32"/>
          <w:szCs w:val="32"/>
        </w:rPr>
        <w:t> </w:t>
      </w:r>
      <w:r>
        <w:rPr>
          <w:rFonts w:ascii="Times New Roman" w:hAnsi="Times New Roman" w:cs="Times New Roman" w:eastAsia="Times New Roman" w:hint="default"/>
          <w:b/>
          <w:bCs/>
          <w:sz w:val="32"/>
          <w:szCs w:val="32"/>
        </w:rPr>
        <w:t>04</w:t>
      </w:r>
      <w:r>
        <w:rPr>
          <w:rFonts w:ascii="Times New Roman" w:hAnsi="Times New Roman" w:cs="Times New Roman" w:eastAsia="Times New Roman" w:hint="default"/>
          <w:b/>
          <w:bCs/>
          <w:spacing w:val="-2"/>
          <w:sz w:val="32"/>
          <w:szCs w:val="32"/>
        </w:rPr>
        <w:t> </w:t>
      </w:r>
      <w:r>
        <w:rPr>
          <w:rFonts w:ascii="宋体" w:hAnsi="宋体" w:cs="宋体" w:eastAsia="宋体" w:hint="default"/>
          <w:b/>
          <w:bCs/>
          <w:sz w:val="32"/>
          <w:szCs w:val="32"/>
        </w:rPr>
        <w:t>月</w:t>
      </w:r>
      <w:r>
        <w:rPr>
          <w:rFonts w:ascii="宋体" w:hAnsi="宋体" w:cs="宋体" w:eastAsia="宋体" w:hint="default"/>
          <w:sz w:val="32"/>
          <w:szCs w:val="32"/>
        </w:rPr>
      </w:r>
    </w:p>
    <w:p>
      <w:pPr>
        <w:spacing w:after="0"/>
        <w:jc w:val="center"/>
        <w:rPr>
          <w:rFonts w:ascii="宋体" w:hAnsi="宋体" w:cs="宋体" w:eastAsia="宋体" w:hint="default"/>
          <w:sz w:val="32"/>
          <w:szCs w:val="32"/>
        </w:rPr>
        <w:sectPr>
          <w:headerReference w:type="default" r:id="rId5"/>
          <w:footerReference w:type="default" r:id="rId6"/>
          <w:type w:val="continuous"/>
          <w:pgSz w:w="11910" w:h="16840"/>
          <w:pgMar w:header="747" w:footer="979" w:top="1060" w:bottom="1160" w:left="980" w:right="0"/>
        </w:sectPr>
      </w:pPr>
    </w:p>
    <w:p>
      <w:pPr>
        <w:spacing w:line="240" w:lineRule="auto" w:before="12"/>
        <w:rPr>
          <w:rFonts w:ascii="宋体" w:hAnsi="宋体" w:cs="宋体" w:eastAsia="宋体" w:hint="default"/>
          <w:b/>
          <w:bCs/>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8"/>
          <w:szCs w:val="18"/>
        </w:rPr>
      </w:pPr>
    </w:p>
    <w:p>
      <w:pPr>
        <w:pStyle w:val="Heading1"/>
        <w:spacing w:line="240" w:lineRule="auto"/>
        <w:ind w:left="2805" w:right="0"/>
        <w:jc w:val="left"/>
        <w:rPr>
          <w:b w:val="0"/>
          <w:bCs w:val="0"/>
        </w:rPr>
      </w:pPr>
      <w:bookmarkStart w:name="第一节 重要提示、目录和释义" w:id="1"/>
      <w:bookmarkEnd w:id="1"/>
      <w:r>
        <w:rPr>
          <w:b w:val="0"/>
          <w:bCs w:val="0"/>
        </w:rPr>
      </w:r>
      <w:r>
        <w:rPr/>
        <w:t>第一节</w:t>
      </w:r>
      <w:r>
        <w:rPr>
          <w:spacing w:val="-11"/>
        </w:rPr>
        <w:t> </w:t>
      </w:r>
      <w:r>
        <w:rPr/>
        <w:t>重要提示、目录和释义</w:t>
      </w:r>
      <w:r>
        <w:rPr>
          <w:b w:val="0"/>
          <w:bCs w:val="0"/>
        </w:rPr>
      </w:r>
    </w:p>
    <w:p>
      <w:pPr>
        <w:spacing w:line="240" w:lineRule="auto" w:before="0"/>
        <w:rPr>
          <w:rFonts w:ascii="宋体" w:hAnsi="宋体" w:cs="宋体" w:eastAsia="宋体" w:hint="default"/>
          <w:b/>
          <w:bCs/>
          <w:sz w:val="32"/>
          <w:szCs w:val="32"/>
        </w:rPr>
      </w:pPr>
    </w:p>
    <w:p>
      <w:pPr>
        <w:spacing w:line="408" w:lineRule="auto" w:before="211"/>
        <w:ind w:left="153" w:right="1141" w:firstLine="562"/>
        <w:jc w:val="both"/>
        <w:rPr>
          <w:rFonts w:ascii="宋体" w:hAnsi="宋体" w:cs="宋体" w:eastAsia="宋体" w:hint="default"/>
          <w:sz w:val="28"/>
          <w:szCs w:val="28"/>
        </w:rPr>
      </w:pPr>
      <w:r>
        <w:rPr>
          <w:rFonts w:ascii="宋体" w:hAnsi="宋体" w:cs="宋体" w:eastAsia="宋体" w:hint="default"/>
          <w:b/>
          <w:bCs/>
          <w:spacing w:val="3"/>
          <w:w w:val="95"/>
          <w:sz w:val="28"/>
          <w:szCs w:val="28"/>
        </w:rPr>
        <w:t>公司董事会、监事会及董事、监事、高级管理人员保证年度报告内容的真</w:t>
      </w:r>
      <w:r>
        <w:rPr>
          <w:rFonts w:ascii="宋体" w:hAnsi="宋体" w:cs="宋体" w:eastAsia="宋体" w:hint="default"/>
          <w:b/>
          <w:bCs/>
          <w:w w:val="99"/>
          <w:sz w:val="28"/>
          <w:szCs w:val="28"/>
        </w:rPr>
        <w:t> </w:t>
      </w:r>
      <w:r>
        <w:rPr>
          <w:rFonts w:ascii="宋体" w:hAnsi="宋体" w:cs="宋体" w:eastAsia="宋体" w:hint="default"/>
          <w:b/>
          <w:bCs/>
          <w:spacing w:val="3"/>
          <w:w w:val="95"/>
          <w:sz w:val="28"/>
          <w:szCs w:val="28"/>
        </w:rPr>
        <w:t>实、准确、完整，不存在虚假记载、误导性陈述或重大遗漏，并承担个别和连</w:t>
      </w:r>
      <w:r>
        <w:rPr>
          <w:rFonts w:ascii="宋体" w:hAnsi="宋体" w:cs="宋体" w:eastAsia="宋体" w:hint="default"/>
          <w:b/>
          <w:bCs/>
          <w:spacing w:val="23"/>
          <w:w w:val="95"/>
          <w:sz w:val="28"/>
          <w:szCs w:val="28"/>
        </w:rPr>
        <w:t> </w:t>
      </w:r>
      <w:r>
        <w:rPr>
          <w:rFonts w:ascii="宋体" w:hAnsi="宋体" w:cs="宋体" w:eastAsia="宋体" w:hint="default"/>
          <w:b/>
          <w:bCs/>
          <w:spacing w:val="23"/>
          <w:w w:val="95"/>
          <w:sz w:val="28"/>
          <w:szCs w:val="28"/>
        </w:rPr>
      </w:r>
      <w:r>
        <w:rPr>
          <w:rFonts w:ascii="宋体" w:hAnsi="宋体" w:cs="宋体" w:eastAsia="宋体" w:hint="default"/>
          <w:b/>
          <w:bCs/>
          <w:sz w:val="28"/>
          <w:szCs w:val="28"/>
        </w:rPr>
        <w:t>带的法律责任。</w:t>
      </w:r>
      <w:r>
        <w:rPr>
          <w:rFonts w:ascii="宋体" w:hAnsi="宋体" w:cs="宋体" w:eastAsia="宋体" w:hint="default"/>
          <w:sz w:val="28"/>
          <w:szCs w:val="28"/>
        </w:rPr>
      </w:r>
    </w:p>
    <w:p>
      <w:pPr>
        <w:spacing w:line="386" w:lineRule="auto" w:before="161"/>
        <w:ind w:left="153" w:right="1132" w:firstLine="562"/>
        <w:jc w:val="both"/>
        <w:rPr>
          <w:rFonts w:ascii="宋体" w:hAnsi="宋体" w:cs="宋体" w:eastAsia="宋体" w:hint="default"/>
          <w:sz w:val="28"/>
          <w:szCs w:val="28"/>
        </w:rPr>
      </w:pPr>
      <w:r>
        <w:rPr>
          <w:rFonts w:ascii="宋体" w:hAnsi="宋体" w:cs="宋体" w:eastAsia="宋体" w:hint="default"/>
          <w:b/>
          <w:bCs/>
          <w:w w:val="95"/>
          <w:sz w:val="28"/>
          <w:szCs w:val="28"/>
        </w:rPr>
        <w:t>公司负责人吴涵渠、主管会计工作负责人彭世新及会计机构负责人</w:t>
      </w:r>
      <w:r>
        <w:rPr>
          <w:rFonts w:ascii="Times New Roman" w:hAnsi="Times New Roman" w:cs="Times New Roman" w:eastAsia="Times New Roman" w:hint="default"/>
          <w:b/>
          <w:bCs/>
          <w:w w:val="95"/>
          <w:sz w:val="28"/>
          <w:szCs w:val="28"/>
        </w:rPr>
        <w:t>(</w:t>
      </w:r>
      <w:r>
        <w:rPr>
          <w:rFonts w:ascii="宋体" w:hAnsi="宋体" w:cs="宋体" w:eastAsia="宋体" w:hint="default"/>
          <w:b/>
          <w:bCs/>
          <w:w w:val="95"/>
          <w:sz w:val="28"/>
          <w:szCs w:val="28"/>
        </w:rPr>
        <w:t>会计主</w:t>
      </w:r>
      <w:r>
        <w:rPr>
          <w:rFonts w:ascii="宋体" w:hAnsi="宋体" w:cs="宋体" w:eastAsia="宋体" w:hint="default"/>
          <w:b/>
          <w:bCs/>
          <w:spacing w:val="1"/>
          <w:w w:val="99"/>
          <w:sz w:val="28"/>
          <w:szCs w:val="28"/>
        </w:rPr>
        <w:t> </w:t>
      </w:r>
      <w:r>
        <w:rPr>
          <w:rFonts w:ascii="宋体" w:hAnsi="宋体" w:cs="宋体" w:eastAsia="宋体" w:hint="default"/>
          <w:b/>
          <w:bCs/>
          <w:sz w:val="28"/>
          <w:szCs w:val="28"/>
        </w:rPr>
        <w:t>管人员</w:t>
      </w:r>
      <w:r>
        <w:rPr>
          <w:rFonts w:ascii="Times New Roman" w:hAnsi="Times New Roman" w:cs="Times New Roman" w:eastAsia="Times New Roman" w:hint="default"/>
          <w:b/>
          <w:bCs/>
          <w:sz w:val="28"/>
          <w:szCs w:val="28"/>
        </w:rPr>
        <w:t>)</w:t>
      </w:r>
      <w:r>
        <w:rPr>
          <w:rFonts w:ascii="宋体" w:hAnsi="宋体" w:cs="宋体" w:eastAsia="宋体" w:hint="default"/>
          <w:b/>
          <w:bCs/>
          <w:sz w:val="28"/>
          <w:szCs w:val="28"/>
        </w:rPr>
        <w:t>马秦勇声明：保证年度报告中财务报告的真实、准确、完整。</w:t>
      </w:r>
      <w:r>
        <w:rPr>
          <w:rFonts w:ascii="宋体" w:hAnsi="宋体" w:cs="宋体" w:eastAsia="宋体" w:hint="default"/>
          <w:sz w:val="28"/>
          <w:szCs w:val="28"/>
        </w:rPr>
      </w:r>
    </w:p>
    <w:p>
      <w:pPr>
        <w:spacing w:line="472" w:lineRule="auto" w:before="147"/>
        <w:ind w:left="715" w:right="0" w:firstLine="0"/>
        <w:jc w:val="left"/>
        <w:rPr>
          <w:rFonts w:ascii="宋体" w:hAnsi="宋体" w:cs="宋体" w:eastAsia="宋体" w:hint="default"/>
          <w:sz w:val="28"/>
          <w:szCs w:val="28"/>
        </w:rPr>
      </w:pPr>
      <w:r>
        <w:rPr>
          <w:rFonts w:ascii="宋体" w:hAnsi="宋体" w:cs="宋体" w:eastAsia="宋体" w:hint="default"/>
          <w:b/>
          <w:bCs/>
          <w:sz w:val="28"/>
          <w:szCs w:val="28"/>
        </w:rPr>
        <w:t>所有董事均已出席了审议本报告的董事会会议。</w:t>
      </w:r>
      <w:r>
        <w:rPr>
          <w:rFonts w:ascii="宋体" w:hAnsi="宋体" w:cs="宋体" w:eastAsia="宋体" w:hint="default"/>
          <w:b/>
          <w:bCs/>
          <w:w w:val="99"/>
          <w:sz w:val="28"/>
          <w:szCs w:val="28"/>
        </w:rPr>
        <w:t> </w:t>
      </w:r>
      <w:r>
        <w:rPr>
          <w:rFonts w:ascii="宋体" w:hAnsi="宋体" w:cs="宋体" w:eastAsia="宋体" w:hint="default"/>
          <w:b/>
          <w:bCs/>
          <w:spacing w:val="-2"/>
          <w:w w:val="95"/>
          <w:sz w:val="28"/>
          <w:szCs w:val="28"/>
        </w:rPr>
        <w:t>本年度报告涉及未来计划等前瞻性陈述，不构成公司对投资者的实质承诺，</w:t>
      </w:r>
      <w:r>
        <w:rPr>
          <w:rFonts w:ascii="宋体" w:hAnsi="宋体" w:cs="宋体" w:eastAsia="宋体" w:hint="default"/>
          <w:spacing w:val="-2"/>
          <w:sz w:val="28"/>
          <w:szCs w:val="28"/>
        </w:rPr>
      </w:r>
    </w:p>
    <w:p>
      <w:pPr>
        <w:spacing w:line="398" w:lineRule="auto" w:before="0"/>
        <w:ind w:left="153" w:right="1138" w:firstLine="0"/>
        <w:jc w:val="both"/>
        <w:rPr>
          <w:rFonts w:ascii="宋体" w:hAnsi="宋体" w:cs="宋体" w:eastAsia="宋体" w:hint="default"/>
          <w:sz w:val="28"/>
          <w:szCs w:val="28"/>
        </w:rPr>
      </w:pPr>
      <w:r>
        <w:rPr>
          <w:rFonts w:ascii="宋体" w:hAnsi="宋体" w:cs="宋体" w:eastAsia="宋体" w:hint="default"/>
          <w:b/>
          <w:bCs/>
          <w:spacing w:val="3"/>
          <w:w w:val="95"/>
          <w:sz w:val="28"/>
          <w:szCs w:val="28"/>
        </w:rPr>
        <w:t>请投资者注意投资风险。对公司未来发展战略和经营目标产生不利影响的重大</w:t>
      </w:r>
      <w:r>
        <w:rPr>
          <w:rFonts w:ascii="宋体" w:hAnsi="宋体" w:cs="宋体" w:eastAsia="宋体" w:hint="default"/>
          <w:b/>
          <w:bCs/>
          <w:spacing w:val="23"/>
          <w:w w:val="95"/>
          <w:sz w:val="28"/>
          <w:szCs w:val="28"/>
        </w:rPr>
        <w:t> </w:t>
      </w:r>
      <w:r>
        <w:rPr>
          <w:rFonts w:ascii="宋体" w:hAnsi="宋体" w:cs="宋体" w:eastAsia="宋体" w:hint="default"/>
          <w:b/>
          <w:bCs/>
          <w:spacing w:val="23"/>
          <w:w w:val="95"/>
          <w:sz w:val="28"/>
          <w:szCs w:val="28"/>
        </w:rPr>
      </w:r>
      <w:r>
        <w:rPr>
          <w:rFonts w:ascii="宋体" w:hAnsi="宋体" w:cs="宋体" w:eastAsia="宋体" w:hint="default"/>
          <w:b/>
          <w:bCs/>
          <w:spacing w:val="-2"/>
          <w:w w:val="95"/>
          <w:sz w:val="28"/>
          <w:szCs w:val="28"/>
        </w:rPr>
        <w:t>风险因素及应对措施详见本报告</w:t>
      </w:r>
      <w:r>
        <w:rPr>
          <w:rFonts w:ascii="Times New Roman" w:hAnsi="Times New Roman" w:cs="Times New Roman" w:eastAsia="Times New Roman" w:hint="default"/>
          <w:b/>
          <w:bCs/>
          <w:spacing w:val="-2"/>
          <w:w w:val="95"/>
          <w:sz w:val="28"/>
          <w:szCs w:val="28"/>
        </w:rPr>
        <w:t>“</w:t>
      </w:r>
      <w:r>
        <w:rPr>
          <w:rFonts w:ascii="宋体" w:hAnsi="宋体" w:cs="宋体" w:eastAsia="宋体" w:hint="default"/>
          <w:b/>
          <w:bCs/>
          <w:spacing w:val="-2"/>
          <w:w w:val="95"/>
          <w:sz w:val="28"/>
          <w:szCs w:val="28"/>
        </w:rPr>
        <w:t>第四节</w:t>
      </w:r>
      <w:r>
        <w:rPr>
          <w:rFonts w:ascii="Times New Roman" w:hAnsi="Times New Roman" w:cs="Times New Roman" w:eastAsia="Times New Roman" w:hint="default"/>
          <w:b/>
          <w:bCs/>
          <w:spacing w:val="-2"/>
          <w:w w:val="95"/>
          <w:sz w:val="28"/>
          <w:szCs w:val="28"/>
        </w:rPr>
        <w:t>/</w:t>
      </w:r>
      <w:r>
        <w:rPr>
          <w:rFonts w:ascii="宋体" w:hAnsi="宋体" w:cs="宋体" w:eastAsia="宋体" w:hint="default"/>
          <w:b/>
          <w:bCs/>
          <w:spacing w:val="-2"/>
          <w:w w:val="95"/>
          <w:sz w:val="28"/>
          <w:szCs w:val="28"/>
        </w:rPr>
        <w:t>九</w:t>
      </w:r>
      <w:r>
        <w:rPr>
          <w:rFonts w:ascii="Times New Roman" w:hAnsi="Times New Roman" w:cs="Times New Roman" w:eastAsia="Times New Roman" w:hint="default"/>
          <w:b/>
          <w:bCs/>
          <w:spacing w:val="-2"/>
          <w:w w:val="95"/>
          <w:sz w:val="28"/>
          <w:szCs w:val="28"/>
        </w:rPr>
        <w:t>/</w:t>
      </w:r>
      <w:r>
        <w:rPr>
          <w:rFonts w:ascii="宋体" w:hAnsi="宋体" w:cs="宋体" w:eastAsia="宋体" w:hint="default"/>
          <w:b/>
          <w:bCs/>
          <w:spacing w:val="-2"/>
          <w:w w:val="95"/>
          <w:sz w:val="28"/>
          <w:szCs w:val="28"/>
        </w:rPr>
        <w:t>（五）</w:t>
      </w:r>
      <w:r>
        <w:rPr>
          <w:rFonts w:ascii="Times New Roman" w:hAnsi="Times New Roman" w:cs="Times New Roman" w:eastAsia="Times New Roman" w:hint="default"/>
          <w:b/>
          <w:bCs/>
          <w:spacing w:val="-2"/>
          <w:w w:val="95"/>
          <w:sz w:val="28"/>
          <w:szCs w:val="28"/>
        </w:rPr>
        <w:t>”</w:t>
      </w:r>
      <w:r>
        <w:rPr>
          <w:rFonts w:ascii="宋体" w:hAnsi="宋体" w:cs="宋体" w:eastAsia="宋体" w:hint="default"/>
          <w:b/>
          <w:bCs/>
          <w:spacing w:val="-2"/>
          <w:w w:val="95"/>
          <w:sz w:val="28"/>
          <w:szCs w:val="28"/>
        </w:rPr>
        <w:t>。敬请广大投资者注意投资</w:t>
      </w:r>
      <w:r>
        <w:rPr>
          <w:rFonts w:ascii="宋体" w:hAnsi="宋体" w:cs="宋体" w:eastAsia="宋体" w:hint="default"/>
          <w:b/>
          <w:bCs/>
          <w:spacing w:val="57"/>
          <w:w w:val="95"/>
          <w:sz w:val="28"/>
          <w:szCs w:val="28"/>
        </w:rPr>
        <w:t> </w:t>
      </w:r>
      <w:r>
        <w:rPr>
          <w:rFonts w:ascii="宋体" w:hAnsi="宋体" w:cs="宋体" w:eastAsia="宋体" w:hint="default"/>
          <w:b/>
          <w:bCs/>
          <w:spacing w:val="57"/>
          <w:w w:val="95"/>
          <w:sz w:val="28"/>
          <w:szCs w:val="28"/>
        </w:rPr>
      </w:r>
      <w:r>
        <w:rPr>
          <w:rFonts w:ascii="宋体" w:hAnsi="宋体" w:cs="宋体" w:eastAsia="宋体" w:hint="default"/>
          <w:b/>
          <w:bCs/>
          <w:sz w:val="28"/>
          <w:szCs w:val="28"/>
        </w:rPr>
        <w:t>风险。</w:t>
      </w:r>
      <w:r>
        <w:rPr>
          <w:rFonts w:ascii="宋体" w:hAnsi="宋体" w:cs="宋体" w:eastAsia="宋体" w:hint="default"/>
          <w:sz w:val="28"/>
          <w:szCs w:val="28"/>
        </w:rPr>
      </w:r>
    </w:p>
    <w:p>
      <w:pPr>
        <w:spacing w:line="393" w:lineRule="auto" w:before="172"/>
        <w:ind w:left="153" w:right="1133" w:firstLine="562"/>
        <w:jc w:val="both"/>
        <w:rPr>
          <w:rFonts w:ascii="宋体" w:hAnsi="宋体" w:cs="宋体" w:eastAsia="宋体" w:hint="default"/>
          <w:sz w:val="28"/>
          <w:szCs w:val="28"/>
        </w:rPr>
      </w:pPr>
      <w:r>
        <w:rPr>
          <w:rFonts w:ascii="宋体" w:hAnsi="宋体" w:cs="宋体" w:eastAsia="宋体" w:hint="default"/>
          <w:b/>
          <w:bCs/>
          <w:spacing w:val="3"/>
          <w:w w:val="95"/>
          <w:sz w:val="28"/>
          <w:szCs w:val="28"/>
        </w:rPr>
        <w:t>公司经本次董事会审议通过的利润分配预案为：公司拟以未来实施分配方</w:t>
      </w:r>
      <w:r>
        <w:rPr>
          <w:rFonts w:ascii="宋体" w:hAnsi="宋体" w:cs="宋体" w:eastAsia="宋体" w:hint="default"/>
          <w:b/>
          <w:bCs/>
          <w:w w:val="99"/>
          <w:sz w:val="28"/>
          <w:szCs w:val="28"/>
        </w:rPr>
        <w:t> </w:t>
      </w:r>
      <w:r>
        <w:rPr>
          <w:rFonts w:ascii="宋体" w:hAnsi="宋体" w:cs="宋体" w:eastAsia="宋体" w:hint="default"/>
          <w:b/>
          <w:bCs/>
          <w:sz w:val="28"/>
          <w:szCs w:val="28"/>
        </w:rPr>
        <w:t>案时股权登记日的总股本</w:t>
      </w:r>
      <w:r>
        <w:rPr>
          <w:rFonts w:ascii="宋体" w:hAnsi="宋体" w:cs="宋体" w:eastAsia="宋体" w:hint="default"/>
          <w:b/>
          <w:bCs/>
          <w:spacing w:val="-70"/>
          <w:sz w:val="28"/>
          <w:szCs w:val="28"/>
        </w:rPr>
        <w:t> </w:t>
      </w:r>
      <w:r>
        <w:rPr>
          <w:rFonts w:ascii="Times New Roman" w:hAnsi="Times New Roman" w:cs="Times New Roman" w:eastAsia="Times New Roman" w:hint="default"/>
          <w:b/>
          <w:bCs/>
          <w:sz w:val="28"/>
          <w:szCs w:val="28"/>
        </w:rPr>
        <w:t>611,214,834</w:t>
      </w:r>
      <w:r>
        <w:rPr>
          <w:rFonts w:ascii="Times New Roman" w:hAnsi="Times New Roman" w:cs="Times New Roman" w:eastAsia="Times New Roman" w:hint="default"/>
          <w:b/>
          <w:bCs/>
          <w:spacing w:val="-3"/>
          <w:sz w:val="28"/>
          <w:szCs w:val="28"/>
        </w:rPr>
        <w:t> </w:t>
      </w:r>
      <w:r>
        <w:rPr>
          <w:rFonts w:ascii="宋体" w:hAnsi="宋体" w:cs="宋体" w:eastAsia="宋体" w:hint="default"/>
          <w:b/>
          <w:bCs/>
          <w:sz w:val="28"/>
          <w:szCs w:val="28"/>
        </w:rPr>
        <w:t>股为基数</w:t>
      </w:r>
      <w:r>
        <w:rPr>
          <w:rFonts w:ascii="Times New Roman" w:hAnsi="Times New Roman" w:cs="Times New Roman" w:eastAsia="Times New Roman" w:hint="default"/>
          <w:b/>
          <w:bCs/>
          <w:sz w:val="28"/>
          <w:szCs w:val="28"/>
        </w:rPr>
        <w:t>,</w:t>
      </w:r>
      <w:r>
        <w:rPr>
          <w:rFonts w:ascii="宋体" w:hAnsi="宋体" w:cs="宋体" w:eastAsia="宋体" w:hint="default"/>
          <w:b/>
          <w:bCs/>
          <w:sz w:val="28"/>
          <w:szCs w:val="28"/>
        </w:rPr>
        <w:t>向全体股东每</w:t>
      </w:r>
      <w:r>
        <w:rPr>
          <w:rFonts w:ascii="宋体" w:hAnsi="宋体" w:cs="宋体" w:eastAsia="宋体" w:hint="default"/>
          <w:b/>
          <w:bCs/>
          <w:spacing w:val="-71"/>
          <w:sz w:val="28"/>
          <w:szCs w:val="28"/>
        </w:rPr>
        <w:t> </w:t>
      </w:r>
      <w:r>
        <w:rPr>
          <w:rFonts w:ascii="Times New Roman" w:hAnsi="Times New Roman" w:cs="Times New Roman" w:eastAsia="Times New Roman" w:hint="default"/>
          <w:b/>
          <w:bCs/>
          <w:sz w:val="28"/>
          <w:szCs w:val="28"/>
        </w:rPr>
        <w:t>10</w:t>
      </w:r>
      <w:r>
        <w:rPr>
          <w:rFonts w:ascii="Times New Roman" w:hAnsi="Times New Roman" w:cs="Times New Roman" w:eastAsia="Times New Roman" w:hint="default"/>
          <w:b/>
          <w:bCs/>
          <w:spacing w:val="-2"/>
          <w:sz w:val="28"/>
          <w:szCs w:val="28"/>
        </w:rPr>
        <w:t> </w:t>
      </w:r>
      <w:r>
        <w:rPr>
          <w:rFonts w:ascii="宋体" w:hAnsi="宋体" w:cs="宋体" w:eastAsia="宋体" w:hint="default"/>
          <w:b/>
          <w:bCs/>
          <w:sz w:val="28"/>
          <w:szCs w:val="28"/>
        </w:rPr>
        <w:t>股派发现金股</w:t>
      </w:r>
      <w:r>
        <w:rPr>
          <w:rFonts w:ascii="宋体" w:hAnsi="宋体" w:cs="宋体" w:eastAsia="宋体" w:hint="default"/>
          <w:b/>
          <w:bCs/>
          <w:w w:val="99"/>
          <w:sz w:val="28"/>
          <w:szCs w:val="28"/>
        </w:rPr>
        <w:t> 利人民币</w:t>
      </w:r>
      <w:r>
        <w:rPr>
          <w:rFonts w:ascii="宋体" w:hAnsi="宋体" w:cs="宋体" w:eastAsia="宋体" w:hint="default"/>
          <w:b/>
          <w:bCs/>
          <w:spacing w:val="-64"/>
          <w:w w:val="99"/>
          <w:sz w:val="28"/>
          <w:szCs w:val="28"/>
        </w:rPr>
        <w:t> </w:t>
      </w:r>
      <w:r>
        <w:rPr>
          <w:rFonts w:ascii="Times New Roman" w:hAnsi="Times New Roman" w:cs="Times New Roman" w:eastAsia="Times New Roman" w:hint="default"/>
          <w:b/>
          <w:bCs/>
          <w:w w:val="99"/>
          <w:sz w:val="28"/>
          <w:szCs w:val="28"/>
        </w:rPr>
        <w:t>1.00</w:t>
      </w:r>
      <w:r>
        <w:rPr>
          <w:rFonts w:ascii="Times New Roman" w:hAnsi="Times New Roman" w:cs="Times New Roman" w:eastAsia="Times New Roman" w:hint="default"/>
          <w:b/>
          <w:bCs/>
          <w:spacing w:val="5"/>
          <w:w w:val="99"/>
          <w:sz w:val="28"/>
          <w:szCs w:val="28"/>
        </w:rPr>
        <w:t> </w:t>
      </w:r>
      <w:r>
        <w:rPr>
          <w:rFonts w:ascii="宋体" w:hAnsi="宋体" w:cs="宋体" w:eastAsia="宋体" w:hint="default"/>
          <w:b/>
          <w:bCs/>
          <w:spacing w:val="-9"/>
          <w:w w:val="99"/>
          <w:sz w:val="28"/>
          <w:szCs w:val="28"/>
        </w:rPr>
        <w:t>元（含税）。上述利润分配预案尚待提交本公司股东大会审议。公</w:t>
      </w:r>
      <w:r>
        <w:rPr>
          <w:rFonts w:ascii="宋体" w:hAnsi="宋体" w:cs="宋体" w:eastAsia="宋体" w:hint="default"/>
          <w:b/>
          <w:bCs/>
          <w:w w:val="99"/>
          <w:sz w:val="28"/>
          <w:szCs w:val="28"/>
        </w:rPr>
        <w:t> </w:t>
      </w:r>
      <w:r>
        <w:rPr>
          <w:rFonts w:ascii="宋体" w:hAnsi="宋体" w:cs="宋体" w:eastAsia="宋体" w:hint="default"/>
          <w:b/>
          <w:bCs/>
          <w:sz w:val="28"/>
          <w:szCs w:val="28"/>
        </w:rPr>
        <w:t>司回购注销</w:t>
      </w:r>
      <w:r>
        <w:rPr>
          <w:rFonts w:ascii="宋体" w:hAnsi="宋体" w:cs="宋体" w:eastAsia="宋体" w:hint="default"/>
          <w:b/>
          <w:bCs/>
          <w:spacing w:val="-73"/>
          <w:sz w:val="28"/>
          <w:szCs w:val="28"/>
        </w:rPr>
        <w:t> </w:t>
      </w:r>
      <w:r>
        <w:rPr>
          <w:rFonts w:ascii="Times New Roman" w:hAnsi="Times New Roman" w:cs="Times New Roman" w:eastAsia="Times New Roman" w:hint="default"/>
          <w:b/>
          <w:bCs/>
          <w:sz w:val="28"/>
          <w:szCs w:val="28"/>
        </w:rPr>
        <w:t>17.10</w:t>
      </w:r>
      <w:r>
        <w:rPr>
          <w:rFonts w:ascii="Times New Roman" w:hAnsi="Times New Roman" w:cs="Times New Roman" w:eastAsia="Times New Roman" w:hint="default"/>
          <w:b/>
          <w:bCs/>
          <w:spacing w:val="-5"/>
          <w:sz w:val="28"/>
          <w:szCs w:val="28"/>
        </w:rPr>
        <w:t> </w:t>
      </w:r>
      <w:r>
        <w:rPr>
          <w:rFonts w:ascii="宋体" w:hAnsi="宋体" w:cs="宋体" w:eastAsia="宋体" w:hint="default"/>
          <w:b/>
          <w:bCs/>
          <w:sz w:val="28"/>
          <w:szCs w:val="28"/>
        </w:rPr>
        <w:t>万股</w:t>
      </w:r>
      <w:r>
        <w:rPr>
          <w:rFonts w:ascii="宋体" w:hAnsi="宋体" w:cs="宋体" w:eastAsia="宋体" w:hint="default"/>
          <w:b/>
          <w:bCs/>
          <w:spacing w:val="-75"/>
          <w:sz w:val="28"/>
          <w:szCs w:val="28"/>
        </w:rPr>
        <w:t> </w:t>
      </w:r>
      <w:r>
        <w:rPr>
          <w:rFonts w:ascii="Times New Roman" w:hAnsi="Times New Roman" w:cs="Times New Roman" w:eastAsia="Times New Roman" w:hint="default"/>
          <w:b/>
          <w:bCs/>
          <w:sz w:val="28"/>
          <w:szCs w:val="28"/>
        </w:rPr>
        <w:t>2016</w:t>
      </w:r>
      <w:r>
        <w:rPr>
          <w:rFonts w:ascii="Times New Roman" w:hAnsi="Times New Roman" w:cs="Times New Roman" w:eastAsia="Times New Roman" w:hint="default"/>
          <w:b/>
          <w:bCs/>
          <w:spacing w:val="-5"/>
          <w:sz w:val="28"/>
          <w:szCs w:val="28"/>
        </w:rPr>
        <w:t> </w:t>
      </w:r>
      <w:r>
        <w:rPr>
          <w:rFonts w:ascii="宋体" w:hAnsi="宋体" w:cs="宋体" w:eastAsia="宋体" w:hint="default"/>
          <w:b/>
          <w:bCs/>
          <w:sz w:val="28"/>
          <w:szCs w:val="28"/>
        </w:rPr>
        <w:t>年限制性股票激励计划授予的限制性股票事宜，如</w:t>
      </w:r>
      <w:r>
        <w:rPr>
          <w:rFonts w:ascii="宋体" w:hAnsi="宋体" w:cs="宋体" w:eastAsia="宋体" w:hint="default"/>
          <w:sz w:val="28"/>
          <w:szCs w:val="28"/>
        </w:rPr>
      </w:r>
    </w:p>
    <w:p>
      <w:pPr>
        <w:spacing w:line="386" w:lineRule="auto" w:before="38"/>
        <w:ind w:left="154" w:right="1132" w:firstLine="0"/>
        <w:jc w:val="both"/>
        <w:rPr>
          <w:rFonts w:ascii="宋体" w:hAnsi="宋体" w:cs="宋体" w:eastAsia="宋体" w:hint="default"/>
          <w:sz w:val="28"/>
          <w:szCs w:val="28"/>
        </w:rPr>
      </w:pPr>
      <w:r>
        <w:rPr>
          <w:rFonts w:ascii="宋体" w:hAnsi="宋体" w:cs="宋体" w:eastAsia="宋体" w:hint="default"/>
          <w:b/>
          <w:bCs/>
          <w:sz w:val="28"/>
          <w:szCs w:val="28"/>
        </w:rPr>
        <w:t>未能在公司实施</w:t>
      </w:r>
      <w:r>
        <w:rPr>
          <w:rFonts w:ascii="宋体" w:hAnsi="宋体" w:cs="宋体" w:eastAsia="宋体" w:hint="default"/>
          <w:b/>
          <w:bCs/>
          <w:spacing w:val="-105"/>
          <w:sz w:val="28"/>
          <w:szCs w:val="28"/>
        </w:rPr>
        <w:t> </w:t>
      </w:r>
      <w:r>
        <w:rPr>
          <w:rFonts w:ascii="Times New Roman" w:hAnsi="Times New Roman" w:cs="Times New Roman" w:eastAsia="Times New Roman" w:hint="default"/>
          <w:b/>
          <w:bCs/>
          <w:sz w:val="28"/>
          <w:szCs w:val="28"/>
        </w:rPr>
        <w:t>2017</w:t>
      </w:r>
      <w:r>
        <w:rPr>
          <w:rFonts w:ascii="Times New Roman" w:hAnsi="Times New Roman" w:cs="Times New Roman" w:eastAsia="Times New Roman" w:hint="default"/>
          <w:b/>
          <w:bCs/>
          <w:spacing w:val="-36"/>
          <w:sz w:val="28"/>
          <w:szCs w:val="28"/>
        </w:rPr>
        <w:t> </w:t>
      </w:r>
      <w:r>
        <w:rPr>
          <w:rFonts w:ascii="宋体" w:hAnsi="宋体" w:cs="宋体" w:eastAsia="宋体" w:hint="default"/>
          <w:b/>
          <w:bCs/>
          <w:sz w:val="28"/>
          <w:szCs w:val="28"/>
        </w:rPr>
        <w:t>年度利润分配方案的股权登记日前完成，公司将按照《深</w:t>
      </w:r>
      <w:r>
        <w:rPr>
          <w:rFonts w:ascii="宋体" w:hAnsi="宋体" w:cs="宋体" w:eastAsia="宋体" w:hint="default"/>
          <w:b/>
          <w:bCs/>
          <w:w w:val="99"/>
          <w:sz w:val="28"/>
          <w:szCs w:val="28"/>
        </w:rPr>
        <w:t> </w:t>
      </w:r>
      <w:r>
        <w:rPr>
          <w:rFonts w:ascii="宋体" w:hAnsi="宋体" w:cs="宋体" w:eastAsia="宋体" w:hint="default"/>
          <w:b/>
          <w:bCs/>
          <w:w w:val="99"/>
          <w:sz w:val="28"/>
          <w:szCs w:val="28"/>
        </w:rPr>
        <w:t>圳证券交易所中小企业板上市公司规范运作指引（</w:t>
      </w:r>
      <w:r>
        <w:rPr>
          <w:rFonts w:ascii="Times New Roman" w:hAnsi="Times New Roman" w:cs="Times New Roman" w:eastAsia="Times New Roman" w:hint="default"/>
          <w:b/>
          <w:bCs/>
          <w:w w:val="99"/>
          <w:sz w:val="28"/>
          <w:szCs w:val="28"/>
        </w:rPr>
        <w:t>2015</w:t>
      </w:r>
      <w:r>
        <w:rPr>
          <w:rFonts w:ascii="Times New Roman" w:hAnsi="Times New Roman" w:cs="Times New Roman" w:eastAsia="Times New Roman" w:hint="default"/>
          <w:b/>
          <w:bCs/>
          <w:spacing w:val="32"/>
          <w:w w:val="99"/>
          <w:sz w:val="28"/>
          <w:szCs w:val="28"/>
        </w:rPr>
        <w:t> </w:t>
      </w:r>
      <w:r>
        <w:rPr>
          <w:rFonts w:ascii="宋体" w:hAnsi="宋体" w:cs="宋体" w:eastAsia="宋体" w:hint="default"/>
          <w:b/>
          <w:bCs/>
          <w:spacing w:val="-13"/>
          <w:w w:val="99"/>
          <w:sz w:val="28"/>
          <w:szCs w:val="28"/>
        </w:rPr>
        <w:t>年修订）》所规定的</w:t>
      </w:r>
      <w:r>
        <w:rPr>
          <w:rFonts w:ascii="Times New Roman" w:hAnsi="Times New Roman" w:cs="Times New Roman" w:eastAsia="Times New Roman" w:hint="default"/>
          <w:b/>
          <w:bCs/>
          <w:spacing w:val="-13"/>
          <w:w w:val="99"/>
          <w:sz w:val="28"/>
          <w:szCs w:val="28"/>
        </w:rPr>
        <w:t>“</w:t>
      </w:r>
      <w:r>
        <w:rPr>
          <w:rFonts w:ascii="宋体" w:hAnsi="宋体" w:cs="宋体" w:eastAsia="宋体" w:hint="default"/>
          <w:b/>
          <w:bCs/>
          <w:spacing w:val="-13"/>
          <w:w w:val="99"/>
          <w:sz w:val="28"/>
          <w:szCs w:val="28"/>
        </w:rPr>
        <w:t>现</w:t>
      </w:r>
      <w:r>
        <w:rPr>
          <w:rFonts w:ascii="宋体" w:hAnsi="宋体" w:cs="宋体" w:eastAsia="宋体" w:hint="default"/>
          <w:b/>
          <w:bCs/>
          <w:spacing w:val="-134"/>
          <w:w w:val="99"/>
          <w:sz w:val="28"/>
          <w:szCs w:val="28"/>
        </w:rPr>
        <w:t> </w:t>
      </w:r>
      <w:r>
        <w:rPr>
          <w:rFonts w:ascii="宋体" w:hAnsi="宋体" w:cs="宋体" w:eastAsia="宋体" w:hint="default"/>
          <w:b/>
          <w:bCs/>
          <w:spacing w:val="-1"/>
          <w:w w:val="95"/>
          <w:sz w:val="28"/>
          <w:szCs w:val="28"/>
        </w:rPr>
        <w:t>金分红金额、送红股金额、转增股本金额固定不变</w:t>
      </w:r>
      <w:r>
        <w:rPr>
          <w:rFonts w:ascii="Times New Roman" w:hAnsi="Times New Roman" w:cs="Times New Roman" w:eastAsia="Times New Roman" w:hint="default"/>
          <w:b/>
          <w:bCs/>
          <w:spacing w:val="-1"/>
          <w:w w:val="95"/>
          <w:sz w:val="28"/>
          <w:szCs w:val="28"/>
        </w:rPr>
        <w:t>”</w:t>
      </w:r>
      <w:r>
        <w:rPr>
          <w:rFonts w:ascii="宋体" w:hAnsi="宋体" w:cs="宋体" w:eastAsia="宋体" w:hint="default"/>
          <w:b/>
          <w:bCs/>
          <w:spacing w:val="-1"/>
          <w:w w:val="95"/>
          <w:sz w:val="28"/>
          <w:szCs w:val="28"/>
        </w:rPr>
        <w:t>的原则，对上述利润分配预</w:t>
      </w:r>
      <w:r>
        <w:rPr>
          <w:rFonts w:ascii="宋体" w:hAnsi="宋体" w:cs="宋体" w:eastAsia="宋体" w:hint="default"/>
          <w:b/>
          <w:bCs/>
          <w:spacing w:val="32"/>
          <w:w w:val="95"/>
          <w:sz w:val="28"/>
          <w:szCs w:val="28"/>
        </w:rPr>
        <w:t> </w:t>
      </w:r>
      <w:r>
        <w:rPr>
          <w:rFonts w:ascii="宋体" w:hAnsi="宋体" w:cs="宋体" w:eastAsia="宋体" w:hint="default"/>
          <w:b/>
          <w:bCs/>
          <w:spacing w:val="32"/>
          <w:w w:val="95"/>
          <w:sz w:val="28"/>
          <w:szCs w:val="28"/>
        </w:rPr>
      </w:r>
      <w:r>
        <w:rPr>
          <w:rFonts w:ascii="宋体" w:hAnsi="宋体" w:cs="宋体" w:eastAsia="宋体" w:hint="default"/>
          <w:b/>
          <w:bCs/>
          <w:sz w:val="28"/>
          <w:szCs w:val="28"/>
        </w:rPr>
        <w:t>案进行调整。</w:t>
      </w:r>
      <w:r>
        <w:rPr>
          <w:rFonts w:ascii="宋体" w:hAnsi="宋体" w:cs="宋体" w:eastAsia="宋体" w:hint="default"/>
          <w:sz w:val="28"/>
          <w:szCs w:val="28"/>
        </w:rPr>
      </w:r>
    </w:p>
    <w:p>
      <w:pPr>
        <w:spacing w:after="0" w:line="386" w:lineRule="auto"/>
        <w:jc w:val="both"/>
        <w:rPr>
          <w:rFonts w:ascii="宋体" w:hAnsi="宋体" w:cs="宋体" w:eastAsia="宋体" w:hint="default"/>
          <w:sz w:val="28"/>
          <w:szCs w:val="28"/>
        </w:rPr>
        <w:sectPr>
          <w:footerReference w:type="default" r:id="rId8"/>
          <w:pgSz w:w="11910" w:h="16840"/>
          <w:pgMar w:footer="979" w:header="747" w:top="1060" w:bottom="1160" w:left="980" w:right="0"/>
          <w:pgNumType w:start="2"/>
        </w:sectPr>
      </w:pPr>
    </w:p>
    <w:p>
      <w:pPr>
        <w:spacing w:line="240" w:lineRule="auto" w:before="12"/>
        <w:rPr>
          <w:rFonts w:ascii="宋体" w:hAnsi="宋体" w:cs="宋体" w:eastAsia="宋体" w:hint="default"/>
          <w:b/>
          <w:bCs/>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25"/>
          <w:szCs w:val="25"/>
        </w:rPr>
      </w:pPr>
    </w:p>
    <w:p>
      <w:pPr>
        <w:spacing w:line="460" w:lineRule="exact" w:before="0"/>
        <w:ind w:left="3066" w:right="4042" w:firstLine="0"/>
        <w:jc w:val="center"/>
        <w:rPr>
          <w:rFonts w:ascii="宋体" w:hAnsi="宋体" w:cs="宋体" w:eastAsia="宋体" w:hint="default"/>
          <w:sz w:val="36"/>
          <w:szCs w:val="36"/>
        </w:rPr>
      </w:pPr>
      <w:r>
        <w:rPr>
          <w:rFonts w:ascii="宋体" w:hAnsi="宋体" w:cs="宋体" w:eastAsia="宋体" w:hint="default"/>
          <w:b/>
          <w:bCs/>
          <w:sz w:val="36"/>
          <w:szCs w:val="36"/>
        </w:rPr>
        <w:t>目录</w:t>
      </w:r>
      <w:r>
        <w:rPr>
          <w:rFonts w:ascii="宋体" w:hAnsi="宋体" w:cs="宋体" w:eastAsia="宋体" w:hint="default"/>
          <w:sz w:val="36"/>
          <w:szCs w:val="36"/>
        </w:rPr>
      </w:r>
    </w:p>
    <w:p>
      <w:pPr>
        <w:spacing w:line="240" w:lineRule="auto" w:before="0"/>
        <w:rPr>
          <w:rFonts w:ascii="宋体" w:hAnsi="宋体" w:cs="宋体" w:eastAsia="宋体" w:hint="default"/>
          <w:b/>
          <w:bCs/>
          <w:sz w:val="36"/>
          <w:szCs w:val="36"/>
        </w:rPr>
      </w:pPr>
    </w:p>
    <w:p>
      <w:pPr>
        <w:spacing w:line="240" w:lineRule="auto" w:before="0"/>
        <w:rPr>
          <w:rFonts w:ascii="宋体" w:hAnsi="宋体" w:cs="宋体" w:eastAsia="宋体" w:hint="default"/>
          <w:b/>
          <w:bCs/>
          <w:sz w:val="36"/>
          <w:szCs w:val="36"/>
        </w:rPr>
      </w:pPr>
    </w:p>
    <w:p>
      <w:pPr>
        <w:spacing w:line="240" w:lineRule="auto" w:before="2"/>
        <w:rPr>
          <w:rFonts w:ascii="宋体" w:hAnsi="宋体" w:cs="宋体" w:eastAsia="宋体" w:hint="default"/>
          <w:b/>
          <w:bCs/>
          <w:sz w:val="48"/>
          <w:szCs w:val="48"/>
        </w:rPr>
      </w:pPr>
    </w:p>
    <w:sdt>
      <w:sdtPr>
        <w:docPartObj>
          <w:docPartGallery w:val="Table of Contents"/>
          <w:docPartUnique/>
        </w:docPartObj>
      </w:sdtPr>
      <w:sdtEndPr/>
      <w:sdtContent>
        <w:p>
          <w:pPr>
            <w:pStyle w:val="TOC1"/>
            <w:tabs>
              <w:tab w:pos="9782" w:val="right" w:leader="dot"/>
            </w:tabs>
            <w:spacing w:line="240" w:lineRule="auto" w:before="0"/>
            <w:ind w:right="0"/>
            <w:jc w:val="left"/>
            <w:rPr>
              <w:rFonts w:ascii="Times New Roman" w:hAnsi="Times New Roman" w:cs="Times New Roman" w:eastAsia="Times New Roman" w:hint="default"/>
            </w:rPr>
          </w:pPr>
          <w:hyperlink w:history="true" w:anchor="_bookmark0">
            <w:r>
              <w:rPr/>
              <w:t>第一节</w:t>
            </w:r>
            <w:r>
              <w:rPr>
                <w:spacing w:val="-24"/>
              </w:rPr>
              <w:t> </w:t>
            </w:r>
            <w:r>
              <w:rPr/>
              <w:t>重要提示、目录和释义</w:t>
            </w:r>
            <w:r>
              <w:rPr>
                <w:rFonts w:ascii="Times New Roman" w:hAnsi="Times New Roman" w:cs="Times New Roman" w:eastAsia="Times New Roman" w:hint="default"/>
              </w:rPr>
              <w:tab/>
              <w:t>3</w:t>
            </w:r>
          </w:hyperlink>
        </w:p>
        <w:p>
          <w:pPr>
            <w:pStyle w:val="TOC1"/>
            <w:tabs>
              <w:tab w:pos="9782" w:val="right" w:leader="dot"/>
            </w:tabs>
            <w:spacing w:line="240" w:lineRule="auto"/>
            <w:ind w:right="0"/>
            <w:jc w:val="left"/>
            <w:rPr>
              <w:rFonts w:ascii="Times New Roman" w:hAnsi="Times New Roman" w:cs="Times New Roman" w:eastAsia="Times New Roman" w:hint="default"/>
            </w:rPr>
          </w:pPr>
          <w:hyperlink w:history="true" w:anchor="_bookmark1">
            <w:r>
              <w:rPr/>
              <w:t>第二节</w:t>
            </w:r>
            <w:r>
              <w:rPr>
                <w:spacing w:val="-24"/>
              </w:rPr>
              <w:t> </w:t>
            </w:r>
            <w:r>
              <w:rPr/>
              <w:t>公司简介和主要财务指标</w:t>
            </w:r>
            <w:r>
              <w:rPr>
                <w:rFonts w:ascii="Times New Roman" w:hAnsi="Times New Roman" w:cs="Times New Roman" w:eastAsia="Times New Roman" w:hint="default"/>
              </w:rPr>
              <w:tab/>
              <w:t>5</w:t>
            </w:r>
          </w:hyperlink>
        </w:p>
        <w:p>
          <w:pPr>
            <w:pStyle w:val="TOC1"/>
            <w:tabs>
              <w:tab w:pos="9782" w:val="right" w:leader="dot"/>
            </w:tabs>
            <w:spacing w:line="240" w:lineRule="auto"/>
            <w:ind w:right="0"/>
            <w:jc w:val="left"/>
            <w:rPr>
              <w:rFonts w:ascii="Times New Roman" w:hAnsi="Times New Roman" w:cs="Times New Roman" w:eastAsia="Times New Roman" w:hint="default"/>
            </w:rPr>
          </w:pPr>
          <w:hyperlink w:history="true" w:anchor="_bookmark2">
            <w:r>
              <w:rPr/>
              <w:t>第三节</w:t>
            </w:r>
            <w:r>
              <w:rPr>
                <w:spacing w:val="-24"/>
              </w:rPr>
              <w:t> </w:t>
            </w:r>
            <w:r>
              <w:rPr/>
              <w:t>公司业务概要</w:t>
            </w:r>
            <w:r>
              <w:rPr>
                <w:rFonts w:ascii="Times New Roman" w:hAnsi="Times New Roman" w:cs="Times New Roman" w:eastAsia="Times New Roman" w:hint="default"/>
              </w:rPr>
              <w:tab/>
              <w:t>9</w:t>
            </w:r>
          </w:hyperlink>
        </w:p>
        <w:p>
          <w:pPr>
            <w:pStyle w:val="TOC1"/>
            <w:tabs>
              <w:tab w:pos="9782" w:val="right" w:leader="dot"/>
            </w:tabs>
            <w:spacing w:line="240" w:lineRule="auto"/>
            <w:ind w:right="0"/>
            <w:jc w:val="left"/>
            <w:rPr>
              <w:rFonts w:ascii="Times New Roman" w:hAnsi="Times New Roman" w:cs="Times New Roman" w:eastAsia="Times New Roman" w:hint="default"/>
            </w:rPr>
          </w:pPr>
          <w:hyperlink w:history="true" w:anchor="_bookmark3">
            <w:r>
              <w:rPr/>
              <w:t>第四节</w:t>
            </w:r>
            <w:r>
              <w:rPr>
                <w:spacing w:val="-24"/>
              </w:rPr>
              <w:t> </w:t>
            </w:r>
            <w:r>
              <w:rPr/>
              <w:t>经营情况讨论与分析</w:t>
            </w:r>
            <w:r>
              <w:rPr>
                <w:rFonts w:ascii="Times New Roman" w:hAnsi="Times New Roman" w:cs="Times New Roman" w:eastAsia="Times New Roman" w:hint="default"/>
              </w:rPr>
              <w:tab/>
              <w:t>22</w:t>
            </w:r>
          </w:hyperlink>
        </w:p>
        <w:p>
          <w:pPr>
            <w:pStyle w:val="TOC1"/>
            <w:tabs>
              <w:tab w:pos="9782" w:val="right" w:leader="dot"/>
            </w:tabs>
            <w:spacing w:line="240" w:lineRule="auto"/>
            <w:ind w:right="0"/>
            <w:jc w:val="left"/>
            <w:rPr>
              <w:rFonts w:ascii="Times New Roman" w:hAnsi="Times New Roman" w:cs="Times New Roman" w:eastAsia="Times New Roman" w:hint="default"/>
            </w:rPr>
          </w:pPr>
          <w:hyperlink w:history="true" w:anchor="_bookmark4">
            <w:r>
              <w:rPr/>
              <w:t>第五节</w:t>
            </w:r>
            <w:r>
              <w:rPr>
                <w:spacing w:val="-24"/>
              </w:rPr>
              <w:t> </w:t>
            </w:r>
            <w:r>
              <w:rPr/>
              <w:t>重要事项</w:t>
            </w:r>
            <w:r>
              <w:rPr>
                <w:rFonts w:ascii="Times New Roman" w:hAnsi="Times New Roman" w:cs="Times New Roman" w:eastAsia="Times New Roman" w:hint="default"/>
              </w:rPr>
              <w:tab/>
              <w:t>49</w:t>
            </w:r>
          </w:hyperlink>
        </w:p>
        <w:p>
          <w:pPr>
            <w:pStyle w:val="TOC1"/>
            <w:tabs>
              <w:tab w:pos="9782" w:val="right" w:leader="dot"/>
            </w:tabs>
            <w:spacing w:line="240" w:lineRule="auto"/>
            <w:ind w:right="0"/>
            <w:jc w:val="left"/>
            <w:rPr>
              <w:rFonts w:ascii="Times New Roman" w:hAnsi="Times New Roman" w:cs="Times New Roman" w:eastAsia="Times New Roman" w:hint="default"/>
            </w:rPr>
          </w:pPr>
          <w:hyperlink w:history="true" w:anchor="_bookmark5">
            <w:r>
              <w:rPr/>
              <w:t>第六节</w:t>
            </w:r>
            <w:r>
              <w:rPr>
                <w:spacing w:val="-24"/>
              </w:rPr>
              <w:t> </w:t>
            </w:r>
            <w:r>
              <w:rPr/>
              <w:t>股份变动及股东情况</w:t>
            </w:r>
            <w:r>
              <w:rPr>
                <w:rFonts w:ascii="Times New Roman" w:hAnsi="Times New Roman" w:cs="Times New Roman" w:eastAsia="Times New Roman" w:hint="default"/>
              </w:rPr>
              <w:tab/>
              <w:t>83</w:t>
            </w:r>
          </w:hyperlink>
        </w:p>
        <w:p>
          <w:pPr>
            <w:pStyle w:val="TOC1"/>
            <w:tabs>
              <w:tab w:pos="9782" w:val="right" w:leader="dot"/>
            </w:tabs>
            <w:spacing w:line="240" w:lineRule="auto"/>
            <w:ind w:right="0"/>
            <w:jc w:val="left"/>
            <w:rPr>
              <w:rFonts w:ascii="Times New Roman" w:hAnsi="Times New Roman" w:cs="Times New Roman" w:eastAsia="Times New Roman" w:hint="default"/>
            </w:rPr>
          </w:pPr>
          <w:hyperlink w:history="true" w:anchor="_bookmark5">
            <w:r>
              <w:rPr/>
              <w:t>第七节</w:t>
            </w:r>
            <w:r>
              <w:rPr>
                <w:spacing w:val="-24"/>
              </w:rPr>
              <w:t> </w:t>
            </w:r>
            <w:r>
              <w:rPr/>
              <w:t>优先股相关情况</w:t>
            </w:r>
            <w:r>
              <w:rPr>
                <w:rFonts w:ascii="Times New Roman" w:hAnsi="Times New Roman" w:cs="Times New Roman" w:eastAsia="Times New Roman" w:hint="default"/>
              </w:rPr>
              <w:tab/>
              <w:t>93</w:t>
            </w:r>
          </w:hyperlink>
        </w:p>
        <w:p>
          <w:pPr>
            <w:pStyle w:val="TOC1"/>
            <w:tabs>
              <w:tab w:pos="9782" w:val="right" w:leader="dot"/>
            </w:tabs>
            <w:spacing w:line="240" w:lineRule="auto"/>
            <w:ind w:right="0"/>
            <w:jc w:val="left"/>
            <w:rPr>
              <w:rFonts w:ascii="Times New Roman" w:hAnsi="Times New Roman" w:cs="Times New Roman" w:eastAsia="Times New Roman" w:hint="default"/>
            </w:rPr>
          </w:pPr>
          <w:hyperlink w:history="true" w:anchor="_bookmark6">
            <w:r>
              <w:rPr/>
              <w:t>第八节</w:t>
            </w:r>
            <w:r>
              <w:rPr>
                <w:spacing w:val="-24"/>
              </w:rPr>
              <w:t> </w:t>
            </w:r>
            <w:r>
              <w:rPr/>
              <w:t>董事、监事、高级管理人员和员工情况</w:t>
            </w:r>
            <w:r>
              <w:rPr>
                <w:rFonts w:ascii="Times New Roman" w:hAnsi="Times New Roman" w:cs="Times New Roman" w:eastAsia="Times New Roman" w:hint="default"/>
              </w:rPr>
              <w:tab/>
              <w:t>94</w:t>
            </w:r>
          </w:hyperlink>
        </w:p>
        <w:p>
          <w:pPr>
            <w:pStyle w:val="TOC1"/>
            <w:tabs>
              <w:tab w:pos="9782" w:val="right" w:leader="dot"/>
            </w:tabs>
            <w:spacing w:line="240" w:lineRule="auto" w:before="136"/>
            <w:ind w:right="0"/>
            <w:jc w:val="left"/>
            <w:rPr>
              <w:rFonts w:ascii="Times New Roman" w:hAnsi="Times New Roman" w:cs="Times New Roman" w:eastAsia="Times New Roman" w:hint="default"/>
            </w:rPr>
          </w:pPr>
          <w:hyperlink w:history="true" w:anchor="_bookmark7">
            <w:r>
              <w:rPr/>
              <w:t>第九节</w:t>
            </w:r>
            <w:r>
              <w:rPr>
                <w:spacing w:val="-24"/>
              </w:rPr>
              <w:t> </w:t>
            </w:r>
            <w:r>
              <w:rPr/>
              <w:t>公司治理</w:t>
            </w:r>
            <w:r>
              <w:rPr>
                <w:rFonts w:ascii="Times New Roman" w:hAnsi="Times New Roman" w:cs="Times New Roman" w:eastAsia="Times New Roman" w:hint="default"/>
              </w:rPr>
              <w:tab/>
              <w:t>102</w:t>
            </w:r>
          </w:hyperlink>
        </w:p>
        <w:p>
          <w:pPr>
            <w:pStyle w:val="TOC1"/>
            <w:tabs>
              <w:tab w:pos="9782" w:val="right" w:leader="dot"/>
            </w:tabs>
            <w:spacing w:line="240" w:lineRule="auto"/>
            <w:ind w:right="0"/>
            <w:jc w:val="left"/>
            <w:rPr>
              <w:rFonts w:ascii="Times New Roman" w:hAnsi="Times New Roman" w:cs="Times New Roman" w:eastAsia="Times New Roman" w:hint="default"/>
            </w:rPr>
          </w:pPr>
          <w:hyperlink w:history="true" w:anchor="_bookmark8">
            <w:r>
              <w:rPr/>
              <w:t>第十节</w:t>
            </w:r>
            <w:r>
              <w:rPr>
                <w:spacing w:val="-24"/>
              </w:rPr>
              <w:t> </w:t>
            </w:r>
            <w:r>
              <w:rPr/>
              <w:t>公司债券相关情况</w:t>
            </w:r>
            <w:r>
              <w:rPr>
                <w:rFonts w:ascii="Times New Roman" w:hAnsi="Times New Roman" w:cs="Times New Roman" w:eastAsia="Times New Roman" w:hint="default"/>
              </w:rPr>
              <w:tab/>
              <w:t>108</w:t>
            </w:r>
          </w:hyperlink>
        </w:p>
        <w:p>
          <w:pPr>
            <w:pStyle w:val="TOC1"/>
            <w:tabs>
              <w:tab w:pos="9782" w:val="right" w:leader="dot"/>
            </w:tabs>
            <w:spacing w:line="240" w:lineRule="auto"/>
            <w:ind w:right="0"/>
            <w:jc w:val="left"/>
            <w:rPr>
              <w:rFonts w:ascii="Times New Roman" w:hAnsi="Times New Roman" w:cs="Times New Roman" w:eastAsia="Times New Roman" w:hint="default"/>
            </w:rPr>
          </w:pPr>
          <w:hyperlink w:history="true" w:anchor="_bookmark9">
            <w:r>
              <w:rPr/>
              <w:t>第十一节</w:t>
            </w:r>
            <w:r>
              <w:rPr>
                <w:spacing w:val="-24"/>
              </w:rPr>
              <w:t> </w:t>
            </w:r>
            <w:r>
              <w:rPr/>
              <w:t>财务报告</w:t>
            </w:r>
            <w:r>
              <w:rPr>
                <w:rFonts w:ascii="Times New Roman" w:hAnsi="Times New Roman" w:cs="Times New Roman" w:eastAsia="Times New Roman" w:hint="default"/>
              </w:rPr>
              <w:tab/>
              <w:t>109</w:t>
            </w:r>
          </w:hyperlink>
        </w:p>
        <w:p>
          <w:pPr>
            <w:pStyle w:val="TOC1"/>
            <w:tabs>
              <w:tab w:pos="9782" w:val="right" w:leader="dot"/>
            </w:tabs>
            <w:spacing w:line="240" w:lineRule="auto"/>
            <w:ind w:right="0"/>
            <w:jc w:val="left"/>
            <w:rPr>
              <w:rFonts w:ascii="Times New Roman" w:hAnsi="Times New Roman" w:cs="Times New Roman" w:eastAsia="Times New Roman" w:hint="default"/>
            </w:rPr>
          </w:pPr>
          <w:hyperlink w:history="true" w:anchor="_bookmark10">
            <w:r>
              <w:rPr/>
              <w:t>第十二节</w:t>
            </w:r>
            <w:r>
              <w:rPr>
                <w:spacing w:val="-24"/>
              </w:rPr>
              <w:t> </w:t>
            </w:r>
            <w:r>
              <w:rPr/>
              <w:t>备查文件目录</w:t>
            </w:r>
            <w:r>
              <w:rPr>
                <w:rFonts w:ascii="Times New Roman" w:hAnsi="Times New Roman" w:cs="Times New Roman" w:eastAsia="Times New Roman" w:hint="default"/>
              </w:rPr>
              <w:tab/>
              <w:t>222</w:t>
            </w:r>
          </w:hyperlink>
        </w:p>
      </w:sdtContent>
    </w:sdt>
    <w:p>
      <w:pPr>
        <w:spacing w:after="0" w:line="240" w:lineRule="auto"/>
        <w:jc w:val="left"/>
        <w:rPr>
          <w:rFonts w:ascii="Times New Roman" w:hAnsi="Times New Roman" w:cs="Times New Roman" w:eastAsia="Times New Roman" w:hint="default"/>
        </w:rPr>
        <w:sectPr>
          <w:pgSz w:w="11910" w:h="16840"/>
          <w:pgMar w:header="747" w:footer="979" w:top="1060" w:bottom="1160" w:left="980" w:right="0"/>
        </w:sectPr>
      </w:pPr>
    </w:p>
    <w:p>
      <w:pPr>
        <w:spacing w:before="946"/>
        <w:ind w:left="3066" w:right="4042" w:firstLine="0"/>
        <w:jc w:val="center"/>
        <w:rPr>
          <w:rFonts w:ascii="宋体" w:hAnsi="宋体" w:cs="宋体" w:eastAsia="宋体" w:hint="default"/>
          <w:sz w:val="32"/>
          <w:szCs w:val="32"/>
        </w:rPr>
      </w:pPr>
      <w:r>
        <w:rPr>
          <w:rFonts w:ascii="宋体" w:hAnsi="宋体" w:cs="宋体" w:eastAsia="宋体" w:hint="default"/>
          <w:b/>
          <w:bCs/>
          <w:sz w:val="32"/>
          <w:szCs w:val="32"/>
        </w:rPr>
        <w:t>释义</w:t>
      </w:r>
      <w:r>
        <w:rPr>
          <w:rFonts w:ascii="宋体" w:hAnsi="宋体" w:cs="宋体" w:eastAsia="宋体" w:hint="default"/>
          <w:sz w:val="32"/>
          <w:szCs w:val="3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536"/>
        <w:gridCol w:w="598"/>
        <w:gridCol w:w="5436"/>
      </w:tblGrid>
      <w:tr>
        <w:trPr>
          <w:trHeight w:val="402" w:hRule="exact"/>
        </w:trPr>
        <w:tc>
          <w:tcPr>
            <w:tcW w:w="35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0"/>
              <w:jc w:val="center"/>
              <w:rPr>
                <w:rFonts w:ascii="宋体" w:hAnsi="宋体" w:cs="宋体" w:eastAsia="宋体" w:hint="default"/>
                <w:sz w:val="18"/>
                <w:szCs w:val="18"/>
              </w:rPr>
            </w:pPr>
            <w:r>
              <w:rPr>
                <w:rFonts w:ascii="宋体" w:hAnsi="宋体" w:cs="宋体" w:eastAsia="宋体" w:hint="default"/>
                <w:sz w:val="18"/>
                <w:szCs w:val="18"/>
              </w:rPr>
              <w:t>释义项</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 w:right="0"/>
              <w:jc w:val="center"/>
              <w:rPr>
                <w:rFonts w:ascii="宋体" w:hAnsi="宋体" w:cs="宋体" w:eastAsia="宋体" w:hint="default"/>
                <w:sz w:val="18"/>
                <w:szCs w:val="18"/>
              </w:rPr>
            </w:pPr>
            <w:r>
              <w:rPr>
                <w:rFonts w:ascii="宋体" w:hAnsi="宋体" w:cs="宋体" w:eastAsia="宋体" w:hint="default"/>
                <w:sz w:val="18"/>
                <w:szCs w:val="18"/>
              </w:rPr>
              <w:t>释义内容</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公司、本公司、奥拓电子</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深圳市奥拓电子股份有限公司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中国证监会、证监会</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中国证券监督管理委员会</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深圳证监局</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中国证券监督管理委员会深圳监管局</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董事会</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深圳市奥拓电子股份有限公司董事会</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监事会</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深圳市奥拓电子股份有限公司监事会</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股东大会</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深圳市奥拓电子股份有限公司股东大会</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公司章程</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深圳市奥拓电子股份有限公司公司章程</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公司法</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《中华人民共和国公司法》</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证券法</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《中华人民共和国证券法》</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奥拓软件</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深圳市奥拓软件技术有限公司，系本公司控股子公司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奥拓光电</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深圳市奥拓光电科技有限公司，系本公司控股子公司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南京奥拓</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南京奥拓电子科技有限公司，系本公司控股子公司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惠州奥拓</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惠州市奥拓电子科技有限公司，系本公司控股子公司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香港奥拓</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奥拓电子（香港）有限公司，系本公司控股子公司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英国奥拓</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奥拓电子（英国）有限公司，系本公司控股孙公司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前海奥拓</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深圳前海奥拓投资有限公司，系本公司控股子公司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美国奥拓</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奥拓电子（美国）有限责任公司，系本公司控股孙公司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日本奥拓</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奥拓電子日本株式会社，系本公司控股孙公司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北京奥拓</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北京市奥拓电子科技有限公司，系本公司控股子公司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上海翰明</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上海翰明计算机科技有限公司，系本公司控股子公司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南京软件</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南京奥拓软件技术有限公司，系本公司控股孙公司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鹏鼎创盈</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深圳市鹏鼎创盈金融信息服务股份有限公司，系本公司参股公司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奥拓体育发展</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深圳市奥拓体育文化发展有限公司，系本公司控股子公司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奥拓体育投资</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深圳前海奥拓体育文化投资有限公司，系本公司控股孙公司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千百辉</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深圳市千百辉照明工程有限公司，系本公司控股子公司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奥拓立翔</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深圳市奥拓立翔光电科技有限公司，系本公司控股子公司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热炼控股</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深圳市热炼控股有限责任公司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报告期</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元、万元</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人民币元、人民币万元</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宋体" w:hAnsi="宋体" w:cs="宋体" w:eastAsia="宋体" w:hint="default"/>
          <w:b/>
          <w:bCs/>
          <w:sz w:val="20"/>
          <w:szCs w:val="20"/>
        </w:rPr>
      </w:pPr>
      <w:r>
        <w:rPr/>
        <w:pict>
          <v:group style="position:absolute;margin-left:172.339996pt;margin-top:272.779968pt;width:361.5pt;height:19.6pt;mso-position-horizontal-relative:page;mso-position-vertical-relative:page;z-index:-1254496" coordorigin="3447,5456" coordsize="7230,392">
            <v:shape style="position:absolute;left:3447;top:5456;width:7230;height:392" coordorigin="3447,5456" coordsize="7230,392" path="m3447,5847l10676,5847,10676,5456,3447,5456,3447,5847xe" filled="true" fillcolor="#ffffff" stroked="false">
              <v:path arrowok="t"/>
              <v:fill type="solid"/>
            </v:shape>
            <w10:wrap type="none"/>
          </v:group>
        </w:pict>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0"/>
          <w:szCs w:val="20"/>
        </w:rPr>
      </w:pPr>
    </w:p>
    <w:p>
      <w:pPr>
        <w:pStyle w:val="Heading1"/>
        <w:spacing w:line="240" w:lineRule="auto"/>
        <w:ind w:left="2644" w:right="0"/>
        <w:jc w:val="left"/>
        <w:rPr>
          <w:b w:val="0"/>
          <w:bCs w:val="0"/>
        </w:rPr>
      </w:pPr>
      <w:bookmarkStart w:name="第二节 公司简介和主要财务指标" w:id="2"/>
      <w:bookmarkEnd w:id="2"/>
      <w:r>
        <w:rPr>
          <w:b w:val="0"/>
          <w:bCs w:val="0"/>
        </w:rPr>
      </w:r>
      <w:bookmarkStart w:name="_bookmark0" w:id="3"/>
      <w:bookmarkEnd w:id="3"/>
      <w:r>
        <w:rPr>
          <w:b w:val="0"/>
          <w:bCs w:val="0"/>
        </w:rPr>
      </w:r>
      <w:r>
        <w:rPr/>
        <w:t>第二节</w:t>
      </w:r>
      <w:r>
        <w:rPr>
          <w:spacing w:val="-11"/>
        </w:rPr>
        <w:t> </w:t>
      </w:r>
      <w:r>
        <w:rPr/>
        <w:t>公司简介和主要财务指标</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before="26"/>
        <w:ind w:right="0"/>
        <w:jc w:val="left"/>
        <w:rPr>
          <w:b w:val="0"/>
          <w:bCs w:val="0"/>
        </w:rPr>
      </w:pPr>
      <w:bookmarkStart w:name="一、公司信息" w:id="4"/>
      <w:bookmarkEnd w:id="4"/>
      <w:r>
        <w:rPr>
          <w:b w:val="0"/>
          <w:bCs w:val="0"/>
        </w:rPr>
      </w:r>
      <w:r>
        <w:rPr/>
        <w:t>一、公司信息</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2273"/>
        <w:gridCol w:w="2976"/>
        <w:gridCol w:w="2133"/>
        <w:gridCol w:w="2188"/>
      </w:tblGrid>
      <w:tr>
        <w:trPr>
          <w:trHeight w:val="403"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股票简称</w:t>
            </w:r>
          </w:p>
        </w:tc>
        <w:tc>
          <w:tcPr>
            <w:tcW w:w="2976" w:type="dxa"/>
            <w:tcBorders>
              <w:top w:val="single" w:sz="4" w:space="0" w:color="000000"/>
              <w:left w:val="single" w:sz="9" w:space="0" w:color="D2D2D2"/>
              <w:bottom w:val="single" w:sz="4" w:space="0" w:color="000000"/>
              <w:right w:val="single" w:sz="13" w:space="0" w:color="D2D2D2"/>
            </w:tcBorders>
          </w:tcPr>
          <w:p>
            <w:pPr>
              <w:pStyle w:val="TableParagraph"/>
              <w:spacing w:line="240" w:lineRule="auto" w:before="52"/>
              <w:ind w:left="28" w:right="0"/>
              <w:jc w:val="left"/>
              <w:rPr>
                <w:rFonts w:ascii="宋体" w:hAnsi="宋体" w:cs="宋体" w:eastAsia="宋体" w:hint="default"/>
                <w:sz w:val="18"/>
                <w:szCs w:val="18"/>
              </w:rPr>
            </w:pPr>
            <w:r>
              <w:rPr>
                <w:rFonts w:ascii="宋体" w:hAnsi="宋体" w:cs="宋体" w:eastAsia="宋体" w:hint="default"/>
                <w:sz w:val="18"/>
                <w:szCs w:val="18"/>
              </w:rPr>
              <w:t>奥拓电子</w:t>
            </w:r>
          </w:p>
        </w:tc>
        <w:tc>
          <w:tcPr>
            <w:tcW w:w="21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股票代码</w:t>
            </w:r>
          </w:p>
        </w:tc>
        <w:tc>
          <w:tcPr>
            <w:tcW w:w="218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left="27" w:right="0"/>
              <w:jc w:val="left"/>
              <w:rPr>
                <w:rFonts w:ascii="Times New Roman" w:hAnsi="Times New Roman" w:cs="Times New Roman" w:eastAsia="Times New Roman" w:hint="default"/>
                <w:sz w:val="18"/>
                <w:szCs w:val="18"/>
              </w:rPr>
            </w:pPr>
            <w:r>
              <w:rPr>
                <w:rFonts w:ascii="Times New Roman"/>
                <w:sz w:val="18"/>
              </w:rPr>
              <w:t>002587</w:t>
            </w:r>
          </w:p>
        </w:tc>
      </w:tr>
      <w:tr>
        <w:trPr>
          <w:trHeight w:val="401"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股票上市证券交易所</w:t>
            </w:r>
          </w:p>
        </w:tc>
        <w:tc>
          <w:tcPr>
            <w:tcW w:w="7297"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5" w:right="0"/>
              <w:jc w:val="left"/>
              <w:rPr>
                <w:rFonts w:ascii="宋体" w:hAnsi="宋体" w:cs="宋体" w:eastAsia="宋体" w:hint="default"/>
                <w:sz w:val="18"/>
                <w:szCs w:val="18"/>
              </w:rPr>
            </w:pPr>
            <w:r>
              <w:rPr>
                <w:rFonts w:ascii="宋体" w:hAnsi="宋体" w:cs="宋体" w:eastAsia="宋体" w:hint="default"/>
                <w:sz w:val="18"/>
                <w:szCs w:val="18"/>
              </w:rPr>
              <w:t>深圳证券交易所</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公司的中文名称</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52"/>
              <w:ind w:left="28" w:right="0"/>
              <w:jc w:val="left"/>
              <w:rPr>
                <w:rFonts w:ascii="宋体" w:hAnsi="宋体" w:cs="宋体" w:eastAsia="宋体" w:hint="default"/>
                <w:sz w:val="18"/>
                <w:szCs w:val="18"/>
              </w:rPr>
            </w:pPr>
            <w:r>
              <w:rPr>
                <w:rFonts w:ascii="宋体" w:hAnsi="宋体" w:cs="宋体" w:eastAsia="宋体" w:hint="default"/>
                <w:sz w:val="18"/>
                <w:szCs w:val="18"/>
              </w:rPr>
              <w:t>深圳市奥拓电子股份有限公司</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公司的中文简称</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52"/>
              <w:ind w:left="28" w:right="0"/>
              <w:jc w:val="left"/>
              <w:rPr>
                <w:rFonts w:ascii="宋体" w:hAnsi="宋体" w:cs="宋体" w:eastAsia="宋体" w:hint="default"/>
                <w:sz w:val="18"/>
                <w:szCs w:val="18"/>
              </w:rPr>
            </w:pPr>
            <w:r>
              <w:rPr>
                <w:rFonts w:ascii="宋体" w:hAnsi="宋体" w:cs="宋体" w:eastAsia="宋体" w:hint="default"/>
                <w:sz w:val="18"/>
                <w:szCs w:val="18"/>
              </w:rPr>
              <w:t>奥拓电子</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公司的外文名称（如有）</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left="28" w:right="0"/>
              <w:jc w:val="left"/>
              <w:rPr>
                <w:rFonts w:ascii="Times New Roman" w:hAnsi="Times New Roman" w:cs="Times New Roman" w:eastAsia="Times New Roman" w:hint="default"/>
                <w:sz w:val="18"/>
                <w:szCs w:val="18"/>
              </w:rPr>
            </w:pPr>
            <w:r>
              <w:rPr>
                <w:rFonts w:ascii="Times New Roman"/>
                <w:sz w:val="18"/>
              </w:rPr>
              <w:t>SHENZHEN AOTO ELECTRONICS</w:t>
            </w:r>
            <w:r>
              <w:rPr>
                <w:rFonts w:ascii="Times New Roman"/>
                <w:spacing w:val="-13"/>
                <w:sz w:val="18"/>
              </w:rPr>
              <w:t> </w:t>
            </w:r>
            <w:r>
              <w:rPr>
                <w:rFonts w:ascii="Times New Roman"/>
                <w:spacing w:val="-3"/>
                <w:sz w:val="18"/>
              </w:rPr>
              <w:t>CO.,LTD.</w:t>
            </w:r>
          </w:p>
        </w:tc>
      </w:tr>
      <w:tr>
        <w:trPr>
          <w:trHeight w:val="402" w:hRule="exact"/>
        </w:trPr>
        <w:tc>
          <w:tcPr>
            <w:tcW w:w="2273" w:type="dxa"/>
            <w:tcBorders>
              <w:top w:val="single" w:sz="4" w:space="0" w:color="000000"/>
              <w:left w:val="single" w:sz="4" w:space="0" w:color="000000"/>
              <w:bottom w:val="single" w:sz="4" w:space="0" w:color="000000"/>
              <w:right w:val="single" w:sz="13" w:space="0" w:color="FFFFFF"/>
            </w:tcBorders>
            <w:shd w:val="clear" w:color="auto" w:fill="D2D2D2"/>
          </w:tcPr>
          <w:p>
            <w:pPr>
              <w:pStyle w:val="TableParagraph"/>
              <w:spacing w:line="240" w:lineRule="auto" w:before="52"/>
              <w:ind w:left="22" w:right="-58"/>
              <w:jc w:val="left"/>
              <w:rPr>
                <w:rFonts w:ascii="宋体" w:hAnsi="宋体" w:cs="宋体" w:eastAsia="宋体" w:hint="default"/>
                <w:sz w:val="18"/>
                <w:szCs w:val="18"/>
              </w:rPr>
            </w:pPr>
            <w:r>
              <w:rPr>
                <w:rFonts w:ascii="宋体" w:hAnsi="宋体" w:cs="宋体" w:eastAsia="宋体" w:hint="default"/>
                <w:spacing w:val="-5"/>
                <w:sz w:val="18"/>
                <w:szCs w:val="18"/>
              </w:rPr>
              <w:t>公司的外文名称缩写（如有）</w:t>
            </w:r>
            <w:r>
              <w:rPr>
                <w:rFonts w:ascii="宋体" w:hAnsi="宋体" w:cs="宋体" w:eastAsia="宋体" w:hint="default"/>
                <w:sz w:val="18"/>
                <w:szCs w:val="18"/>
              </w:rPr>
            </w:r>
          </w:p>
        </w:tc>
        <w:tc>
          <w:tcPr>
            <w:tcW w:w="7297" w:type="dxa"/>
            <w:gridSpan w:val="3"/>
            <w:tcBorders>
              <w:top w:val="single" w:sz="4" w:space="0" w:color="000000"/>
              <w:left w:val="single" w:sz="23" w:space="0" w:color="FFFFFF"/>
              <w:bottom w:val="single" w:sz="4" w:space="0" w:color="000000"/>
              <w:right w:val="single" w:sz="4" w:space="0" w:color="000000"/>
            </w:tcBorders>
          </w:tcPr>
          <w:p>
            <w:pPr>
              <w:pStyle w:val="TableParagraph"/>
              <w:spacing w:line="240" w:lineRule="auto" w:before="92"/>
              <w:ind w:left="12" w:right="0"/>
              <w:jc w:val="left"/>
              <w:rPr>
                <w:rFonts w:ascii="Times New Roman" w:hAnsi="Times New Roman" w:cs="Times New Roman" w:eastAsia="Times New Roman" w:hint="default"/>
                <w:sz w:val="18"/>
                <w:szCs w:val="18"/>
              </w:rPr>
            </w:pPr>
            <w:r>
              <w:rPr>
                <w:rFonts w:ascii="Times New Roman"/>
                <w:sz w:val="18"/>
              </w:rPr>
              <w:t>AOTO</w:t>
            </w:r>
            <w:r>
              <w:rPr>
                <w:rFonts w:ascii="Times New Roman"/>
                <w:spacing w:val="-8"/>
                <w:sz w:val="18"/>
              </w:rPr>
              <w:t> </w:t>
            </w:r>
            <w:r>
              <w:rPr>
                <w:rFonts w:ascii="Times New Roman"/>
                <w:sz w:val="18"/>
              </w:rPr>
              <w:t>ELECTRONICS</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公司的法定代表人</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52"/>
              <w:ind w:left="28" w:right="0"/>
              <w:jc w:val="left"/>
              <w:rPr>
                <w:rFonts w:ascii="宋体" w:hAnsi="宋体" w:cs="宋体" w:eastAsia="宋体" w:hint="default"/>
                <w:sz w:val="18"/>
                <w:szCs w:val="18"/>
              </w:rPr>
            </w:pPr>
            <w:r>
              <w:rPr>
                <w:rFonts w:ascii="宋体" w:hAnsi="宋体" w:cs="宋体" w:eastAsia="宋体" w:hint="default"/>
                <w:sz w:val="18"/>
                <w:szCs w:val="18"/>
              </w:rPr>
              <w:t>吴涵渠</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注册地址</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52"/>
              <w:ind w:left="28" w:right="0"/>
              <w:jc w:val="left"/>
              <w:rPr>
                <w:rFonts w:ascii="宋体" w:hAnsi="宋体" w:cs="宋体" w:eastAsia="宋体" w:hint="default"/>
                <w:sz w:val="18"/>
                <w:szCs w:val="18"/>
              </w:rPr>
            </w:pPr>
            <w:r>
              <w:rPr>
                <w:rFonts w:ascii="宋体" w:hAnsi="宋体" w:cs="宋体" w:eastAsia="宋体" w:hint="default"/>
                <w:sz w:val="18"/>
                <w:szCs w:val="18"/>
              </w:rPr>
              <w:t>深圳市南山区粤海街道学府路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号高新区联合总部大厦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楼</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注册地址的邮政编码</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left="28" w:right="0"/>
              <w:jc w:val="left"/>
              <w:rPr>
                <w:rFonts w:ascii="Times New Roman" w:hAnsi="Times New Roman" w:cs="Times New Roman" w:eastAsia="Times New Roman" w:hint="default"/>
                <w:sz w:val="18"/>
                <w:szCs w:val="18"/>
              </w:rPr>
            </w:pPr>
            <w:r>
              <w:rPr>
                <w:rFonts w:ascii="Times New Roman"/>
                <w:sz w:val="18"/>
              </w:rPr>
              <w:t>518052</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办公地址</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52"/>
              <w:ind w:left="28" w:right="0"/>
              <w:jc w:val="left"/>
              <w:rPr>
                <w:rFonts w:ascii="宋体" w:hAnsi="宋体" w:cs="宋体" w:eastAsia="宋体" w:hint="default"/>
                <w:sz w:val="18"/>
                <w:szCs w:val="18"/>
              </w:rPr>
            </w:pPr>
            <w:r>
              <w:rPr>
                <w:rFonts w:ascii="宋体" w:hAnsi="宋体" w:cs="宋体" w:eastAsia="宋体" w:hint="default"/>
                <w:sz w:val="18"/>
                <w:szCs w:val="18"/>
              </w:rPr>
              <w:t>深圳市南山区粤海街道学府路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号高新区联合总部大厦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楼</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办公地址的邮政编码</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left="28" w:right="0"/>
              <w:jc w:val="left"/>
              <w:rPr>
                <w:rFonts w:ascii="Times New Roman" w:hAnsi="Times New Roman" w:cs="Times New Roman" w:eastAsia="Times New Roman" w:hint="default"/>
                <w:sz w:val="18"/>
                <w:szCs w:val="18"/>
              </w:rPr>
            </w:pPr>
            <w:r>
              <w:rPr>
                <w:rFonts w:ascii="Times New Roman"/>
                <w:sz w:val="18"/>
              </w:rPr>
              <w:t>518052</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公司网址</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left="28" w:right="0"/>
              <w:jc w:val="left"/>
              <w:rPr>
                <w:rFonts w:ascii="Times New Roman" w:hAnsi="Times New Roman" w:cs="Times New Roman" w:eastAsia="Times New Roman" w:hint="default"/>
                <w:sz w:val="18"/>
                <w:szCs w:val="18"/>
              </w:rPr>
            </w:pPr>
            <w:hyperlink r:id="rId9">
              <w:r>
                <w:rPr>
                  <w:rFonts w:ascii="Times New Roman"/>
                  <w:sz w:val="18"/>
                </w:rPr>
                <w:t>http://www.aoto.com</w:t>
              </w:r>
            </w:hyperlink>
          </w:p>
        </w:tc>
      </w:tr>
      <w:tr>
        <w:trPr>
          <w:trHeight w:val="404"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left="28" w:right="0"/>
              <w:jc w:val="left"/>
              <w:rPr>
                <w:rFonts w:ascii="Times New Roman" w:hAnsi="Times New Roman" w:cs="Times New Roman" w:eastAsia="Times New Roman" w:hint="default"/>
                <w:sz w:val="18"/>
                <w:szCs w:val="18"/>
              </w:rPr>
            </w:pPr>
            <w:hyperlink r:id="rId10">
              <w:r>
                <w:rPr>
                  <w:rFonts w:ascii="Times New Roman"/>
                  <w:sz w:val="18"/>
                </w:rPr>
                <w:t>szaoto@aoto.com</w:t>
              </w:r>
            </w:hyperlink>
          </w:p>
        </w:tc>
      </w:tr>
    </w:tbl>
    <w:p>
      <w:pPr>
        <w:spacing w:line="240" w:lineRule="auto" w:before="2"/>
        <w:rPr>
          <w:rFonts w:ascii="宋体" w:hAnsi="宋体" w:cs="宋体" w:eastAsia="宋体" w:hint="default"/>
          <w:b/>
          <w:bCs/>
          <w:sz w:val="18"/>
          <w:szCs w:val="18"/>
        </w:rPr>
      </w:pPr>
    </w:p>
    <w:p>
      <w:pPr>
        <w:pStyle w:val="Heading2"/>
        <w:spacing w:line="240" w:lineRule="auto" w:before="26"/>
        <w:ind w:left="154" w:right="0"/>
        <w:jc w:val="left"/>
        <w:rPr>
          <w:b w:val="0"/>
          <w:bCs w:val="0"/>
        </w:rPr>
      </w:pPr>
      <w:bookmarkStart w:name="二、联系人和联系方式" w:id="5"/>
      <w:bookmarkEnd w:id="5"/>
      <w:r>
        <w:rPr>
          <w:b w:val="0"/>
          <w:bCs w:val="0"/>
        </w:rPr>
      </w:r>
      <w:r>
        <w:rPr/>
        <w:t>二、联系人和联系方式</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董事会秘书</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50" w:right="0"/>
              <w:jc w:val="left"/>
              <w:rPr>
                <w:rFonts w:ascii="宋体" w:hAnsi="宋体" w:cs="宋体" w:eastAsia="宋体" w:hint="default"/>
                <w:sz w:val="18"/>
                <w:szCs w:val="18"/>
              </w:rPr>
            </w:pPr>
            <w:r>
              <w:rPr>
                <w:rFonts w:ascii="宋体" w:hAnsi="宋体" w:cs="宋体" w:eastAsia="宋体" w:hint="default"/>
                <w:sz w:val="18"/>
                <w:szCs w:val="18"/>
              </w:rPr>
              <w:t>证券事务代表</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31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10" w:right="0"/>
              <w:jc w:val="left"/>
              <w:rPr>
                <w:rFonts w:ascii="宋体" w:hAnsi="宋体" w:cs="宋体" w:eastAsia="宋体" w:hint="default"/>
                <w:sz w:val="18"/>
                <w:szCs w:val="18"/>
              </w:rPr>
            </w:pPr>
            <w:r>
              <w:rPr>
                <w:rFonts w:ascii="宋体" w:hAnsi="宋体" w:cs="宋体" w:eastAsia="宋体" w:hint="default"/>
                <w:sz w:val="18"/>
                <w:szCs w:val="18"/>
              </w:rPr>
              <w:t>孔德建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朱嘉文</w:t>
            </w:r>
          </w:p>
        </w:tc>
      </w:tr>
      <w:tr>
        <w:trPr>
          <w:trHeight w:val="161" w:hRule="exact"/>
        </w:trPr>
        <w:tc>
          <w:tcPr>
            <w:tcW w:w="3190" w:type="dxa"/>
            <w:tcBorders>
              <w:top w:val="single" w:sz="4" w:space="0" w:color="000000"/>
              <w:left w:val="single" w:sz="4" w:space="0" w:color="000000"/>
              <w:bottom w:val="nil" w:sz="6" w:space="0" w:color="auto"/>
              <w:right w:val="single" w:sz="4" w:space="0" w:color="000000"/>
            </w:tcBorders>
            <w:shd w:val="clear" w:color="auto" w:fill="D2D2D2"/>
          </w:tcPr>
          <w:p>
            <w:pPr/>
          </w:p>
        </w:tc>
        <w:tc>
          <w:tcPr>
            <w:tcW w:w="3190" w:type="dxa"/>
            <w:vMerge w:val="restart"/>
            <w:tcBorders>
              <w:top w:val="single" w:sz="4" w:space="0" w:color="000000"/>
              <w:left w:val="single" w:sz="9" w:space="0" w:color="D2D2D2"/>
              <w:right w:val="single" w:sz="4" w:space="0" w:color="000000"/>
            </w:tcBorders>
          </w:tcPr>
          <w:p>
            <w:pPr>
              <w:pStyle w:val="TableParagraph"/>
              <w:spacing w:line="240" w:lineRule="auto" w:before="51"/>
              <w:ind w:left="16" w:right="0"/>
              <w:jc w:val="left"/>
              <w:rPr>
                <w:rFonts w:ascii="宋体" w:hAnsi="宋体" w:cs="宋体" w:eastAsia="宋体" w:hint="default"/>
                <w:sz w:val="18"/>
                <w:szCs w:val="18"/>
              </w:rPr>
            </w:pPr>
            <w:r>
              <w:rPr>
                <w:rFonts w:ascii="宋体" w:hAnsi="宋体" w:cs="宋体" w:eastAsia="宋体" w:hint="default"/>
                <w:sz w:val="18"/>
                <w:szCs w:val="18"/>
              </w:rPr>
              <w:t>深圳市南山区粤海街道学府路</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63</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号高新</w:t>
            </w:r>
          </w:p>
          <w:p>
            <w:pPr>
              <w:pStyle w:val="TableParagraph"/>
              <w:spacing w:line="240" w:lineRule="auto" w:before="63"/>
              <w:ind w:left="16" w:right="0"/>
              <w:jc w:val="left"/>
              <w:rPr>
                <w:rFonts w:ascii="宋体" w:hAnsi="宋体" w:cs="宋体" w:eastAsia="宋体" w:hint="default"/>
                <w:sz w:val="18"/>
                <w:szCs w:val="18"/>
              </w:rPr>
            </w:pPr>
            <w:r>
              <w:rPr>
                <w:rFonts w:ascii="宋体" w:hAnsi="宋体" w:cs="宋体" w:eastAsia="宋体" w:hint="default"/>
                <w:sz w:val="18"/>
                <w:szCs w:val="18"/>
              </w:rPr>
              <w:t>区联合总部大厦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楼</w:t>
            </w:r>
          </w:p>
        </w:tc>
        <w:tc>
          <w:tcPr>
            <w:tcW w:w="3190" w:type="dxa"/>
            <w:vMerge w:val="restart"/>
            <w:tcBorders>
              <w:top w:val="single" w:sz="4" w:space="0" w:color="000000"/>
              <w:left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深圳市南山区粤海街道学府路</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63</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号高新</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区联合总部大厦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楼</w:t>
            </w:r>
          </w:p>
        </w:tc>
      </w:tr>
      <w:tr>
        <w:trPr>
          <w:trHeight w:val="392" w:hRule="exact"/>
        </w:trPr>
        <w:tc>
          <w:tcPr>
            <w:tcW w:w="319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联系地址</w:t>
            </w:r>
          </w:p>
        </w:tc>
        <w:tc>
          <w:tcPr>
            <w:tcW w:w="3190" w:type="dxa"/>
            <w:vMerge/>
            <w:tcBorders>
              <w:left w:val="single" w:sz="9" w:space="0" w:color="D2D2D2"/>
              <w:right w:val="single" w:sz="4" w:space="0" w:color="000000"/>
            </w:tcBorders>
          </w:tcPr>
          <w:p>
            <w:pPr/>
          </w:p>
        </w:tc>
        <w:tc>
          <w:tcPr>
            <w:tcW w:w="3190" w:type="dxa"/>
            <w:vMerge/>
            <w:tcBorders>
              <w:left w:val="single" w:sz="4" w:space="0" w:color="000000"/>
              <w:right w:val="single" w:sz="4" w:space="0" w:color="000000"/>
            </w:tcBorders>
          </w:tcPr>
          <w:p>
            <w:pPr/>
          </w:p>
        </w:tc>
      </w:tr>
      <w:tr>
        <w:trPr>
          <w:trHeight w:val="161" w:hRule="exact"/>
        </w:trPr>
        <w:tc>
          <w:tcPr>
            <w:tcW w:w="3190" w:type="dxa"/>
            <w:tcBorders>
              <w:top w:val="nil" w:sz="6" w:space="0" w:color="auto"/>
              <w:left w:val="single" w:sz="4" w:space="0" w:color="000000"/>
              <w:bottom w:val="single" w:sz="4" w:space="0" w:color="000000"/>
              <w:right w:val="single" w:sz="4" w:space="0" w:color="000000"/>
            </w:tcBorders>
            <w:shd w:val="clear" w:color="auto" w:fill="D2D2D2"/>
          </w:tcPr>
          <w:p>
            <w:pPr/>
          </w:p>
        </w:tc>
        <w:tc>
          <w:tcPr>
            <w:tcW w:w="3190" w:type="dxa"/>
            <w:vMerge/>
            <w:tcBorders>
              <w:left w:val="single" w:sz="9" w:space="0" w:color="D2D2D2"/>
              <w:bottom w:val="single" w:sz="4" w:space="0" w:color="000000"/>
              <w:right w:val="single" w:sz="4" w:space="0" w:color="000000"/>
            </w:tcBorders>
          </w:tcPr>
          <w:p>
            <w:pPr/>
          </w:p>
        </w:tc>
        <w:tc>
          <w:tcPr>
            <w:tcW w:w="3190" w:type="dxa"/>
            <w:vMerge/>
            <w:tcBorders>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电话</w:t>
            </w:r>
          </w:p>
        </w:tc>
        <w:tc>
          <w:tcPr>
            <w:tcW w:w="31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10" w:right="0"/>
              <w:jc w:val="left"/>
              <w:rPr>
                <w:rFonts w:ascii="Times New Roman" w:hAnsi="Times New Roman" w:cs="Times New Roman" w:eastAsia="Times New Roman" w:hint="default"/>
                <w:sz w:val="18"/>
                <w:szCs w:val="18"/>
              </w:rPr>
            </w:pPr>
            <w:r>
              <w:rPr>
                <w:rFonts w:ascii="Times New Roman"/>
                <w:sz w:val="18"/>
              </w:rPr>
              <w:t>0755-26719889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0755-26719889</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传真</w:t>
            </w:r>
          </w:p>
        </w:tc>
        <w:tc>
          <w:tcPr>
            <w:tcW w:w="31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10" w:right="0"/>
              <w:jc w:val="left"/>
              <w:rPr>
                <w:rFonts w:ascii="Times New Roman" w:hAnsi="Times New Roman" w:cs="Times New Roman" w:eastAsia="Times New Roman" w:hint="default"/>
                <w:sz w:val="18"/>
                <w:szCs w:val="18"/>
              </w:rPr>
            </w:pPr>
            <w:r>
              <w:rPr>
                <w:rFonts w:ascii="Times New Roman"/>
                <w:sz w:val="18"/>
              </w:rPr>
              <w:t>0755-26719890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0755-26719890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31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10" w:right="0"/>
              <w:jc w:val="left"/>
              <w:rPr>
                <w:rFonts w:ascii="Times New Roman" w:hAnsi="Times New Roman" w:cs="Times New Roman" w:eastAsia="Times New Roman" w:hint="default"/>
                <w:sz w:val="18"/>
                <w:szCs w:val="18"/>
              </w:rPr>
            </w:pPr>
            <w:hyperlink r:id="rId11">
              <w:r>
                <w:rPr>
                  <w:rFonts w:ascii="Times New Roman"/>
                  <w:sz w:val="18"/>
                </w:rPr>
                <w:t>kongdj@aoto.com</w:t>
              </w:r>
            </w:hyperlink>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hyperlink r:id="rId12">
              <w:r>
                <w:rPr>
                  <w:rFonts w:ascii="Times New Roman"/>
                  <w:sz w:val="18"/>
                </w:rPr>
                <w:t>zhujw@aoto.com</w:t>
              </w:r>
            </w:hyperlink>
          </w:p>
        </w:tc>
      </w:tr>
    </w:tbl>
    <w:p>
      <w:pPr>
        <w:spacing w:line="240" w:lineRule="auto" w:before="2"/>
        <w:rPr>
          <w:rFonts w:ascii="宋体" w:hAnsi="宋体" w:cs="宋体" w:eastAsia="宋体" w:hint="default"/>
          <w:b/>
          <w:bCs/>
          <w:sz w:val="18"/>
          <w:szCs w:val="18"/>
        </w:rPr>
      </w:pPr>
    </w:p>
    <w:p>
      <w:pPr>
        <w:pStyle w:val="Heading2"/>
        <w:spacing w:line="240" w:lineRule="auto" w:before="26"/>
        <w:ind w:left="154" w:right="0"/>
        <w:jc w:val="left"/>
        <w:rPr>
          <w:b w:val="0"/>
          <w:bCs w:val="0"/>
        </w:rPr>
      </w:pPr>
      <w:bookmarkStart w:name="三、信息披露及备置地点" w:id="6"/>
      <w:bookmarkEnd w:id="6"/>
      <w:r>
        <w:rPr>
          <w:b w:val="0"/>
          <w:bCs w:val="0"/>
        </w:rPr>
      </w:r>
      <w:r>
        <w:rPr/>
        <w:t>三、信息披露及备置地点</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993"/>
        <w:gridCol w:w="5576"/>
      </w:tblGrid>
      <w:tr>
        <w:trPr>
          <w:trHeight w:val="402" w:hRule="exact"/>
        </w:trPr>
        <w:tc>
          <w:tcPr>
            <w:tcW w:w="39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公司选定的信息披露媒体的名称</w:t>
            </w:r>
          </w:p>
        </w:tc>
        <w:tc>
          <w:tcPr>
            <w:tcW w:w="5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402" w:hRule="exact"/>
        </w:trPr>
        <w:tc>
          <w:tcPr>
            <w:tcW w:w="39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登载年度报告的中国证监会指定网站的网址</w:t>
            </w:r>
          </w:p>
        </w:tc>
        <w:tc>
          <w:tcPr>
            <w:tcW w:w="5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hyperlink r:id="rId13">
              <w:r>
                <w:rPr>
                  <w:rFonts w:ascii="Times New Roman"/>
                  <w:sz w:val="18"/>
                </w:rPr>
                <w:t>http://www.cninfo.com.cn</w:t>
              </w:r>
            </w:hyperlink>
          </w:p>
        </w:tc>
      </w:tr>
      <w:tr>
        <w:trPr>
          <w:trHeight w:val="402" w:hRule="exact"/>
        </w:trPr>
        <w:tc>
          <w:tcPr>
            <w:tcW w:w="39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公司年度报告备置地点</w:t>
            </w:r>
          </w:p>
        </w:tc>
        <w:tc>
          <w:tcPr>
            <w:tcW w:w="5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公司董事会办公室、深圳证券交易所</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9"/>
        <w:rPr>
          <w:rFonts w:ascii="宋体" w:hAnsi="宋体" w:cs="宋体" w:eastAsia="宋体" w:hint="default"/>
          <w:b/>
          <w:bCs/>
          <w:sz w:val="23"/>
          <w:szCs w:val="23"/>
        </w:rPr>
      </w:pPr>
    </w:p>
    <w:p>
      <w:pPr>
        <w:pStyle w:val="Heading2"/>
        <w:spacing w:line="240" w:lineRule="auto" w:before="26"/>
        <w:ind w:right="0"/>
        <w:jc w:val="left"/>
        <w:rPr>
          <w:b w:val="0"/>
          <w:bCs w:val="0"/>
        </w:rPr>
      </w:pPr>
      <w:bookmarkStart w:name="四、注册变更情况" w:id="7"/>
      <w:bookmarkEnd w:id="7"/>
      <w:r>
        <w:rPr>
          <w:b w:val="0"/>
          <w:bCs w:val="0"/>
        </w:rPr>
      </w:r>
      <w:r>
        <w:rPr/>
        <w:t>四、注册变更情况</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190"/>
        <w:gridCol w:w="6379"/>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组织机构代码</w:t>
            </w:r>
          </w:p>
        </w:tc>
        <w:tc>
          <w:tcPr>
            <w:tcW w:w="6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914403001922261931</w:t>
            </w:r>
          </w:p>
        </w:tc>
      </w:tr>
      <w:tr>
        <w:trPr>
          <w:trHeight w:val="714"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95"/>
              <w:jc w:val="left"/>
              <w:rPr>
                <w:rFonts w:ascii="宋体" w:hAnsi="宋体" w:cs="宋体" w:eastAsia="宋体" w:hint="default"/>
                <w:sz w:val="18"/>
                <w:szCs w:val="18"/>
              </w:rPr>
            </w:pPr>
            <w:r>
              <w:rPr>
                <w:rFonts w:ascii="宋体" w:hAnsi="宋体" w:cs="宋体" w:eastAsia="宋体" w:hint="default"/>
                <w:sz w:val="18"/>
                <w:szCs w:val="18"/>
              </w:rPr>
              <w:t>公司上市以来主营业务的变化情况（如 有）</w:t>
            </w:r>
          </w:p>
        </w:tc>
        <w:tc>
          <w:tcPr>
            <w:tcW w:w="6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增加广告业务。</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历次控股股东的变更情况（如有）</w:t>
            </w:r>
          </w:p>
        </w:tc>
        <w:tc>
          <w:tcPr>
            <w:tcW w:w="6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无变更。</w:t>
            </w:r>
          </w:p>
        </w:tc>
      </w:tr>
    </w:tbl>
    <w:p>
      <w:pPr>
        <w:spacing w:line="240" w:lineRule="auto" w:before="2"/>
        <w:rPr>
          <w:rFonts w:ascii="宋体" w:hAnsi="宋体" w:cs="宋体" w:eastAsia="宋体" w:hint="default"/>
          <w:b/>
          <w:bCs/>
          <w:sz w:val="18"/>
          <w:szCs w:val="18"/>
        </w:rPr>
      </w:pPr>
    </w:p>
    <w:p>
      <w:pPr>
        <w:pStyle w:val="Heading2"/>
        <w:spacing w:line="240" w:lineRule="auto" w:before="26"/>
        <w:ind w:left="154" w:right="0"/>
        <w:jc w:val="left"/>
        <w:rPr>
          <w:b w:val="0"/>
          <w:bCs w:val="0"/>
        </w:rPr>
      </w:pPr>
      <w:bookmarkStart w:name="五、其他有关资料" w:id="8"/>
      <w:bookmarkEnd w:id="8"/>
      <w:r>
        <w:rPr>
          <w:b w:val="0"/>
          <w:bCs w:val="0"/>
        </w:rPr>
      </w:r>
      <w:r>
        <w:rPr/>
        <w:t>五、其他有关资料</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公司聘请的会计师事务所</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662"/>
        <w:gridCol w:w="6907"/>
      </w:tblGrid>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会计师事务所名称</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瑞华会计师事务所（特殊普通合伙）</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会计师事务所办公地址</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北京市东城区永定门西滨河路</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号院</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号楼中海地产广场西塔</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层</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签字会计师姓名</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刘仁芝、张丽</w:t>
            </w:r>
          </w:p>
        </w:tc>
      </w:tr>
    </w:tbl>
    <w:p>
      <w:pPr>
        <w:pStyle w:val="BodyText"/>
        <w:spacing w:line="240" w:lineRule="auto" w:before="51"/>
        <w:ind w:left="154" w:right="0"/>
        <w:jc w:val="left"/>
      </w:pPr>
      <w:r>
        <w:rPr/>
        <w:t>公司聘请的报告期内履行持续督导职责的保荐机构</w:t>
      </w:r>
    </w:p>
    <w:p>
      <w:pPr>
        <w:pStyle w:val="BodyText"/>
        <w:spacing w:line="338" w:lineRule="auto" w:before="117"/>
        <w:ind w:right="679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公司聘请的报告期内履行持续督导职责的财务顾问</w:t>
      </w:r>
    </w:p>
    <w:p>
      <w:pPr>
        <w:pStyle w:val="BodyText"/>
        <w:spacing w:line="240" w:lineRule="auto" w:before="42"/>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0"/>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0" w:right="0"/>
              <w:jc w:val="left"/>
              <w:rPr>
                <w:rFonts w:ascii="宋体" w:hAnsi="宋体" w:cs="宋体" w:eastAsia="宋体" w:hint="default"/>
                <w:sz w:val="18"/>
                <w:szCs w:val="18"/>
              </w:rPr>
            </w:pPr>
            <w:r>
              <w:rPr>
                <w:rFonts w:ascii="宋体" w:hAnsi="宋体" w:cs="宋体" w:eastAsia="宋体" w:hint="default"/>
                <w:sz w:val="18"/>
                <w:szCs w:val="18"/>
              </w:rPr>
              <w:t>财务顾问名称</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71" w:right="0"/>
              <w:jc w:val="left"/>
              <w:rPr>
                <w:rFonts w:ascii="宋体" w:hAnsi="宋体" w:cs="宋体" w:eastAsia="宋体" w:hint="default"/>
                <w:sz w:val="18"/>
                <w:szCs w:val="18"/>
              </w:rPr>
            </w:pPr>
            <w:r>
              <w:rPr>
                <w:rFonts w:ascii="宋体" w:hAnsi="宋体" w:cs="宋体" w:eastAsia="宋体" w:hint="default"/>
                <w:sz w:val="18"/>
                <w:szCs w:val="18"/>
              </w:rPr>
              <w:t>财务顾问办公地址</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0" w:right="0"/>
              <w:jc w:val="left"/>
              <w:rPr>
                <w:rFonts w:ascii="宋体" w:hAnsi="宋体" w:cs="宋体" w:eastAsia="宋体" w:hint="default"/>
                <w:sz w:val="18"/>
                <w:szCs w:val="18"/>
              </w:rPr>
            </w:pPr>
            <w:r>
              <w:rPr>
                <w:rFonts w:ascii="宋体" w:hAnsi="宋体" w:cs="宋体" w:eastAsia="宋体" w:hint="default"/>
                <w:sz w:val="18"/>
                <w:szCs w:val="18"/>
              </w:rPr>
              <w:t>财务顾问主办人姓名</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0" w:right="0"/>
              <w:jc w:val="left"/>
              <w:rPr>
                <w:rFonts w:ascii="宋体" w:hAnsi="宋体" w:cs="宋体" w:eastAsia="宋体" w:hint="default"/>
                <w:sz w:val="18"/>
                <w:szCs w:val="18"/>
              </w:rPr>
            </w:pPr>
            <w:r>
              <w:rPr>
                <w:rFonts w:ascii="宋体" w:hAnsi="宋体" w:cs="宋体" w:eastAsia="宋体" w:hint="default"/>
                <w:sz w:val="18"/>
                <w:szCs w:val="18"/>
              </w:rPr>
              <w:t>持续督导期间</w:t>
            </w:r>
          </w:p>
        </w:tc>
      </w:tr>
      <w:tr>
        <w:trPr>
          <w:trHeight w:val="1026"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广发证券股份有限公司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3" w:right="138"/>
              <w:jc w:val="both"/>
              <w:rPr>
                <w:rFonts w:ascii="宋体" w:hAnsi="宋体" w:cs="宋体" w:eastAsia="宋体" w:hint="default"/>
                <w:sz w:val="18"/>
                <w:szCs w:val="18"/>
              </w:rPr>
            </w:pPr>
            <w:r>
              <w:rPr>
                <w:rFonts w:ascii="宋体" w:hAnsi="宋体" w:cs="宋体" w:eastAsia="宋体" w:hint="default"/>
                <w:sz w:val="18"/>
                <w:szCs w:val="18"/>
              </w:rPr>
              <w:t>广东省广州市天河区天河北 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183-187 </w:t>
            </w:r>
            <w:r>
              <w:rPr>
                <w:rFonts w:ascii="宋体" w:hAnsi="宋体" w:cs="宋体" w:eastAsia="宋体" w:hint="default"/>
                <w:sz w:val="18"/>
                <w:szCs w:val="18"/>
              </w:rPr>
              <w:t>号大都会广场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43 </w:t>
            </w:r>
            <w:r>
              <w:rPr>
                <w:rFonts w:ascii="宋体" w:hAnsi="宋体" w:cs="宋体" w:eastAsia="宋体" w:hint="default"/>
                <w:sz w:val="18"/>
                <w:szCs w:val="18"/>
              </w:rPr>
              <w:t>楼（</w:t>
            </w:r>
            <w:r>
              <w:rPr>
                <w:rFonts w:ascii="Times New Roman" w:hAnsi="Times New Roman" w:cs="Times New Roman" w:eastAsia="Times New Roman" w:hint="default"/>
                <w:sz w:val="18"/>
                <w:szCs w:val="18"/>
              </w:rPr>
              <w:t>4301-4316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房）</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沈杰、胡方兴、汪柯</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2" w:right="20"/>
              <w:jc w:val="left"/>
              <w:rPr>
                <w:rFonts w:ascii="宋体" w:hAnsi="宋体" w:cs="宋体" w:eastAsia="宋体" w:hint="default"/>
                <w:sz w:val="18"/>
                <w:szCs w:val="18"/>
              </w:rPr>
            </w:pPr>
            <w:r>
              <w:rPr>
                <w:rFonts w:ascii="宋体" w:hAnsi="宋体" w:cs="宋体" w:eastAsia="宋体" w:hint="default"/>
                <w:sz w:val="18"/>
                <w:szCs w:val="18"/>
              </w:rPr>
              <w:t>自公司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年重大资产重组 实施完毕之日起，应当不少于 一个会计年度</w:t>
            </w:r>
          </w:p>
        </w:tc>
      </w:tr>
    </w:tbl>
    <w:p>
      <w:pPr>
        <w:spacing w:line="240" w:lineRule="auto" w:before="2"/>
        <w:rPr>
          <w:rFonts w:ascii="宋体" w:hAnsi="宋体" w:cs="宋体" w:eastAsia="宋体" w:hint="default"/>
          <w:sz w:val="18"/>
          <w:szCs w:val="18"/>
        </w:rPr>
      </w:pPr>
    </w:p>
    <w:p>
      <w:pPr>
        <w:pStyle w:val="Heading2"/>
        <w:spacing w:line="240" w:lineRule="auto" w:before="26"/>
        <w:ind w:left="154" w:right="0"/>
        <w:jc w:val="left"/>
        <w:rPr>
          <w:b w:val="0"/>
          <w:bCs w:val="0"/>
        </w:rPr>
      </w:pPr>
      <w:bookmarkStart w:name="六、主要会计数据和财务指标" w:id="9"/>
      <w:bookmarkEnd w:id="9"/>
      <w:r>
        <w:rPr>
          <w:b w:val="0"/>
          <w:bCs w:val="0"/>
        </w:rPr>
      </w:r>
      <w:r>
        <w:rPr/>
        <w:t>六、主要会计数据和财务指标</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公司是否需追溯调整或重述以前年度会计数据</w:t>
      </w:r>
    </w:p>
    <w:p>
      <w:pPr>
        <w:pStyle w:val="BodyText"/>
        <w:spacing w:line="240" w:lineRule="auto" w:before="117"/>
        <w:ind w:right="0"/>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否</w:t>
      </w:r>
    </w:p>
    <w:p>
      <w:pPr>
        <w:spacing w:line="240" w:lineRule="auto" w:before="12"/>
        <w:rPr>
          <w:rFonts w:ascii="宋体" w:hAnsi="宋体" w:cs="宋体" w:eastAsia="宋体" w:hint="default"/>
          <w:sz w:val="6"/>
          <w:szCs w:val="6"/>
        </w:rPr>
      </w:pPr>
    </w:p>
    <w:tbl>
      <w:tblPr>
        <w:tblW w:w="0" w:type="auto"/>
        <w:jc w:val="left"/>
        <w:tblInd w:w="160" w:type="dxa"/>
        <w:tblLayout w:type="fixed"/>
        <w:tblCellMar>
          <w:top w:w="0" w:type="dxa"/>
          <w:left w:w="0" w:type="dxa"/>
          <w:bottom w:w="0" w:type="dxa"/>
          <w:right w:w="0" w:type="dxa"/>
        </w:tblCellMar>
        <w:tblLook w:val="01E0"/>
      </w:tblPr>
      <w:tblGrid>
        <w:gridCol w:w="2598"/>
        <w:gridCol w:w="1751"/>
        <w:gridCol w:w="1736"/>
        <w:gridCol w:w="1738"/>
        <w:gridCol w:w="1735"/>
      </w:tblGrid>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2" w:right="0"/>
              <w:jc w:val="left"/>
              <w:rPr>
                <w:rFonts w:ascii="宋体" w:hAnsi="宋体" w:cs="宋体" w:eastAsia="宋体" w:hint="default"/>
                <w:sz w:val="18"/>
                <w:szCs w:val="18"/>
              </w:rPr>
            </w:pPr>
            <w:r>
              <w:rPr>
                <w:rFonts w:ascii="宋体" w:hAnsi="宋体" w:cs="宋体" w:eastAsia="宋体" w:hint="default"/>
                <w:sz w:val="18"/>
                <w:szCs w:val="18"/>
              </w:rPr>
              <w:t>本年比上年增减</w:t>
            </w:r>
          </w:p>
        </w:tc>
        <w:tc>
          <w:tcPr>
            <w:tcW w:w="1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7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营业收入（元）</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1,041,124,027.40</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457,079,739.05</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127.78%</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293,167,343.03</w:t>
            </w:r>
          </w:p>
        </w:tc>
      </w:tr>
      <w:tr>
        <w:trPr>
          <w:trHeight w:val="714"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p>
            <w:pPr>
              <w:pStyle w:val="TableParagraph"/>
              <w:spacing w:line="240" w:lineRule="auto" w:before="77"/>
              <w:ind w:left="11"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132,014,114.22</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86,282,371.38</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53.00%</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21,416,141.79</w:t>
            </w:r>
          </w:p>
        </w:tc>
      </w:tr>
      <w:tr>
        <w:trPr>
          <w:trHeight w:val="714"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55"/>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 常性损益的净利润（元）</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116,852,786.00</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73,100,781.90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59.85%</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15,343,483.38</w:t>
            </w:r>
          </w:p>
        </w:tc>
      </w:tr>
      <w:tr>
        <w:trPr>
          <w:trHeight w:val="714"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p>
            <w:pPr>
              <w:pStyle w:val="TableParagraph"/>
              <w:spacing w:line="240" w:lineRule="auto" w:before="77"/>
              <w:ind w:left="11"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9,357,006.37</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152,449,437.47</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-93.86%</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-56,364,918.64</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0.22</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0.15</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46.67%</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0.06</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0.22</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0.15</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46.67%</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0.06</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12.32%</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13.88%</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-1.56%</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3.56%</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1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8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3"/>
              <w:jc w:val="right"/>
              <w:rPr>
                <w:rFonts w:ascii="宋体" w:hAnsi="宋体" w:cs="宋体" w:eastAsia="宋体" w:hint="default"/>
                <w:sz w:val="18"/>
                <w:szCs w:val="18"/>
              </w:rPr>
            </w:pPr>
            <w:r>
              <w:rPr>
                <w:rFonts w:ascii="宋体" w:hAnsi="宋体" w:cs="宋体" w:eastAsia="宋体" w:hint="default"/>
                <w:sz w:val="18"/>
                <w:szCs w:val="18"/>
              </w:rPr>
              <w:t>本年末比上年末增减</w:t>
            </w:r>
          </w:p>
        </w:tc>
        <w:tc>
          <w:tcPr>
            <w:tcW w:w="1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8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2621"/>
        <w:gridCol w:w="1739"/>
        <w:gridCol w:w="1736"/>
        <w:gridCol w:w="1738"/>
        <w:gridCol w:w="1735"/>
      </w:tblGrid>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总资产（元）</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1,793,471,564.87</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1,263,249,944.80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41.97%</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700,260,048.89</w:t>
            </w:r>
          </w:p>
        </w:tc>
      </w:tr>
      <w:tr>
        <w:trPr>
          <w:trHeight w:val="714"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归属于上市公司股东的净资产</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1,142,252,490.73</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895,226,045.18</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27.59%</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588,030,077.84</w:t>
            </w:r>
          </w:p>
        </w:tc>
      </w:tr>
    </w:tbl>
    <w:p>
      <w:pPr>
        <w:spacing w:line="240" w:lineRule="auto" w:before="2"/>
        <w:rPr>
          <w:rFonts w:ascii="宋体" w:hAnsi="宋体" w:cs="宋体" w:eastAsia="宋体" w:hint="default"/>
          <w:sz w:val="18"/>
          <w:szCs w:val="18"/>
        </w:rPr>
      </w:pPr>
    </w:p>
    <w:p>
      <w:pPr>
        <w:pStyle w:val="Heading2"/>
        <w:spacing w:line="240" w:lineRule="auto" w:before="26"/>
        <w:ind w:left="154" w:right="0"/>
        <w:jc w:val="left"/>
        <w:rPr>
          <w:b w:val="0"/>
          <w:bCs w:val="0"/>
        </w:rPr>
      </w:pPr>
      <w:bookmarkStart w:name="七、境内外会计准则下会计数据差异" w:id="10"/>
      <w:bookmarkEnd w:id="10"/>
      <w:r>
        <w:rPr>
          <w:b w:val="0"/>
          <w:bCs w:val="0"/>
        </w:rPr>
      </w:r>
      <w:r>
        <w:rPr/>
        <w:t>七、境内外会计准则下会计数据差异</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53" w:right="0"/>
        <w:jc w:val="left"/>
        <w:rPr>
          <w:b w:val="0"/>
          <w:bCs w:val="0"/>
        </w:rPr>
      </w:pPr>
      <w:bookmarkStart w:name="1、同时按照国际会计准则与按照中国会计准则披露的财务报告中净利润和净资产差异情况" w:id="11"/>
      <w:bookmarkEnd w:id="11"/>
      <w:r>
        <w:rPr>
          <w:b w:val="0"/>
          <w:bCs w:val="0"/>
        </w:rPr>
      </w:r>
      <w:r>
        <w:rPr>
          <w:rFonts w:ascii="Times New Roman" w:hAnsi="Times New Roman" w:cs="Times New Roman" w:eastAsia="Times New Roman" w:hint="default"/>
        </w:rPr>
        <w:t>1</w:t>
      </w:r>
      <w:r>
        <w:rPr/>
        <w:t>、同时按照国际会计准则与按照中国会计准则披露的财务报告中净利润和净资产差异情况</w:t>
      </w:r>
      <w:r>
        <w:rPr>
          <w:b w:val="0"/>
          <w:bCs w:val="0"/>
        </w:rPr>
      </w:r>
    </w:p>
    <w:p>
      <w:pPr>
        <w:spacing w:line="240" w:lineRule="auto" w:before="8"/>
        <w:rPr>
          <w:rFonts w:ascii="宋体" w:hAnsi="宋体" w:cs="宋体" w:eastAsia="宋体" w:hint="default"/>
          <w:b/>
          <w:bCs/>
          <w:sz w:val="26"/>
          <w:szCs w:val="26"/>
        </w:rPr>
      </w:pPr>
    </w:p>
    <w:p>
      <w:pPr>
        <w:pStyle w:val="BodyText"/>
        <w:spacing w:line="340" w:lineRule="auto"/>
        <w:ind w:right="139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公司报告期不存在按照国际会计准则与按照中国会计准则披露的财务报告中净利润和净资产差异情况。</w:t>
      </w:r>
    </w:p>
    <w:p>
      <w:pPr>
        <w:spacing w:line="240" w:lineRule="auto" w:before="12"/>
        <w:rPr>
          <w:rFonts w:ascii="宋体" w:hAnsi="宋体" w:cs="宋体" w:eastAsia="宋体" w:hint="default"/>
          <w:sz w:val="20"/>
          <w:szCs w:val="20"/>
        </w:rPr>
      </w:pPr>
    </w:p>
    <w:p>
      <w:pPr>
        <w:pStyle w:val="Heading3"/>
        <w:spacing w:line="240" w:lineRule="auto"/>
        <w:ind w:left="153" w:right="0"/>
        <w:jc w:val="left"/>
        <w:rPr>
          <w:b w:val="0"/>
          <w:bCs w:val="0"/>
        </w:rPr>
      </w:pPr>
      <w:bookmarkStart w:name="2、同时按照境外会计准则与按照中国会计准则披露的财务报告中净利润和净资产差异情况" w:id="12"/>
      <w:bookmarkEnd w:id="12"/>
      <w:r>
        <w:rPr>
          <w:b w:val="0"/>
          <w:bCs w:val="0"/>
        </w:rPr>
      </w:r>
      <w:r>
        <w:rPr>
          <w:rFonts w:ascii="Times New Roman" w:hAnsi="Times New Roman" w:cs="Times New Roman" w:eastAsia="Times New Roman" w:hint="default"/>
        </w:rPr>
        <w:t>2</w:t>
      </w:r>
      <w:r>
        <w:rPr/>
        <w:t>、同时按照境外会计准则与按照中国会计准则披露的财务报告中净利润和净资产差异情况</w:t>
      </w:r>
      <w:r>
        <w:rPr>
          <w:b w:val="0"/>
          <w:bCs w:val="0"/>
        </w:rPr>
      </w:r>
    </w:p>
    <w:p>
      <w:pPr>
        <w:spacing w:line="240" w:lineRule="auto" w:before="9"/>
        <w:rPr>
          <w:rFonts w:ascii="宋体" w:hAnsi="宋体" w:cs="宋体" w:eastAsia="宋体" w:hint="default"/>
          <w:b/>
          <w:bCs/>
          <w:sz w:val="26"/>
          <w:szCs w:val="26"/>
        </w:rPr>
      </w:pPr>
    </w:p>
    <w:p>
      <w:pPr>
        <w:pStyle w:val="BodyText"/>
        <w:spacing w:line="338" w:lineRule="auto"/>
        <w:ind w:right="265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公司报告期不存在按照境外会计准则与按照中国会计准则披露的财务报告中净利润和净资产差异情况。</w:t>
      </w:r>
    </w:p>
    <w:p>
      <w:pPr>
        <w:spacing w:line="240" w:lineRule="auto" w:before="6"/>
        <w:rPr>
          <w:rFonts w:ascii="宋体" w:hAnsi="宋体" w:cs="宋体" w:eastAsia="宋体" w:hint="default"/>
          <w:sz w:val="19"/>
          <w:szCs w:val="19"/>
        </w:rPr>
      </w:pPr>
    </w:p>
    <w:p>
      <w:pPr>
        <w:pStyle w:val="Heading2"/>
        <w:spacing w:line="240" w:lineRule="auto"/>
        <w:ind w:right="0"/>
        <w:jc w:val="left"/>
        <w:rPr>
          <w:b w:val="0"/>
          <w:bCs w:val="0"/>
        </w:rPr>
      </w:pPr>
      <w:bookmarkStart w:name="八、分季度主要财务指标" w:id="13"/>
      <w:bookmarkEnd w:id="13"/>
      <w:r>
        <w:rPr>
          <w:b w:val="0"/>
          <w:bCs w:val="0"/>
        </w:rPr>
      </w:r>
      <w:r>
        <w:rPr/>
        <w:t>八、分季度主要财务指标</w:t>
      </w:r>
      <w:r>
        <w:rPr>
          <w:b w:val="0"/>
          <w:bCs w:val="0"/>
        </w:rPr>
      </w:r>
    </w:p>
    <w:p>
      <w:pPr>
        <w:spacing w:line="240" w:lineRule="auto" w:before="2"/>
        <w:rPr>
          <w:rFonts w:ascii="宋体" w:hAnsi="宋体" w:cs="宋体" w:eastAsia="宋体" w:hint="default"/>
          <w:b/>
          <w:bCs/>
          <w:sz w:val="23"/>
          <w:szCs w:val="23"/>
        </w:rPr>
      </w:pPr>
    </w:p>
    <w:p>
      <w:pPr>
        <w:pStyle w:val="BodyText"/>
        <w:spacing w:line="240" w:lineRule="auto" w:before="44"/>
        <w:ind w:left="0" w:right="1130"/>
        <w:jc w:val="right"/>
      </w:pPr>
      <w:r>
        <w:rPr/>
        <w:t>单位：元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598"/>
        <w:gridCol w:w="1752"/>
        <w:gridCol w:w="1739"/>
        <w:gridCol w:w="1740"/>
        <w:gridCol w:w="1729"/>
      </w:tblGrid>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15" w:right="0"/>
              <w:jc w:val="left"/>
              <w:rPr>
                <w:rFonts w:ascii="宋体" w:hAnsi="宋体" w:cs="宋体" w:eastAsia="宋体" w:hint="default"/>
                <w:sz w:val="18"/>
                <w:szCs w:val="18"/>
              </w:rPr>
            </w:pPr>
            <w:r>
              <w:rPr>
                <w:rFonts w:ascii="宋体" w:hAnsi="宋体" w:cs="宋体" w:eastAsia="宋体" w:hint="default"/>
                <w:sz w:val="18"/>
                <w:szCs w:val="18"/>
              </w:rPr>
              <w:t>第一季度</w:t>
            </w:r>
          </w:p>
        </w:tc>
        <w:tc>
          <w:tcPr>
            <w:tcW w:w="17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03" w:right="0"/>
              <w:jc w:val="left"/>
              <w:rPr>
                <w:rFonts w:ascii="宋体" w:hAnsi="宋体" w:cs="宋体" w:eastAsia="宋体" w:hint="default"/>
                <w:sz w:val="18"/>
                <w:szCs w:val="18"/>
              </w:rPr>
            </w:pPr>
            <w:r>
              <w:rPr>
                <w:rFonts w:ascii="宋体" w:hAnsi="宋体" w:cs="宋体" w:eastAsia="宋体" w:hint="default"/>
                <w:sz w:val="18"/>
                <w:szCs w:val="18"/>
              </w:rPr>
              <w:t>第二季度</w:t>
            </w:r>
          </w:p>
        </w:tc>
        <w:tc>
          <w:tcPr>
            <w:tcW w:w="1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05" w:right="0"/>
              <w:jc w:val="left"/>
              <w:rPr>
                <w:rFonts w:ascii="宋体" w:hAnsi="宋体" w:cs="宋体" w:eastAsia="宋体" w:hint="default"/>
                <w:sz w:val="18"/>
                <w:szCs w:val="18"/>
              </w:rPr>
            </w:pPr>
            <w:r>
              <w:rPr>
                <w:rFonts w:ascii="宋体" w:hAnsi="宋体" w:cs="宋体" w:eastAsia="宋体" w:hint="default"/>
                <w:sz w:val="18"/>
                <w:szCs w:val="18"/>
              </w:rPr>
              <w:t>第三季度</w:t>
            </w:r>
          </w:p>
        </w:tc>
        <w:tc>
          <w:tcPr>
            <w:tcW w:w="17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99" w:right="0"/>
              <w:jc w:val="left"/>
              <w:rPr>
                <w:rFonts w:ascii="宋体" w:hAnsi="宋体" w:cs="宋体" w:eastAsia="宋体" w:hint="default"/>
                <w:sz w:val="18"/>
                <w:szCs w:val="18"/>
              </w:rPr>
            </w:pPr>
            <w:r>
              <w:rPr>
                <w:rFonts w:ascii="宋体" w:hAnsi="宋体" w:cs="宋体" w:eastAsia="宋体" w:hint="default"/>
                <w:sz w:val="18"/>
                <w:szCs w:val="18"/>
              </w:rPr>
              <w:t>第四季度</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75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150,293,811.39</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294,731,847.66</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210,546,611.75</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385,551,756.60</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tc>
        <w:tc>
          <w:tcPr>
            <w:tcW w:w="175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9,098,187.74</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51,978,458.47</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26,066,513.01</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44,870,955.00</w:t>
            </w:r>
          </w:p>
        </w:tc>
      </w:tr>
      <w:tr>
        <w:trPr>
          <w:trHeight w:val="714"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55"/>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 常性损益的净利润</w:t>
            </w:r>
          </w:p>
        </w:tc>
        <w:tc>
          <w:tcPr>
            <w:tcW w:w="175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7,367,142.01</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45,480,348.09</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22,763,046.38</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41,242,249.52</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75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-58,963,207.86</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-46,729,884.28</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3,035,286.98</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2"/>
                <w:sz w:val="18"/>
              </w:rPr>
              <w:t>112,014,811.53</w:t>
            </w:r>
          </w:p>
        </w:tc>
      </w:tr>
    </w:tbl>
    <w:p>
      <w:pPr>
        <w:pStyle w:val="BodyText"/>
        <w:spacing w:line="240" w:lineRule="auto" w:before="51"/>
        <w:ind w:left="154" w:right="0"/>
        <w:jc w:val="left"/>
      </w:pPr>
      <w:r>
        <w:rPr/>
        <w:t>上述财务指标或其加总数是否与公司已披露季度报告、半年度报告相关财务指标存在重大差异</w:t>
      </w:r>
    </w:p>
    <w:p>
      <w:pPr>
        <w:pStyle w:val="BodyText"/>
        <w:spacing w:line="240" w:lineRule="auto" w:before="117"/>
        <w:ind w:right="0"/>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否</w:t>
      </w:r>
    </w:p>
    <w:p>
      <w:pPr>
        <w:spacing w:line="240" w:lineRule="auto" w:before="12"/>
        <w:rPr>
          <w:rFonts w:ascii="宋体" w:hAnsi="宋体" w:cs="宋体" w:eastAsia="宋体" w:hint="default"/>
          <w:sz w:val="23"/>
          <w:szCs w:val="23"/>
        </w:rPr>
      </w:pPr>
    </w:p>
    <w:p>
      <w:pPr>
        <w:pStyle w:val="Heading2"/>
        <w:spacing w:line="240" w:lineRule="auto"/>
        <w:ind w:right="0"/>
        <w:jc w:val="left"/>
        <w:rPr>
          <w:b w:val="0"/>
          <w:bCs w:val="0"/>
        </w:rPr>
      </w:pPr>
      <w:bookmarkStart w:name="九、非经常性损益项目及金额" w:id="14"/>
      <w:bookmarkEnd w:id="14"/>
      <w:r>
        <w:rPr>
          <w:b w:val="0"/>
          <w:bCs w:val="0"/>
        </w:rPr>
      </w:r>
      <w:r>
        <w:rPr/>
        <w:t>九、非经常性损益项目及金额</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240" w:lineRule="auto" w:before="102"/>
        <w:ind w:left="0" w:right="1130"/>
        <w:jc w:val="right"/>
      </w:pPr>
      <w:r>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273"/>
        <w:gridCol w:w="1532"/>
        <w:gridCol w:w="1520"/>
        <w:gridCol w:w="1522"/>
        <w:gridCol w:w="1710"/>
      </w:tblGrid>
      <w:tr>
        <w:trPr>
          <w:trHeight w:val="402"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5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5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7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714"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10"/>
              <w:jc w:val="left"/>
              <w:rPr>
                <w:rFonts w:ascii="宋体" w:hAnsi="宋体" w:cs="宋体" w:eastAsia="宋体" w:hint="default"/>
                <w:sz w:val="18"/>
                <w:szCs w:val="18"/>
              </w:rPr>
            </w:pPr>
            <w:r>
              <w:rPr>
                <w:rFonts w:ascii="宋体" w:hAnsi="宋体" w:cs="宋体" w:eastAsia="宋体" w:hint="default"/>
                <w:sz w:val="18"/>
                <w:szCs w:val="18"/>
              </w:rPr>
              <w:t>非流动资产处置损益（包括已计提资产减 值准备的冲销部分）</w:t>
            </w:r>
          </w:p>
        </w:tc>
        <w:tc>
          <w:tcPr>
            <w:tcW w:w="153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-144,607.02</w:t>
            </w:r>
            <w:r>
              <w:rPr>
                <w:rFonts w:ascii="Times New Roman"/>
                <w:sz w:val="18"/>
              </w:rPr>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-550,869.24</w:t>
            </w:r>
            <w:r>
              <w:rPr>
                <w:rFonts w:ascii="Times New Roman"/>
                <w:sz w:val="18"/>
              </w:rPr>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-46,566.18</w:t>
            </w:r>
            <w:r>
              <w:rPr>
                <w:rFonts w:ascii="Times New Roman"/>
                <w:sz w:val="18"/>
              </w:rPr>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2"/>
              <w:ind w:left="11" w:right="10"/>
              <w:jc w:val="both"/>
              <w:rPr>
                <w:rFonts w:ascii="宋体" w:hAnsi="宋体" w:cs="宋体" w:eastAsia="宋体" w:hint="default"/>
                <w:sz w:val="18"/>
                <w:szCs w:val="18"/>
              </w:rPr>
            </w:pPr>
            <w:r>
              <w:rPr>
                <w:rFonts w:ascii="宋体" w:hAnsi="宋体" w:cs="宋体" w:eastAsia="宋体" w:hint="default"/>
                <w:sz w:val="18"/>
                <w:szCs w:val="18"/>
              </w:rPr>
              <w:t>计入当期损益的政府补助（与企业业务密 切相关，按照国家统一标准定额或定量享 受的政府补助除外）</w:t>
            </w:r>
          </w:p>
        </w:tc>
        <w:tc>
          <w:tcPr>
            <w:tcW w:w="153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16,066,018.63</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4,827,183.20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6,690,195.24</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986"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10"/>
              <w:jc w:val="both"/>
              <w:rPr>
                <w:rFonts w:ascii="宋体" w:hAnsi="宋体" w:cs="宋体" w:eastAsia="宋体" w:hint="default"/>
                <w:sz w:val="18"/>
                <w:szCs w:val="18"/>
              </w:rPr>
            </w:pPr>
            <w:r>
              <w:rPr>
                <w:rFonts w:ascii="宋体" w:hAnsi="宋体" w:cs="宋体" w:eastAsia="宋体" w:hint="default"/>
                <w:sz w:val="18"/>
                <w:szCs w:val="18"/>
              </w:rPr>
              <w:t>除同公司正常经营业务相关的有效套期保 值业务外，持有交易性金融资产、交易性 金融负债产生的公允价值变动损益，以及</w:t>
            </w:r>
          </w:p>
        </w:tc>
        <w:tc>
          <w:tcPr>
            <w:tcW w:w="1532" w:type="dxa"/>
            <w:tcBorders>
              <w:top w:val="single" w:sz="4" w:space="0" w:color="000000"/>
              <w:left w:val="single" w:sz="13" w:space="0" w:color="D2D2D2"/>
              <w:bottom w:val="single" w:sz="4" w:space="0" w:color="000000"/>
              <w:right w:val="single" w:sz="4" w:space="0" w:color="000000"/>
            </w:tcBorders>
          </w:tcPr>
          <w:p>
            <w:pP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8"/>
              <w:ind w:right="20"/>
              <w:jc w:val="right"/>
              <w:rPr>
                <w:rFonts w:ascii="Times New Roman" w:hAnsi="Times New Roman" w:cs="Times New Roman" w:eastAsia="Times New Roman" w:hint="default"/>
                <w:sz w:val="18"/>
                <w:szCs w:val="18"/>
              </w:rPr>
            </w:pPr>
            <w:r>
              <w:rPr>
                <w:rFonts w:ascii="Times New Roman"/>
                <w:spacing w:val="-1"/>
                <w:sz w:val="18"/>
              </w:rPr>
              <w:t>10,000,000.00</w:t>
            </w:r>
          </w:p>
        </w:tc>
        <w:tc>
          <w:tcPr>
            <w:tcW w:w="1522" w:type="dxa"/>
            <w:tcBorders>
              <w:top w:val="single" w:sz="4" w:space="0" w:color="000000"/>
              <w:left w:val="single" w:sz="4" w:space="0" w:color="000000"/>
              <w:bottom w:val="single" w:sz="4" w:space="0" w:color="000000"/>
              <w:right w:val="single" w:sz="4" w:space="0" w:color="000000"/>
            </w:tcBorders>
          </w:tcPr>
          <w:p>
            <w:pPr/>
          </w:p>
        </w:tc>
        <w:tc>
          <w:tcPr>
            <w:tcW w:w="171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297"/>
        <w:gridCol w:w="1520"/>
        <w:gridCol w:w="1520"/>
        <w:gridCol w:w="1522"/>
        <w:gridCol w:w="1710"/>
      </w:tblGrid>
      <w:tr>
        <w:trPr>
          <w:trHeight w:val="674"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10"/>
              <w:ind w:left="22" w:right="22"/>
              <w:jc w:val="left"/>
              <w:rPr>
                <w:rFonts w:ascii="宋体" w:hAnsi="宋体" w:cs="宋体" w:eastAsia="宋体" w:hint="default"/>
                <w:sz w:val="18"/>
                <w:szCs w:val="18"/>
              </w:rPr>
            </w:pPr>
            <w:r>
              <w:rPr>
                <w:rFonts w:ascii="宋体" w:hAnsi="宋体" w:cs="宋体" w:eastAsia="宋体" w:hint="default"/>
                <w:sz w:val="18"/>
                <w:szCs w:val="18"/>
              </w:rPr>
              <w:t>处置交易性金融资产、交易性金融负债和 可供出售金融资产取得的投资收益</w:t>
            </w:r>
          </w:p>
        </w:tc>
        <w:tc>
          <w:tcPr>
            <w:tcW w:w="1520" w:type="dxa"/>
            <w:tcBorders>
              <w:top w:val="single" w:sz="4" w:space="0" w:color="000000"/>
              <w:left w:val="single" w:sz="4" w:space="0" w:color="000000"/>
              <w:bottom w:val="single" w:sz="4" w:space="0" w:color="000000"/>
              <w:right w:val="single" w:sz="4" w:space="0" w:color="000000"/>
            </w:tcBorders>
          </w:tcPr>
          <w:p>
            <w:pPr/>
          </w:p>
        </w:tc>
        <w:tc>
          <w:tcPr>
            <w:tcW w:w="1520"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396,448.51</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1,300,016.30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575,703.55</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其他符合非经常性损益定义的损益项目</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1,500,000.00</w:t>
            </w:r>
          </w:p>
        </w:tc>
        <w:tc>
          <w:tcPr>
            <w:tcW w:w="1520"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2,629,060.15</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2,330,048.91</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1,118,196.70</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少数股东权益影响额（税后）</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27,471.75</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64,691.87</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28,477.50</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15,161,328.22</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13,181,589.48</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6,072,658.41</w:t>
            </w:r>
          </w:p>
        </w:tc>
        <w:tc>
          <w:tcPr>
            <w:tcW w:w="17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51"/>
        <w:ind w:left="154" w:right="0"/>
        <w:jc w:val="left"/>
      </w:pPr>
      <w:r>
        <w:rPr>
          <w:spacing w:val="-3"/>
        </w:rPr>
        <w:t>对公司根据《公开发行证券的公司信息披露解释性公告第</w:t>
      </w:r>
      <w:r>
        <w:rPr>
          <w:spacing w:val="-39"/>
        </w:rPr>
        <w:t> </w:t>
      </w:r>
      <w:r>
        <w:rPr>
          <w:rFonts w:ascii="Times New Roman" w:hAnsi="Times New Roman" w:cs="Times New Roman" w:eastAsia="Times New Roman" w:hint="default"/>
        </w:rPr>
        <w:t>1</w:t>
      </w:r>
      <w:r>
        <w:rPr>
          <w:rFonts w:ascii="Times New Roman" w:hAnsi="Times New Roman" w:cs="Times New Roman" w:eastAsia="Times New Roman" w:hint="default"/>
          <w:spacing w:val="5"/>
        </w:rPr>
        <w:t> </w:t>
      </w:r>
      <w:r>
        <w:rPr>
          <w:spacing w:val="-7"/>
        </w:rPr>
        <w:t>号</w:t>
      </w:r>
      <w:r>
        <w:rPr>
          <w:rFonts w:ascii="Times New Roman" w:hAnsi="Times New Roman" w:cs="Times New Roman" w:eastAsia="Times New Roman" w:hint="default"/>
          <w:spacing w:val="-7"/>
        </w:rPr>
        <w:t>——</w:t>
      </w:r>
      <w:r>
        <w:rPr>
          <w:spacing w:val="-7"/>
        </w:rPr>
        <w:t>非经常性损益》定义界定的非经常性损益项目，以及把《公</w:t>
      </w:r>
    </w:p>
    <w:p>
      <w:pPr>
        <w:pStyle w:val="BodyText"/>
        <w:spacing w:line="302" w:lineRule="auto" w:before="61"/>
        <w:ind w:left="154" w:right="1118"/>
        <w:jc w:val="left"/>
      </w:pPr>
      <w:r>
        <w:rPr/>
        <w:t>开发行证券的公司信息披露解释性公告第 </w:t>
      </w:r>
      <w:r>
        <w:rPr>
          <w:rFonts w:ascii="Times New Roman" w:hAnsi="Times New Roman" w:cs="Times New Roman" w:eastAsia="Times New Roman" w:hint="default"/>
        </w:rPr>
        <w:t>1</w:t>
      </w:r>
      <w:r>
        <w:rPr>
          <w:rFonts w:ascii="Times New Roman" w:hAnsi="Times New Roman" w:cs="Times New Roman" w:eastAsia="Times New Roman" w:hint="default"/>
          <w:spacing w:val="-26"/>
        </w:rPr>
        <w:t> </w:t>
      </w:r>
      <w:r>
        <w:rPr>
          <w:spacing w:val="-3"/>
        </w:rPr>
        <w:t>号</w:t>
      </w:r>
      <w:r>
        <w:rPr>
          <w:rFonts w:ascii="Times New Roman" w:hAnsi="Times New Roman" w:cs="Times New Roman" w:eastAsia="Times New Roman" w:hint="default"/>
          <w:spacing w:val="-3"/>
        </w:rPr>
        <w:t>——</w:t>
      </w:r>
      <w:r>
        <w:rPr>
          <w:spacing w:val="-3"/>
        </w:rPr>
        <w:t>非经常性损益》中列举的非经常性损益项目界定为经常性损益的项目，应</w:t>
      </w:r>
      <w:r>
        <w:rPr/>
        <w:t> 说明原因</w:t>
      </w:r>
    </w:p>
    <w:p>
      <w:pPr>
        <w:pStyle w:val="BodyText"/>
        <w:spacing w:line="240" w:lineRule="auto" w:before="70"/>
        <w:ind w:left="154"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302" w:lineRule="auto" w:before="101"/>
        <w:ind w:right="1116"/>
        <w:jc w:val="left"/>
      </w:pPr>
      <w:r>
        <w:rPr/>
        <w:t>公司报告期不存在将根据《公开发行证券的公司信息披露解释性公告第</w:t>
      </w:r>
      <w:r>
        <w:rPr>
          <w:spacing w:val="-53"/>
        </w:rPr>
        <w:t> </w:t>
      </w:r>
      <w:r>
        <w:rPr>
          <w:rFonts w:ascii="Times New Roman" w:hAnsi="Times New Roman" w:cs="Times New Roman" w:eastAsia="Times New Roman" w:hint="default"/>
        </w:rPr>
        <w:t>1</w:t>
      </w:r>
      <w:r>
        <w:rPr>
          <w:rFonts w:ascii="Times New Roman" w:hAnsi="Times New Roman" w:cs="Times New Roman" w:eastAsia="Times New Roman" w:hint="default"/>
          <w:spacing w:val="-9"/>
        </w:rPr>
        <w:t> </w:t>
      </w:r>
      <w:r>
        <w:rPr>
          <w:spacing w:val="-3"/>
        </w:rPr>
        <w:t>号</w:t>
      </w:r>
      <w:r>
        <w:rPr>
          <w:rFonts w:ascii="Times New Roman" w:hAnsi="Times New Roman" w:cs="Times New Roman" w:eastAsia="Times New Roman" w:hint="default"/>
          <w:spacing w:val="-3"/>
        </w:rPr>
        <w:t>——</w:t>
      </w:r>
      <w:r>
        <w:rPr>
          <w:spacing w:val="-3"/>
        </w:rPr>
        <w:t>非经常性损益》定义、列举的非经常性损益</w:t>
      </w:r>
      <w:r>
        <w:rPr/>
        <w:t> 项目界定为经常性损益的项目的情形。</w:t>
      </w:r>
    </w:p>
    <w:p>
      <w:pPr>
        <w:spacing w:after="0" w:line="302" w:lineRule="auto"/>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left="3447" w:right="0"/>
        <w:jc w:val="left"/>
        <w:rPr>
          <w:b w:val="0"/>
          <w:bCs w:val="0"/>
        </w:rPr>
      </w:pPr>
      <w:bookmarkStart w:name="第三节 公司业务概要" w:id="15"/>
      <w:bookmarkEnd w:id="15"/>
      <w:r>
        <w:rPr>
          <w:b w:val="0"/>
          <w:bCs w:val="0"/>
        </w:rPr>
      </w:r>
      <w:bookmarkStart w:name="_bookmark1" w:id="16"/>
      <w:bookmarkEnd w:id="16"/>
      <w:r>
        <w:rPr>
          <w:b w:val="0"/>
          <w:bCs w:val="0"/>
        </w:rPr>
      </w:r>
      <w:r>
        <w:rPr/>
        <w:t>第三节</w:t>
      </w:r>
      <w:r>
        <w:rPr>
          <w:spacing w:val="-7"/>
        </w:rPr>
        <w:t> </w:t>
      </w:r>
      <w:r>
        <w:rPr/>
        <w:t>公司业务概要</w:t>
      </w:r>
      <w:r>
        <w:rPr>
          <w:b w:val="0"/>
          <w:bCs w:val="0"/>
        </w:rPr>
      </w:r>
    </w:p>
    <w:p>
      <w:pPr>
        <w:spacing w:line="240" w:lineRule="auto" w:before="12"/>
        <w:rPr>
          <w:rFonts w:ascii="宋体" w:hAnsi="宋体" w:cs="宋体" w:eastAsia="宋体" w:hint="default"/>
          <w:b/>
          <w:bCs/>
          <w:sz w:val="38"/>
          <w:szCs w:val="38"/>
        </w:rPr>
      </w:pPr>
    </w:p>
    <w:p>
      <w:pPr>
        <w:pStyle w:val="Heading2"/>
        <w:spacing w:line="240" w:lineRule="auto"/>
        <w:ind w:right="0"/>
        <w:jc w:val="left"/>
        <w:rPr>
          <w:b w:val="0"/>
          <w:bCs w:val="0"/>
        </w:rPr>
      </w:pPr>
      <w:bookmarkStart w:name="一、报告期内公司从事的主要业务" w:id="17"/>
      <w:bookmarkEnd w:id="17"/>
      <w:r>
        <w:rPr>
          <w:b w:val="0"/>
          <w:bCs w:val="0"/>
        </w:rPr>
      </w:r>
      <w:r>
        <w:rPr/>
        <w:t>一、报告期内公司从事的主要业务</w:t>
      </w:r>
      <w:r>
        <w:rPr>
          <w:b w:val="0"/>
          <w:bCs w:val="0"/>
        </w:rPr>
      </w:r>
    </w:p>
    <w:p>
      <w:pPr>
        <w:spacing w:line="240" w:lineRule="auto" w:before="7"/>
        <w:rPr>
          <w:rFonts w:ascii="宋体" w:hAnsi="宋体" w:cs="宋体" w:eastAsia="宋体" w:hint="default"/>
          <w:b/>
          <w:bCs/>
          <w:sz w:val="26"/>
          <w:szCs w:val="26"/>
        </w:rPr>
      </w:pPr>
    </w:p>
    <w:p>
      <w:pPr>
        <w:pStyle w:val="BodyText"/>
        <w:spacing w:line="360" w:lineRule="auto"/>
        <w:ind w:right="7693"/>
        <w:jc w:val="left"/>
      </w:pPr>
      <w:r>
        <w:rPr/>
        <w:t>公司是否需要遵守特殊行业的披露要求 否</w:t>
      </w:r>
    </w:p>
    <w:p>
      <w:pPr>
        <w:pStyle w:val="BodyText"/>
        <w:spacing w:line="240" w:lineRule="auto" w:before="25"/>
        <w:ind w:left="514" w:right="0"/>
        <w:jc w:val="left"/>
      </w:pPr>
      <w:r>
        <w:rPr/>
        <w:t>（一）报告期内公司从事的主要业务</w:t>
      </w:r>
    </w:p>
    <w:p>
      <w:pPr>
        <w:spacing w:line="300" w:lineRule="auto" w:before="76"/>
        <w:ind w:left="514" w:right="1393" w:firstLine="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1.</w:t>
      </w:r>
      <w:r>
        <w:rPr>
          <w:rFonts w:ascii="宋体" w:hAnsi="宋体" w:cs="宋体" w:eastAsia="宋体" w:hint="default"/>
          <w:b/>
          <w:bCs/>
          <w:sz w:val="18"/>
          <w:szCs w:val="18"/>
        </w:rPr>
        <w:t>主要业务</w:t>
      </w:r>
      <w:r>
        <w:rPr>
          <w:rFonts w:ascii="宋体" w:hAnsi="宋体" w:cs="宋体" w:eastAsia="宋体" w:hint="default"/>
          <w:b/>
          <w:bCs/>
          <w:w w:val="99"/>
          <w:sz w:val="18"/>
          <w:szCs w:val="18"/>
        </w:rPr>
        <w:t> </w:t>
      </w:r>
      <w:r>
        <w:rPr>
          <w:rFonts w:ascii="宋体" w:hAnsi="宋体" w:cs="宋体" w:eastAsia="宋体" w:hint="default"/>
          <w:w w:val="95"/>
          <w:sz w:val="18"/>
          <w:szCs w:val="18"/>
        </w:rPr>
        <w:t>公司为</w:t>
      </w:r>
      <w:r>
        <w:rPr>
          <w:rFonts w:ascii="宋体" w:hAnsi="宋体" w:cs="宋体" w:eastAsia="宋体" w:hint="default"/>
          <w:b/>
          <w:bCs/>
          <w:w w:val="95"/>
          <w:sz w:val="18"/>
          <w:szCs w:val="18"/>
        </w:rPr>
        <w:t>全球技术领先的</w:t>
      </w:r>
      <w:r>
        <w:rPr>
          <w:rFonts w:ascii="宋体" w:hAnsi="宋体" w:cs="宋体" w:eastAsia="宋体" w:hint="default"/>
          <w:b/>
          <w:bCs/>
          <w:w w:val="95"/>
          <w:sz w:val="18"/>
          <w:szCs w:val="18"/>
        </w:rPr>
        <w:t>LED</w:t>
      </w:r>
      <w:r>
        <w:rPr>
          <w:rFonts w:ascii="宋体" w:hAnsi="宋体" w:cs="宋体" w:eastAsia="宋体" w:hint="default"/>
          <w:b/>
          <w:bCs/>
          <w:w w:val="95"/>
          <w:sz w:val="18"/>
          <w:szCs w:val="18"/>
        </w:rPr>
        <w:t>应用及金融科技综合解决方案提供商</w:t>
      </w:r>
      <w:r>
        <w:rPr>
          <w:rFonts w:ascii="宋体" w:hAnsi="宋体" w:cs="宋体" w:eastAsia="宋体" w:hint="default"/>
          <w:w w:val="95"/>
          <w:sz w:val="18"/>
          <w:szCs w:val="18"/>
        </w:rPr>
        <w:t>，为全球客户提供需求分析、方案设计、研发制造及专</w:t>
      </w:r>
    </w:p>
    <w:p>
      <w:pPr>
        <w:pStyle w:val="BodyText"/>
        <w:spacing w:line="316" w:lineRule="auto" w:before="31"/>
        <w:ind w:right="1129"/>
        <w:jc w:val="both"/>
      </w:pPr>
      <w:r>
        <w:rPr>
          <w:spacing w:val="-2"/>
        </w:rPr>
        <w:t>业服务。</w:t>
      </w:r>
      <w:r>
        <w:rPr>
          <w:rFonts w:ascii="宋体" w:hAnsi="宋体" w:cs="宋体" w:eastAsia="宋体" w:hint="default"/>
          <w:spacing w:val="-2"/>
        </w:rPr>
        <w:t>2017</w:t>
      </w:r>
      <w:r>
        <w:rPr>
          <w:spacing w:val="-2"/>
        </w:rPr>
        <w:t>年，公司以技术创新为核心，为实现跨越式发展的战略目标，在</w:t>
      </w:r>
      <w:r>
        <w:rPr>
          <w:rFonts w:ascii="宋体" w:hAnsi="宋体" w:cs="宋体" w:eastAsia="宋体" w:hint="default"/>
          <w:spacing w:val="-2"/>
        </w:rPr>
        <w:t>LED</w:t>
      </w:r>
      <w:r>
        <w:rPr>
          <w:spacing w:val="-2"/>
        </w:rPr>
        <w:t>显示、</w:t>
      </w:r>
      <w:r>
        <w:rPr>
          <w:rFonts w:ascii="宋体" w:hAnsi="宋体" w:cs="宋体" w:eastAsia="宋体" w:hint="default"/>
          <w:spacing w:val="-2"/>
        </w:rPr>
        <w:t>LED</w:t>
      </w:r>
      <w:r>
        <w:rPr>
          <w:spacing w:val="-2"/>
        </w:rPr>
        <w:t>景观照明、银行信息综合发布系</w:t>
      </w:r>
      <w:r>
        <w:rPr>
          <w:spacing w:val="-57"/>
        </w:rPr>
        <w:t> </w:t>
      </w:r>
      <w:r>
        <w:rPr>
          <w:spacing w:val="-57"/>
        </w:rPr>
      </w:r>
      <w:r>
        <w:rPr/>
        <w:t>统、智慧银行解决方案、银行智能服务型机器人、基于区块链技术的银行电子对账系统及大众体育场馆</w:t>
      </w:r>
      <w:r>
        <w:rPr>
          <w:rFonts w:ascii="宋体" w:hAnsi="宋体" w:cs="宋体" w:eastAsia="宋体" w:hint="default"/>
        </w:rPr>
        <w:t>O2O</w:t>
      </w:r>
      <w:r>
        <w:rPr/>
        <w:t>运营平台等业务 </w:t>
      </w:r>
      <w:r>
        <w:rPr>
          <w:spacing w:val="-2"/>
        </w:rPr>
        <w:t>领域积极地进行技术创新及市场拓展。公司基于对市场及客户需求的深入理解，针对不同的行业特性和应用场景，推出了各</w:t>
      </w:r>
      <w:r>
        <w:rPr>
          <w:spacing w:val="-66"/>
        </w:rPr>
        <w:t> </w:t>
      </w:r>
      <w:r>
        <w:rPr>
          <w:spacing w:val="-66"/>
        </w:rPr>
      </w:r>
      <w:r>
        <w:rPr/>
        <w:t>种细分行业的解决方案及核心产品。其中，</w:t>
      </w:r>
      <w:r>
        <w:rPr>
          <w:rFonts w:ascii="宋体" w:hAnsi="宋体" w:cs="宋体" w:eastAsia="宋体" w:hint="default"/>
        </w:rPr>
        <w:t>LED</w:t>
      </w:r>
      <w:r>
        <w:rPr/>
        <w:t>应用产品及服务主要应用于体育、媒体广告、演艺租赁、交通、电视台、指 </w:t>
      </w:r>
      <w:r>
        <w:rPr>
          <w:spacing w:val="-5"/>
        </w:rPr>
        <w:t>挥中心及智慧城市景观照明等领域，致力于让人们的生活更亮丽；金融科技相关产品和服务，主要应用于银行及电信等领域，</w:t>
      </w:r>
      <w:r>
        <w:rPr>
          <w:spacing w:val="-79"/>
        </w:rPr>
        <w:t> </w:t>
      </w:r>
      <w:r>
        <w:rPr>
          <w:spacing w:val="-79"/>
        </w:rPr>
      </w:r>
      <w:r>
        <w:rPr>
          <w:spacing w:val="-2"/>
        </w:rPr>
        <w:t>致力于让人们的生活更便捷；体育新业务，主要为体育场馆及各大顶级赛事提供专业的体育设备租赁服务、广告权益销售服</w:t>
      </w:r>
      <w:r>
        <w:rPr>
          <w:spacing w:val="-66"/>
        </w:rPr>
        <w:t> </w:t>
      </w:r>
      <w:r>
        <w:rPr>
          <w:spacing w:val="-66"/>
        </w:rPr>
      </w:r>
      <w:r>
        <w:rPr/>
        <w:t>务、体育场馆改造及赛事运营服务，致力于让人们的生活更健康。</w:t>
      </w:r>
    </w:p>
    <w:p>
      <w:pPr>
        <w:pStyle w:val="Heading4"/>
        <w:spacing w:line="240" w:lineRule="auto" w:before="19"/>
        <w:ind w:right="0"/>
        <w:jc w:val="left"/>
        <w:rPr>
          <w:b w:val="0"/>
          <w:bCs w:val="0"/>
        </w:rPr>
      </w:pPr>
      <w:r>
        <w:rPr>
          <w:rFonts w:ascii="Times New Roman" w:hAnsi="Times New Roman" w:cs="Times New Roman" w:eastAsia="Times New Roman" w:hint="default"/>
        </w:rPr>
        <w:t>2.</w:t>
      </w:r>
      <w:r>
        <w:rPr>
          <w:rFonts w:ascii="Times New Roman" w:hAnsi="Times New Roman" w:cs="Times New Roman" w:eastAsia="Times New Roman" w:hint="default"/>
          <w:spacing w:val="29"/>
        </w:rPr>
        <w:t> </w:t>
      </w:r>
      <w:r>
        <w:rPr/>
        <w:t>主要解决方案</w:t>
      </w:r>
      <w:r>
        <w:rPr>
          <w:b w:val="0"/>
          <w:bCs w:val="0"/>
        </w:rPr>
      </w: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w:t>
      </w:r>
      <w:r>
        <w:rPr>
          <w:rFonts w:ascii="Times New Roman" w:hAnsi="Times New Roman" w:cs="Times New Roman" w:eastAsia="Times New Roman" w:hint="default"/>
        </w:rPr>
        <w:t>LED</w:t>
      </w:r>
      <w:r>
        <w:rPr/>
        <w:t>应用：</w:t>
      </w:r>
      <w:r>
        <w:rPr>
          <w:b w:val="0"/>
          <w:bCs w:val="0"/>
        </w:rPr>
      </w:r>
    </w:p>
    <w:p>
      <w:pPr>
        <w:pStyle w:val="BodyText"/>
        <w:spacing w:line="300" w:lineRule="auto" w:before="63"/>
        <w:ind w:left="513" w:right="1393"/>
        <w:jc w:val="left"/>
      </w:pPr>
      <w:r>
        <w:rPr>
          <w:rFonts w:ascii="Times New Roman" w:hAnsi="Times New Roman" w:cs="Times New Roman" w:eastAsia="Times New Roman" w:hint="default"/>
        </w:rPr>
        <w:t>A.</w:t>
      </w:r>
      <w:r>
        <w:rPr/>
        <w:t>大交通显示解决方案 公司为世界重要交通枢纽及交通运营场所提供稳定可靠的专业</w:t>
      </w:r>
      <w:r>
        <w:rPr>
          <w:rFonts w:ascii="Times New Roman" w:hAnsi="Times New Roman" w:cs="Times New Roman" w:eastAsia="Times New Roman" w:hint="default"/>
        </w:rPr>
        <w:t>LED</w:t>
      </w:r>
      <w:r>
        <w:rPr/>
        <w:t>显示系统，配合全球领先的</w:t>
      </w:r>
      <w:r>
        <w:rPr>
          <w:rFonts w:ascii="Times New Roman" w:hAnsi="Times New Roman" w:cs="Times New Roman" w:eastAsia="Times New Roman" w:hint="default"/>
        </w:rPr>
        <w:t>24bit</w:t>
      </w:r>
      <w:r>
        <w:rPr/>
        <w:t>颜色处理深度与</w:t>
      </w:r>
    </w:p>
    <w:p>
      <w:pPr>
        <w:pStyle w:val="BodyText"/>
        <w:spacing w:line="240" w:lineRule="auto" w:before="13"/>
        <w:ind w:right="0"/>
        <w:jc w:val="both"/>
      </w:pPr>
      <w:r>
        <w:rPr>
          <w:rFonts w:ascii="Times New Roman" w:hAnsi="Times New Roman" w:cs="Times New Roman" w:eastAsia="Times New Roman" w:hint="default"/>
        </w:rPr>
        <w:t>HDR</w:t>
      </w:r>
      <w:r>
        <w:rPr/>
        <w:t>高动态范围图像技术，为客户提升城市高端形象，彰显企业品牌内涵，提高广告回报效益。</w:t>
      </w:r>
    </w:p>
    <w:p>
      <w:pPr>
        <w:spacing w:line="240" w:lineRule="auto" w:before="10"/>
        <w:rPr>
          <w:rFonts w:ascii="宋体" w:hAnsi="宋体" w:cs="宋体" w:eastAsia="宋体" w:hint="default"/>
          <w:sz w:val="13"/>
          <w:szCs w:val="13"/>
        </w:rPr>
      </w:pPr>
    </w:p>
    <w:p>
      <w:pPr>
        <w:spacing w:line="4071" w:lineRule="exact"/>
        <w:ind w:left="1462" w:right="0" w:firstLine="0"/>
        <w:rPr>
          <w:rFonts w:ascii="宋体" w:hAnsi="宋体" w:cs="宋体" w:eastAsia="宋体" w:hint="default"/>
          <w:sz w:val="20"/>
          <w:szCs w:val="20"/>
        </w:rPr>
      </w:pPr>
      <w:r>
        <w:rPr>
          <w:rFonts w:ascii="宋体" w:hAnsi="宋体" w:cs="宋体" w:eastAsia="宋体" w:hint="default"/>
          <w:position w:val="-80"/>
          <w:sz w:val="20"/>
          <w:szCs w:val="20"/>
        </w:rPr>
        <w:drawing>
          <wp:inline distT="0" distB="0" distL="0" distR="0">
            <wp:extent cx="4613888" cy="2585466"/>
            <wp:effectExtent l="0" t="0" r="0" b="0"/>
            <wp:docPr id="3" name="image3.jpeg" descr=""/>
            <wp:cNvGraphicFramePr>
              <a:graphicFrameLocks noChangeAspect="1"/>
            </wp:cNvGraphicFramePr>
            <a:graphic>
              <a:graphicData uri="http://schemas.openxmlformats.org/drawingml/2006/picture">
                <pic:pic>
                  <pic:nvPicPr>
                    <pic:cNvPr id="4" name="image3.jpeg"/>
                    <pic:cNvPicPr/>
                  </pic:nvPicPr>
                  <pic:blipFill>
                    <a:blip r:embed="rId14" cstate="print"/>
                    <a:stretch>
                      <a:fillRect/>
                    </a:stretch>
                  </pic:blipFill>
                  <pic:spPr>
                    <a:xfrm>
                      <a:off x="0" y="0"/>
                      <a:ext cx="4613888" cy="2585466"/>
                    </a:xfrm>
                    <a:prstGeom prst="rect">
                      <a:avLst/>
                    </a:prstGeom>
                  </pic:spPr>
                </pic:pic>
              </a:graphicData>
            </a:graphic>
          </wp:inline>
        </w:drawing>
      </w:r>
      <w:r>
        <w:rPr>
          <w:rFonts w:ascii="宋体" w:hAnsi="宋体" w:cs="宋体" w:eastAsia="宋体" w:hint="default"/>
          <w:position w:val="-80"/>
          <w:sz w:val="20"/>
          <w:szCs w:val="20"/>
        </w:rPr>
      </w:r>
    </w:p>
    <w:p>
      <w:pPr>
        <w:spacing w:line="240" w:lineRule="auto" w:before="4"/>
        <w:rPr>
          <w:rFonts w:ascii="宋体" w:hAnsi="宋体" w:cs="宋体" w:eastAsia="宋体" w:hint="default"/>
          <w:sz w:val="10"/>
          <w:szCs w:val="10"/>
        </w:rPr>
      </w:pPr>
    </w:p>
    <w:p>
      <w:pPr>
        <w:pStyle w:val="BodyText"/>
        <w:spacing w:line="240" w:lineRule="auto" w:before="44"/>
        <w:ind w:left="3066" w:right="4042"/>
        <w:jc w:val="center"/>
      </w:pPr>
      <w:r>
        <w:rPr/>
        <w:t>新加坡樟宜机场项目</w:t>
      </w:r>
    </w:p>
    <w:p>
      <w:pPr>
        <w:pStyle w:val="BodyText"/>
        <w:spacing w:line="240" w:lineRule="auto" w:before="76"/>
        <w:ind w:left="513" w:right="0"/>
        <w:jc w:val="left"/>
      </w:pPr>
      <w:r>
        <w:rPr>
          <w:rFonts w:ascii="Times New Roman" w:hAnsi="Times New Roman" w:cs="Times New Roman" w:eastAsia="Times New Roman" w:hint="default"/>
        </w:rPr>
        <w:t>B.</w:t>
      </w:r>
      <w:r>
        <w:rPr/>
        <w:t>体育赛事显示解决方案</w:t>
      </w:r>
    </w:p>
    <w:p>
      <w:pPr>
        <w:pStyle w:val="BodyText"/>
        <w:spacing w:line="309" w:lineRule="auto" w:before="63"/>
        <w:ind w:right="1130" w:firstLine="360"/>
        <w:jc w:val="both"/>
      </w:pPr>
      <w:r>
        <w:rPr>
          <w:spacing w:val="-2"/>
        </w:rPr>
        <w:t>公司为世界顶级体育赛事，包括世界杯、欧洲杯、环法自行车赛、斯坦科维奇杯等，提供了专业的</w:t>
      </w:r>
      <w:r>
        <w:rPr>
          <w:rFonts w:ascii="Times New Roman" w:hAnsi="Times New Roman" w:cs="Times New Roman" w:eastAsia="Times New Roman" w:hint="default"/>
          <w:spacing w:val="-2"/>
        </w:rPr>
        <w:t>LED</w:t>
      </w:r>
      <w:r>
        <w:rPr>
          <w:spacing w:val="-2"/>
        </w:rPr>
        <w:t>广告及信息发布</w:t>
      </w:r>
      <w:r>
        <w:rPr/>
        <w:t> </w:t>
      </w:r>
      <w:r>
        <w:rPr>
          <w:spacing w:val="-2"/>
        </w:rPr>
        <w:t>显示解决方案。凭借着高刷新率、稳定可靠的系统，为球迷与运动员提供独特的视觉体验，特别是适合现代电视和自媒体转</w:t>
      </w:r>
      <w:r>
        <w:rPr>
          <w:spacing w:val="-66"/>
        </w:rPr>
        <w:t> </w:t>
      </w:r>
      <w:r>
        <w:rPr>
          <w:spacing w:val="-66"/>
        </w:rPr>
      </w:r>
      <w:r>
        <w:rPr/>
        <w:t>播。</w:t>
      </w:r>
    </w:p>
    <w:p>
      <w:pPr>
        <w:spacing w:after="0" w:line="309" w:lineRule="auto"/>
        <w:jc w:val="both"/>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8"/>
          <w:szCs w:val="18"/>
        </w:rPr>
      </w:pPr>
    </w:p>
    <w:p>
      <w:pPr>
        <w:spacing w:line="4098" w:lineRule="exact"/>
        <w:ind w:left="1325" w:right="0" w:firstLine="0"/>
        <w:rPr>
          <w:rFonts w:ascii="宋体" w:hAnsi="宋体" w:cs="宋体" w:eastAsia="宋体" w:hint="default"/>
          <w:sz w:val="20"/>
          <w:szCs w:val="20"/>
        </w:rPr>
      </w:pPr>
      <w:r>
        <w:rPr>
          <w:rFonts w:ascii="宋体" w:hAnsi="宋体" w:cs="宋体" w:eastAsia="宋体" w:hint="default"/>
          <w:position w:val="-81"/>
          <w:sz w:val="20"/>
          <w:szCs w:val="20"/>
        </w:rPr>
        <w:drawing>
          <wp:inline distT="0" distB="0" distL="0" distR="0">
            <wp:extent cx="4627357" cy="2602611"/>
            <wp:effectExtent l="0" t="0" r="0" b="0"/>
            <wp:docPr id="5" name="image4.jpeg" descr=""/>
            <wp:cNvGraphicFramePr>
              <a:graphicFrameLocks noChangeAspect="1"/>
            </wp:cNvGraphicFramePr>
            <a:graphic>
              <a:graphicData uri="http://schemas.openxmlformats.org/drawingml/2006/picture">
                <pic:pic>
                  <pic:nvPicPr>
                    <pic:cNvPr id="6" name="image4.jpeg"/>
                    <pic:cNvPicPr/>
                  </pic:nvPicPr>
                  <pic:blipFill>
                    <a:blip r:embed="rId15" cstate="print"/>
                    <a:stretch>
                      <a:fillRect/>
                    </a:stretch>
                  </pic:blipFill>
                  <pic:spPr>
                    <a:xfrm>
                      <a:off x="0" y="0"/>
                      <a:ext cx="4627357" cy="2602611"/>
                    </a:xfrm>
                    <a:prstGeom prst="rect">
                      <a:avLst/>
                    </a:prstGeom>
                  </pic:spPr>
                </pic:pic>
              </a:graphicData>
            </a:graphic>
          </wp:inline>
        </w:drawing>
      </w:r>
      <w:r>
        <w:rPr>
          <w:rFonts w:ascii="宋体" w:hAnsi="宋体" w:cs="宋体" w:eastAsia="宋体" w:hint="default"/>
          <w:position w:val="-81"/>
          <w:sz w:val="20"/>
          <w:szCs w:val="20"/>
        </w:rPr>
      </w:r>
    </w:p>
    <w:p>
      <w:pPr>
        <w:spacing w:line="240" w:lineRule="auto" w:before="3"/>
        <w:rPr>
          <w:rFonts w:ascii="宋体" w:hAnsi="宋体" w:cs="宋体" w:eastAsia="宋体" w:hint="default"/>
          <w:sz w:val="8"/>
          <w:szCs w:val="8"/>
        </w:rPr>
      </w:pPr>
    </w:p>
    <w:p>
      <w:pPr>
        <w:pStyle w:val="BodyText"/>
        <w:spacing w:line="240" w:lineRule="auto" w:before="44"/>
        <w:ind w:left="3066" w:right="4042"/>
        <w:jc w:val="center"/>
      </w:pPr>
      <w:r>
        <w:rPr>
          <w:rFonts w:ascii="Times New Roman" w:hAnsi="Times New Roman" w:cs="Times New Roman" w:eastAsia="Times New Roman" w:hint="default"/>
        </w:rPr>
        <w:t>2017</w:t>
      </w:r>
      <w:r>
        <w:rPr/>
        <w:t>俄罗斯联合会杯项目</w:t>
      </w:r>
    </w:p>
    <w:p>
      <w:pPr>
        <w:pStyle w:val="BodyText"/>
        <w:spacing w:line="240" w:lineRule="auto" w:before="63"/>
        <w:ind w:left="513" w:right="0"/>
        <w:jc w:val="left"/>
      </w:pPr>
      <w:r>
        <w:rPr>
          <w:rFonts w:ascii="Times New Roman" w:hAnsi="Times New Roman" w:cs="Times New Roman" w:eastAsia="Times New Roman" w:hint="default"/>
        </w:rPr>
        <w:t>C.</w:t>
      </w:r>
      <w:r>
        <w:rPr/>
        <w:t>租赁系列解决方案</w:t>
      </w:r>
    </w:p>
    <w:p>
      <w:pPr>
        <w:pStyle w:val="BodyText"/>
        <w:spacing w:line="300" w:lineRule="auto" w:before="63"/>
        <w:ind w:right="0" w:firstLine="360"/>
        <w:jc w:val="left"/>
      </w:pPr>
      <w:r>
        <w:rPr>
          <w:spacing w:val="-2"/>
        </w:rPr>
        <w:t>公司为世界顶级音乐会、产品发布会、车展、摄影棚等提供了专业的</w:t>
      </w:r>
      <w:r>
        <w:rPr>
          <w:rFonts w:ascii="Times New Roman" w:hAnsi="Times New Roman" w:cs="Times New Roman" w:eastAsia="Times New Roman" w:hint="default"/>
          <w:spacing w:val="-2"/>
        </w:rPr>
        <w:t>LED</w:t>
      </w:r>
      <w:r>
        <w:rPr>
          <w:spacing w:val="-2"/>
        </w:rPr>
        <w:t>显示解决方案，能灵活的根据客户需求及场合</w:t>
      </w:r>
      <w:r>
        <w:rPr/>
        <w:t> 进行个性化定制。</w:t>
      </w:r>
    </w:p>
    <w:p>
      <w:pPr>
        <w:spacing w:line="240" w:lineRule="auto" w:before="2"/>
        <w:rPr>
          <w:rFonts w:ascii="宋体" w:hAnsi="宋体" w:cs="宋体" w:eastAsia="宋体" w:hint="default"/>
          <w:sz w:val="10"/>
          <w:szCs w:val="10"/>
        </w:rPr>
      </w:pPr>
    </w:p>
    <w:p>
      <w:pPr>
        <w:spacing w:line="4140" w:lineRule="exact"/>
        <w:ind w:left="1312" w:right="0" w:firstLine="0"/>
        <w:rPr>
          <w:rFonts w:ascii="宋体" w:hAnsi="宋体" w:cs="宋体" w:eastAsia="宋体" w:hint="default"/>
          <w:sz w:val="20"/>
          <w:szCs w:val="20"/>
        </w:rPr>
      </w:pPr>
      <w:r>
        <w:rPr>
          <w:rFonts w:ascii="宋体" w:hAnsi="宋体" w:cs="宋体" w:eastAsia="宋体" w:hint="default"/>
          <w:position w:val="-82"/>
          <w:sz w:val="20"/>
          <w:szCs w:val="20"/>
        </w:rPr>
        <w:drawing>
          <wp:inline distT="0" distB="0" distL="0" distR="0">
            <wp:extent cx="4646103" cy="2628900"/>
            <wp:effectExtent l="0" t="0" r="0" b="0"/>
            <wp:docPr id="7" name="image5.jpeg" descr=""/>
            <wp:cNvGraphicFramePr>
              <a:graphicFrameLocks noChangeAspect="1"/>
            </wp:cNvGraphicFramePr>
            <a:graphic>
              <a:graphicData uri="http://schemas.openxmlformats.org/drawingml/2006/picture">
                <pic:pic>
                  <pic:nvPicPr>
                    <pic:cNvPr id="8" name="image5.jpeg"/>
                    <pic:cNvPicPr/>
                  </pic:nvPicPr>
                  <pic:blipFill>
                    <a:blip r:embed="rId16" cstate="print"/>
                    <a:stretch>
                      <a:fillRect/>
                    </a:stretch>
                  </pic:blipFill>
                  <pic:spPr>
                    <a:xfrm>
                      <a:off x="0" y="0"/>
                      <a:ext cx="4646103" cy="2628900"/>
                    </a:xfrm>
                    <a:prstGeom prst="rect">
                      <a:avLst/>
                    </a:prstGeom>
                  </pic:spPr>
                </pic:pic>
              </a:graphicData>
            </a:graphic>
          </wp:inline>
        </w:drawing>
      </w:r>
      <w:r>
        <w:rPr>
          <w:rFonts w:ascii="宋体" w:hAnsi="宋体" w:cs="宋体" w:eastAsia="宋体" w:hint="default"/>
          <w:position w:val="-82"/>
          <w:sz w:val="20"/>
          <w:szCs w:val="20"/>
        </w:rPr>
      </w:r>
    </w:p>
    <w:p>
      <w:pPr>
        <w:spacing w:line="240" w:lineRule="auto" w:before="4"/>
        <w:rPr>
          <w:rFonts w:ascii="宋体" w:hAnsi="宋体" w:cs="宋体" w:eastAsia="宋体" w:hint="default"/>
          <w:sz w:val="6"/>
          <w:szCs w:val="6"/>
        </w:rPr>
      </w:pPr>
    </w:p>
    <w:p>
      <w:pPr>
        <w:pStyle w:val="BodyText"/>
        <w:spacing w:line="240" w:lineRule="auto" w:before="44"/>
        <w:ind w:left="3066" w:right="4042"/>
        <w:jc w:val="center"/>
      </w:pPr>
      <w:r>
        <w:rPr/>
        <w:t>法兰克福车展奔驰展厅项目</w:t>
      </w:r>
    </w:p>
    <w:p>
      <w:pPr>
        <w:pStyle w:val="BodyText"/>
        <w:spacing w:line="240" w:lineRule="auto" w:before="76"/>
        <w:ind w:left="513" w:right="0"/>
        <w:jc w:val="left"/>
      </w:pPr>
      <w:r>
        <w:rPr>
          <w:rFonts w:ascii="Times New Roman" w:hAnsi="Times New Roman" w:cs="Times New Roman" w:eastAsia="Times New Roman" w:hint="default"/>
        </w:rPr>
        <w:t>D.</w:t>
      </w:r>
      <w:r>
        <w:rPr/>
        <w:t>会议室解决方案</w:t>
      </w:r>
    </w:p>
    <w:p>
      <w:pPr>
        <w:pStyle w:val="BodyText"/>
        <w:spacing w:line="300" w:lineRule="auto" w:before="63"/>
        <w:ind w:right="1025" w:firstLine="360"/>
        <w:jc w:val="left"/>
      </w:pPr>
      <w:r>
        <w:rPr>
          <w:spacing w:val="-3"/>
        </w:rPr>
        <w:t>公司为世界各种类型的会议中心提供无缝拼接高分辨率的</w:t>
      </w:r>
      <w:r>
        <w:rPr>
          <w:rFonts w:ascii="Times New Roman" w:hAnsi="Times New Roman" w:cs="Times New Roman" w:eastAsia="Times New Roman" w:hint="default"/>
          <w:spacing w:val="-3"/>
        </w:rPr>
        <w:t>LED</w:t>
      </w:r>
      <w:r>
        <w:rPr>
          <w:spacing w:val="-3"/>
        </w:rPr>
        <w:t>显示系统，包括各类大型会议，新闻发布会及跨国会议等，</w:t>
      </w:r>
      <w:r>
        <w:rPr/>
        <w:t> 为客户打造最优的会议视觉体验效果，提升客户投资价值。</w:t>
      </w:r>
    </w:p>
    <w:p>
      <w:pPr>
        <w:spacing w:after="0" w:line="300" w:lineRule="auto"/>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8"/>
          <w:szCs w:val="18"/>
        </w:rPr>
      </w:pPr>
    </w:p>
    <w:p>
      <w:pPr>
        <w:spacing w:line="4098" w:lineRule="exact"/>
        <w:ind w:left="1325" w:right="0" w:firstLine="0"/>
        <w:rPr>
          <w:rFonts w:ascii="宋体" w:hAnsi="宋体" w:cs="宋体" w:eastAsia="宋体" w:hint="default"/>
          <w:sz w:val="20"/>
          <w:szCs w:val="20"/>
        </w:rPr>
      </w:pPr>
      <w:r>
        <w:rPr>
          <w:rFonts w:ascii="宋体" w:hAnsi="宋体" w:cs="宋体" w:eastAsia="宋体" w:hint="default"/>
          <w:position w:val="-81"/>
          <w:sz w:val="20"/>
          <w:szCs w:val="20"/>
        </w:rPr>
        <w:drawing>
          <wp:inline distT="0" distB="0" distL="0" distR="0">
            <wp:extent cx="4627357" cy="2602611"/>
            <wp:effectExtent l="0" t="0" r="0" b="0"/>
            <wp:docPr id="9" name="image6.jpeg" descr=""/>
            <wp:cNvGraphicFramePr>
              <a:graphicFrameLocks noChangeAspect="1"/>
            </wp:cNvGraphicFramePr>
            <a:graphic>
              <a:graphicData uri="http://schemas.openxmlformats.org/drawingml/2006/picture">
                <pic:pic>
                  <pic:nvPicPr>
                    <pic:cNvPr id="10" name="image6.jpeg"/>
                    <pic:cNvPicPr/>
                  </pic:nvPicPr>
                  <pic:blipFill>
                    <a:blip r:embed="rId17" cstate="print"/>
                    <a:stretch>
                      <a:fillRect/>
                    </a:stretch>
                  </pic:blipFill>
                  <pic:spPr>
                    <a:xfrm>
                      <a:off x="0" y="0"/>
                      <a:ext cx="4627357" cy="2602611"/>
                    </a:xfrm>
                    <a:prstGeom prst="rect">
                      <a:avLst/>
                    </a:prstGeom>
                  </pic:spPr>
                </pic:pic>
              </a:graphicData>
            </a:graphic>
          </wp:inline>
        </w:drawing>
      </w:r>
      <w:r>
        <w:rPr>
          <w:rFonts w:ascii="宋体" w:hAnsi="宋体" w:cs="宋体" w:eastAsia="宋体" w:hint="default"/>
          <w:position w:val="-81"/>
          <w:sz w:val="20"/>
          <w:szCs w:val="20"/>
        </w:rPr>
      </w:r>
    </w:p>
    <w:p>
      <w:pPr>
        <w:spacing w:line="240" w:lineRule="auto" w:before="3"/>
        <w:rPr>
          <w:rFonts w:ascii="宋体" w:hAnsi="宋体" w:cs="宋体" w:eastAsia="宋体" w:hint="default"/>
          <w:sz w:val="8"/>
          <w:szCs w:val="8"/>
        </w:rPr>
      </w:pPr>
    </w:p>
    <w:p>
      <w:pPr>
        <w:pStyle w:val="BodyText"/>
        <w:spacing w:line="240" w:lineRule="auto" w:before="44"/>
        <w:ind w:left="3066" w:right="4042"/>
        <w:jc w:val="center"/>
      </w:pPr>
      <w:r>
        <w:rPr/>
        <w:t>中国电信总部会议室项目</w:t>
      </w:r>
    </w:p>
    <w:p>
      <w:pPr>
        <w:pStyle w:val="BodyText"/>
        <w:spacing w:line="240" w:lineRule="auto" w:before="76"/>
        <w:ind w:left="513" w:right="0"/>
        <w:jc w:val="left"/>
      </w:pPr>
      <w:r>
        <w:rPr>
          <w:rFonts w:ascii="Times New Roman" w:hAnsi="Times New Roman" w:cs="Times New Roman" w:eastAsia="Times New Roman" w:hint="default"/>
        </w:rPr>
        <w:t>E.</w:t>
      </w:r>
      <w:r>
        <w:rPr/>
        <w:t>控制室解决方案</w:t>
      </w:r>
    </w:p>
    <w:p>
      <w:pPr>
        <w:pStyle w:val="BodyText"/>
        <w:spacing w:line="240" w:lineRule="auto" w:before="63"/>
        <w:ind w:left="513" w:right="0"/>
        <w:jc w:val="left"/>
      </w:pPr>
      <w:r>
        <w:rPr/>
        <w:t>公司为控制运营中心提供高端小间距</w:t>
      </w:r>
      <w:r>
        <w:rPr>
          <w:rFonts w:ascii="Times New Roman" w:hAnsi="Times New Roman" w:cs="Times New Roman" w:eastAsia="Times New Roman" w:hint="default"/>
        </w:rPr>
        <w:t>LED</w:t>
      </w:r>
      <w:r>
        <w:rPr/>
        <w:t>显示解决方案，适用于交通管理、网络监控、军工应用等特殊领域。</w:t>
      </w:r>
    </w:p>
    <w:p>
      <w:pPr>
        <w:spacing w:line="240" w:lineRule="auto" w:before="8"/>
        <w:rPr>
          <w:rFonts w:ascii="宋体" w:hAnsi="宋体" w:cs="宋体" w:eastAsia="宋体" w:hint="default"/>
          <w:sz w:val="13"/>
          <w:szCs w:val="13"/>
        </w:rPr>
      </w:pPr>
    </w:p>
    <w:p>
      <w:pPr>
        <w:spacing w:line="4110" w:lineRule="exact"/>
        <w:ind w:left="1325" w:right="0" w:firstLine="0"/>
        <w:rPr>
          <w:rFonts w:ascii="宋体" w:hAnsi="宋体" w:cs="宋体" w:eastAsia="宋体" w:hint="default"/>
          <w:sz w:val="20"/>
          <w:szCs w:val="20"/>
        </w:rPr>
      </w:pPr>
      <w:r>
        <w:rPr>
          <w:rFonts w:ascii="宋体" w:hAnsi="宋体" w:cs="宋体" w:eastAsia="宋体" w:hint="default"/>
          <w:position w:val="-81"/>
          <w:sz w:val="20"/>
          <w:szCs w:val="20"/>
        </w:rPr>
        <w:drawing>
          <wp:inline distT="0" distB="0" distL="0" distR="0">
            <wp:extent cx="4625572" cy="2609850"/>
            <wp:effectExtent l="0" t="0" r="0" b="0"/>
            <wp:docPr id="11" name="image7.jpeg" descr=""/>
            <wp:cNvGraphicFramePr>
              <a:graphicFrameLocks noChangeAspect="1"/>
            </wp:cNvGraphicFramePr>
            <a:graphic>
              <a:graphicData uri="http://schemas.openxmlformats.org/drawingml/2006/picture">
                <pic:pic>
                  <pic:nvPicPr>
                    <pic:cNvPr id="12" name="image7.jpeg"/>
                    <pic:cNvPicPr/>
                  </pic:nvPicPr>
                  <pic:blipFill>
                    <a:blip r:embed="rId18" cstate="print"/>
                    <a:stretch>
                      <a:fillRect/>
                    </a:stretch>
                  </pic:blipFill>
                  <pic:spPr>
                    <a:xfrm>
                      <a:off x="0" y="0"/>
                      <a:ext cx="4625572" cy="2609850"/>
                    </a:xfrm>
                    <a:prstGeom prst="rect">
                      <a:avLst/>
                    </a:prstGeom>
                  </pic:spPr>
                </pic:pic>
              </a:graphicData>
            </a:graphic>
          </wp:inline>
        </w:drawing>
      </w:r>
      <w:r>
        <w:rPr>
          <w:rFonts w:ascii="宋体" w:hAnsi="宋体" w:cs="宋体" w:eastAsia="宋体" w:hint="default"/>
          <w:position w:val="-81"/>
          <w:sz w:val="20"/>
          <w:szCs w:val="20"/>
        </w:rPr>
      </w:r>
    </w:p>
    <w:p>
      <w:pPr>
        <w:spacing w:line="240" w:lineRule="auto" w:before="7"/>
        <w:rPr>
          <w:rFonts w:ascii="宋体" w:hAnsi="宋体" w:cs="宋体" w:eastAsia="宋体" w:hint="default"/>
          <w:sz w:val="7"/>
          <w:szCs w:val="7"/>
        </w:rPr>
      </w:pPr>
    </w:p>
    <w:p>
      <w:pPr>
        <w:pStyle w:val="BodyText"/>
        <w:spacing w:line="240" w:lineRule="auto" w:before="44"/>
        <w:ind w:left="3066" w:right="4042"/>
        <w:jc w:val="center"/>
      </w:pPr>
      <w:r>
        <w:rPr/>
        <w:t>某市智能交通指挥中心项目</w:t>
      </w:r>
    </w:p>
    <w:p>
      <w:pPr>
        <w:pStyle w:val="BodyText"/>
        <w:spacing w:line="240" w:lineRule="auto" w:before="76"/>
        <w:ind w:left="513" w:right="0"/>
        <w:jc w:val="left"/>
      </w:pPr>
      <w:r>
        <w:rPr>
          <w:rFonts w:ascii="Times New Roman" w:hAnsi="Times New Roman" w:cs="Times New Roman" w:eastAsia="Times New Roman" w:hint="default"/>
        </w:rPr>
        <w:t>F.</w:t>
      </w:r>
      <w:r>
        <w:rPr/>
        <w:t>数字媒体解决方案</w:t>
      </w:r>
    </w:p>
    <w:p>
      <w:pPr>
        <w:pStyle w:val="BodyText"/>
        <w:spacing w:line="300" w:lineRule="auto" w:before="63"/>
        <w:ind w:right="1118" w:firstLine="360"/>
        <w:jc w:val="left"/>
      </w:pPr>
      <w:r>
        <w:rPr/>
        <w:t>公司的</w:t>
      </w:r>
      <w:r>
        <w:rPr>
          <w:rFonts w:ascii="Times New Roman" w:hAnsi="Times New Roman" w:cs="Times New Roman" w:eastAsia="Times New Roman" w:hint="default"/>
        </w:rPr>
        <w:t>LED</w:t>
      </w:r>
      <w:r>
        <w:rPr/>
        <w:t>显示屏凭借着艳丽的颜色和出色的画质，闪耀世界各大城市，为游客提供最佳的视觉盛宴。公司广告行业 </w:t>
      </w:r>
      <w:r>
        <w:rPr>
          <w:rFonts w:ascii="Times New Roman" w:hAnsi="Times New Roman" w:cs="Times New Roman" w:eastAsia="Times New Roman" w:hint="default"/>
          <w:spacing w:val="-2"/>
        </w:rPr>
        <w:t>LED</w:t>
      </w:r>
      <w:r>
        <w:rPr>
          <w:spacing w:val="-2"/>
        </w:rPr>
        <w:t>解决方案已应用于纽约时代广场、伦敦滑铁卢火车站、伦敦火炬塔和其他世界尖端广告位，受到了客户和受众的高度赞</w:t>
      </w:r>
      <w:r>
        <w:rPr>
          <w:spacing w:val="-53"/>
        </w:rPr>
        <w:t> </w:t>
      </w:r>
      <w:r>
        <w:rPr>
          <w:spacing w:val="-53"/>
        </w:rPr>
      </w:r>
      <w:r>
        <w:rPr/>
        <w:t>赏。</w:t>
      </w:r>
    </w:p>
    <w:p>
      <w:pPr>
        <w:spacing w:after="0" w:line="300" w:lineRule="auto"/>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8"/>
          <w:szCs w:val="18"/>
        </w:rPr>
      </w:pPr>
    </w:p>
    <w:p>
      <w:pPr>
        <w:spacing w:line="4098" w:lineRule="exact"/>
        <w:ind w:left="1325" w:right="0" w:firstLine="0"/>
        <w:rPr>
          <w:rFonts w:ascii="宋体" w:hAnsi="宋体" w:cs="宋体" w:eastAsia="宋体" w:hint="default"/>
          <w:sz w:val="20"/>
          <w:szCs w:val="20"/>
        </w:rPr>
      </w:pPr>
      <w:r>
        <w:rPr>
          <w:rFonts w:ascii="宋体" w:hAnsi="宋体" w:cs="宋体" w:eastAsia="宋体" w:hint="default"/>
          <w:position w:val="-81"/>
          <w:sz w:val="20"/>
          <w:szCs w:val="20"/>
        </w:rPr>
        <w:drawing>
          <wp:inline distT="0" distB="0" distL="0" distR="0">
            <wp:extent cx="4627357" cy="2602611"/>
            <wp:effectExtent l="0" t="0" r="0" b="0"/>
            <wp:docPr id="13" name="image8.jpeg" descr=""/>
            <wp:cNvGraphicFramePr>
              <a:graphicFrameLocks noChangeAspect="1"/>
            </wp:cNvGraphicFramePr>
            <a:graphic>
              <a:graphicData uri="http://schemas.openxmlformats.org/drawingml/2006/picture">
                <pic:pic>
                  <pic:nvPicPr>
                    <pic:cNvPr id="14" name="image8.jpeg"/>
                    <pic:cNvPicPr/>
                  </pic:nvPicPr>
                  <pic:blipFill>
                    <a:blip r:embed="rId19" cstate="print"/>
                    <a:stretch>
                      <a:fillRect/>
                    </a:stretch>
                  </pic:blipFill>
                  <pic:spPr>
                    <a:xfrm>
                      <a:off x="0" y="0"/>
                      <a:ext cx="4627357" cy="2602611"/>
                    </a:xfrm>
                    <a:prstGeom prst="rect">
                      <a:avLst/>
                    </a:prstGeom>
                  </pic:spPr>
                </pic:pic>
              </a:graphicData>
            </a:graphic>
          </wp:inline>
        </w:drawing>
      </w:r>
      <w:r>
        <w:rPr>
          <w:rFonts w:ascii="宋体" w:hAnsi="宋体" w:cs="宋体" w:eastAsia="宋体" w:hint="default"/>
          <w:position w:val="-81"/>
          <w:sz w:val="20"/>
          <w:szCs w:val="20"/>
        </w:rPr>
      </w:r>
    </w:p>
    <w:p>
      <w:pPr>
        <w:spacing w:line="240" w:lineRule="auto" w:before="3"/>
        <w:rPr>
          <w:rFonts w:ascii="宋体" w:hAnsi="宋体" w:cs="宋体" w:eastAsia="宋体" w:hint="default"/>
          <w:sz w:val="8"/>
          <w:szCs w:val="8"/>
        </w:rPr>
      </w:pPr>
    </w:p>
    <w:p>
      <w:pPr>
        <w:pStyle w:val="BodyText"/>
        <w:spacing w:line="240" w:lineRule="auto" w:before="44"/>
        <w:ind w:left="3066" w:right="4042"/>
        <w:jc w:val="center"/>
      </w:pPr>
      <w:r>
        <w:rPr/>
        <w:t>纽约时代广场项目</w:t>
      </w:r>
    </w:p>
    <w:p>
      <w:pPr>
        <w:pStyle w:val="BodyText"/>
        <w:spacing w:line="240" w:lineRule="auto" w:before="76"/>
        <w:ind w:left="513" w:right="0"/>
        <w:jc w:val="left"/>
      </w:pPr>
      <w:r>
        <w:rPr>
          <w:rFonts w:ascii="Times New Roman" w:hAnsi="Times New Roman" w:cs="Times New Roman" w:eastAsia="Times New Roman" w:hint="default"/>
        </w:rPr>
        <w:t>G.</w:t>
      </w:r>
      <w:r>
        <w:rPr/>
        <w:t>电视演播室解决方案</w:t>
      </w:r>
    </w:p>
    <w:p>
      <w:pPr>
        <w:pStyle w:val="BodyText"/>
        <w:spacing w:line="309" w:lineRule="auto" w:before="63"/>
        <w:ind w:left="154" w:right="1118" w:firstLine="360"/>
        <w:jc w:val="left"/>
      </w:pPr>
      <w:r>
        <w:rPr/>
        <w:t>公司为电视广播行业打造的小间距解决方案，不仅能提供高饱和度、高颜色还原度、高对比度和高刷新率，还能解决 </w:t>
      </w:r>
      <w:r>
        <w:rPr>
          <w:rFonts w:ascii="Times New Roman" w:hAnsi="Times New Roman" w:cs="Times New Roman" w:eastAsia="Times New Roman" w:hint="default"/>
          <w:spacing w:val="-2"/>
        </w:rPr>
        <w:t>LCD</w:t>
      </w:r>
      <w:r>
        <w:rPr>
          <w:spacing w:val="-2"/>
        </w:rPr>
        <w:t>和</w:t>
      </w:r>
      <w:r>
        <w:rPr>
          <w:rFonts w:ascii="Times New Roman" w:hAnsi="Times New Roman" w:cs="Times New Roman" w:eastAsia="Times New Roman" w:hint="default"/>
          <w:spacing w:val="-2"/>
        </w:rPr>
        <w:t>DLP</w:t>
      </w:r>
      <w:r>
        <w:rPr>
          <w:spacing w:val="-2"/>
        </w:rPr>
        <w:t>产品在广电应用领域的固有缺陷，完美匹配广电行业的显示需求，为室内应用带来卓越的显示效果和零噪音运行</w:t>
      </w:r>
      <w:r>
        <w:rPr>
          <w:spacing w:val="-44"/>
        </w:rPr>
        <w:t> </w:t>
      </w:r>
      <w:r>
        <w:rPr>
          <w:spacing w:val="-44"/>
        </w:rPr>
      </w:r>
      <w:r>
        <w:rPr/>
        <w:t>环境。</w:t>
      </w:r>
    </w:p>
    <w:p>
      <w:pPr>
        <w:spacing w:line="240" w:lineRule="auto" w:before="11"/>
        <w:rPr>
          <w:rFonts w:ascii="宋体" w:hAnsi="宋体" w:cs="宋体" w:eastAsia="宋体" w:hint="default"/>
          <w:sz w:val="10"/>
          <w:szCs w:val="10"/>
        </w:rPr>
      </w:pPr>
    </w:p>
    <w:p>
      <w:pPr>
        <w:spacing w:line="4098" w:lineRule="exact"/>
        <w:ind w:left="1325" w:right="0" w:firstLine="0"/>
        <w:rPr>
          <w:rFonts w:ascii="宋体" w:hAnsi="宋体" w:cs="宋体" w:eastAsia="宋体" w:hint="default"/>
          <w:sz w:val="20"/>
          <w:szCs w:val="20"/>
        </w:rPr>
      </w:pPr>
      <w:r>
        <w:rPr>
          <w:rFonts w:ascii="宋体" w:hAnsi="宋体" w:cs="宋体" w:eastAsia="宋体" w:hint="default"/>
          <w:position w:val="-81"/>
          <w:sz w:val="20"/>
          <w:szCs w:val="20"/>
        </w:rPr>
        <w:drawing>
          <wp:inline distT="0" distB="0" distL="0" distR="0">
            <wp:extent cx="4627357" cy="2602611"/>
            <wp:effectExtent l="0" t="0" r="0" b="0"/>
            <wp:docPr id="15" name="image9.jpeg" descr=""/>
            <wp:cNvGraphicFramePr>
              <a:graphicFrameLocks noChangeAspect="1"/>
            </wp:cNvGraphicFramePr>
            <a:graphic>
              <a:graphicData uri="http://schemas.openxmlformats.org/drawingml/2006/picture">
                <pic:pic>
                  <pic:nvPicPr>
                    <pic:cNvPr id="16" name="image9.jpeg"/>
                    <pic:cNvPicPr/>
                  </pic:nvPicPr>
                  <pic:blipFill>
                    <a:blip r:embed="rId20" cstate="print"/>
                    <a:stretch>
                      <a:fillRect/>
                    </a:stretch>
                  </pic:blipFill>
                  <pic:spPr>
                    <a:xfrm>
                      <a:off x="0" y="0"/>
                      <a:ext cx="4627357" cy="2602611"/>
                    </a:xfrm>
                    <a:prstGeom prst="rect">
                      <a:avLst/>
                    </a:prstGeom>
                  </pic:spPr>
                </pic:pic>
              </a:graphicData>
            </a:graphic>
          </wp:inline>
        </w:drawing>
      </w:r>
      <w:r>
        <w:rPr>
          <w:rFonts w:ascii="宋体" w:hAnsi="宋体" w:cs="宋体" w:eastAsia="宋体" w:hint="default"/>
          <w:position w:val="-81"/>
          <w:sz w:val="20"/>
          <w:szCs w:val="20"/>
        </w:rPr>
      </w:r>
    </w:p>
    <w:p>
      <w:pPr>
        <w:spacing w:line="240" w:lineRule="auto" w:before="3"/>
        <w:rPr>
          <w:rFonts w:ascii="宋体" w:hAnsi="宋体" w:cs="宋体" w:eastAsia="宋体" w:hint="default"/>
          <w:sz w:val="8"/>
          <w:szCs w:val="8"/>
        </w:rPr>
      </w:pPr>
    </w:p>
    <w:p>
      <w:pPr>
        <w:pStyle w:val="BodyText"/>
        <w:spacing w:line="240" w:lineRule="auto" w:before="44"/>
        <w:ind w:left="3066" w:right="4042"/>
        <w:jc w:val="center"/>
      </w:pPr>
      <w:r>
        <w:rPr/>
        <w:t>德国</w:t>
      </w:r>
      <w:r>
        <w:rPr>
          <w:rFonts w:ascii="Times New Roman" w:hAnsi="Times New Roman" w:cs="Times New Roman" w:eastAsia="Times New Roman" w:hint="default"/>
        </w:rPr>
        <w:t>SKY</w:t>
      </w:r>
      <w:r>
        <w:rPr/>
        <w:t>电视台项目</w:t>
      </w:r>
    </w:p>
    <w:p>
      <w:pPr>
        <w:pStyle w:val="BodyText"/>
        <w:spacing w:line="240" w:lineRule="auto" w:before="63"/>
        <w:ind w:left="513" w:right="0"/>
        <w:jc w:val="left"/>
      </w:pPr>
      <w:r>
        <w:rPr>
          <w:rFonts w:ascii="Times New Roman" w:hAnsi="Times New Roman" w:cs="Times New Roman" w:eastAsia="Times New Roman" w:hint="default"/>
        </w:rPr>
        <w:t>H.</w:t>
      </w:r>
      <w:r>
        <w:rPr/>
        <w:t>照明工程解决方案</w:t>
      </w:r>
    </w:p>
    <w:p>
      <w:pPr>
        <w:pStyle w:val="BodyText"/>
        <w:spacing w:line="300" w:lineRule="auto" w:before="63"/>
        <w:ind w:right="1131" w:firstLine="360"/>
        <w:jc w:val="both"/>
      </w:pPr>
      <w:r>
        <w:rPr>
          <w:spacing w:val="-2"/>
        </w:rPr>
        <w:t>公司全资子公司千百辉为国内各大城市提供专业的</w:t>
      </w:r>
      <w:r>
        <w:rPr>
          <w:rFonts w:ascii="Times New Roman" w:hAnsi="Times New Roman" w:cs="Times New Roman" w:eastAsia="Times New Roman" w:hint="default"/>
          <w:spacing w:val="-2"/>
        </w:rPr>
        <w:t>LED</w:t>
      </w:r>
      <w:r>
        <w:rPr>
          <w:spacing w:val="-2"/>
        </w:rPr>
        <w:t>景观照明解决方案，为城市的夜晚增添一道亮丽的风景，促进夜</w:t>
      </w:r>
      <w:r>
        <w:rPr/>
        <w:t> </w:t>
      </w:r>
      <w:r>
        <w:rPr>
          <w:spacing w:val="-2"/>
        </w:rPr>
        <w:t>游经济的快速发展。千百辉的</w:t>
      </w:r>
      <w:r>
        <w:rPr>
          <w:rFonts w:ascii="Times New Roman" w:hAnsi="Times New Roman" w:cs="Times New Roman" w:eastAsia="Times New Roman" w:hint="default"/>
          <w:spacing w:val="-2"/>
        </w:rPr>
        <w:t>LED</w:t>
      </w:r>
      <w:r>
        <w:rPr>
          <w:spacing w:val="-2"/>
        </w:rPr>
        <w:t>景观照明解决方案已应用于长春人民大街、乌海甘德尔山、西安灞河、武汉汉秀剧场及厦</w:t>
      </w:r>
      <w:r>
        <w:rPr>
          <w:spacing w:val="-53"/>
        </w:rPr>
        <w:t> </w:t>
      </w:r>
      <w:r>
        <w:rPr>
          <w:spacing w:val="-53"/>
        </w:rPr>
      </w:r>
      <w:r>
        <w:rPr/>
        <w:t>门金砖五国会议国际会议中心等项目，广受业主及游客的好评。</w:t>
      </w:r>
    </w:p>
    <w:p>
      <w:pPr>
        <w:spacing w:after="0" w:line="300" w:lineRule="auto"/>
        <w:jc w:val="both"/>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8"/>
          <w:szCs w:val="18"/>
        </w:rPr>
      </w:pPr>
    </w:p>
    <w:p>
      <w:pPr>
        <w:spacing w:line="4098" w:lineRule="exact"/>
        <w:ind w:left="1325" w:right="0" w:firstLine="0"/>
        <w:rPr>
          <w:rFonts w:ascii="宋体" w:hAnsi="宋体" w:cs="宋体" w:eastAsia="宋体" w:hint="default"/>
          <w:sz w:val="20"/>
          <w:szCs w:val="20"/>
        </w:rPr>
      </w:pPr>
      <w:r>
        <w:rPr>
          <w:rFonts w:ascii="宋体" w:hAnsi="宋体" w:cs="宋体" w:eastAsia="宋体" w:hint="default"/>
          <w:position w:val="-81"/>
          <w:sz w:val="20"/>
          <w:szCs w:val="20"/>
        </w:rPr>
        <w:drawing>
          <wp:inline distT="0" distB="0" distL="0" distR="0">
            <wp:extent cx="4627357" cy="2602611"/>
            <wp:effectExtent l="0" t="0" r="0" b="0"/>
            <wp:docPr id="17" name="image10.jpeg" descr=""/>
            <wp:cNvGraphicFramePr>
              <a:graphicFrameLocks noChangeAspect="1"/>
            </wp:cNvGraphicFramePr>
            <a:graphic>
              <a:graphicData uri="http://schemas.openxmlformats.org/drawingml/2006/picture">
                <pic:pic>
                  <pic:nvPicPr>
                    <pic:cNvPr id="18" name="image10.jpeg"/>
                    <pic:cNvPicPr/>
                  </pic:nvPicPr>
                  <pic:blipFill>
                    <a:blip r:embed="rId21" cstate="print"/>
                    <a:stretch>
                      <a:fillRect/>
                    </a:stretch>
                  </pic:blipFill>
                  <pic:spPr>
                    <a:xfrm>
                      <a:off x="0" y="0"/>
                      <a:ext cx="4627357" cy="2602611"/>
                    </a:xfrm>
                    <a:prstGeom prst="rect">
                      <a:avLst/>
                    </a:prstGeom>
                  </pic:spPr>
                </pic:pic>
              </a:graphicData>
            </a:graphic>
          </wp:inline>
        </w:drawing>
      </w:r>
      <w:r>
        <w:rPr>
          <w:rFonts w:ascii="宋体" w:hAnsi="宋体" w:cs="宋体" w:eastAsia="宋体" w:hint="default"/>
          <w:position w:val="-81"/>
          <w:sz w:val="20"/>
          <w:szCs w:val="20"/>
        </w:rPr>
      </w:r>
    </w:p>
    <w:p>
      <w:pPr>
        <w:spacing w:line="240" w:lineRule="auto" w:before="3"/>
        <w:rPr>
          <w:rFonts w:ascii="宋体" w:hAnsi="宋体" w:cs="宋体" w:eastAsia="宋体" w:hint="default"/>
          <w:sz w:val="8"/>
          <w:szCs w:val="8"/>
        </w:rPr>
      </w:pPr>
    </w:p>
    <w:p>
      <w:pPr>
        <w:pStyle w:val="BodyText"/>
        <w:spacing w:line="240" w:lineRule="auto" w:before="44"/>
        <w:ind w:left="3066" w:right="4042"/>
        <w:jc w:val="center"/>
      </w:pPr>
      <w:r>
        <w:rPr/>
        <w:t>西安灞河之滨项目</w:t>
      </w:r>
    </w:p>
    <w:p>
      <w:pPr>
        <w:pStyle w:val="BodyText"/>
        <w:spacing w:line="240" w:lineRule="auto" w:before="76"/>
        <w:ind w:left="513" w:right="0"/>
        <w:jc w:val="left"/>
      </w:pPr>
      <w:r>
        <w:rPr>
          <w:rFonts w:ascii="Times New Roman" w:hAnsi="Times New Roman" w:cs="Times New Roman" w:eastAsia="Times New Roman" w:hint="default"/>
        </w:rPr>
        <w:t>I.LED</w:t>
      </w:r>
      <w:r>
        <w:rPr/>
        <w:t>创意显示解决方案</w:t>
      </w:r>
    </w:p>
    <w:p>
      <w:pPr>
        <w:pStyle w:val="BodyText"/>
        <w:spacing w:line="300" w:lineRule="auto" w:before="63"/>
        <w:ind w:right="1033" w:firstLine="360"/>
        <w:jc w:val="left"/>
      </w:pPr>
      <w:r>
        <w:rPr/>
        <w:t>公司控股子公司奥拓立翔用科技与艺术结合的手法为国内外各大城市塑造唯美的</w:t>
      </w:r>
      <w:r>
        <w:rPr>
          <w:rFonts w:ascii="Times New Roman" w:hAnsi="Times New Roman" w:cs="Times New Roman" w:eastAsia="Times New Roman" w:hint="default"/>
        </w:rPr>
        <w:t>LED</w:t>
      </w:r>
      <w:r>
        <w:rPr/>
        <w:t>创意显示作品。奥拓立翔的</w:t>
      </w:r>
      <w:r>
        <w:rPr>
          <w:rFonts w:ascii="Times New Roman" w:hAnsi="Times New Roman" w:cs="Times New Roman" w:eastAsia="Times New Roman" w:hint="default"/>
        </w:rPr>
        <w:t>LED</w:t>
      </w:r>
      <w:r>
        <w:rPr/>
        <w:t>创 意显示解决方案已用于中国、美国、加拿大、墨西哥及英国等国家，多个作品成为各国重要城市地标，彰显城市个性文化。</w:t>
      </w:r>
    </w:p>
    <w:p>
      <w:pPr>
        <w:spacing w:line="240" w:lineRule="auto" w:before="6"/>
        <w:rPr>
          <w:rFonts w:ascii="宋体" w:hAnsi="宋体" w:cs="宋体" w:eastAsia="宋体" w:hint="default"/>
          <w:sz w:val="11"/>
          <w:szCs w:val="11"/>
        </w:rPr>
      </w:pPr>
    </w:p>
    <w:p>
      <w:pPr>
        <w:spacing w:line="4098" w:lineRule="exact"/>
        <w:ind w:left="1325" w:right="0" w:firstLine="0"/>
        <w:rPr>
          <w:rFonts w:ascii="宋体" w:hAnsi="宋体" w:cs="宋体" w:eastAsia="宋体" w:hint="default"/>
          <w:sz w:val="20"/>
          <w:szCs w:val="20"/>
        </w:rPr>
      </w:pPr>
      <w:r>
        <w:rPr>
          <w:rFonts w:ascii="宋体" w:hAnsi="宋体" w:cs="宋体" w:eastAsia="宋体" w:hint="default"/>
          <w:position w:val="-81"/>
          <w:sz w:val="20"/>
          <w:szCs w:val="20"/>
        </w:rPr>
        <w:drawing>
          <wp:inline distT="0" distB="0" distL="0" distR="0">
            <wp:extent cx="4627357" cy="2602611"/>
            <wp:effectExtent l="0" t="0" r="0" b="0"/>
            <wp:docPr id="19" name="image11.jpeg" descr=""/>
            <wp:cNvGraphicFramePr>
              <a:graphicFrameLocks noChangeAspect="1"/>
            </wp:cNvGraphicFramePr>
            <a:graphic>
              <a:graphicData uri="http://schemas.openxmlformats.org/drawingml/2006/picture">
                <pic:pic>
                  <pic:nvPicPr>
                    <pic:cNvPr id="20" name="image11.jpeg"/>
                    <pic:cNvPicPr/>
                  </pic:nvPicPr>
                  <pic:blipFill>
                    <a:blip r:embed="rId22" cstate="print"/>
                    <a:stretch>
                      <a:fillRect/>
                    </a:stretch>
                  </pic:blipFill>
                  <pic:spPr>
                    <a:xfrm>
                      <a:off x="0" y="0"/>
                      <a:ext cx="4627357" cy="2602611"/>
                    </a:xfrm>
                    <a:prstGeom prst="rect">
                      <a:avLst/>
                    </a:prstGeom>
                  </pic:spPr>
                </pic:pic>
              </a:graphicData>
            </a:graphic>
          </wp:inline>
        </w:drawing>
      </w:r>
      <w:r>
        <w:rPr>
          <w:rFonts w:ascii="宋体" w:hAnsi="宋体" w:cs="宋体" w:eastAsia="宋体" w:hint="default"/>
          <w:position w:val="-81"/>
          <w:sz w:val="20"/>
          <w:szCs w:val="20"/>
        </w:rPr>
      </w:r>
    </w:p>
    <w:p>
      <w:pPr>
        <w:spacing w:line="240" w:lineRule="auto" w:before="3"/>
        <w:rPr>
          <w:rFonts w:ascii="宋体" w:hAnsi="宋体" w:cs="宋体" w:eastAsia="宋体" w:hint="default"/>
          <w:sz w:val="8"/>
          <w:szCs w:val="8"/>
        </w:rPr>
      </w:pPr>
    </w:p>
    <w:p>
      <w:pPr>
        <w:spacing w:after="0" w:line="240" w:lineRule="auto"/>
        <w:rPr>
          <w:rFonts w:ascii="宋体" w:hAnsi="宋体" w:cs="宋体" w:eastAsia="宋体" w:hint="default"/>
          <w:sz w:val="8"/>
          <w:szCs w:val="8"/>
        </w:rPr>
        <w:sectPr>
          <w:pgSz w:w="11910" w:h="16840"/>
          <w:pgMar w:header="747" w:footer="979" w:top="1060" w:bottom="1160" w:left="980" w:right="0"/>
        </w:sectPr>
      </w:pPr>
    </w:p>
    <w:p>
      <w:pPr>
        <w:spacing w:line="240" w:lineRule="auto" w:before="0"/>
        <w:rPr>
          <w:rFonts w:ascii="宋体" w:hAnsi="宋体" w:cs="宋体" w:eastAsia="宋体" w:hint="default"/>
          <w:sz w:val="18"/>
          <w:szCs w:val="18"/>
        </w:rPr>
      </w:pPr>
    </w:p>
    <w:p>
      <w:pPr>
        <w:pStyle w:val="Heading4"/>
        <w:spacing w:line="240" w:lineRule="auto" w:before="121"/>
        <w:ind w:right="-20"/>
        <w:jc w:val="left"/>
        <w:rPr>
          <w:b w:val="0"/>
          <w:bCs w:val="0"/>
        </w:rPr>
      </w:pPr>
      <w:r>
        <w:rPr/>
        <w:t>（</w:t>
      </w:r>
      <w:r>
        <w:rPr>
          <w:rFonts w:ascii="Times New Roman" w:hAnsi="Times New Roman" w:cs="Times New Roman" w:eastAsia="Times New Roman" w:hint="default"/>
        </w:rPr>
        <w:t>2</w:t>
      </w:r>
      <w:r>
        <w:rPr/>
        <w:t>）金融科技：</w:t>
      </w:r>
      <w:r>
        <w:rPr>
          <w:b w:val="0"/>
          <w:bCs w:val="0"/>
        </w:rPr>
      </w:r>
    </w:p>
    <w:p>
      <w:pPr>
        <w:pStyle w:val="BodyText"/>
        <w:spacing w:line="240" w:lineRule="auto" w:before="63"/>
        <w:ind w:left="514" w:right="-20"/>
        <w:jc w:val="left"/>
      </w:pPr>
      <w:r>
        <w:rPr>
          <w:rFonts w:ascii="Times New Roman" w:hAnsi="Times New Roman" w:cs="Times New Roman" w:eastAsia="Times New Roman" w:hint="default"/>
        </w:rPr>
        <w:t>A.</w:t>
      </w:r>
      <w:r>
        <w:rPr/>
        <w:t>智能服务机器人解决方案</w:t>
      </w:r>
    </w:p>
    <w:p>
      <w:pPr>
        <w:pStyle w:val="BodyText"/>
        <w:spacing w:line="240" w:lineRule="auto" w:before="44"/>
        <w:ind w:left="514" w:right="0"/>
        <w:jc w:val="left"/>
      </w:pPr>
      <w:r>
        <w:rPr/>
        <w:br w:type="column"/>
      </w:r>
      <w:r>
        <w:rPr/>
        <w:t>柳州金绿洲星光大道项目</w:t>
      </w:r>
    </w:p>
    <w:p>
      <w:pPr>
        <w:spacing w:after="0" w:line="240" w:lineRule="auto"/>
        <w:jc w:val="left"/>
        <w:sectPr>
          <w:type w:val="continuous"/>
          <w:pgSz w:w="11910" w:h="16840"/>
          <w:pgMar w:top="1060" w:bottom="1160" w:left="980" w:right="0"/>
          <w:cols w:num="2" w:equalWidth="0">
            <w:col w:w="2670" w:space="800"/>
            <w:col w:w="7460"/>
          </w:cols>
        </w:sectPr>
      </w:pPr>
    </w:p>
    <w:p>
      <w:pPr>
        <w:pStyle w:val="BodyText"/>
        <w:spacing w:line="316" w:lineRule="auto" w:before="63"/>
        <w:ind w:left="154" w:right="0" w:firstLine="360"/>
        <w:jc w:val="left"/>
      </w:pPr>
      <w:r>
        <w:rPr>
          <w:spacing w:val="-4"/>
        </w:rPr>
        <w:t>公司最新研发的智能服务型机器人根据银行业务系统特点，基于公司智能网点设备核心技术和经验积累，融合语音语义、</w:t>
      </w:r>
      <w:r>
        <w:rPr/>
        <w:t> </w:t>
      </w:r>
      <w:r>
        <w:rPr>
          <w:spacing w:val="-2"/>
        </w:rPr>
        <w:t>多媒体、运动控制、室内定位、云计算及图像识别等前沿技术，构建出完整的银行大堂智能服务型机器人整体解决方案，使</w:t>
      </w:r>
      <w:r>
        <w:rPr>
          <w:spacing w:val="-66"/>
        </w:rPr>
        <w:t> </w:t>
      </w:r>
      <w:r>
        <w:rPr>
          <w:spacing w:val="-66"/>
        </w:rPr>
      </w:r>
      <w:r>
        <w:rPr/>
        <w:t>银行网点开启“智慧”模式，帮助提升网点业绩。</w:t>
      </w:r>
    </w:p>
    <w:p>
      <w:pPr>
        <w:spacing w:after="0" w:line="316" w:lineRule="auto"/>
        <w:jc w:val="left"/>
        <w:sectPr>
          <w:type w:val="continuous"/>
          <w:pgSz w:w="11910" w:h="16840"/>
          <w:pgMar w:top="1060" w:bottom="1160" w:left="980" w:right="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8"/>
          <w:szCs w:val="18"/>
        </w:rPr>
      </w:pPr>
    </w:p>
    <w:p>
      <w:pPr>
        <w:spacing w:line="4098" w:lineRule="exact"/>
        <w:ind w:left="1325" w:right="0" w:firstLine="0"/>
        <w:rPr>
          <w:rFonts w:ascii="宋体" w:hAnsi="宋体" w:cs="宋体" w:eastAsia="宋体" w:hint="default"/>
          <w:sz w:val="20"/>
          <w:szCs w:val="20"/>
        </w:rPr>
      </w:pPr>
      <w:r>
        <w:rPr>
          <w:rFonts w:ascii="宋体" w:hAnsi="宋体" w:cs="宋体" w:eastAsia="宋体" w:hint="default"/>
          <w:position w:val="-81"/>
          <w:sz w:val="20"/>
          <w:szCs w:val="20"/>
        </w:rPr>
        <w:drawing>
          <wp:inline distT="0" distB="0" distL="0" distR="0">
            <wp:extent cx="4627357" cy="2602611"/>
            <wp:effectExtent l="0" t="0" r="0" b="0"/>
            <wp:docPr id="21" name="image12.jpeg" descr=""/>
            <wp:cNvGraphicFramePr>
              <a:graphicFrameLocks noChangeAspect="1"/>
            </wp:cNvGraphicFramePr>
            <a:graphic>
              <a:graphicData uri="http://schemas.openxmlformats.org/drawingml/2006/picture">
                <pic:pic>
                  <pic:nvPicPr>
                    <pic:cNvPr id="22" name="image12.jpeg"/>
                    <pic:cNvPicPr/>
                  </pic:nvPicPr>
                  <pic:blipFill>
                    <a:blip r:embed="rId23" cstate="print"/>
                    <a:stretch>
                      <a:fillRect/>
                    </a:stretch>
                  </pic:blipFill>
                  <pic:spPr>
                    <a:xfrm>
                      <a:off x="0" y="0"/>
                      <a:ext cx="4627357" cy="2602611"/>
                    </a:xfrm>
                    <a:prstGeom prst="rect">
                      <a:avLst/>
                    </a:prstGeom>
                  </pic:spPr>
                </pic:pic>
              </a:graphicData>
            </a:graphic>
          </wp:inline>
        </w:drawing>
      </w:r>
      <w:r>
        <w:rPr>
          <w:rFonts w:ascii="宋体" w:hAnsi="宋体" w:cs="宋体" w:eastAsia="宋体" w:hint="default"/>
          <w:position w:val="-81"/>
          <w:sz w:val="20"/>
          <w:szCs w:val="20"/>
        </w:rPr>
      </w:r>
    </w:p>
    <w:p>
      <w:pPr>
        <w:spacing w:line="240" w:lineRule="auto" w:before="3"/>
        <w:rPr>
          <w:rFonts w:ascii="宋体" w:hAnsi="宋体" w:cs="宋体" w:eastAsia="宋体" w:hint="default"/>
          <w:sz w:val="8"/>
          <w:szCs w:val="8"/>
        </w:rPr>
      </w:pPr>
    </w:p>
    <w:p>
      <w:pPr>
        <w:pStyle w:val="BodyText"/>
        <w:spacing w:line="240" w:lineRule="auto" w:before="44"/>
        <w:ind w:left="3064" w:right="4042"/>
        <w:jc w:val="center"/>
      </w:pPr>
      <w:r>
        <w:rPr>
          <w:rFonts w:ascii="Times New Roman" w:hAnsi="Times New Roman" w:cs="Times New Roman" w:eastAsia="Times New Roman" w:hint="default"/>
        </w:rPr>
        <w:t>“</w:t>
      </w:r>
      <w:r>
        <w:rPr/>
        <w:t>小奥</w:t>
      </w:r>
      <w:r>
        <w:rPr>
          <w:rFonts w:ascii="Times New Roman" w:hAnsi="Times New Roman" w:cs="Times New Roman" w:eastAsia="Times New Roman" w:hint="default"/>
        </w:rPr>
        <w:t>”</w:t>
      </w:r>
      <w:r>
        <w:rPr/>
        <w:t>银行智能服务型机器人</w:t>
      </w:r>
    </w:p>
    <w:p>
      <w:pPr>
        <w:pStyle w:val="BodyText"/>
        <w:spacing w:line="240" w:lineRule="auto" w:before="63"/>
        <w:ind w:left="514" w:right="0"/>
        <w:jc w:val="left"/>
      </w:pPr>
      <w:r>
        <w:rPr>
          <w:rFonts w:ascii="Times New Roman" w:hAnsi="Times New Roman" w:cs="Times New Roman" w:eastAsia="Times New Roman" w:hint="default"/>
        </w:rPr>
        <w:t>B.</w:t>
      </w:r>
      <w:r>
        <w:rPr/>
        <w:t>智慧银行系统解决方案</w:t>
      </w:r>
    </w:p>
    <w:p>
      <w:pPr>
        <w:pStyle w:val="BodyText"/>
        <w:spacing w:line="316" w:lineRule="auto" w:before="63"/>
        <w:ind w:left="154" w:right="0" w:firstLine="360"/>
        <w:jc w:val="left"/>
      </w:pPr>
      <w:r>
        <w:rPr>
          <w:spacing w:val="-2"/>
        </w:rPr>
        <w:t>公司依托智能设备数字媒体、人机交互等创新技术推进金融新服务、新产品、新运营和业务模式创新，为银行客户提供</w:t>
      </w:r>
      <w:r>
        <w:rPr/>
        <w:t> 个性化的智慧银行整体解决方案。</w:t>
      </w:r>
    </w:p>
    <w:p>
      <w:pPr>
        <w:spacing w:line="240" w:lineRule="auto" w:before="6"/>
        <w:rPr>
          <w:rFonts w:ascii="宋体" w:hAnsi="宋体" w:cs="宋体" w:eastAsia="宋体" w:hint="default"/>
          <w:sz w:val="10"/>
          <w:szCs w:val="10"/>
        </w:rPr>
      </w:pPr>
    </w:p>
    <w:p>
      <w:pPr>
        <w:spacing w:line="4098" w:lineRule="exact"/>
        <w:ind w:left="1325" w:right="0" w:firstLine="0"/>
        <w:rPr>
          <w:rFonts w:ascii="宋体" w:hAnsi="宋体" w:cs="宋体" w:eastAsia="宋体" w:hint="default"/>
          <w:sz w:val="20"/>
          <w:szCs w:val="20"/>
        </w:rPr>
      </w:pPr>
      <w:r>
        <w:rPr>
          <w:rFonts w:ascii="宋体" w:hAnsi="宋体" w:cs="宋体" w:eastAsia="宋体" w:hint="default"/>
          <w:position w:val="-81"/>
          <w:sz w:val="20"/>
          <w:szCs w:val="20"/>
        </w:rPr>
        <w:drawing>
          <wp:inline distT="0" distB="0" distL="0" distR="0">
            <wp:extent cx="4627357" cy="2602611"/>
            <wp:effectExtent l="0" t="0" r="0" b="0"/>
            <wp:docPr id="23" name="image13.jpeg" descr=""/>
            <wp:cNvGraphicFramePr>
              <a:graphicFrameLocks noChangeAspect="1"/>
            </wp:cNvGraphicFramePr>
            <a:graphic>
              <a:graphicData uri="http://schemas.openxmlformats.org/drawingml/2006/picture">
                <pic:pic>
                  <pic:nvPicPr>
                    <pic:cNvPr id="24" name="image13.jpeg"/>
                    <pic:cNvPicPr/>
                  </pic:nvPicPr>
                  <pic:blipFill>
                    <a:blip r:embed="rId24" cstate="print"/>
                    <a:stretch>
                      <a:fillRect/>
                    </a:stretch>
                  </pic:blipFill>
                  <pic:spPr>
                    <a:xfrm>
                      <a:off x="0" y="0"/>
                      <a:ext cx="4627357" cy="2602611"/>
                    </a:xfrm>
                    <a:prstGeom prst="rect">
                      <a:avLst/>
                    </a:prstGeom>
                  </pic:spPr>
                </pic:pic>
              </a:graphicData>
            </a:graphic>
          </wp:inline>
        </w:drawing>
      </w:r>
      <w:r>
        <w:rPr>
          <w:rFonts w:ascii="宋体" w:hAnsi="宋体" w:cs="宋体" w:eastAsia="宋体" w:hint="default"/>
          <w:position w:val="-81"/>
          <w:sz w:val="20"/>
          <w:szCs w:val="20"/>
        </w:rPr>
      </w:r>
    </w:p>
    <w:p>
      <w:pPr>
        <w:spacing w:line="240" w:lineRule="auto" w:before="3"/>
        <w:rPr>
          <w:rFonts w:ascii="宋体" w:hAnsi="宋体" w:cs="宋体" w:eastAsia="宋体" w:hint="default"/>
          <w:sz w:val="8"/>
          <w:szCs w:val="8"/>
        </w:rPr>
      </w:pPr>
    </w:p>
    <w:p>
      <w:pPr>
        <w:pStyle w:val="BodyText"/>
        <w:spacing w:line="240" w:lineRule="auto" w:before="44"/>
        <w:ind w:left="3066" w:right="4042"/>
        <w:jc w:val="center"/>
      </w:pPr>
      <w:r>
        <w:rPr/>
        <w:t>苏州中行智慧银行项目</w:t>
      </w:r>
    </w:p>
    <w:p>
      <w:pPr>
        <w:pStyle w:val="BodyText"/>
        <w:spacing w:line="240" w:lineRule="auto" w:before="76"/>
        <w:ind w:left="513" w:right="0"/>
        <w:jc w:val="left"/>
      </w:pPr>
      <w:r>
        <w:rPr>
          <w:rFonts w:ascii="Times New Roman" w:hAnsi="Times New Roman" w:cs="Times New Roman" w:eastAsia="Times New Roman" w:hint="default"/>
        </w:rPr>
        <w:t>C.</w:t>
      </w:r>
      <w:r>
        <w:rPr/>
        <w:t>智能信息管控平台解决方案</w:t>
      </w:r>
    </w:p>
    <w:p>
      <w:pPr>
        <w:pStyle w:val="BodyText"/>
        <w:spacing w:line="316" w:lineRule="auto" w:before="63"/>
        <w:ind w:left="154" w:right="0" w:firstLine="360"/>
        <w:jc w:val="left"/>
      </w:pPr>
      <w:r>
        <w:rPr>
          <w:spacing w:val="-2"/>
        </w:rPr>
        <w:t>公司智能信息管控平台系统以现代化电子技术、数字技术及信息技术为基础，利用银行现有网络资源，通过信息发布平</w:t>
      </w:r>
      <w:r>
        <w:rPr/>
        <w:t> 台向所辖营业网点的</w:t>
      </w:r>
      <w:r>
        <w:rPr>
          <w:rFonts w:ascii="Times New Roman" w:hAnsi="Times New Roman" w:cs="Times New Roman" w:eastAsia="Times New Roman" w:hint="default"/>
        </w:rPr>
        <w:t>LCD/LED</w:t>
      </w:r>
      <w:r>
        <w:rPr/>
        <w:t>等显示设备发布信息，帮助银行统一信息发布方式，改善网点信息管理水平。</w:t>
      </w:r>
    </w:p>
    <w:p>
      <w:pPr>
        <w:spacing w:after="0" w:line="316" w:lineRule="auto"/>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8"/>
          <w:szCs w:val="18"/>
        </w:rPr>
      </w:pPr>
    </w:p>
    <w:p>
      <w:pPr>
        <w:spacing w:line="4098" w:lineRule="exact"/>
        <w:ind w:left="1325" w:right="0" w:firstLine="0"/>
        <w:rPr>
          <w:rFonts w:ascii="宋体" w:hAnsi="宋体" w:cs="宋体" w:eastAsia="宋体" w:hint="default"/>
          <w:sz w:val="20"/>
          <w:szCs w:val="20"/>
        </w:rPr>
      </w:pPr>
      <w:r>
        <w:rPr>
          <w:rFonts w:ascii="宋体" w:hAnsi="宋体" w:cs="宋体" w:eastAsia="宋体" w:hint="default"/>
          <w:position w:val="-81"/>
          <w:sz w:val="20"/>
          <w:szCs w:val="20"/>
        </w:rPr>
        <w:drawing>
          <wp:inline distT="0" distB="0" distL="0" distR="0">
            <wp:extent cx="4627357" cy="2602611"/>
            <wp:effectExtent l="0" t="0" r="0" b="0"/>
            <wp:docPr id="25" name="image14.jpeg" descr=""/>
            <wp:cNvGraphicFramePr>
              <a:graphicFrameLocks noChangeAspect="1"/>
            </wp:cNvGraphicFramePr>
            <a:graphic>
              <a:graphicData uri="http://schemas.openxmlformats.org/drawingml/2006/picture">
                <pic:pic>
                  <pic:nvPicPr>
                    <pic:cNvPr id="26" name="image14.jpeg"/>
                    <pic:cNvPicPr/>
                  </pic:nvPicPr>
                  <pic:blipFill>
                    <a:blip r:embed="rId25" cstate="print"/>
                    <a:stretch>
                      <a:fillRect/>
                    </a:stretch>
                  </pic:blipFill>
                  <pic:spPr>
                    <a:xfrm>
                      <a:off x="0" y="0"/>
                      <a:ext cx="4627357" cy="2602611"/>
                    </a:xfrm>
                    <a:prstGeom prst="rect">
                      <a:avLst/>
                    </a:prstGeom>
                  </pic:spPr>
                </pic:pic>
              </a:graphicData>
            </a:graphic>
          </wp:inline>
        </w:drawing>
      </w:r>
      <w:r>
        <w:rPr>
          <w:rFonts w:ascii="宋体" w:hAnsi="宋体" w:cs="宋体" w:eastAsia="宋体" w:hint="default"/>
          <w:position w:val="-81"/>
          <w:sz w:val="20"/>
          <w:szCs w:val="20"/>
        </w:rPr>
      </w:r>
    </w:p>
    <w:p>
      <w:pPr>
        <w:spacing w:line="240" w:lineRule="auto" w:before="3"/>
        <w:rPr>
          <w:rFonts w:ascii="宋体" w:hAnsi="宋体" w:cs="宋体" w:eastAsia="宋体" w:hint="default"/>
          <w:sz w:val="8"/>
          <w:szCs w:val="8"/>
        </w:rPr>
      </w:pPr>
    </w:p>
    <w:p>
      <w:pPr>
        <w:pStyle w:val="BodyText"/>
        <w:spacing w:line="240" w:lineRule="auto" w:before="44"/>
        <w:ind w:left="3066" w:right="4042"/>
        <w:jc w:val="center"/>
      </w:pPr>
      <w:r>
        <w:rPr/>
        <w:t>智能信息发布平台项目</w:t>
      </w:r>
    </w:p>
    <w:p>
      <w:pPr>
        <w:pStyle w:val="BodyText"/>
        <w:spacing w:line="240" w:lineRule="auto" w:before="76"/>
        <w:ind w:left="513" w:right="0"/>
        <w:jc w:val="left"/>
      </w:pPr>
      <w:r>
        <w:rPr>
          <w:rFonts w:ascii="Times New Roman" w:hAnsi="Times New Roman" w:cs="Times New Roman" w:eastAsia="Times New Roman" w:hint="default"/>
        </w:rPr>
        <w:t>D.</w:t>
      </w:r>
      <w:r>
        <w:rPr/>
        <w:t>银行跨平台自助服务解决方案</w:t>
      </w:r>
    </w:p>
    <w:p>
      <w:pPr>
        <w:pStyle w:val="BodyText"/>
        <w:spacing w:line="316" w:lineRule="auto" w:before="63"/>
        <w:ind w:right="0" w:firstLine="360"/>
        <w:jc w:val="left"/>
      </w:pPr>
      <w:r>
        <w:rPr>
          <w:spacing w:val="-2"/>
        </w:rPr>
        <w:t>公司金融科技板块控股子公司上海翰明为国内银行客户提供全方位的银行跨平台自助服务解决方案，发挥数据集中、交</w:t>
      </w:r>
      <w:r>
        <w:rPr/>
        <w:t> 易总线设计的优势，实现后台数据的集约化加工服务，多渠道和跨平台的服务接口整合，提升客户服务体验。</w:t>
      </w:r>
    </w:p>
    <w:p>
      <w:pPr>
        <w:spacing w:line="240" w:lineRule="auto" w:before="2"/>
        <w:rPr>
          <w:rFonts w:ascii="宋体" w:hAnsi="宋体" w:cs="宋体" w:eastAsia="宋体" w:hint="default"/>
          <w:sz w:val="3"/>
          <w:szCs w:val="3"/>
        </w:rPr>
      </w:pPr>
    </w:p>
    <w:p>
      <w:pPr>
        <w:spacing w:line="3973" w:lineRule="exact"/>
        <w:ind w:left="1549" w:right="0" w:firstLine="0"/>
        <w:rPr>
          <w:rFonts w:ascii="宋体" w:hAnsi="宋体" w:cs="宋体" w:eastAsia="宋体" w:hint="default"/>
          <w:sz w:val="20"/>
          <w:szCs w:val="20"/>
        </w:rPr>
      </w:pPr>
      <w:r>
        <w:rPr>
          <w:rFonts w:ascii="宋体" w:hAnsi="宋体" w:cs="宋体" w:eastAsia="宋体" w:hint="default"/>
          <w:position w:val="-78"/>
          <w:sz w:val="20"/>
          <w:szCs w:val="20"/>
        </w:rPr>
        <w:drawing>
          <wp:inline distT="0" distB="0" distL="0" distR="0">
            <wp:extent cx="4341072" cy="2523363"/>
            <wp:effectExtent l="0" t="0" r="0" b="0"/>
            <wp:docPr id="27" name="image15.jpeg" descr=""/>
            <wp:cNvGraphicFramePr>
              <a:graphicFrameLocks noChangeAspect="1"/>
            </wp:cNvGraphicFramePr>
            <a:graphic>
              <a:graphicData uri="http://schemas.openxmlformats.org/drawingml/2006/picture">
                <pic:pic>
                  <pic:nvPicPr>
                    <pic:cNvPr id="28" name="image15.jpeg"/>
                    <pic:cNvPicPr/>
                  </pic:nvPicPr>
                  <pic:blipFill>
                    <a:blip r:embed="rId26" cstate="print"/>
                    <a:stretch>
                      <a:fillRect/>
                    </a:stretch>
                  </pic:blipFill>
                  <pic:spPr>
                    <a:xfrm>
                      <a:off x="0" y="0"/>
                      <a:ext cx="4341072" cy="2523363"/>
                    </a:xfrm>
                    <a:prstGeom prst="rect">
                      <a:avLst/>
                    </a:prstGeom>
                  </pic:spPr>
                </pic:pic>
              </a:graphicData>
            </a:graphic>
          </wp:inline>
        </w:drawing>
      </w:r>
      <w:r>
        <w:rPr>
          <w:rFonts w:ascii="宋体" w:hAnsi="宋体" w:cs="宋体" w:eastAsia="宋体" w:hint="default"/>
          <w:position w:val="-78"/>
          <w:sz w:val="20"/>
          <w:szCs w:val="20"/>
        </w:rPr>
      </w:r>
    </w:p>
    <w:p>
      <w:pPr>
        <w:spacing w:after="0" w:line="3973" w:lineRule="exact"/>
        <w:rPr>
          <w:rFonts w:ascii="宋体" w:hAnsi="宋体" w:cs="宋体" w:eastAsia="宋体" w:hint="default"/>
          <w:sz w:val="20"/>
          <w:szCs w:val="20"/>
        </w:rPr>
        <w:sectPr>
          <w:pgSz w:w="11910" w:h="16840"/>
          <w:pgMar w:header="747" w:footer="979" w:top="1060" w:bottom="1160" w:left="980" w:right="0"/>
        </w:sectPr>
      </w:pPr>
    </w:p>
    <w:p>
      <w:pPr>
        <w:spacing w:line="240" w:lineRule="auto" w:before="0"/>
        <w:rPr>
          <w:rFonts w:ascii="宋体" w:hAnsi="宋体" w:cs="宋体" w:eastAsia="宋体" w:hint="default"/>
          <w:sz w:val="18"/>
          <w:szCs w:val="18"/>
        </w:rPr>
      </w:pPr>
    </w:p>
    <w:p>
      <w:pPr>
        <w:pStyle w:val="Heading4"/>
        <w:spacing w:line="240" w:lineRule="auto" w:before="138"/>
        <w:ind w:right="0"/>
        <w:jc w:val="left"/>
        <w:rPr>
          <w:b w:val="0"/>
          <w:bCs w:val="0"/>
        </w:rPr>
      </w:pPr>
      <w:r>
        <w:rPr/>
        <w:t>（</w:t>
      </w:r>
      <w:r>
        <w:rPr>
          <w:rFonts w:ascii="Times New Roman" w:hAnsi="Times New Roman" w:cs="Times New Roman" w:eastAsia="Times New Roman" w:hint="default"/>
        </w:rPr>
        <w:t>3</w:t>
      </w:r>
      <w:r>
        <w:rPr/>
        <w:t>）体育新业务：</w:t>
      </w:r>
      <w:r>
        <w:rPr>
          <w:b w:val="0"/>
          <w:bCs w:val="0"/>
        </w:rPr>
      </w:r>
    </w:p>
    <w:p>
      <w:pPr>
        <w:pStyle w:val="BodyText"/>
        <w:spacing w:line="240" w:lineRule="auto" w:before="63"/>
        <w:ind w:left="514" w:right="0"/>
        <w:jc w:val="left"/>
      </w:pPr>
      <w:r>
        <w:rPr>
          <w:rFonts w:ascii="Times New Roman" w:hAnsi="Times New Roman" w:cs="Times New Roman" w:eastAsia="Times New Roman" w:hint="default"/>
          <w:w w:val="95"/>
        </w:rPr>
        <w:t>A</w:t>
      </w:r>
      <w:r>
        <w:rPr>
          <w:w w:val="95"/>
        </w:rPr>
        <w:t>．体育场馆显示方案</w:t>
      </w:r>
    </w:p>
    <w:p>
      <w:pPr>
        <w:pStyle w:val="BodyText"/>
        <w:spacing w:line="240" w:lineRule="auto" w:before="61"/>
        <w:ind w:left="514" w:right="0"/>
        <w:jc w:val="left"/>
      </w:pPr>
      <w:r>
        <w:rPr/>
        <w:br w:type="column"/>
      </w:r>
      <w:r>
        <w:rPr/>
        <w:t>银行跨平台自主服务解决方案图</w:t>
      </w:r>
    </w:p>
    <w:p>
      <w:pPr>
        <w:spacing w:after="0" w:line="240" w:lineRule="auto"/>
        <w:jc w:val="left"/>
        <w:sectPr>
          <w:type w:val="continuous"/>
          <w:pgSz w:w="11910" w:h="16840"/>
          <w:pgMar w:top="1060" w:bottom="1160" w:left="980" w:right="0"/>
          <w:cols w:num="2" w:equalWidth="0">
            <w:col w:w="2264" w:space="935"/>
            <w:col w:w="7731"/>
          </w:cols>
        </w:sectPr>
      </w:pPr>
    </w:p>
    <w:p>
      <w:pPr>
        <w:pStyle w:val="BodyText"/>
        <w:spacing w:line="300" w:lineRule="auto" w:before="63"/>
        <w:ind w:right="0" w:firstLine="360"/>
        <w:jc w:val="left"/>
      </w:pPr>
      <w:r>
        <w:rPr>
          <w:spacing w:val="-2"/>
        </w:rPr>
        <w:t>公司控股子公司奥拓体育向体育场馆提供专业的</w:t>
      </w:r>
      <w:r>
        <w:rPr>
          <w:rFonts w:ascii="Times New Roman" w:hAnsi="Times New Roman" w:cs="Times New Roman" w:eastAsia="Times New Roman" w:hint="default"/>
          <w:spacing w:val="-2"/>
        </w:rPr>
        <w:t>LED</w:t>
      </w:r>
      <w:r>
        <w:rPr>
          <w:spacing w:val="-2"/>
        </w:rPr>
        <w:t>显示控制系统，通过先进的显示技术及高刷新频率技术，安全可靠</w:t>
      </w:r>
      <w:r>
        <w:rPr/>
        <w:t> 的呈现体育赛事及大型活动。</w:t>
      </w:r>
    </w:p>
    <w:p>
      <w:pPr>
        <w:spacing w:after="0" w:line="300" w:lineRule="auto"/>
        <w:jc w:val="left"/>
        <w:sectPr>
          <w:type w:val="continuous"/>
          <w:pgSz w:w="11910" w:h="16840"/>
          <w:pgMar w:top="1060" w:bottom="1160" w:left="980" w:right="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8"/>
          <w:szCs w:val="18"/>
        </w:rPr>
      </w:pPr>
    </w:p>
    <w:p>
      <w:pPr>
        <w:spacing w:line="4098" w:lineRule="exact"/>
        <w:ind w:left="1325" w:right="0" w:firstLine="0"/>
        <w:rPr>
          <w:rFonts w:ascii="宋体" w:hAnsi="宋体" w:cs="宋体" w:eastAsia="宋体" w:hint="default"/>
          <w:sz w:val="20"/>
          <w:szCs w:val="20"/>
        </w:rPr>
      </w:pPr>
      <w:r>
        <w:rPr>
          <w:rFonts w:ascii="宋体" w:hAnsi="宋体" w:cs="宋体" w:eastAsia="宋体" w:hint="default"/>
          <w:position w:val="-81"/>
          <w:sz w:val="20"/>
          <w:szCs w:val="20"/>
        </w:rPr>
        <w:drawing>
          <wp:inline distT="0" distB="0" distL="0" distR="0">
            <wp:extent cx="4627357" cy="2602611"/>
            <wp:effectExtent l="0" t="0" r="0" b="0"/>
            <wp:docPr id="29" name="image16.jpeg" descr=""/>
            <wp:cNvGraphicFramePr>
              <a:graphicFrameLocks noChangeAspect="1"/>
            </wp:cNvGraphicFramePr>
            <a:graphic>
              <a:graphicData uri="http://schemas.openxmlformats.org/drawingml/2006/picture">
                <pic:pic>
                  <pic:nvPicPr>
                    <pic:cNvPr id="30" name="image16.jpeg"/>
                    <pic:cNvPicPr/>
                  </pic:nvPicPr>
                  <pic:blipFill>
                    <a:blip r:embed="rId27" cstate="print"/>
                    <a:stretch>
                      <a:fillRect/>
                    </a:stretch>
                  </pic:blipFill>
                  <pic:spPr>
                    <a:xfrm>
                      <a:off x="0" y="0"/>
                      <a:ext cx="4627357" cy="2602611"/>
                    </a:xfrm>
                    <a:prstGeom prst="rect">
                      <a:avLst/>
                    </a:prstGeom>
                  </pic:spPr>
                </pic:pic>
              </a:graphicData>
            </a:graphic>
          </wp:inline>
        </w:drawing>
      </w:r>
      <w:r>
        <w:rPr>
          <w:rFonts w:ascii="宋体" w:hAnsi="宋体" w:cs="宋体" w:eastAsia="宋体" w:hint="default"/>
          <w:position w:val="-81"/>
          <w:sz w:val="20"/>
          <w:szCs w:val="20"/>
        </w:rPr>
      </w:r>
    </w:p>
    <w:p>
      <w:pPr>
        <w:spacing w:line="240" w:lineRule="auto" w:before="3"/>
        <w:rPr>
          <w:rFonts w:ascii="宋体" w:hAnsi="宋体" w:cs="宋体" w:eastAsia="宋体" w:hint="default"/>
          <w:sz w:val="8"/>
          <w:szCs w:val="8"/>
        </w:rPr>
      </w:pPr>
    </w:p>
    <w:p>
      <w:pPr>
        <w:pStyle w:val="BodyText"/>
        <w:spacing w:line="240" w:lineRule="auto" w:before="44"/>
        <w:ind w:left="3066" w:right="4042"/>
        <w:jc w:val="center"/>
      </w:pPr>
      <w:r>
        <w:rPr>
          <w:rFonts w:ascii="Times New Roman" w:hAnsi="Times New Roman" w:cs="Times New Roman" w:eastAsia="Times New Roman" w:hint="default"/>
        </w:rPr>
        <w:t>2016-2017</w:t>
      </w:r>
      <w:r>
        <w:rPr/>
        <w:t>赛季中国排球联赛项目</w:t>
      </w:r>
    </w:p>
    <w:p>
      <w:pPr>
        <w:pStyle w:val="BodyText"/>
        <w:spacing w:line="240" w:lineRule="auto" w:before="63"/>
        <w:ind w:left="513" w:right="0"/>
        <w:jc w:val="left"/>
      </w:pPr>
      <w:r>
        <w:rPr>
          <w:rFonts w:ascii="Times New Roman" w:hAnsi="Times New Roman" w:cs="Times New Roman" w:eastAsia="Times New Roman" w:hint="default"/>
        </w:rPr>
        <w:t>B</w:t>
      </w:r>
      <w:r>
        <w:rPr/>
        <w:t>．大众体育场馆</w:t>
      </w:r>
      <w:r>
        <w:rPr>
          <w:rFonts w:ascii="Times New Roman" w:hAnsi="Times New Roman" w:cs="Times New Roman" w:eastAsia="Times New Roman" w:hint="default"/>
        </w:rPr>
        <w:t>O2O</w:t>
      </w:r>
      <w:r>
        <w:rPr/>
        <w:t>互动平台</w:t>
      </w:r>
    </w:p>
    <w:p>
      <w:pPr>
        <w:pStyle w:val="BodyText"/>
        <w:spacing w:line="300" w:lineRule="auto" w:before="63"/>
        <w:ind w:right="1127" w:firstLine="360"/>
        <w:jc w:val="left"/>
      </w:pPr>
      <w:r>
        <w:rPr>
          <w:spacing w:val="-1"/>
        </w:rPr>
        <w:t>公司控股子公司奥拓体育大众体育场馆</w:t>
      </w:r>
      <w:r>
        <w:rPr>
          <w:rFonts w:ascii="Times New Roman" w:hAnsi="Times New Roman" w:cs="Times New Roman" w:eastAsia="Times New Roman" w:hint="default"/>
          <w:spacing w:val="-1"/>
        </w:rPr>
        <w:t>O2O</w:t>
      </w:r>
      <w:r>
        <w:rPr>
          <w:spacing w:val="-1"/>
        </w:rPr>
        <w:t>互动平台，以互联网为基础，通过线上</w:t>
      </w:r>
      <w:r>
        <w:rPr>
          <w:rFonts w:ascii="Times New Roman" w:hAnsi="Times New Roman" w:cs="Times New Roman" w:eastAsia="Times New Roman" w:hint="default"/>
          <w:spacing w:val="-1"/>
        </w:rPr>
        <w:t>APP</w:t>
      </w:r>
      <w:r>
        <w:rPr>
          <w:spacing w:val="-1"/>
        </w:rPr>
        <w:t>和线下智能设备的互动，连接大</w:t>
      </w:r>
      <w:r>
        <w:rPr/>
        <w:t> 众体育场馆的体育用户，形成体育用户打球、约球、购物、社交的聚集地。</w:t>
      </w:r>
    </w:p>
    <w:p>
      <w:pPr>
        <w:spacing w:line="2484" w:lineRule="exact"/>
        <w:ind w:left="1312" w:right="0" w:firstLine="0"/>
        <w:rPr>
          <w:rFonts w:ascii="宋体" w:hAnsi="宋体" w:cs="宋体" w:eastAsia="宋体" w:hint="default"/>
          <w:sz w:val="20"/>
          <w:szCs w:val="20"/>
        </w:rPr>
      </w:pPr>
      <w:r>
        <w:rPr>
          <w:rFonts w:ascii="宋体" w:hAnsi="宋体" w:cs="宋体" w:eastAsia="宋体" w:hint="default"/>
          <w:position w:val="-49"/>
          <w:sz w:val="20"/>
          <w:szCs w:val="20"/>
        </w:rPr>
        <w:drawing>
          <wp:inline distT="0" distB="0" distL="0" distR="0">
            <wp:extent cx="4645729" cy="1577339"/>
            <wp:effectExtent l="0" t="0" r="0" b="0"/>
            <wp:docPr id="31" name="image17.jpeg" descr=""/>
            <wp:cNvGraphicFramePr>
              <a:graphicFrameLocks noChangeAspect="1"/>
            </wp:cNvGraphicFramePr>
            <a:graphic>
              <a:graphicData uri="http://schemas.openxmlformats.org/drawingml/2006/picture">
                <pic:pic>
                  <pic:nvPicPr>
                    <pic:cNvPr id="32" name="image17.jpeg"/>
                    <pic:cNvPicPr/>
                  </pic:nvPicPr>
                  <pic:blipFill>
                    <a:blip r:embed="rId28" cstate="print"/>
                    <a:stretch>
                      <a:fillRect/>
                    </a:stretch>
                  </pic:blipFill>
                  <pic:spPr>
                    <a:xfrm>
                      <a:off x="0" y="0"/>
                      <a:ext cx="4645729" cy="1577339"/>
                    </a:xfrm>
                    <a:prstGeom prst="rect">
                      <a:avLst/>
                    </a:prstGeom>
                  </pic:spPr>
                </pic:pic>
              </a:graphicData>
            </a:graphic>
          </wp:inline>
        </w:drawing>
      </w:r>
      <w:r>
        <w:rPr>
          <w:rFonts w:ascii="宋体" w:hAnsi="宋体" w:cs="宋体" w:eastAsia="宋体" w:hint="default"/>
          <w:position w:val="-49"/>
          <w:sz w:val="20"/>
          <w:szCs w:val="20"/>
        </w:rPr>
      </w:r>
    </w:p>
    <w:p>
      <w:pPr>
        <w:pStyle w:val="BodyText"/>
        <w:spacing w:line="240" w:lineRule="auto" w:before="44"/>
        <w:ind w:left="3065" w:right="4042"/>
        <w:jc w:val="center"/>
      </w:pPr>
      <w:r>
        <w:rPr/>
        <w:t>大众体育场馆</w:t>
      </w:r>
      <w:r>
        <w:rPr>
          <w:rFonts w:ascii="Times New Roman" w:hAnsi="Times New Roman" w:cs="Times New Roman" w:eastAsia="Times New Roman" w:hint="default"/>
        </w:rPr>
        <w:t>O2O</w:t>
      </w:r>
      <w:r>
        <w:rPr/>
        <w:t>互动平台</w:t>
      </w:r>
    </w:p>
    <w:p>
      <w:pPr>
        <w:pStyle w:val="Heading4"/>
        <w:spacing w:line="240" w:lineRule="auto"/>
        <w:ind w:right="0"/>
        <w:jc w:val="left"/>
        <w:rPr>
          <w:b w:val="0"/>
          <w:bCs w:val="0"/>
        </w:rPr>
      </w:pPr>
      <w:r>
        <w:rPr>
          <w:rFonts w:ascii="Times New Roman" w:hAnsi="Times New Roman" w:cs="Times New Roman" w:eastAsia="Times New Roman" w:hint="default"/>
        </w:rPr>
        <w:t>3.</w:t>
      </w:r>
      <w:r>
        <w:rPr/>
        <w:t>主要销售模式和业绩驱动因素</w:t>
      </w:r>
      <w:r>
        <w:rPr>
          <w:b w:val="0"/>
          <w:bCs w:val="0"/>
        </w:rPr>
      </w:r>
    </w:p>
    <w:p>
      <w:pPr>
        <w:pStyle w:val="BodyText"/>
        <w:spacing w:line="316" w:lineRule="auto" w:before="63"/>
        <w:ind w:right="1131" w:firstLine="360"/>
        <w:jc w:val="both"/>
      </w:pPr>
      <w:r>
        <w:rPr>
          <w:spacing w:val="-4"/>
        </w:rPr>
        <w:t>公司主要服务于大型跨国公司和世界</w:t>
      </w:r>
      <w:r>
        <w:rPr>
          <w:rFonts w:ascii="宋体" w:hAnsi="宋体" w:cs="宋体" w:eastAsia="宋体" w:hint="default"/>
          <w:spacing w:val="-4"/>
        </w:rPr>
        <w:t>500</w:t>
      </w:r>
      <w:r>
        <w:rPr>
          <w:spacing w:val="-4"/>
        </w:rPr>
        <w:t>强企业，以及市政管理部门，也是国内大型国有银行和电信企业的入围供应商。</w:t>
      </w:r>
      <w:r>
        <w:rPr/>
        <w:t> </w:t>
      </w:r>
      <w:r>
        <w:rPr>
          <w:spacing w:val="-2"/>
        </w:rPr>
        <w:t>公司通过多年的市场积累，已经建立了广泛的全球业务布局。海外市场方面，已经在美国、英国、德国、日本、香港等地区</w:t>
      </w:r>
      <w:r>
        <w:rPr>
          <w:spacing w:val="-71"/>
        </w:rPr>
        <w:t> </w:t>
      </w:r>
      <w:r>
        <w:rPr>
          <w:spacing w:val="-71"/>
        </w:rPr>
      </w:r>
      <w:r>
        <w:rPr>
          <w:spacing w:val="-2"/>
        </w:rPr>
        <w:t>设立了子公司、办事处等销售网络；国内市场方面，在全国各大城市建立了</w:t>
      </w:r>
      <w:r>
        <w:rPr>
          <w:rFonts w:ascii="宋体" w:hAnsi="宋体" w:cs="宋体" w:eastAsia="宋体" w:hint="default"/>
          <w:spacing w:val="-2"/>
        </w:rPr>
        <w:t>88</w:t>
      </w:r>
      <w:r>
        <w:rPr>
          <w:spacing w:val="-2"/>
        </w:rPr>
        <w:t>个销售办事处及售后服务网点。基于不同客户</w:t>
      </w:r>
      <w:r>
        <w:rPr>
          <w:spacing w:val="-64"/>
        </w:rPr>
        <w:t> </w:t>
      </w:r>
      <w:r>
        <w:rPr>
          <w:spacing w:val="-64"/>
        </w:rPr>
      </w:r>
      <w:r>
        <w:rPr/>
        <w:t>的属性和业务价值，建立了多元化的客户服务体系。</w:t>
      </w:r>
    </w:p>
    <w:p>
      <w:pPr>
        <w:pStyle w:val="BodyText"/>
        <w:spacing w:line="316" w:lineRule="auto" w:before="19"/>
        <w:ind w:left="154" w:right="1132" w:firstLine="360"/>
        <w:jc w:val="both"/>
      </w:pPr>
      <w:r>
        <w:rPr>
          <w:rFonts w:ascii="宋体" w:hAnsi="宋体" w:cs="宋体" w:eastAsia="宋体" w:hint="default"/>
        </w:rPr>
        <w:t>LED</w:t>
      </w:r>
      <w:r>
        <w:rPr/>
        <w:t>应用业务主要采取项目定制化和标准化相结合的方式，通过直销和代理销售相结合的模式进行销售，大型政府项目 </w:t>
      </w:r>
      <w:r>
        <w:rPr>
          <w:spacing w:val="-2"/>
        </w:rPr>
        <w:t>主要以公开招标活动进行销售；金融科技业务以总行集中招标及省级分行采购为主，主要采取直销方式，一般通过大型招标</w:t>
      </w:r>
      <w:r>
        <w:rPr>
          <w:spacing w:val="-66"/>
        </w:rPr>
        <w:t> </w:t>
      </w:r>
      <w:r>
        <w:rPr>
          <w:spacing w:val="-66"/>
        </w:rPr>
      </w:r>
      <w:r>
        <w:rPr/>
        <w:t>活动进行集中销售。</w:t>
      </w:r>
    </w:p>
    <w:p>
      <w:pPr>
        <w:pStyle w:val="BodyText"/>
        <w:spacing w:line="316" w:lineRule="auto" w:before="59"/>
        <w:ind w:left="154" w:right="1131" w:firstLine="360"/>
        <w:jc w:val="both"/>
      </w:pPr>
      <w:r>
        <w:rPr>
          <w:spacing w:val="-2"/>
        </w:rPr>
        <w:t>公司将继续加强与客户的沟通，进一步了解客户的需求，强化与丰富公司的解决方案及产品，提升对市场的覆盖，提升</w:t>
      </w:r>
      <w:r>
        <w:rPr/>
        <w:t> 对大型客户全球化的服务能力，持续为客户提供优质及专业的服务。</w:t>
      </w:r>
    </w:p>
    <w:p>
      <w:pPr>
        <w:pStyle w:val="BodyText"/>
        <w:spacing w:line="357" w:lineRule="auto" w:before="59"/>
        <w:ind w:left="514" w:right="1114"/>
        <w:jc w:val="left"/>
      </w:pPr>
      <w:r>
        <w:rPr/>
        <w:t>公司主要的业绩驱动因素包括： 公司业务规模不断扩张，国内业务占比增加，新产品及新市场带动总体规模上升。</w:t>
      </w:r>
      <w:r>
        <w:rPr>
          <w:rFonts w:ascii="宋体" w:hAnsi="宋体" w:cs="宋体" w:eastAsia="宋体" w:hint="default"/>
        </w:rPr>
        <w:t>2017</w:t>
      </w:r>
      <w:r>
        <w:rPr>
          <w:rFonts w:ascii="宋体" w:hAnsi="宋体" w:cs="宋体" w:eastAsia="宋体" w:hint="default"/>
          <w:spacing w:val="8"/>
        </w:rPr>
        <w:t> </w:t>
      </w:r>
      <w:r>
        <w:rPr/>
        <w:t>年，公司在加强海外服务网点</w:t>
      </w:r>
    </w:p>
    <w:p>
      <w:pPr>
        <w:pStyle w:val="BodyText"/>
        <w:spacing w:line="224" w:lineRule="exact"/>
        <w:ind w:right="0"/>
        <w:jc w:val="left"/>
      </w:pPr>
      <w:r>
        <w:rPr>
          <w:spacing w:val="-1"/>
        </w:rPr>
        <w:t>建设的同时，积极开拓国内市场，充分抓住国内产业发展的机遇，国内业务相比去年同期增长了</w:t>
      </w:r>
      <w:r>
        <w:rPr>
          <w:spacing w:val="-27"/>
        </w:rPr>
        <w:t> </w:t>
      </w:r>
      <w:r>
        <w:rPr>
          <w:rFonts w:ascii="宋体" w:hAnsi="宋体" w:cs="宋体" w:eastAsia="宋体" w:hint="default"/>
          <w:spacing w:val="-1"/>
        </w:rPr>
        <w:t>252.65%</w:t>
      </w:r>
      <w:r>
        <w:rPr>
          <w:spacing w:val="-1"/>
        </w:rPr>
        <w:t>，降低了国际贸易</w:t>
      </w:r>
    </w:p>
    <w:p>
      <w:pPr>
        <w:pStyle w:val="BodyText"/>
        <w:spacing w:line="240" w:lineRule="auto" w:before="78"/>
        <w:ind w:left="154" w:right="0"/>
        <w:jc w:val="left"/>
      </w:pPr>
      <w:r>
        <w:rPr/>
        <w:t>摩擦带来的风险；公司积极推动产品及业务创新，进一步提升公司在全球市场的竞争力，市场份额不断攀升。</w:t>
      </w:r>
    </w:p>
    <w:p>
      <w:pPr>
        <w:pStyle w:val="BodyText"/>
        <w:spacing w:line="319" w:lineRule="auto" w:before="115"/>
        <w:ind w:right="1041" w:firstLine="360"/>
        <w:jc w:val="both"/>
      </w:pPr>
      <w:r>
        <w:rPr>
          <w:rFonts w:ascii="宋体" w:hAnsi="宋体" w:cs="宋体" w:eastAsia="宋体" w:hint="default"/>
        </w:rPr>
        <w:t>LED</w:t>
      </w:r>
      <w:r>
        <w:rPr>
          <w:rFonts w:ascii="宋体" w:hAnsi="宋体" w:cs="宋体" w:eastAsia="宋体" w:hint="default"/>
          <w:spacing w:val="-41"/>
        </w:rPr>
        <w:t> </w:t>
      </w:r>
      <w:r>
        <w:rPr/>
        <w:t>景观照明处于行业井喷期，公司在行业的地位及规模得到大幅提升。</w:t>
      </w:r>
      <w:r>
        <w:rPr>
          <w:rFonts w:ascii="宋体" w:hAnsi="宋体" w:cs="宋体" w:eastAsia="宋体" w:hint="default"/>
        </w:rPr>
        <w:t>2017</w:t>
      </w:r>
      <w:r>
        <w:rPr>
          <w:rFonts w:ascii="宋体" w:hAnsi="宋体" w:cs="宋体" w:eastAsia="宋体" w:hint="default"/>
          <w:spacing w:val="-41"/>
        </w:rPr>
        <w:t> </w:t>
      </w:r>
      <w:r>
        <w:rPr/>
        <w:t>年受各大国际性会议及大型活动的驱动， 夜游经济的概念不断发酵，助推</w:t>
      </w:r>
      <w:r>
        <w:rPr>
          <w:spacing w:val="-46"/>
        </w:rPr>
        <w:t> </w:t>
      </w:r>
      <w:r>
        <w:rPr>
          <w:rFonts w:ascii="宋体" w:hAnsi="宋体" w:cs="宋体" w:eastAsia="宋体" w:hint="default"/>
        </w:rPr>
        <w:t>LED</w:t>
      </w:r>
      <w:r>
        <w:rPr>
          <w:rFonts w:ascii="宋体" w:hAnsi="宋体" w:cs="宋体" w:eastAsia="宋体" w:hint="default"/>
          <w:spacing w:val="-46"/>
        </w:rPr>
        <w:t> </w:t>
      </w:r>
      <w:r>
        <w:rPr/>
        <w:t>景观照明行业的快速发展，为公司带来了广阔的增长空间。</w:t>
      </w:r>
    </w:p>
    <w:p>
      <w:pPr>
        <w:pStyle w:val="BodyText"/>
        <w:spacing w:line="240" w:lineRule="auto" w:before="56"/>
        <w:ind w:left="513" w:right="0"/>
        <w:jc w:val="left"/>
      </w:pPr>
      <w:r>
        <w:rPr>
          <w:rFonts w:ascii="宋体" w:hAnsi="宋体" w:cs="宋体" w:eastAsia="宋体" w:hint="default"/>
        </w:rPr>
        <w:t>LED </w:t>
      </w:r>
      <w:r>
        <w:rPr>
          <w:spacing w:val="-2"/>
        </w:rPr>
        <w:t>应用行业集中度不断提升，行业技术壁垒提高。随着</w:t>
      </w:r>
      <w:r>
        <w:rPr>
          <w:spacing w:val="-60"/>
        </w:rPr>
        <w:t> </w:t>
      </w:r>
      <w:r>
        <w:rPr>
          <w:rFonts w:ascii="宋体" w:hAnsi="宋体" w:cs="宋体" w:eastAsia="宋体" w:hint="default"/>
          <w:spacing w:val="-2"/>
        </w:rPr>
        <w:t>MicroLED</w:t>
      </w:r>
      <w:r>
        <w:rPr>
          <w:spacing w:val="-2"/>
        </w:rPr>
        <w:t>、</w:t>
      </w:r>
      <w:r>
        <w:rPr>
          <w:rFonts w:ascii="宋体" w:hAnsi="宋体" w:cs="宋体" w:eastAsia="宋体" w:hint="default"/>
          <w:spacing w:val="-2"/>
        </w:rPr>
        <w:t>MiniLED</w:t>
      </w:r>
      <w:r>
        <w:rPr>
          <w:spacing w:val="-2"/>
        </w:rPr>
        <w:t>、</w:t>
      </w:r>
      <w:r>
        <w:rPr>
          <w:rFonts w:ascii="宋体" w:hAnsi="宋体" w:cs="宋体" w:eastAsia="宋体" w:hint="default"/>
          <w:spacing w:val="-2"/>
        </w:rPr>
        <w:t>COB</w:t>
      </w:r>
      <w:r>
        <w:rPr>
          <w:spacing w:val="-2"/>
        </w:rPr>
        <w:t>、人工智能、大数据及区块链等新兴</w:t>
      </w:r>
    </w:p>
    <w:p>
      <w:pPr>
        <w:spacing w:after="0" w:line="240"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19" w:lineRule="auto" w:before="44"/>
        <w:ind w:right="1123"/>
        <w:jc w:val="left"/>
      </w:pPr>
      <w:r>
        <w:rPr>
          <w:spacing w:val="-2"/>
        </w:rPr>
        <w:t>技术的兴起，</w:t>
      </w:r>
      <w:r>
        <w:rPr>
          <w:rFonts w:ascii="宋体" w:hAnsi="宋体" w:cs="宋体" w:eastAsia="宋体" w:hint="default"/>
          <w:spacing w:val="-2"/>
        </w:rPr>
        <w:t>LED</w:t>
      </w:r>
      <w:r>
        <w:rPr>
          <w:rFonts w:ascii="宋体" w:hAnsi="宋体" w:cs="宋体" w:eastAsia="宋体" w:hint="default"/>
          <w:spacing w:val="-26"/>
        </w:rPr>
        <w:t> </w:t>
      </w:r>
      <w:r>
        <w:rPr>
          <w:spacing w:val="-1"/>
        </w:rPr>
        <w:t>应用及金融科技领域的技术壁垒不断提高，行业集中度持续提升。公司一直注重技术创新，提前布局核心</w:t>
      </w:r>
      <w:r>
        <w:rPr>
          <w:spacing w:val="-86"/>
        </w:rPr>
        <w:t> </w:t>
      </w:r>
      <w:r>
        <w:rPr>
          <w:spacing w:val="-86"/>
        </w:rPr>
      </w:r>
      <w:r>
        <w:rPr/>
        <w:t>产品及解决方案相关的知识产权，成为公司业绩增长的重要驱动因素。</w:t>
      </w:r>
    </w:p>
    <w:p>
      <w:pPr>
        <w:pStyle w:val="Heading4"/>
        <w:spacing w:line="240" w:lineRule="auto" w:before="55"/>
        <w:ind w:left="447" w:right="0"/>
        <w:jc w:val="left"/>
        <w:rPr>
          <w:b w:val="0"/>
          <w:bCs w:val="0"/>
        </w:rPr>
      </w:pPr>
      <w:r>
        <w:rPr/>
        <w:t>（二）报告期内公司所属行业的发展阶段、周期性特点以及公司所处的行业地位</w:t>
      </w:r>
      <w:r>
        <w:rPr>
          <w:b w:val="0"/>
          <w:bCs w:val="0"/>
        </w:rPr>
      </w:r>
    </w:p>
    <w:p>
      <w:pPr>
        <w:spacing w:line="319" w:lineRule="auto" w:before="117"/>
        <w:ind w:left="153" w:right="1129" w:firstLine="360"/>
        <w:jc w:val="both"/>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45"/>
          <w:sz w:val="18"/>
          <w:szCs w:val="18"/>
        </w:rPr>
        <w:t> </w:t>
      </w:r>
      <w:r>
        <w:rPr>
          <w:rFonts w:ascii="宋体" w:hAnsi="宋体" w:cs="宋体" w:eastAsia="宋体" w:hint="default"/>
          <w:spacing w:val="-3"/>
          <w:sz w:val="18"/>
          <w:szCs w:val="18"/>
        </w:rPr>
        <w:t>年，在全球经济继续向好，我国经济稳步增长的大趋势下，</w:t>
      </w:r>
      <w:r>
        <w:rPr>
          <w:rFonts w:ascii="宋体" w:hAnsi="宋体" w:cs="宋体" w:eastAsia="宋体" w:hint="default"/>
          <w:spacing w:val="-3"/>
          <w:sz w:val="18"/>
          <w:szCs w:val="18"/>
        </w:rPr>
        <w:t>LED</w:t>
      </w:r>
      <w:r>
        <w:rPr>
          <w:rFonts w:ascii="宋体" w:hAnsi="宋体" w:cs="宋体" w:eastAsia="宋体" w:hint="default"/>
          <w:spacing w:val="-45"/>
          <w:sz w:val="18"/>
          <w:szCs w:val="18"/>
        </w:rPr>
        <w:t> </w:t>
      </w:r>
      <w:r>
        <w:rPr>
          <w:rFonts w:ascii="宋体" w:hAnsi="宋体" w:cs="宋体" w:eastAsia="宋体" w:hint="default"/>
          <w:sz w:val="18"/>
          <w:szCs w:val="18"/>
        </w:rPr>
        <w:t>应用行业无论是技术工艺，还是产品的多元化及细 分化都更上了一个台阶。小间距继续引领行业发展潮流，透明屏开始崭露头角，</w:t>
      </w:r>
      <w:r>
        <w:rPr>
          <w:rFonts w:ascii="宋体" w:hAnsi="宋体" w:cs="宋体" w:eastAsia="宋体" w:hint="default"/>
          <w:sz w:val="18"/>
          <w:szCs w:val="18"/>
        </w:rPr>
        <w:t>COB</w:t>
      </w:r>
      <w:r>
        <w:rPr>
          <w:rFonts w:ascii="宋体" w:hAnsi="宋体" w:cs="宋体" w:eastAsia="宋体" w:hint="default"/>
          <w:sz w:val="18"/>
          <w:szCs w:val="18"/>
        </w:rPr>
        <w:t>、</w:t>
      </w:r>
      <w:r>
        <w:rPr>
          <w:rFonts w:ascii="宋体" w:hAnsi="宋体" w:cs="宋体" w:eastAsia="宋体" w:hint="default"/>
          <w:sz w:val="18"/>
          <w:szCs w:val="18"/>
        </w:rPr>
        <w:t>MicroLED</w:t>
      </w:r>
      <w:r>
        <w:rPr>
          <w:rFonts w:ascii="宋体" w:hAnsi="宋体" w:cs="宋体" w:eastAsia="宋体" w:hint="default"/>
          <w:sz w:val="18"/>
          <w:szCs w:val="18"/>
        </w:rPr>
        <w:t>、</w:t>
      </w:r>
      <w:r>
        <w:rPr>
          <w:rFonts w:ascii="宋体" w:hAnsi="宋体" w:cs="宋体" w:eastAsia="宋体" w:hint="default"/>
          <w:sz w:val="18"/>
          <w:szCs w:val="18"/>
        </w:rPr>
        <w:t>MiniLED</w:t>
      </w:r>
      <w:r>
        <w:rPr>
          <w:rFonts w:ascii="宋体" w:hAnsi="宋体" w:cs="宋体" w:eastAsia="宋体" w:hint="default"/>
          <w:spacing w:val="7"/>
          <w:sz w:val="18"/>
          <w:szCs w:val="18"/>
        </w:rPr>
        <w:t> </w:t>
      </w:r>
      <w:r>
        <w:rPr>
          <w:rFonts w:ascii="宋体" w:hAnsi="宋体" w:cs="宋体" w:eastAsia="宋体" w:hint="default"/>
          <w:sz w:val="18"/>
          <w:szCs w:val="18"/>
        </w:rPr>
        <w:t>等技术不断获得 突破。在国内市场，随着城镇化建设加速，智慧城市、夜游经济等概念崛起，</w:t>
      </w:r>
      <w:r>
        <w:rPr>
          <w:rFonts w:ascii="宋体" w:hAnsi="宋体" w:cs="宋体" w:eastAsia="宋体" w:hint="default"/>
          <w:sz w:val="18"/>
          <w:szCs w:val="18"/>
        </w:rPr>
        <w:t>LED</w:t>
      </w:r>
      <w:r>
        <w:rPr>
          <w:rFonts w:ascii="宋体" w:hAnsi="宋体" w:cs="宋体" w:eastAsia="宋体" w:hint="default"/>
          <w:spacing w:val="-76"/>
          <w:sz w:val="18"/>
          <w:szCs w:val="18"/>
        </w:rPr>
        <w:t> </w:t>
      </w:r>
      <w:r>
        <w:rPr>
          <w:rFonts w:ascii="宋体" w:hAnsi="宋体" w:cs="宋体" w:eastAsia="宋体" w:hint="default"/>
          <w:sz w:val="18"/>
          <w:szCs w:val="18"/>
        </w:rPr>
        <w:t>显示屏应用加速向市政工程方面渗透，需 </w:t>
      </w:r>
      <w:r>
        <w:rPr>
          <w:rFonts w:ascii="宋体" w:hAnsi="宋体" w:cs="宋体" w:eastAsia="宋体" w:hint="default"/>
          <w:spacing w:val="-1"/>
          <w:sz w:val="18"/>
          <w:szCs w:val="18"/>
        </w:rPr>
        <w:t>求明显较过去增多。海外高端市场仍以欧美为主，逐渐向俄罗斯、印度等新兴市场扩张。</w:t>
      </w:r>
      <w:r>
        <w:rPr>
          <w:rFonts w:ascii="宋体" w:hAnsi="宋体" w:cs="宋体" w:eastAsia="宋体" w:hint="default"/>
          <w:spacing w:val="-1"/>
          <w:sz w:val="18"/>
          <w:szCs w:val="18"/>
        </w:rPr>
        <w:t>LED</w:t>
      </w:r>
      <w:r>
        <w:rPr>
          <w:rFonts w:ascii="宋体" w:hAnsi="宋体" w:cs="宋体" w:eastAsia="宋体" w:hint="default"/>
          <w:spacing w:val="-43"/>
          <w:sz w:val="18"/>
          <w:szCs w:val="18"/>
        </w:rPr>
        <w:t> </w:t>
      </w:r>
      <w:r>
        <w:rPr>
          <w:rFonts w:ascii="宋体" w:hAnsi="宋体" w:cs="宋体" w:eastAsia="宋体" w:hint="default"/>
          <w:sz w:val="18"/>
          <w:szCs w:val="18"/>
        </w:rPr>
        <w:t>景观照明加强了艺术与技术的 </w:t>
      </w:r>
      <w:r>
        <w:rPr>
          <w:rFonts w:ascii="宋体" w:hAnsi="宋体" w:cs="宋体" w:eastAsia="宋体" w:hint="default"/>
          <w:spacing w:val="-2"/>
          <w:sz w:val="18"/>
          <w:szCs w:val="18"/>
        </w:rPr>
        <w:t>结合，依托夜游经济兴起的大背景，逐渐朝着智能化，节能化，综合性的城市亮化改造的方向发展。报告期内，公司通过不</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断地了解客户需求，探索行业前沿的技术，针对不同的客户与行业，研发及制定多元化的解决方案。</w:t>
      </w:r>
      <w:r>
        <w:rPr>
          <w:rFonts w:ascii="宋体" w:hAnsi="宋体" w:cs="宋体" w:eastAsia="宋体" w:hint="default"/>
          <w:b/>
          <w:bCs/>
          <w:sz w:val="18"/>
          <w:szCs w:val="18"/>
        </w:rPr>
        <w:t>2017</w:t>
      </w:r>
      <w:r>
        <w:rPr>
          <w:rFonts w:ascii="宋体" w:hAnsi="宋体" w:cs="宋体" w:eastAsia="宋体" w:hint="default"/>
          <w:b/>
          <w:bCs/>
          <w:spacing w:val="-1"/>
          <w:sz w:val="18"/>
          <w:szCs w:val="18"/>
        </w:rPr>
        <w:t> </w:t>
      </w:r>
      <w:r>
        <w:rPr>
          <w:rFonts w:ascii="宋体" w:hAnsi="宋体" w:cs="宋体" w:eastAsia="宋体" w:hint="default"/>
          <w:b/>
          <w:bCs/>
          <w:sz w:val="18"/>
          <w:szCs w:val="18"/>
        </w:rPr>
        <w:t>年公司推出了第</w:t>
      </w:r>
      <w:r>
        <w:rPr>
          <w:rFonts w:ascii="宋体" w:hAnsi="宋体" w:cs="宋体" w:eastAsia="宋体" w:hint="default"/>
          <w:b/>
          <w:bCs/>
          <w:w w:val="99"/>
          <w:sz w:val="18"/>
          <w:szCs w:val="18"/>
        </w:rPr>
        <w:t> </w:t>
      </w:r>
      <w:r>
        <w:rPr>
          <w:rFonts w:ascii="宋体" w:hAnsi="宋体" w:cs="宋体" w:eastAsia="宋体" w:hint="default"/>
          <w:b/>
          <w:bCs/>
          <w:sz w:val="18"/>
          <w:szCs w:val="18"/>
        </w:rPr>
        <w:t>一款拥有自主知识产权的</w:t>
      </w:r>
      <w:r>
        <w:rPr>
          <w:rFonts w:ascii="宋体" w:hAnsi="宋体" w:cs="宋体" w:eastAsia="宋体" w:hint="default"/>
          <w:b/>
          <w:bCs/>
          <w:spacing w:val="-45"/>
          <w:sz w:val="18"/>
          <w:szCs w:val="18"/>
        </w:rPr>
        <w:t> </w:t>
      </w:r>
      <w:r>
        <w:rPr>
          <w:rFonts w:ascii="宋体" w:hAnsi="宋体" w:cs="宋体" w:eastAsia="宋体" w:hint="default"/>
          <w:b/>
          <w:bCs/>
          <w:sz w:val="18"/>
          <w:szCs w:val="18"/>
        </w:rPr>
        <w:t>COB</w:t>
      </w:r>
      <w:r>
        <w:rPr>
          <w:rFonts w:ascii="宋体" w:hAnsi="宋体" w:cs="宋体" w:eastAsia="宋体" w:hint="default"/>
          <w:b/>
          <w:bCs/>
          <w:spacing w:val="-45"/>
          <w:sz w:val="18"/>
          <w:szCs w:val="18"/>
        </w:rPr>
        <w:t> </w:t>
      </w:r>
      <w:r>
        <w:rPr>
          <w:rFonts w:ascii="宋体" w:hAnsi="宋体" w:cs="宋体" w:eastAsia="宋体" w:hint="default"/>
          <w:b/>
          <w:bCs/>
          <w:sz w:val="18"/>
          <w:szCs w:val="18"/>
        </w:rPr>
        <w:t>小间距</w:t>
      </w:r>
      <w:r>
        <w:rPr>
          <w:rFonts w:ascii="宋体" w:hAnsi="宋体" w:cs="宋体" w:eastAsia="宋体" w:hint="default"/>
          <w:b/>
          <w:bCs/>
          <w:spacing w:val="-46"/>
          <w:sz w:val="18"/>
          <w:szCs w:val="18"/>
        </w:rPr>
        <w:t> </w:t>
      </w:r>
      <w:r>
        <w:rPr>
          <w:rFonts w:ascii="宋体" w:hAnsi="宋体" w:cs="宋体" w:eastAsia="宋体" w:hint="default"/>
          <w:b/>
          <w:bCs/>
          <w:sz w:val="18"/>
          <w:szCs w:val="18"/>
        </w:rPr>
        <w:t>LED</w:t>
      </w:r>
      <w:r>
        <w:rPr>
          <w:rFonts w:ascii="宋体" w:hAnsi="宋体" w:cs="宋体" w:eastAsia="宋体" w:hint="default"/>
          <w:b/>
          <w:bCs/>
          <w:spacing w:val="-45"/>
          <w:sz w:val="18"/>
          <w:szCs w:val="18"/>
        </w:rPr>
        <w:t> </w:t>
      </w:r>
      <w:r>
        <w:rPr>
          <w:rFonts w:ascii="宋体" w:hAnsi="宋体" w:cs="宋体" w:eastAsia="宋体" w:hint="default"/>
          <w:b/>
          <w:bCs/>
          <w:sz w:val="18"/>
          <w:szCs w:val="18"/>
        </w:rPr>
        <w:t>显示面板产品、提升人机交互体验的智能型</w:t>
      </w:r>
      <w:r>
        <w:rPr>
          <w:rFonts w:ascii="宋体" w:hAnsi="宋体" w:cs="宋体" w:eastAsia="宋体" w:hint="default"/>
          <w:b/>
          <w:bCs/>
          <w:spacing w:val="-44"/>
          <w:sz w:val="18"/>
          <w:szCs w:val="18"/>
        </w:rPr>
        <w:t> </w:t>
      </w:r>
      <w:r>
        <w:rPr>
          <w:rFonts w:ascii="宋体" w:hAnsi="宋体" w:cs="宋体" w:eastAsia="宋体" w:hint="default"/>
          <w:b/>
          <w:bCs/>
          <w:sz w:val="18"/>
          <w:szCs w:val="18"/>
        </w:rPr>
        <w:t>LED</w:t>
      </w:r>
      <w:r>
        <w:rPr>
          <w:rFonts w:ascii="宋体" w:hAnsi="宋体" w:cs="宋体" w:eastAsia="宋体" w:hint="default"/>
          <w:b/>
          <w:bCs/>
          <w:spacing w:val="-45"/>
          <w:sz w:val="18"/>
          <w:szCs w:val="18"/>
        </w:rPr>
        <w:t> </w:t>
      </w:r>
      <w:r>
        <w:rPr>
          <w:rFonts w:ascii="宋体" w:hAnsi="宋体" w:cs="宋体" w:eastAsia="宋体" w:hint="default"/>
          <w:b/>
          <w:bCs/>
          <w:sz w:val="18"/>
          <w:szCs w:val="18"/>
        </w:rPr>
        <w:t>显示系统、行业领先的</w:t>
      </w:r>
      <w:r>
        <w:rPr>
          <w:rFonts w:ascii="宋体" w:hAnsi="宋体" w:cs="宋体" w:eastAsia="宋体" w:hint="default"/>
          <w:b/>
          <w:bCs/>
          <w:spacing w:val="-46"/>
          <w:sz w:val="18"/>
          <w:szCs w:val="18"/>
        </w:rPr>
        <w:t> </w:t>
      </w:r>
      <w:r>
        <w:rPr>
          <w:rFonts w:ascii="宋体" w:hAnsi="宋体" w:cs="宋体" w:eastAsia="宋体" w:hint="default"/>
          <w:b/>
          <w:bCs/>
          <w:sz w:val="18"/>
          <w:szCs w:val="18"/>
        </w:rPr>
        <w:t>ATLVC-8K</w:t>
      </w:r>
      <w:r>
        <w:rPr>
          <w:rFonts w:ascii="宋体" w:hAnsi="宋体" w:cs="宋体" w:eastAsia="宋体" w:hint="default"/>
          <w:b/>
          <w:bCs/>
          <w:spacing w:val="2"/>
          <w:w w:val="99"/>
          <w:sz w:val="18"/>
          <w:szCs w:val="18"/>
        </w:rPr>
        <w:t> </w:t>
      </w:r>
      <w:r>
        <w:rPr>
          <w:rFonts w:ascii="宋体" w:hAnsi="宋体" w:cs="宋体" w:eastAsia="宋体" w:hint="default"/>
          <w:b/>
          <w:bCs/>
          <w:sz w:val="18"/>
          <w:szCs w:val="18"/>
        </w:rPr>
        <w:t>显示控制系统、适用于商显及控制室等领域的</w:t>
      </w:r>
      <w:r>
        <w:rPr>
          <w:rFonts w:ascii="宋体" w:hAnsi="宋体" w:cs="宋体" w:eastAsia="宋体" w:hint="default"/>
          <w:b/>
          <w:bCs/>
          <w:spacing w:val="-31"/>
          <w:sz w:val="18"/>
          <w:szCs w:val="18"/>
        </w:rPr>
        <w:t> </w:t>
      </w:r>
      <w:r>
        <w:rPr>
          <w:rFonts w:ascii="宋体" w:hAnsi="宋体" w:cs="宋体" w:eastAsia="宋体" w:hint="default"/>
          <w:b/>
          <w:bCs/>
          <w:sz w:val="18"/>
          <w:szCs w:val="18"/>
        </w:rPr>
        <w:t>CLD</w:t>
      </w:r>
      <w:r>
        <w:rPr>
          <w:rFonts w:ascii="宋体" w:hAnsi="宋体" w:cs="宋体" w:eastAsia="宋体" w:hint="default"/>
          <w:b/>
          <w:bCs/>
          <w:spacing w:val="-34"/>
          <w:sz w:val="18"/>
          <w:szCs w:val="18"/>
        </w:rPr>
        <w:t> </w:t>
      </w:r>
      <w:r>
        <w:rPr>
          <w:rFonts w:ascii="宋体" w:hAnsi="宋体" w:cs="宋体" w:eastAsia="宋体" w:hint="default"/>
          <w:b/>
          <w:bCs/>
          <w:sz w:val="18"/>
          <w:szCs w:val="18"/>
        </w:rPr>
        <w:t>小间距产品等新产品，公司</w:t>
      </w:r>
      <w:r>
        <w:rPr>
          <w:rFonts w:ascii="宋体" w:hAnsi="宋体" w:cs="宋体" w:eastAsia="宋体" w:hint="default"/>
          <w:b/>
          <w:bCs/>
          <w:spacing w:val="-32"/>
          <w:sz w:val="18"/>
          <w:szCs w:val="18"/>
        </w:rPr>
        <w:t> </w:t>
      </w:r>
      <w:r>
        <w:rPr>
          <w:rFonts w:ascii="宋体" w:hAnsi="宋体" w:cs="宋体" w:eastAsia="宋体" w:hint="default"/>
          <w:b/>
          <w:bCs/>
          <w:sz w:val="18"/>
          <w:szCs w:val="18"/>
        </w:rPr>
        <w:t>LED</w:t>
      </w:r>
      <w:r>
        <w:rPr>
          <w:rFonts w:ascii="宋体" w:hAnsi="宋体" w:cs="宋体" w:eastAsia="宋体" w:hint="default"/>
          <w:b/>
          <w:bCs/>
          <w:spacing w:val="-34"/>
          <w:sz w:val="18"/>
          <w:szCs w:val="18"/>
        </w:rPr>
        <w:t> </w:t>
      </w:r>
      <w:r>
        <w:rPr>
          <w:rFonts w:ascii="宋体" w:hAnsi="宋体" w:cs="宋体" w:eastAsia="宋体" w:hint="default"/>
          <w:b/>
          <w:bCs/>
          <w:sz w:val="18"/>
          <w:szCs w:val="18"/>
        </w:rPr>
        <w:t>应用解决方案已在多个领域成为行业标</w:t>
      </w:r>
      <w:r>
        <w:rPr>
          <w:rFonts w:ascii="宋体" w:hAnsi="宋体" w:cs="宋体" w:eastAsia="宋体" w:hint="default"/>
          <w:b/>
          <w:bCs/>
          <w:w w:val="99"/>
          <w:sz w:val="18"/>
          <w:szCs w:val="18"/>
        </w:rPr>
        <w:t> </w:t>
      </w:r>
      <w:r>
        <w:rPr>
          <w:rFonts w:ascii="宋体" w:hAnsi="宋体" w:cs="宋体" w:eastAsia="宋体" w:hint="default"/>
          <w:b/>
          <w:bCs/>
          <w:sz w:val="18"/>
          <w:szCs w:val="18"/>
        </w:rPr>
        <w:t>杆。</w:t>
      </w:r>
      <w:r>
        <w:rPr>
          <w:rFonts w:ascii="宋体" w:hAnsi="宋体" w:cs="宋体" w:eastAsia="宋体" w:hint="default"/>
          <w:sz w:val="18"/>
          <w:szCs w:val="18"/>
        </w:rPr>
      </w:r>
    </w:p>
    <w:p>
      <w:pPr>
        <w:spacing w:line="319" w:lineRule="auto" w:before="55"/>
        <w:ind w:left="153" w:right="1131" w:firstLine="360"/>
        <w:jc w:val="both"/>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7"/>
          <w:sz w:val="18"/>
          <w:szCs w:val="18"/>
        </w:rPr>
        <w:t> </w:t>
      </w:r>
      <w:r>
        <w:rPr>
          <w:rFonts w:ascii="宋体" w:hAnsi="宋体" w:cs="宋体" w:eastAsia="宋体" w:hint="default"/>
          <w:sz w:val="18"/>
          <w:szCs w:val="18"/>
        </w:rPr>
        <w:t>年，随着人工智能、大数据及区块链等概念的兴起，银行智能化网点改造已经成为国内各大银行发展的趋势，公 </w:t>
      </w:r>
      <w:r>
        <w:rPr>
          <w:rFonts w:ascii="宋体" w:hAnsi="宋体" w:cs="宋体" w:eastAsia="宋体" w:hint="default"/>
          <w:spacing w:val="-2"/>
          <w:sz w:val="18"/>
          <w:szCs w:val="18"/>
        </w:rPr>
        <w:t>司也顺应市场的发展趋势，在传统金融科技业务中融入人工智能、大数据及区块链等技术，为银行客户提供更加智能化的服</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w w:val="95"/>
          <w:sz w:val="18"/>
          <w:szCs w:val="18"/>
        </w:rPr>
        <w:t>务及解决方案。</w:t>
      </w:r>
      <w:r>
        <w:rPr>
          <w:rFonts w:ascii="宋体" w:hAnsi="宋体" w:cs="宋体" w:eastAsia="宋体" w:hint="default"/>
          <w:b/>
          <w:bCs/>
          <w:spacing w:val="-2"/>
          <w:w w:val="95"/>
          <w:sz w:val="18"/>
          <w:szCs w:val="18"/>
        </w:rPr>
        <w:t>报告期内，公司综合信息发布及指示系统、智慧银行等智能管理综合解决方案在金融科技行业中优势明显，</w:t>
      </w:r>
      <w:r>
        <w:rPr>
          <w:rFonts w:ascii="宋体" w:hAnsi="宋体" w:cs="宋体" w:eastAsia="宋体" w:hint="default"/>
          <w:b/>
          <w:bCs/>
          <w:spacing w:val="42"/>
          <w:w w:val="95"/>
          <w:sz w:val="18"/>
          <w:szCs w:val="18"/>
        </w:rPr>
        <w:t> </w:t>
      </w:r>
      <w:r>
        <w:rPr>
          <w:rFonts w:ascii="宋体" w:hAnsi="宋体" w:cs="宋体" w:eastAsia="宋体" w:hint="default"/>
          <w:b/>
          <w:bCs/>
          <w:spacing w:val="42"/>
          <w:w w:val="95"/>
          <w:sz w:val="18"/>
          <w:szCs w:val="18"/>
        </w:rPr>
      </w:r>
      <w:r>
        <w:rPr>
          <w:rFonts w:ascii="宋体" w:hAnsi="宋体" w:cs="宋体" w:eastAsia="宋体" w:hint="default"/>
          <w:b/>
          <w:bCs/>
          <w:sz w:val="18"/>
          <w:szCs w:val="18"/>
        </w:rPr>
        <w:t>国内市场占有率排名前列。</w:t>
      </w:r>
      <w:r>
        <w:rPr>
          <w:rFonts w:ascii="宋体" w:hAnsi="宋体" w:cs="宋体" w:eastAsia="宋体" w:hint="default"/>
          <w:sz w:val="18"/>
          <w:szCs w:val="18"/>
        </w:rPr>
      </w:r>
    </w:p>
    <w:p>
      <w:pPr>
        <w:spacing w:line="319" w:lineRule="auto" w:before="55"/>
        <w:ind w:left="153" w:right="1027" w:firstLine="360"/>
        <w:jc w:val="left"/>
        <w:rPr>
          <w:rFonts w:ascii="宋体" w:hAnsi="宋体" w:cs="宋体" w:eastAsia="宋体" w:hint="default"/>
          <w:sz w:val="18"/>
          <w:szCs w:val="18"/>
        </w:rPr>
      </w:pPr>
      <w:r>
        <w:rPr>
          <w:rFonts w:ascii="宋体" w:hAnsi="宋体" w:cs="宋体" w:eastAsia="宋体" w:hint="default"/>
          <w:spacing w:val="-2"/>
          <w:sz w:val="18"/>
          <w:szCs w:val="18"/>
        </w:rPr>
        <w:t>随着人们生活水平和质量的提高，人们的消费观念也有所改变，主动参与体育锻炼，主动提高身体素质，已经成为了推</w:t>
      </w:r>
      <w:r>
        <w:rPr>
          <w:rFonts w:ascii="宋体" w:hAnsi="宋体" w:cs="宋体" w:eastAsia="宋体" w:hint="default"/>
          <w:sz w:val="18"/>
          <w:szCs w:val="18"/>
        </w:rPr>
        <w:t> 动体育产业发展的主要因素。</w:t>
      </w:r>
      <w:r>
        <w:rPr>
          <w:rFonts w:ascii="宋体" w:hAnsi="宋体" w:cs="宋体" w:eastAsia="宋体" w:hint="default"/>
          <w:sz w:val="18"/>
          <w:szCs w:val="18"/>
        </w:rPr>
        <w:t>2014</w:t>
      </w:r>
      <w:r>
        <w:rPr>
          <w:rFonts w:ascii="宋体" w:hAnsi="宋体" w:cs="宋体" w:eastAsia="宋体" w:hint="default"/>
          <w:spacing w:val="-28"/>
          <w:sz w:val="18"/>
          <w:szCs w:val="18"/>
        </w:rPr>
        <w:t> </w:t>
      </w:r>
      <w:r>
        <w:rPr>
          <w:rFonts w:ascii="宋体" w:hAnsi="宋体" w:cs="宋体" w:eastAsia="宋体" w:hint="default"/>
          <w:sz w:val="18"/>
          <w:szCs w:val="18"/>
        </w:rPr>
        <w:t>年国务院发布的</w:t>
      </w:r>
      <w:r>
        <w:rPr>
          <w:rFonts w:ascii="宋体" w:hAnsi="宋体" w:cs="宋体" w:eastAsia="宋体" w:hint="default"/>
          <w:spacing w:val="-28"/>
          <w:sz w:val="18"/>
          <w:szCs w:val="18"/>
        </w:rPr>
        <w:t> </w:t>
      </w:r>
      <w:r>
        <w:rPr>
          <w:rFonts w:ascii="宋体" w:hAnsi="宋体" w:cs="宋体" w:eastAsia="宋体" w:hint="default"/>
          <w:sz w:val="18"/>
          <w:szCs w:val="18"/>
        </w:rPr>
        <w:t>46</w:t>
      </w:r>
      <w:r>
        <w:rPr>
          <w:rFonts w:ascii="宋体" w:hAnsi="宋体" w:cs="宋体" w:eastAsia="宋体" w:hint="default"/>
          <w:spacing w:val="-28"/>
          <w:sz w:val="18"/>
          <w:szCs w:val="18"/>
        </w:rPr>
        <w:t> </w:t>
      </w:r>
      <w:r>
        <w:rPr>
          <w:rFonts w:ascii="宋体" w:hAnsi="宋体" w:cs="宋体" w:eastAsia="宋体" w:hint="default"/>
          <w:sz w:val="18"/>
          <w:szCs w:val="18"/>
        </w:rPr>
        <w:t>号文《关于加快发展体育产业促进体育消费的若干意见》提出目标， 我国体育产业总规模到</w:t>
      </w:r>
      <w:r>
        <w:rPr>
          <w:rFonts w:ascii="宋体" w:hAnsi="宋体" w:cs="宋体" w:eastAsia="宋体" w:hint="default"/>
          <w:spacing w:val="-49"/>
          <w:sz w:val="18"/>
          <w:szCs w:val="18"/>
        </w:rPr>
        <w:t> </w:t>
      </w:r>
      <w:r>
        <w:rPr>
          <w:rFonts w:ascii="宋体" w:hAnsi="宋体" w:cs="宋体" w:eastAsia="宋体" w:hint="default"/>
          <w:sz w:val="18"/>
          <w:szCs w:val="18"/>
        </w:rPr>
        <w:t>2025</w:t>
      </w:r>
      <w:r>
        <w:rPr>
          <w:rFonts w:ascii="宋体" w:hAnsi="宋体" w:cs="宋体" w:eastAsia="宋体" w:hint="default"/>
          <w:spacing w:val="-48"/>
          <w:sz w:val="18"/>
          <w:szCs w:val="18"/>
        </w:rPr>
        <w:t> </w:t>
      </w:r>
      <w:r>
        <w:rPr>
          <w:rFonts w:ascii="宋体" w:hAnsi="宋体" w:cs="宋体" w:eastAsia="宋体" w:hint="default"/>
          <w:sz w:val="18"/>
          <w:szCs w:val="18"/>
        </w:rPr>
        <w:t>年需达</w:t>
      </w:r>
      <w:r>
        <w:rPr>
          <w:rFonts w:ascii="宋体" w:hAnsi="宋体" w:cs="宋体" w:eastAsia="宋体" w:hint="default"/>
          <w:spacing w:val="-49"/>
          <w:sz w:val="18"/>
          <w:szCs w:val="18"/>
        </w:rPr>
        <w:t> </w:t>
      </w:r>
      <w:r>
        <w:rPr>
          <w:rFonts w:ascii="宋体" w:hAnsi="宋体" w:cs="宋体" w:eastAsia="宋体" w:hint="default"/>
          <w:sz w:val="18"/>
          <w:szCs w:val="18"/>
        </w:rPr>
        <w:t>5</w:t>
      </w:r>
      <w:r>
        <w:rPr>
          <w:rFonts w:ascii="宋体" w:hAnsi="宋体" w:cs="宋体" w:eastAsia="宋体" w:hint="default"/>
          <w:spacing w:val="-49"/>
          <w:sz w:val="18"/>
          <w:szCs w:val="18"/>
        </w:rPr>
        <w:t> </w:t>
      </w:r>
      <w:r>
        <w:rPr>
          <w:rFonts w:ascii="宋体" w:hAnsi="宋体" w:cs="宋体" w:eastAsia="宋体" w:hint="default"/>
          <w:sz w:val="18"/>
          <w:szCs w:val="18"/>
        </w:rPr>
        <w:t>万亿元，未来十年内体育产业总规模需增长</w:t>
      </w:r>
      <w:r>
        <w:rPr>
          <w:rFonts w:ascii="宋体" w:hAnsi="宋体" w:cs="宋体" w:eastAsia="宋体" w:hint="default"/>
          <w:spacing w:val="-49"/>
          <w:sz w:val="18"/>
          <w:szCs w:val="18"/>
        </w:rPr>
        <w:t> </w:t>
      </w:r>
      <w:r>
        <w:rPr>
          <w:rFonts w:ascii="宋体" w:hAnsi="宋体" w:cs="宋体" w:eastAsia="宋体" w:hint="default"/>
          <w:sz w:val="18"/>
          <w:szCs w:val="18"/>
        </w:rPr>
        <w:t>16</w:t>
      </w:r>
      <w:r>
        <w:rPr>
          <w:rFonts w:ascii="宋体" w:hAnsi="宋体" w:cs="宋体" w:eastAsia="宋体" w:hint="default"/>
          <w:spacing w:val="-48"/>
          <w:sz w:val="18"/>
          <w:szCs w:val="18"/>
        </w:rPr>
        <w:t> </w:t>
      </w:r>
      <w:r>
        <w:rPr>
          <w:rFonts w:ascii="宋体" w:hAnsi="宋体" w:cs="宋体" w:eastAsia="宋体" w:hint="default"/>
          <w:sz w:val="18"/>
          <w:szCs w:val="18"/>
        </w:rPr>
        <w:t>倍左右，年均复合增长率约为</w:t>
      </w:r>
      <w:r>
        <w:rPr>
          <w:rFonts w:ascii="宋体" w:hAnsi="宋体" w:cs="宋体" w:eastAsia="宋体" w:hint="default"/>
          <w:spacing w:val="-49"/>
          <w:sz w:val="18"/>
          <w:szCs w:val="18"/>
        </w:rPr>
        <w:t> </w:t>
      </w:r>
      <w:r>
        <w:rPr>
          <w:rFonts w:ascii="宋体" w:hAnsi="宋体" w:cs="宋体" w:eastAsia="宋体" w:hint="default"/>
          <w:spacing w:val="-5"/>
          <w:sz w:val="18"/>
          <w:szCs w:val="18"/>
        </w:rPr>
        <w:t>20%</w:t>
      </w:r>
      <w:r>
        <w:rPr>
          <w:rFonts w:ascii="宋体" w:hAnsi="宋体" w:cs="宋体" w:eastAsia="宋体" w:hint="default"/>
          <w:spacing w:val="-5"/>
          <w:sz w:val="18"/>
          <w:szCs w:val="18"/>
        </w:rPr>
        <w:t>。公</w:t>
      </w:r>
      <w:r>
        <w:rPr>
          <w:rFonts w:ascii="宋体" w:hAnsi="宋体" w:cs="宋体" w:eastAsia="宋体" w:hint="default"/>
          <w:spacing w:val="-12"/>
          <w:sz w:val="18"/>
          <w:szCs w:val="18"/>
        </w:rPr>
        <w:t> </w:t>
      </w:r>
      <w:r>
        <w:rPr>
          <w:rFonts w:ascii="宋体" w:hAnsi="宋体" w:cs="宋体" w:eastAsia="宋体" w:hint="default"/>
          <w:sz w:val="18"/>
          <w:szCs w:val="18"/>
        </w:rPr>
        <w:t>司多年来为全球顶级赛事提供</w:t>
      </w:r>
      <w:r>
        <w:rPr>
          <w:rFonts w:ascii="宋体" w:hAnsi="宋体" w:cs="宋体" w:eastAsia="宋体" w:hint="default"/>
          <w:spacing w:val="-39"/>
          <w:sz w:val="18"/>
          <w:szCs w:val="18"/>
        </w:rPr>
        <w:t> </w:t>
      </w:r>
      <w:r>
        <w:rPr>
          <w:rFonts w:ascii="宋体" w:hAnsi="宋体" w:cs="宋体" w:eastAsia="宋体" w:hint="default"/>
          <w:sz w:val="18"/>
          <w:szCs w:val="18"/>
        </w:rPr>
        <w:t>LED</w:t>
      </w:r>
      <w:r>
        <w:rPr>
          <w:rFonts w:ascii="宋体" w:hAnsi="宋体" w:cs="宋体" w:eastAsia="宋体" w:hint="default"/>
          <w:spacing w:val="-39"/>
          <w:sz w:val="18"/>
          <w:szCs w:val="18"/>
        </w:rPr>
        <w:t> </w:t>
      </w:r>
      <w:r>
        <w:rPr>
          <w:rFonts w:ascii="宋体" w:hAnsi="宋体" w:cs="宋体" w:eastAsia="宋体" w:hint="default"/>
          <w:spacing w:val="-3"/>
          <w:sz w:val="18"/>
          <w:szCs w:val="18"/>
        </w:rPr>
        <w:t>显示产品和赛事服务，为公司进一步开拓体育市场，创新业务发展模式，奠定了坚实的基</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础。</w:t>
      </w:r>
      <w:r>
        <w:rPr>
          <w:rFonts w:ascii="宋体" w:hAnsi="宋体" w:cs="宋体" w:eastAsia="宋体" w:hint="default"/>
          <w:b/>
          <w:bCs/>
          <w:sz w:val="18"/>
          <w:szCs w:val="18"/>
        </w:rPr>
        <w:t>报告期内，公司新研发的大众体育场馆 </w:t>
      </w:r>
      <w:r>
        <w:rPr>
          <w:rFonts w:ascii="宋体" w:hAnsi="宋体" w:cs="宋体" w:eastAsia="宋体" w:hint="default"/>
          <w:b/>
          <w:bCs/>
          <w:sz w:val="18"/>
          <w:szCs w:val="18"/>
        </w:rPr>
        <w:t>O2O</w:t>
      </w:r>
      <w:r>
        <w:rPr>
          <w:rFonts w:ascii="宋体" w:hAnsi="宋体" w:cs="宋体" w:eastAsia="宋体" w:hint="default"/>
          <w:b/>
          <w:bCs/>
          <w:spacing w:val="-32"/>
          <w:sz w:val="18"/>
          <w:szCs w:val="18"/>
        </w:rPr>
        <w:t> </w:t>
      </w:r>
      <w:r>
        <w:rPr>
          <w:rFonts w:ascii="宋体" w:hAnsi="宋体" w:cs="宋体" w:eastAsia="宋体" w:hint="default"/>
          <w:b/>
          <w:bCs/>
          <w:sz w:val="18"/>
          <w:szCs w:val="18"/>
        </w:rPr>
        <w:t>运营平台系统，已在深圳、上海、广州等城市落地，覆盖面逐渐扩大，用</w:t>
      </w:r>
      <w:r>
        <w:rPr>
          <w:rFonts w:ascii="宋体" w:hAnsi="宋体" w:cs="宋体" w:eastAsia="宋体" w:hint="default"/>
          <w:b/>
          <w:bCs/>
          <w:w w:val="99"/>
          <w:sz w:val="18"/>
          <w:szCs w:val="18"/>
        </w:rPr>
        <w:t> </w:t>
      </w:r>
      <w:r>
        <w:rPr>
          <w:rFonts w:ascii="宋体" w:hAnsi="宋体" w:cs="宋体" w:eastAsia="宋体" w:hint="default"/>
          <w:b/>
          <w:bCs/>
          <w:sz w:val="18"/>
          <w:szCs w:val="18"/>
        </w:rPr>
        <w:t>户体验持续提升，反响较好，是羽毛球大众运动场馆信息化改造的领军企业。</w:t>
      </w:r>
      <w:r>
        <w:rPr>
          <w:rFonts w:ascii="宋体" w:hAnsi="宋体" w:cs="宋体" w:eastAsia="宋体" w:hint="default"/>
          <w:sz w:val="18"/>
          <w:szCs w:val="18"/>
        </w:rPr>
      </w:r>
    </w:p>
    <w:p>
      <w:pPr>
        <w:spacing w:line="240" w:lineRule="auto" w:before="7"/>
        <w:rPr>
          <w:rFonts w:ascii="宋体" w:hAnsi="宋体" w:cs="宋体" w:eastAsia="宋体" w:hint="default"/>
          <w:b/>
          <w:bCs/>
          <w:sz w:val="20"/>
          <w:szCs w:val="20"/>
        </w:rPr>
      </w:pPr>
    </w:p>
    <w:p>
      <w:pPr>
        <w:pStyle w:val="Heading2"/>
        <w:spacing w:line="240" w:lineRule="auto"/>
        <w:ind w:right="0"/>
        <w:jc w:val="left"/>
        <w:rPr>
          <w:b w:val="0"/>
          <w:bCs w:val="0"/>
        </w:rPr>
      </w:pPr>
      <w:bookmarkStart w:name="二、主要资产重大变化情况" w:id="18"/>
      <w:bookmarkEnd w:id="18"/>
      <w:r>
        <w:rPr>
          <w:b w:val="0"/>
          <w:bCs w:val="0"/>
        </w:rPr>
      </w:r>
      <w:r>
        <w:rPr/>
        <w:t>二、主要资产重大变化情况</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53" w:right="0"/>
        <w:jc w:val="left"/>
        <w:rPr>
          <w:b w:val="0"/>
          <w:bCs w:val="0"/>
        </w:rPr>
      </w:pPr>
      <w:bookmarkStart w:name="1、主要资产重大变化情况" w:id="19"/>
      <w:bookmarkEnd w:id="19"/>
      <w:r>
        <w:rPr>
          <w:b w:val="0"/>
          <w:bCs w:val="0"/>
        </w:rPr>
      </w:r>
      <w:r>
        <w:rPr>
          <w:rFonts w:ascii="Times New Roman" w:hAnsi="Times New Roman" w:cs="Times New Roman" w:eastAsia="Times New Roman" w:hint="default"/>
        </w:rPr>
        <w:t>1</w:t>
      </w:r>
      <w:r>
        <w:rPr/>
        <w:t>、主要资产重大变化情况</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4"/>
          <w:szCs w:val="14"/>
        </w:rPr>
      </w:pPr>
    </w:p>
    <w:p>
      <w:pPr>
        <w:pStyle w:val="BodyText"/>
        <w:spacing w:line="240" w:lineRule="auto"/>
        <w:ind w:left="0" w:right="1138"/>
        <w:jc w:val="right"/>
      </w:pPr>
      <w:r>
        <w:rPr/>
        <w:pict>
          <v:shape style="position:absolute;margin-left:56.459999pt;margin-top:-97.038277pt;width:479.2pt;height:134.7pt;mso-position-horizontal-relative:page;mso-position-vertical-relative:paragraph;z-index:114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052"/>
                    <w:gridCol w:w="6517"/>
                  </w:tblGrid>
                  <w:tr>
                    <w:trPr>
                      <w:trHeight w:val="187" w:hRule="exact"/>
                    </w:trPr>
                    <w:tc>
                      <w:tcPr>
                        <w:tcW w:w="3052" w:type="dxa"/>
                        <w:tcBorders>
                          <w:top w:val="single" w:sz="4" w:space="0" w:color="000000"/>
                          <w:left w:val="single" w:sz="4" w:space="0" w:color="000000"/>
                          <w:bottom w:val="nil" w:sz="6" w:space="0" w:color="auto"/>
                          <w:right w:val="single" w:sz="4" w:space="0" w:color="000000"/>
                        </w:tcBorders>
                        <w:shd w:val="clear" w:color="auto" w:fill="D2D2D2"/>
                      </w:tcPr>
                      <w:p>
                        <w:pPr/>
                      </w:p>
                    </w:tc>
                    <w:tc>
                      <w:tcPr>
                        <w:tcW w:w="6517"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1" w:hRule="exact"/>
                    </w:trPr>
                    <w:tc>
                      <w:tcPr>
                        <w:tcW w:w="305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主要资产</w:t>
                        </w:r>
                      </w:p>
                    </w:tc>
                    <w:tc>
                      <w:tcPr>
                        <w:tcW w:w="651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重大变化说明</w:t>
                        </w:r>
                      </w:p>
                    </w:tc>
                  </w:tr>
                  <w:tr>
                    <w:trPr>
                      <w:trHeight w:val="186" w:hRule="exact"/>
                    </w:trPr>
                    <w:tc>
                      <w:tcPr>
                        <w:tcW w:w="3052" w:type="dxa"/>
                        <w:tcBorders>
                          <w:top w:val="nil" w:sz="6" w:space="0" w:color="auto"/>
                          <w:left w:val="single" w:sz="4" w:space="0" w:color="000000"/>
                          <w:bottom w:val="single" w:sz="4" w:space="0" w:color="000000"/>
                          <w:right w:val="single" w:sz="4" w:space="0" w:color="000000"/>
                        </w:tcBorders>
                        <w:shd w:val="clear" w:color="auto" w:fill="D2D2D2"/>
                      </w:tcPr>
                      <w:p>
                        <w:pPr/>
                      </w:p>
                    </w:tc>
                    <w:tc>
                      <w:tcPr>
                        <w:tcW w:w="6517"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161" w:hRule="exact"/>
                    </w:trPr>
                    <w:tc>
                      <w:tcPr>
                        <w:tcW w:w="3052" w:type="dxa"/>
                        <w:tcBorders>
                          <w:top w:val="single" w:sz="4" w:space="0" w:color="000000"/>
                          <w:left w:val="single" w:sz="4" w:space="0" w:color="000000"/>
                          <w:bottom w:val="nil" w:sz="6" w:space="0" w:color="auto"/>
                          <w:right w:val="single" w:sz="4" w:space="0" w:color="000000"/>
                        </w:tcBorders>
                        <w:shd w:val="clear" w:color="auto" w:fill="D2D2D2"/>
                      </w:tcPr>
                      <w:p>
                        <w:pPr/>
                      </w:p>
                    </w:tc>
                    <w:tc>
                      <w:tcPr>
                        <w:tcW w:w="6517" w:type="dxa"/>
                        <w:vMerge w:val="restart"/>
                        <w:tcBorders>
                          <w:top w:val="single" w:sz="4" w:space="0" w:color="000000"/>
                          <w:left w:val="single" w:sz="9" w:space="0" w:color="D2D2D2"/>
                          <w:right w:val="single" w:sz="4" w:space="0" w:color="000000"/>
                        </w:tcBorders>
                      </w:tcPr>
                      <w:p>
                        <w:pPr>
                          <w:pStyle w:val="TableParagraph"/>
                          <w:spacing w:line="302" w:lineRule="auto" w:before="51"/>
                          <w:ind w:left="16" w:right="93"/>
                          <w:jc w:val="left"/>
                          <w:rPr>
                            <w:rFonts w:ascii="宋体" w:hAnsi="宋体" w:cs="宋体" w:eastAsia="宋体" w:hint="default"/>
                            <w:sz w:val="18"/>
                            <w:szCs w:val="18"/>
                          </w:rPr>
                        </w:pPr>
                        <w:r>
                          <w:rPr>
                            <w:rFonts w:ascii="宋体" w:hAnsi="宋体" w:cs="宋体" w:eastAsia="宋体" w:hint="default"/>
                            <w:sz w:val="18"/>
                            <w:szCs w:val="18"/>
                          </w:rPr>
                          <w:t>报告期内，公司以自有资金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2250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万元，对外投资设立合资公司深圳市奥拓立翔光 电科技有限公司，公司持有奥拓立翔</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60%</w:t>
                        </w:r>
                        <w:r>
                          <w:rPr>
                            <w:rFonts w:ascii="宋体" w:hAnsi="宋体" w:cs="宋体" w:eastAsia="宋体" w:hint="default"/>
                            <w:sz w:val="18"/>
                            <w:szCs w:val="18"/>
                          </w:rPr>
                          <w:t>股权。</w:t>
                        </w:r>
                      </w:p>
                    </w:tc>
                  </w:tr>
                  <w:tr>
                    <w:trPr>
                      <w:trHeight w:val="392" w:hRule="exact"/>
                    </w:trPr>
                    <w:tc>
                      <w:tcPr>
                        <w:tcW w:w="305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股权资产</w:t>
                        </w:r>
                      </w:p>
                    </w:tc>
                    <w:tc>
                      <w:tcPr>
                        <w:tcW w:w="6517" w:type="dxa"/>
                        <w:vMerge/>
                        <w:tcBorders>
                          <w:left w:val="single" w:sz="9" w:space="0" w:color="D2D2D2"/>
                          <w:right w:val="single" w:sz="4" w:space="0" w:color="000000"/>
                        </w:tcBorders>
                      </w:tcPr>
                      <w:p>
                        <w:pPr/>
                      </w:p>
                    </w:tc>
                  </w:tr>
                  <w:tr>
                    <w:trPr>
                      <w:trHeight w:val="161" w:hRule="exact"/>
                    </w:trPr>
                    <w:tc>
                      <w:tcPr>
                        <w:tcW w:w="3052" w:type="dxa"/>
                        <w:tcBorders>
                          <w:top w:val="nil" w:sz="6" w:space="0" w:color="auto"/>
                          <w:left w:val="single" w:sz="4" w:space="0" w:color="000000"/>
                          <w:bottom w:val="single" w:sz="4" w:space="0" w:color="000000"/>
                          <w:right w:val="single" w:sz="4" w:space="0" w:color="000000"/>
                        </w:tcBorders>
                        <w:shd w:val="clear" w:color="auto" w:fill="D2D2D2"/>
                      </w:tcPr>
                      <w:p>
                        <w:pPr/>
                      </w:p>
                    </w:tc>
                    <w:tc>
                      <w:tcPr>
                        <w:tcW w:w="6517" w:type="dxa"/>
                        <w:vMerge/>
                        <w:tcBorders>
                          <w:left w:val="single" w:sz="9" w:space="0" w:color="D2D2D2"/>
                          <w:bottom w:val="single" w:sz="4" w:space="0" w:color="000000"/>
                          <w:right w:val="single" w:sz="4" w:space="0" w:color="000000"/>
                        </w:tcBorders>
                      </w:tcPr>
                      <w:p>
                        <w:pPr/>
                      </w:p>
                    </w:tc>
                  </w:tr>
                  <w:tr>
                    <w:trPr>
                      <w:trHeight w:val="402" w:hRule="exact"/>
                    </w:trPr>
                    <w:tc>
                      <w:tcPr>
                        <w:tcW w:w="30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65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10" w:right="0"/>
                          <w:jc w:val="left"/>
                          <w:rPr>
                            <w:rFonts w:ascii="宋体" w:hAnsi="宋体" w:cs="宋体" w:eastAsia="宋体" w:hint="default"/>
                            <w:sz w:val="18"/>
                            <w:szCs w:val="18"/>
                          </w:rPr>
                        </w:pPr>
                        <w:r>
                          <w:rPr>
                            <w:rFonts w:ascii="宋体" w:hAnsi="宋体" w:cs="宋体" w:eastAsia="宋体" w:hint="default"/>
                            <w:sz w:val="18"/>
                            <w:szCs w:val="18"/>
                          </w:rPr>
                          <w:t>无重大变化。</w:t>
                        </w:r>
                      </w:p>
                    </w:tc>
                  </w:tr>
                  <w:tr>
                    <w:trPr>
                      <w:trHeight w:val="402" w:hRule="exact"/>
                    </w:trPr>
                    <w:tc>
                      <w:tcPr>
                        <w:tcW w:w="30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65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10" w:right="0"/>
                          <w:jc w:val="left"/>
                          <w:rPr>
                            <w:rFonts w:ascii="宋体" w:hAnsi="宋体" w:cs="宋体" w:eastAsia="宋体" w:hint="default"/>
                            <w:sz w:val="18"/>
                            <w:szCs w:val="18"/>
                          </w:rPr>
                        </w:pPr>
                        <w:r>
                          <w:rPr>
                            <w:rFonts w:ascii="宋体" w:hAnsi="宋体" w:cs="宋体" w:eastAsia="宋体" w:hint="default"/>
                            <w:sz w:val="18"/>
                            <w:szCs w:val="18"/>
                          </w:rPr>
                          <w:t>本期公司对外投资设立控股合资公司</w:t>
                        </w:r>
                        <w:r>
                          <w:rPr>
                            <w:rFonts w:ascii="宋体" w:hAnsi="宋体" w:cs="宋体" w:eastAsia="宋体" w:hint="default"/>
                            <w:spacing w:val="-90"/>
                            <w:sz w:val="18"/>
                            <w:szCs w:val="18"/>
                          </w:rPr>
                          <w:t>，</w:t>
                        </w:r>
                        <w:r>
                          <w:rPr>
                            <w:rFonts w:ascii="宋体" w:hAnsi="宋体" w:cs="宋体" w:eastAsia="宋体" w:hint="default"/>
                            <w:sz w:val="18"/>
                            <w:szCs w:val="18"/>
                          </w:rPr>
                          <w:t>因控股合并公司无形资产增加</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2</w:t>
                        </w:r>
                        <w:r>
                          <w:rPr>
                            <w:rFonts w:ascii="Times New Roman" w:hAnsi="Times New Roman" w:cs="Times New Roman" w:eastAsia="Times New Roman" w:hint="default"/>
                            <w:sz w:val="18"/>
                            <w:szCs w:val="18"/>
                          </w:rPr>
                          <w:t>54.77</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万元</w:t>
                        </w:r>
                      </w:p>
                    </w:tc>
                  </w:tr>
                  <w:tr>
                    <w:trPr>
                      <w:trHeight w:val="402" w:hRule="exact"/>
                    </w:trPr>
                    <w:tc>
                      <w:tcPr>
                        <w:tcW w:w="30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65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10" w:right="0"/>
                          <w:jc w:val="left"/>
                          <w:rPr>
                            <w:rFonts w:ascii="宋体" w:hAnsi="宋体" w:cs="宋体" w:eastAsia="宋体" w:hint="default"/>
                            <w:sz w:val="18"/>
                            <w:szCs w:val="18"/>
                          </w:rPr>
                        </w:pPr>
                        <w:r>
                          <w:rPr>
                            <w:rFonts w:ascii="宋体" w:hAnsi="宋体" w:cs="宋体" w:eastAsia="宋体" w:hint="default"/>
                            <w:sz w:val="18"/>
                            <w:szCs w:val="18"/>
                          </w:rPr>
                          <w:t>无重大变化。</w:t>
                        </w:r>
                      </w:p>
                    </w:tc>
                  </w:tr>
                </w:tbl>
                <w:p>
                  <w:pPr/>
                </w:p>
              </w:txbxContent>
            </v:textbox>
            <w10:wrap type="none"/>
          </v:shape>
        </w:pict>
      </w: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8"/>
          <w:szCs w:val="18"/>
        </w:rPr>
      </w:pPr>
    </w:p>
    <w:p>
      <w:pPr>
        <w:pStyle w:val="Heading3"/>
        <w:spacing w:line="240" w:lineRule="auto" w:before="35"/>
        <w:ind w:right="0"/>
        <w:jc w:val="left"/>
        <w:rPr>
          <w:b w:val="0"/>
          <w:bCs w:val="0"/>
        </w:rPr>
      </w:pPr>
      <w:bookmarkStart w:name="2、主要境外资产情况" w:id="20"/>
      <w:bookmarkEnd w:id="20"/>
      <w:r>
        <w:rPr>
          <w:b w:val="0"/>
          <w:bCs w:val="0"/>
        </w:rPr>
      </w:r>
      <w:r>
        <w:rPr>
          <w:rFonts w:ascii="Times New Roman" w:hAnsi="Times New Roman" w:cs="Times New Roman" w:eastAsia="Times New Roman" w:hint="default"/>
        </w:rPr>
        <w:t>2</w:t>
      </w:r>
      <w:r>
        <w:rPr/>
        <w:t>、主要境外资产情况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154"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3"/>
        <w:rPr>
          <w:rFonts w:ascii="宋体" w:hAnsi="宋体" w:cs="宋体" w:eastAsia="宋体" w:hint="default"/>
          <w:sz w:val="23"/>
          <w:szCs w:val="23"/>
        </w:rPr>
      </w:pPr>
    </w:p>
    <w:p>
      <w:pPr>
        <w:pStyle w:val="Heading2"/>
        <w:spacing w:line="240" w:lineRule="auto"/>
        <w:ind w:right="0"/>
        <w:jc w:val="left"/>
        <w:rPr>
          <w:b w:val="0"/>
          <w:bCs w:val="0"/>
        </w:rPr>
      </w:pPr>
      <w:bookmarkStart w:name="三、核心竞争力分析" w:id="21"/>
      <w:bookmarkEnd w:id="21"/>
      <w:r>
        <w:rPr>
          <w:b w:val="0"/>
          <w:bCs w:val="0"/>
        </w:rPr>
      </w:r>
      <w:r>
        <w:rPr/>
        <w:t>三、核心竞争力分析</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t>公司是否需要遵守特殊行业的披露要求</w:t>
      </w:r>
    </w:p>
    <w:p>
      <w:pPr>
        <w:spacing w:after="0" w:line="240" w:lineRule="auto"/>
        <w:jc w:val="left"/>
        <w:sectPr>
          <w:pgSz w:w="11910" w:h="16840"/>
          <w:pgMar w:header="747" w:footer="979" w:top="1060" w:bottom="1160" w:left="980" w:right="0"/>
        </w:sectPr>
      </w:pPr>
    </w:p>
    <w:p>
      <w:pPr>
        <w:spacing w:line="240" w:lineRule="auto" w:before="13"/>
        <w:rPr>
          <w:rFonts w:ascii="宋体" w:hAnsi="宋体" w:cs="宋体" w:eastAsia="宋体" w:hint="default"/>
          <w:sz w:val="25"/>
          <w:szCs w:val="25"/>
        </w:rPr>
      </w:pPr>
    </w:p>
    <w:p>
      <w:pPr>
        <w:pStyle w:val="BodyText"/>
        <w:spacing w:line="240" w:lineRule="auto" w:before="44"/>
        <w:ind w:right="0"/>
        <w:jc w:val="left"/>
      </w:pPr>
      <w:r>
        <w:rPr/>
        <w:t>否</w:t>
      </w:r>
    </w:p>
    <w:p>
      <w:pPr>
        <w:spacing w:line="240" w:lineRule="auto" w:before="5"/>
        <w:rPr>
          <w:rFonts w:ascii="宋体" w:hAnsi="宋体" w:cs="宋体" w:eastAsia="宋体" w:hint="default"/>
          <w:sz w:val="11"/>
          <w:szCs w:val="11"/>
        </w:rPr>
      </w:pPr>
    </w:p>
    <w:p>
      <w:pPr>
        <w:spacing w:line="4905" w:lineRule="exact"/>
        <w:ind w:left="1343" w:right="0" w:firstLine="0"/>
        <w:rPr>
          <w:rFonts w:ascii="宋体" w:hAnsi="宋体" w:cs="宋体" w:eastAsia="宋体" w:hint="default"/>
          <w:sz w:val="20"/>
          <w:szCs w:val="20"/>
        </w:rPr>
      </w:pPr>
      <w:r>
        <w:rPr>
          <w:rFonts w:ascii="宋体" w:hAnsi="宋体" w:cs="宋体" w:eastAsia="宋体" w:hint="default"/>
          <w:position w:val="-97"/>
          <w:sz w:val="20"/>
          <w:szCs w:val="20"/>
        </w:rPr>
        <w:drawing>
          <wp:inline distT="0" distB="0" distL="0" distR="0">
            <wp:extent cx="4607792" cy="3115055"/>
            <wp:effectExtent l="0" t="0" r="0" b="0"/>
            <wp:docPr id="33" name="image18.jpeg" descr=""/>
            <wp:cNvGraphicFramePr>
              <a:graphicFrameLocks noChangeAspect="1"/>
            </wp:cNvGraphicFramePr>
            <a:graphic>
              <a:graphicData uri="http://schemas.openxmlformats.org/drawingml/2006/picture">
                <pic:pic>
                  <pic:nvPicPr>
                    <pic:cNvPr id="34" name="image18.jpeg"/>
                    <pic:cNvPicPr/>
                  </pic:nvPicPr>
                  <pic:blipFill>
                    <a:blip r:embed="rId29" cstate="print"/>
                    <a:stretch>
                      <a:fillRect/>
                    </a:stretch>
                  </pic:blipFill>
                  <pic:spPr>
                    <a:xfrm>
                      <a:off x="0" y="0"/>
                      <a:ext cx="4607792" cy="3115055"/>
                    </a:xfrm>
                    <a:prstGeom prst="rect">
                      <a:avLst/>
                    </a:prstGeom>
                  </pic:spPr>
                </pic:pic>
              </a:graphicData>
            </a:graphic>
          </wp:inline>
        </w:drawing>
      </w:r>
      <w:r>
        <w:rPr>
          <w:rFonts w:ascii="宋体" w:hAnsi="宋体" w:cs="宋体" w:eastAsia="宋体" w:hint="default"/>
          <w:position w:val="-97"/>
          <w:sz w:val="20"/>
          <w:szCs w:val="20"/>
        </w:rPr>
      </w:r>
    </w:p>
    <w:p>
      <w:pPr>
        <w:pStyle w:val="Heading4"/>
        <w:spacing w:line="240" w:lineRule="auto" w:before="53"/>
        <w:ind w:right="0"/>
        <w:jc w:val="left"/>
        <w:rPr>
          <w:b w:val="0"/>
          <w:bCs w:val="0"/>
        </w:rPr>
      </w:pPr>
      <w:r>
        <w:rPr>
          <w:rFonts w:ascii="宋体" w:hAnsi="宋体" w:cs="宋体" w:eastAsia="宋体" w:hint="default"/>
        </w:rPr>
        <w:t>1</w:t>
      </w:r>
      <w:r>
        <w:rPr/>
        <w:t>、行业领先的研发能力</w:t>
      </w:r>
      <w:r>
        <w:rPr>
          <w:b w:val="0"/>
          <w:bCs w:val="0"/>
        </w:rPr>
      </w:r>
    </w:p>
    <w:p>
      <w:pPr>
        <w:pStyle w:val="BodyText"/>
        <w:spacing w:line="319" w:lineRule="auto" w:before="117"/>
        <w:ind w:right="1132" w:firstLine="360"/>
        <w:jc w:val="both"/>
      </w:pPr>
      <w:r>
        <w:rPr/>
        <w:t>技术研发一直为公司立足行业之本。</w:t>
      </w:r>
      <w:r>
        <w:rPr>
          <w:rFonts w:ascii="宋体" w:hAnsi="宋体" w:cs="宋体" w:eastAsia="宋体" w:hint="default"/>
        </w:rPr>
        <w:t>25</w:t>
      </w:r>
      <w:r>
        <w:rPr>
          <w:rFonts w:ascii="宋体" w:hAnsi="宋体" w:cs="宋体" w:eastAsia="宋体" w:hint="default"/>
          <w:spacing w:val="-28"/>
        </w:rPr>
        <w:t> </w:t>
      </w:r>
      <w:r>
        <w:rPr/>
        <w:t>年来，公司聚焦于为高端客户提供技术领先及创新的</w:t>
      </w:r>
      <w:r>
        <w:rPr>
          <w:spacing w:val="-27"/>
        </w:rPr>
        <w:t> </w:t>
      </w:r>
      <w:r>
        <w:rPr>
          <w:rFonts w:ascii="宋体" w:hAnsi="宋体" w:cs="宋体" w:eastAsia="宋体" w:hint="default"/>
        </w:rPr>
        <w:t>LED</w:t>
      </w:r>
      <w:r>
        <w:rPr>
          <w:rFonts w:ascii="宋体" w:hAnsi="宋体" w:cs="宋体" w:eastAsia="宋体" w:hint="default"/>
          <w:spacing w:val="-28"/>
        </w:rPr>
        <w:t> </w:t>
      </w:r>
      <w:r>
        <w:rPr/>
        <w:t>应用、金融科技及体 育服务解决方案，组建了一支</w:t>
      </w:r>
      <w:r>
        <w:rPr>
          <w:rFonts w:ascii="宋体" w:hAnsi="宋体" w:cs="宋体" w:eastAsia="宋体" w:hint="default"/>
          <w:b/>
          <w:bCs/>
        </w:rPr>
        <w:t>以技术创新为先导，面向技术领先型全球化发展战略</w:t>
      </w:r>
      <w:r>
        <w:rPr/>
        <w:t>的核心研发团队，并通过内生外延双轮</w:t>
      </w:r>
      <w:r>
        <w:rPr>
          <w:spacing w:val="-25"/>
        </w:rPr>
        <w:t> </w:t>
      </w:r>
      <w:r>
        <w:rPr>
          <w:spacing w:val="-25"/>
        </w:rPr>
      </w:r>
      <w:r>
        <w:rPr/>
        <w:t>驱动的模式不断吸纳优质技术团队和领先技术经验，始终坚持自主开发、自主创新的研发道路。</w:t>
      </w:r>
    </w:p>
    <w:p>
      <w:pPr>
        <w:pStyle w:val="BodyText"/>
        <w:spacing w:line="319" w:lineRule="auto" w:before="55"/>
        <w:ind w:right="1130" w:firstLine="360"/>
        <w:jc w:val="both"/>
      </w:pPr>
      <w:r>
        <w:rPr/>
        <w:t>报告期内，公司加大研发投入，拓展布局，加大了在</w:t>
      </w:r>
      <w:r>
        <w:rPr>
          <w:spacing w:val="-57"/>
        </w:rPr>
        <w:t> </w:t>
      </w:r>
      <w:r>
        <w:rPr>
          <w:rFonts w:ascii="宋体" w:hAnsi="宋体" w:cs="宋体" w:eastAsia="宋体" w:hint="default"/>
        </w:rPr>
        <w:t>COB</w:t>
      </w:r>
      <w:r>
        <w:rPr>
          <w:rFonts w:ascii="宋体" w:hAnsi="宋体" w:cs="宋体" w:eastAsia="宋体" w:hint="default"/>
          <w:spacing w:val="-57"/>
        </w:rPr>
        <w:t> </w:t>
      </w:r>
      <w:r>
        <w:rPr/>
        <w:t>技术、</w:t>
      </w:r>
      <w:r>
        <w:rPr>
          <w:rFonts w:ascii="宋体" w:hAnsi="宋体" w:cs="宋体" w:eastAsia="宋体" w:hint="default"/>
        </w:rPr>
        <w:t>LED</w:t>
      </w:r>
      <w:r>
        <w:rPr>
          <w:rFonts w:ascii="宋体" w:hAnsi="宋体" w:cs="宋体" w:eastAsia="宋体" w:hint="default"/>
          <w:spacing w:val="-57"/>
        </w:rPr>
        <w:t> </w:t>
      </w:r>
      <w:r>
        <w:rPr/>
        <w:t>应用控制系统及显示系统、智慧银行解决方案、智 </w:t>
      </w:r>
      <w:r>
        <w:rPr>
          <w:spacing w:val="-2"/>
        </w:rPr>
        <w:t>能服务型机器人及区块链技术等领域的投入，通过持续的技术创新，取得了一批具有核心竞争力的知识产权，研发生产出许</w:t>
      </w:r>
      <w:r>
        <w:rPr>
          <w:spacing w:val="-66"/>
        </w:rPr>
        <w:t> </w:t>
      </w:r>
      <w:r>
        <w:rPr>
          <w:spacing w:val="-66"/>
        </w:rPr>
      </w:r>
      <w:r>
        <w:rPr>
          <w:spacing w:val="-2"/>
        </w:rPr>
        <w:t>多行业领先的新产品，使公司的技术和产品处于行业领先水平。同时，公司已在深圳、惠州、南京、上海、武汉等地建立多</w:t>
      </w:r>
      <w:r>
        <w:rPr>
          <w:spacing w:val="-72"/>
        </w:rPr>
        <w:t> </w:t>
      </w:r>
      <w:r>
        <w:rPr>
          <w:spacing w:val="-72"/>
        </w:rPr>
      </w:r>
      <w:r>
        <w:rPr/>
        <w:t>个研发中心，培养优秀的行业研发人才。报告期内，公司研发投入</w:t>
      </w:r>
      <w:r>
        <w:rPr>
          <w:spacing w:val="-34"/>
        </w:rPr>
        <w:t> </w:t>
      </w:r>
      <w:r>
        <w:rPr>
          <w:rFonts w:ascii="宋体" w:hAnsi="宋体" w:cs="宋体" w:eastAsia="宋体" w:hint="default"/>
        </w:rPr>
        <w:t>6,749</w:t>
      </w:r>
      <w:r>
        <w:rPr>
          <w:rFonts w:ascii="宋体" w:hAnsi="宋体" w:cs="宋体" w:eastAsia="宋体" w:hint="default"/>
          <w:spacing w:val="-35"/>
        </w:rPr>
        <w:t> </w:t>
      </w:r>
      <w:r>
        <w:rPr/>
        <w:t>万元，占</w:t>
      </w:r>
      <w:r>
        <w:rPr>
          <w:spacing w:val="-35"/>
        </w:rPr>
        <w:t> </w:t>
      </w:r>
      <w:r>
        <w:rPr>
          <w:rFonts w:ascii="宋体" w:hAnsi="宋体" w:cs="宋体" w:eastAsia="宋体" w:hint="default"/>
        </w:rPr>
        <w:t>2017</w:t>
      </w:r>
      <w:r>
        <w:rPr>
          <w:rFonts w:ascii="宋体" w:hAnsi="宋体" w:cs="宋体" w:eastAsia="宋体" w:hint="default"/>
          <w:spacing w:val="-35"/>
        </w:rPr>
        <w:t> </w:t>
      </w:r>
      <w:r>
        <w:rPr/>
        <w:t>年营业收入的比例超过</w:t>
      </w:r>
      <w:r>
        <w:rPr>
          <w:spacing w:val="-35"/>
        </w:rPr>
        <w:t> </w:t>
      </w:r>
      <w:r>
        <w:rPr>
          <w:rFonts w:ascii="宋体" w:hAnsi="宋体" w:cs="宋体" w:eastAsia="宋体" w:hint="default"/>
        </w:rPr>
        <w:t>6.48%</w:t>
      </w:r>
      <w:r>
        <w:rPr/>
        <w:t>，比 去年同期增加了</w:t>
      </w:r>
      <w:r>
        <w:rPr>
          <w:spacing w:val="-47"/>
        </w:rPr>
        <w:t> </w:t>
      </w:r>
      <w:r>
        <w:rPr>
          <w:rFonts w:ascii="宋体" w:hAnsi="宋体" w:cs="宋体" w:eastAsia="宋体" w:hint="default"/>
        </w:rPr>
        <w:t>1,972</w:t>
      </w:r>
      <w:r>
        <w:rPr>
          <w:rFonts w:ascii="宋体" w:hAnsi="宋体" w:cs="宋体" w:eastAsia="宋体" w:hint="default"/>
          <w:spacing w:val="-47"/>
        </w:rPr>
        <w:t> </w:t>
      </w:r>
      <w:r>
        <w:rPr>
          <w:spacing w:val="-3"/>
        </w:rPr>
        <w:t>万元；同时，</w:t>
      </w:r>
      <w:r>
        <w:rPr>
          <w:rFonts w:ascii="宋体" w:hAnsi="宋体" w:cs="宋体" w:eastAsia="宋体" w:hint="default"/>
          <w:spacing w:val="-3"/>
        </w:rPr>
        <w:t>2016</w:t>
      </w:r>
      <w:r>
        <w:rPr>
          <w:rFonts w:ascii="宋体" w:hAnsi="宋体" w:cs="宋体" w:eastAsia="宋体" w:hint="default"/>
          <w:spacing w:val="-47"/>
        </w:rPr>
        <w:t> </w:t>
      </w:r>
      <w:r>
        <w:rPr/>
        <w:t>年公司收购千百辉时配套募集的</w:t>
      </w:r>
      <w:r>
        <w:rPr>
          <w:spacing w:val="-47"/>
        </w:rPr>
        <w:t> </w:t>
      </w:r>
      <w:r>
        <w:rPr>
          <w:rFonts w:ascii="宋体" w:hAnsi="宋体" w:cs="宋体" w:eastAsia="宋体" w:hint="default"/>
        </w:rPr>
        <w:t>6,090.13</w:t>
      </w:r>
      <w:r>
        <w:rPr>
          <w:rFonts w:ascii="宋体" w:hAnsi="宋体" w:cs="宋体" w:eastAsia="宋体" w:hint="default"/>
          <w:spacing w:val="-46"/>
        </w:rPr>
        <w:t> </w:t>
      </w:r>
      <w:r>
        <w:rPr/>
        <w:t>万元，主要用于</w:t>
      </w:r>
      <w:r>
        <w:rPr>
          <w:spacing w:val="-47"/>
        </w:rPr>
        <w:t> </w:t>
      </w:r>
      <w:r>
        <w:rPr>
          <w:rFonts w:ascii="宋体" w:hAnsi="宋体" w:cs="宋体" w:eastAsia="宋体" w:hint="default"/>
        </w:rPr>
        <w:t>LED</w:t>
      </w:r>
      <w:r>
        <w:rPr>
          <w:rFonts w:ascii="宋体" w:hAnsi="宋体" w:cs="宋体" w:eastAsia="宋体" w:hint="default"/>
          <w:spacing w:val="-47"/>
        </w:rPr>
        <w:t> </w:t>
      </w:r>
      <w:r>
        <w:rPr/>
        <w:t>智能楼宇亮化系统 的研发，将极大的提高千百辉在</w:t>
      </w:r>
      <w:r>
        <w:rPr>
          <w:spacing w:val="-46"/>
        </w:rPr>
        <w:t> </w:t>
      </w:r>
      <w:r>
        <w:rPr>
          <w:rFonts w:ascii="宋体" w:hAnsi="宋体" w:cs="宋体" w:eastAsia="宋体" w:hint="default"/>
        </w:rPr>
        <w:t>LED</w:t>
      </w:r>
      <w:r>
        <w:rPr>
          <w:rFonts w:ascii="宋体" w:hAnsi="宋体" w:cs="宋体" w:eastAsia="宋体" w:hint="default"/>
          <w:spacing w:val="-46"/>
        </w:rPr>
        <w:t> </w:t>
      </w:r>
      <w:r>
        <w:rPr/>
        <w:t>景观照明控制系统的能力及地位。</w:t>
      </w:r>
    </w:p>
    <w:p>
      <w:pPr>
        <w:pStyle w:val="BodyText"/>
        <w:spacing w:line="316" w:lineRule="auto" w:before="55"/>
        <w:ind w:right="1129" w:firstLine="360"/>
        <w:jc w:val="both"/>
      </w:pPr>
      <w:r>
        <w:rPr>
          <w:spacing w:val="-2"/>
        </w:rPr>
        <w:t>公司作为科技创新型上市公司，重视研发创新和投入，注重知识产权保护和管理。报告期内，公司及控股子公司共获得</w:t>
      </w:r>
      <w:r>
        <w:rPr/>
        <w:t> 国内专利</w:t>
      </w:r>
      <w:r>
        <w:rPr>
          <w:rFonts w:ascii="宋体" w:hAnsi="宋体" w:cs="宋体" w:eastAsia="宋体" w:hint="default"/>
        </w:rPr>
        <w:t>68</w:t>
      </w:r>
      <w:r>
        <w:rPr/>
        <w:t>项，其中发明专利</w:t>
      </w:r>
      <w:r>
        <w:rPr>
          <w:rFonts w:ascii="宋体" w:hAnsi="宋体" w:cs="宋体" w:eastAsia="宋体" w:hint="default"/>
        </w:rPr>
        <w:t>25</w:t>
      </w:r>
      <w:r>
        <w:rPr/>
        <w:t>项；国际专利</w:t>
      </w:r>
      <w:r>
        <w:rPr>
          <w:rFonts w:ascii="宋体" w:hAnsi="宋体" w:cs="宋体" w:eastAsia="宋体" w:hint="default"/>
        </w:rPr>
        <w:t>3</w:t>
      </w:r>
      <w:r>
        <w:rPr/>
        <w:t>项，其中发明专利</w:t>
      </w:r>
      <w:r>
        <w:rPr>
          <w:rFonts w:ascii="宋体" w:hAnsi="宋体" w:cs="宋体" w:eastAsia="宋体" w:hint="default"/>
        </w:rPr>
        <w:t>3</w:t>
      </w:r>
      <w:r>
        <w:rPr/>
        <w:t>项；提交</w:t>
      </w:r>
      <w:r>
        <w:rPr>
          <w:rFonts w:ascii="宋体" w:hAnsi="宋体" w:cs="宋体" w:eastAsia="宋体" w:hint="default"/>
        </w:rPr>
        <w:t>PCT</w:t>
      </w:r>
      <w:r>
        <w:rPr/>
        <w:t>国际申请</w:t>
      </w:r>
      <w:r>
        <w:rPr>
          <w:rFonts w:ascii="宋体" w:hAnsi="宋体" w:cs="宋体" w:eastAsia="宋体" w:hint="default"/>
        </w:rPr>
        <w:t>2</w:t>
      </w:r>
      <w:r>
        <w:rPr/>
        <w:t>项；共取得软件著作权</w:t>
      </w:r>
      <w:r>
        <w:rPr>
          <w:rFonts w:ascii="宋体" w:hAnsi="宋体" w:cs="宋体" w:eastAsia="宋体" w:hint="default"/>
        </w:rPr>
        <w:t>4</w:t>
      </w:r>
      <w:r>
        <w:rPr/>
        <w:t>项。截至</w:t>
      </w:r>
      <w:r>
        <w:rPr>
          <w:spacing w:val="-83"/>
        </w:rPr>
        <w:t> </w:t>
      </w:r>
      <w:r>
        <w:rPr>
          <w:spacing w:val="-83"/>
        </w:rPr>
      </w:r>
      <w:r>
        <w:rPr/>
        <w:t>目前，公司及控股子公司累计取得授权专利证书</w:t>
      </w:r>
      <w:r>
        <w:rPr>
          <w:rFonts w:ascii="宋体" w:hAnsi="宋体" w:cs="宋体" w:eastAsia="宋体" w:hint="default"/>
        </w:rPr>
        <w:t>503</w:t>
      </w:r>
      <w:r>
        <w:rPr/>
        <w:t>项，其中累计取得</w:t>
      </w:r>
      <w:r>
        <w:rPr>
          <w:rFonts w:ascii="宋体" w:hAnsi="宋体" w:cs="宋体" w:eastAsia="宋体" w:hint="default"/>
        </w:rPr>
        <w:t>5</w:t>
      </w:r>
      <w:r>
        <w:rPr/>
        <w:t>项美国发明专利和</w:t>
      </w:r>
      <w:r>
        <w:rPr>
          <w:rFonts w:ascii="宋体" w:hAnsi="宋体" w:cs="宋体" w:eastAsia="宋体" w:hint="default"/>
        </w:rPr>
        <w:t>4</w:t>
      </w:r>
      <w:r>
        <w:rPr/>
        <w:t>项欧盟发明专利。</w:t>
      </w:r>
    </w:p>
    <w:p>
      <w:pPr>
        <w:spacing w:line="240" w:lineRule="auto" w:before="4"/>
        <w:rPr>
          <w:rFonts w:ascii="宋体" w:hAnsi="宋体" w:cs="宋体" w:eastAsia="宋体" w:hint="default"/>
          <w:sz w:val="12"/>
          <w:szCs w:val="12"/>
        </w:rPr>
      </w:pPr>
    </w:p>
    <w:p>
      <w:pPr>
        <w:spacing w:line="3739" w:lineRule="exact"/>
        <w:ind w:left="784" w:right="0" w:firstLine="0"/>
        <w:rPr>
          <w:rFonts w:ascii="宋体" w:hAnsi="宋体" w:cs="宋体" w:eastAsia="宋体" w:hint="default"/>
          <w:sz w:val="20"/>
          <w:szCs w:val="20"/>
        </w:rPr>
      </w:pPr>
      <w:r>
        <w:rPr>
          <w:rFonts w:ascii="宋体" w:hAnsi="宋体" w:cs="宋体" w:eastAsia="宋体" w:hint="default"/>
          <w:position w:val="-74"/>
          <w:sz w:val="20"/>
          <w:szCs w:val="20"/>
        </w:rPr>
        <w:pict>
          <v:group style="width:410.25pt;height:186.95pt;mso-position-horizontal-relative:char;mso-position-vertical-relative:line" coordorigin="0,0" coordsize="8205,3739">
            <v:shape style="position:absolute;left:0;top:180;width:3994;height:3559" type="#_x0000_t75" stroked="false">
              <v:imagedata r:id="rId30" o:title=""/>
            </v:shape>
            <v:shape style="position:absolute;left:3994;top:0;width:4211;height:3736" type="#_x0000_t75" stroked="false">
              <v:imagedata r:id="rId31" o:title=""/>
            </v:shape>
          </v:group>
        </w:pict>
      </w:r>
      <w:r>
        <w:rPr>
          <w:rFonts w:ascii="宋体" w:hAnsi="宋体" w:cs="宋体" w:eastAsia="宋体" w:hint="default"/>
          <w:position w:val="-74"/>
          <w:sz w:val="20"/>
          <w:szCs w:val="20"/>
        </w:rPr>
      </w:r>
    </w:p>
    <w:p>
      <w:pPr>
        <w:spacing w:line="240" w:lineRule="auto" w:before="5"/>
        <w:rPr>
          <w:rFonts w:ascii="宋体" w:hAnsi="宋体" w:cs="宋体" w:eastAsia="宋体" w:hint="default"/>
          <w:sz w:val="13"/>
          <w:szCs w:val="13"/>
        </w:rPr>
      </w:pPr>
    </w:p>
    <w:p>
      <w:pPr>
        <w:pStyle w:val="BodyText"/>
        <w:spacing w:line="240" w:lineRule="auto"/>
        <w:ind w:left="514" w:right="0"/>
        <w:jc w:val="left"/>
      </w:pPr>
      <w:r>
        <w:rPr/>
        <w:t>报告期内，公司主要获得的国内外发明专利及软件著作权列表如下：</w:t>
      </w:r>
    </w:p>
    <w:p>
      <w:pPr>
        <w:spacing w:after="0" w:line="240" w:lineRule="auto"/>
        <w:jc w:val="left"/>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12"/>
          <w:szCs w:val="12"/>
        </w:rPr>
      </w:pPr>
    </w:p>
    <w:tbl>
      <w:tblPr>
        <w:tblW w:w="0" w:type="auto"/>
        <w:jc w:val="left"/>
        <w:tblInd w:w="1128" w:type="dxa"/>
        <w:tblLayout w:type="fixed"/>
        <w:tblCellMar>
          <w:top w:w="0" w:type="dxa"/>
          <w:left w:w="0" w:type="dxa"/>
          <w:bottom w:w="0" w:type="dxa"/>
          <w:right w:w="0" w:type="dxa"/>
        </w:tblCellMar>
        <w:tblLook w:val="01E0"/>
      </w:tblPr>
      <w:tblGrid>
        <w:gridCol w:w="569"/>
        <w:gridCol w:w="4262"/>
        <w:gridCol w:w="1284"/>
        <w:gridCol w:w="1560"/>
      </w:tblGrid>
      <w:tr>
        <w:trPr>
          <w:trHeight w:val="341" w:hRule="exact"/>
        </w:trPr>
        <w:tc>
          <w:tcPr>
            <w:tcW w:w="7675" w:type="dxa"/>
            <w:gridSpan w:val="4"/>
            <w:tcBorders>
              <w:top w:val="single" w:sz="6" w:space="0" w:color="000000"/>
              <w:left w:val="single" w:sz="6" w:space="0" w:color="000000"/>
              <w:bottom w:val="single" w:sz="6" w:space="0" w:color="000000"/>
              <w:right w:val="single" w:sz="6" w:space="0" w:color="000000"/>
            </w:tcBorders>
            <w:shd w:val="clear" w:color="auto" w:fill="A6A6A6"/>
          </w:tcPr>
          <w:p>
            <w:pPr>
              <w:pStyle w:val="TableParagraph"/>
              <w:spacing w:line="281" w:lineRule="exact"/>
              <w:ind w:left="439" w:right="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2017</w:t>
            </w:r>
            <w:r>
              <w:rPr>
                <w:rFonts w:ascii="宋体" w:hAnsi="宋体" w:cs="宋体" w:eastAsia="宋体" w:hint="default"/>
                <w:b/>
                <w:bCs/>
                <w:sz w:val="21"/>
                <w:szCs w:val="21"/>
              </w:rPr>
              <w:t>年授权发明专利</w:t>
            </w:r>
            <w:r>
              <w:rPr>
                <w:rFonts w:ascii="宋体" w:hAnsi="宋体" w:cs="宋体" w:eastAsia="宋体" w:hint="default"/>
                <w:sz w:val="21"/>
                <w:szCs w:val="21"/>
              </w:rPr>
            </w:r>
          </w:p>
        </w:tc>
      </w:tr>
      <w:tr>
        <w:trPr>
          <w:trHeight w:val="347" w:hRule="exact"/>
        </w:trPr>
        <w:tc>
          <w:tcPr>
            <w:tcW w:w="569" w:type="dxa"/>
            <w:tcBorders>
              <w:top w:val="single" w:sz="6" w:space="0" w:color="000000"/>
              <w:left w:val="single" w:sz="6" w:space="0" w:color="000000"/>
              <w:bottom w:val="single" w:sz="10" w:space="0" w:color="000000"/>
              <w:right w:val="single" w:sz="6" w:space="0" w:color="000000"/>
            </w:tcBorders>
            <w:shd w:val="clear" w:color="auto" w:fill="A6A6A6"/>
          </w:tcPr>
          <w:p>
            <w:pPr>
              <w:pStyle w:val="TableParagraph"/>
              <w:spacing w:line="271" w:lineRule="exact"/>
              <w:ind w:left="67" w:right="0"/>
              <w:jc w:val="left"/>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tc>
        <w:tc>
          <w:tcPr>
            <w:tcW w:w="4262" w:type="dxa"/>
            <w:tcBorders>
              <w:top w:val="single" w:sz="6" w:space="0" w:color="000000"/>
              <w:left w:val="single" w:sz="6" w:space="0" w:color="000000"/>
              <w:bottom w:val="single" w:sz="6" w:space="0" w:color="000000"/>
              <w:right w:val="single" w:sz="6" w:space="0" w:color="000000"/>
            </w:tcBorders>
            <w:shd w:val="clear" w:color="auto" w:fill="A6A6A6"/>
          </w:tcPr>
          <w:p>
            <w:pPr>
              <w:pStyle w:val="TableParagraph"/>
              <w:spacing w:line="271" w:lineRule="exact"/>
              <w:ind w:right="0"/>
              <w:jc w:val="center"/>
              <w:rPr>
                <w:rFonts w:ascii="宋体" w:hAnsi="宋体" w:cs="宋体" w:eastAsia="宋体" w:hint="default"/>
                <w:sz w:val="21"/>
                <w:szCs w:val="21"/>
              </w:rPr>
            </w:pPr>
            <w:r>
              <w:rPr>
                <w:rFonts w:ascii="宋体" w:hAnsi="宋体" w:cs="宋体" w:eastAsia="宋体" w:hint="default"/>
                <w:b/>
                <w:bCs/>
                <w:sz w:val="21"/>
                <w:szCs w:val="21"/>
              </w:rPr>
              <w:t>专利名称</w:t>
            </w:r>
            <w:r>
              <w:rPr>
                <w:rFonts w:ascii="宋体" w:hAnsi="宋体" w:cs="宋体" w:eastAsia="宋体" w:hint="default"/>
                <w:sz w:val="21"/>
                <w:szCs w:val="21"/>
              </w:rPr>
            </w:r>
          </w:p>
        </w:tc>
        <w:tc>
          <w:tcPr>
            <w:tcW w:w="1284" w:type="dxa"/>
            <w:tcBorders>
              <w:top w:val="single" w:sz="6" w:space="0" w:color="000000"/>
              <w:left w:val="single" w:sz="6" w:space="0" w:color="000000"/>
              <w:bottom w:val="single" w:sz="6" w:space="0" w:color="000000"/>
              <w:right w:val="single" w:sz="6" w:space="0" w:color="000000"/>
            </w:tcBorders>
            <w:shd w:val="clear" w:color="auto" w:fill="A6A6A6"/>
          </w:tcPr>
          <w:p>
            <w:pPr>
              <w:pStyle w:val="TableParagraph"/>
              <w:spacing w:line="271" w:lineRule="exact"/>
              <w:ind w:left="2" w:right="0"/>
              <w:jc w:val="center"/>
              <w:rPr>
                <w:rFonts w:ascii="宋体" w:hAnsi="宋体" w:cs="宋体" w:eastAsia="宋体" w:hint="default"/>
                <w:sz w:val="21"/>
                <w:szCs w:val="21"/>
              </w:rPr>
            </w:pPr>
            <w:r>
              <w:rPr>
                <w:rFonts w:ascii="宋体" w:hAnsi="宋体" w:cs="宋体" w:eastAsia="宋体" w:hint="default"/>
                <w:b/>
                <w:bCs/>
                <w:sz w:val="21"/>
                <w:szCs w:val="21"/>
              </w:rPr>
              <w:t>专利类型</w:t>
            </w:r>
            <w:r>
              <w:rPr>
                <w:rFonts w:ascii="宋体" w:hAnsi="宋体" w:cs="宋体" w:eastAsia="宋体" w:hint="default"/>
                <w:sz w:val="21"/>
                <w:szCs w:val="21"/>
              </w:rPr>
            </w:r>
          </w:p>
        </w:tc>
        <w:tc>
          <w:tcPr>
            <w:tcW w:w="1560" w:type="dxa"/>
            <w:tcBorders>
              <w:top w:val="single" w:sz="6" w:space="0" w:color="000000"/>
              <w:left w:val="single" w:sz="6" w:space="0" w:color="000000"/>
              <w:bottom w:val="single" w:sz="6" w:space="0" w:color="000000"/>
              <w:right w:val="single" w:sz="6" w:space="0" w:color="000000"/>
            </w:tcBorders>
            <w:shd w:val="clear" w:color="auto" w:fill="A6A6A6"/>
          </w:tcPr>
          <w:p>
            <w:pPr>
              <w:pStyle w:val="TableParagraph"/>
              <w:spacing w:line="271" w:lineRule="exact"/>
              <w:ind w:right="0"/>
              <w:jc w:val="center"/>
              <w:rPr>
                <w:rFonts w:ascii="宋体" w:hAnsi="宋体" w:cs="宋体" w:eastAsia="宋体" w:hint="default"/>
                <w:sz w:val="21"/>
                <w:szCs w:val="21"/>
              </w:rPr>
            </w:pPr>
            <w:r>
              <w:rPr>
                <w:rFonts w:ascii="宋体" w:hAnsi="宋体" w:cs="宋体" w:eastAsia="宋体" w:hint="default"/>
                <w:b/>
                <w:bCs/>
                <w:sz w:val="21"/>
                <w:szCs w:val="21"/>
              </w:rPr>
              <w:t>专利号</w:t>
            </w:r>
            <w:r>
              <w:rPr>
                <w:rFonts w:ascii="宋体" w:hAnsi="宋体" w:cs="宋体" w:eastAsia="宋体" w:hint="default"/>
                <w:sz w:val="21"/>
                <w:szCs w:val="21"/>
              </w:rPr>
            </w:r>
          </w:p>
        </w:tc>
      </w:tr>
      <w:tr>
        <w:trPr>
          <w:trHeight w:val="347" w:hRule="exact"/>
        </w:trPr>
        <w:tc>
          <w:tcPr>
            <w:tcW w:w="569" w:type="dxa"/>
            <w:tcBorders>
              <w:top w:val="single" w:sz="6" w:space="0" w:color="000000"/>
              <w:left w:val="single" w:sz="6" w:space="0" w:color="000000"/>
              <w:bottom w:val="single" w:sz="6" w:space="0" w:color="000000"/>
              <w:right w:val="single" w:sz="6" w:space="0" w:color="000000"/>
            </w:tcBorders>
            <w:shd w:val="clear" w:color="auto" w:fill="C00000"/>
          </w:tcPr>
          <w:p>
            <w:pPr>
              <w:pStyle w:val="TableParagraph"/>
              <w:spacing w:line="240" w:lineRule="auto" w:before="42"/>
              <w:ind w:right="0"/>
              <w:jc w:val="center"/>
              <w:rPr>
                <w:rFonts w:ascii="Times New Roman" w:hAnsi="Times New Roman" w:cs="Times New Roman" w:eastAsia="Times New Roman" w:hint="default"/>
                <w:sz w:val="22"/>
                <w:szCs w:val="22"/>
              </w:rPr>
            </w:pPr>
            <w:r>
              <w:rPr>
                <w:rFonts w:ascii="Times New Roman"/>
                <w:b/>
                <w:color w:val="FFFFFF"/>
                <w:w w:val="99"/>
                <w:sz w:val="22"/>
              </w:rPr>
              <w:t>1</w:t>
            </w:r>
            <w:r>
              <w:rPr>
                <w:rFonts w:ascii="Times New Roman"/>
                <w:sz w:val="22"/>
              </w:rPr>
            </w:r>
          </w:p>
        </w:tc>
        <w:tc>
          <w:tcPr>
            <w:tcW w:w="4262"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36"/>
              <w:ind w:right="1"/>
              <w:jc w:val="center"/>
              <w:rPr>
                <w:rFonts w:ascii="宋体" w:hAnsi="宋体" w:cs="宋体" w:eastAsia="宋体" w:hint="default"/>
                <w:sz w:val="16"/>
                <w:szCs w:val="16"/>
              </w:rPr>
            </w:pPr>
            <w:r>
              <w:rPr>
                <w:rFonts w:ascii="宋体" w:hAnsi="宋体" w:cs="宋体" w:eastAsia="宋体" w:hint="default"/>
                <w:sz w:val="16"/>
                <w:szCs w:val="16"/>
              </w:rPr>
              <w:t>一种</w:t>
            </w:r>
            <w:r>
              <w:rPr>
                <w:rFonts w:ascii="Times New Roman" w:hAnsi="Times New Roman" w:cs="Times New Roman" w:eastAsia="Times New Roman" w:hint="default"/>
                <w:sz w:val="16"/>
                <w:szCs w:val="16"/>
              </w:rPr>
              <w:t>LED</w:t>
            </w:r>
            <w:r>
              <w:rPr>
                <w:rFonts w:ascii="宋体" w:hAnsi="宋体" w:cs="宋体" w:eastAsia="宋体" w:hint="default"/>
                <w:sz w:val="16"/>
                <w:szCs w:val="16"/>
              </w:rPr>
              <w:t>显示屏及其电源控制盒</w:t>
            </w:r>
          </w:p>
        </w:tc>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0"/>
              <w:jc w:val="center"/>
              <w:rPr>
                <w:rFonts w:ascii="宋体" w:hAnsi="宋体" w:cs="宋体" w:eastAsia="宋体" w:hint="default"/>
                <w:sz w:val="16"/>
                <w:szCs w:val="16"/>
              </w:rPr>
            </w:pPr>
            <w:r>
              <w:rPr>
                <w:rFonts w:ascii="宋体" w:hAnsi="宋体" w:cs="宋体" w:eastAsia="宋体" w:hint="default"/>
                <w:sz w:val="16"/>
                <w:szCs w:val="16"/>
              </w:rPr>
              <w:t>发明专利</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2"/>
              <w:ind w:right="1"/>
              <w:jc w:val="center"/>
              <w:rPr>
                <w:rFonts w:ascii="Times New Roman" w:hAnsi="Times New Roman" w:cs="Times New Roman" w:eastAsia="Times New Roman" w:hint="default"/>
                <w:sz w:val="16"/>
                <w:szCs w:val="16"/>
              </w:rPr>
            </w:pPr>
            <w:r>
              <w:rPr>
                <w:rFonts w:ascii="Times New Roman"/>
                <w:sz w:val="16"/>
              </w:rPr>
              <w:t>2013106555199</w:t>
            </w:r>
          </w:p>
        </w:tc>
      </w:tr>
      <w:tr>
        <w:trPr>
          <w:trHeight w:val="348" w:hRule="exact"/>
        </w:trPr>
        <w:tc>
          <w:tcPr>
            <w:tcW w:w="569" w:type="dxa"/>
            <w:tcBorders>
              <w:top w:val="single" w:sz="6" w:space="0" w:color="000000"/>
              <w:left w:val="single" w:sz="6" w:space="0" w:color="000000"/>
              <w:bottom w:val="single" w:sz="6" w:space="0" w:color="000000"/>
              <w:right w:val="single" w:sz="6" w:space="0" w:color="000000"/>
            </w:tcBorders>
            <w:shd w:val="clear" w:color="auto" w:fill="C00000"/>
          </w:tcPr>
          <w:p>
            <w:pPr>
              <w:pStyle w:val="TableParagraph"/>
              <w:spacing w:line="240" w:lineRule="auto" w:before="42"/>
              <w:ind w:right="0"/>
              <w:jc w:val="center"/>
              <w:rPr>
                <w:rFonts w:ascii="Times New Roman" w:hAnsi="Times New Roman" w:cs="Times New Roman" w:eastAsia="Times New Roman" w:hint="default"/>
                <w:sz w:val="22"/>
                <w:szCs w:val="22"/>
              </w:rPr>
            </w:pPr>
            <w:r>
              <w:rPr>
                <w:rFonts w:ascii="Times New Roman"/>
                <w:b/>
                <w:color w:val="FFFFFF"/>
                <w:w w:val="99"/>
                <w:sz w:val="22"/>
              </w:rPr>
              <w:t>2</w:t>
            </w:r>
            <w:r>
              <w:rPr>
                <w:rFonts w:ascii="Times New Roman"/>
                <w:sz w:val="22"/>
              </w:rPr>
            </w:r>
          </w:p>
        </w:tc>
        <w:tc>
          <w:tcPr>
            <w:tcW w:w="4262"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36"/>
              <w:ind w:right="1"/>
              <w:jc w:val="center"/>
              <w:rPr>
                <w:rFonts w:ascii="宋体" w:hAnsi="宋体" w:cs="宋体" w:eastAsia="宋体" w:hint="default"/>
                <w:sz w:val="16"/>
                <w:szCs w:val="16"/>
              </w:rPr>
            </w:pPr>
            <w:r>
              <w:rPr>
                <w:rFonts w:ascii="Times New Roman" w:hAnsi="Times New Roman" w:cs="Times New Roman" w:eastAsia="Times New Roman" w:hint="default"/>
                <w:sz w:val="16"/>
                <w:szCs w:val="16"/>
              </w:rPr>
              <w:t>LED</w:t>
            </w:r>
            <w:r>
              <w:rPr>
                <w:rFonts w:ascii="宋体" w:hAnsi="宋体" w:cs="宋体" w:eastAsia="宋体" w:hint="default"/>
                <w:sz w:val="16"/>
                <w:szCs w:val="16"/>
              </w:rPr>
              <w:t>显示屏消摩尔纹结构及其方法</w:t>
            </w:r>
          </w:p>
        </w:tc>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0"/>
              <w:jc w:val="center"/>
              <w:rPr>
                <w:rFonts w:ascii="宋体" w:hAnsi="宋体" w:cs="宋体" w:eastAsia="宋体" w:hint="default"/>
                <w:sz w:val="16"/>
                <w:szCs w:val="16"/>
              </w:rPr>
            </w:pPr>
            <w:r>
              <w:rPr>
                <w:rFonts w:ascii="宋体" w:hAnsi="宋体" w:cs="宋体" w:eastAsia="宋体" w:hint="default"/>
                <w:sz w:val="16"/>
                <w:szCs w:val="16"/>
              </w:rPr>
              <w:t>发明专利</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2"/>
              <w:ind w:right="1"/>
              <w:jc w:val="center"/>
              <w:rPr>
                <w:rFonts w:ascii="Times New Roman" w:hAnsi="Times New Roman" w:cs="Times New Roman" w:eastAsia="Times New Roman" w:hint="default"/>
                <w:sz w:val="16"/>
                <w:szCs w:val="16"/>
              </w:rPr>
            </w:pPr>
            <w:r>
              <w:rPr>
                <w:rFonts w:ascii="Times New Roman"/>
                <w:sz w:val="16"/>
              </w:rPr>
              <w:t>2014102949285</w:t>
            </w:r>
          </w:p>
        </w:tc>
      </w:tr>
      <w:tr>
        <w:trPr>
          <w:trHeight w:val="347" w:hRule="exact"/>
        </w:trPr>
        <w:tc>
          <w:tcPr>
            <w:tcW w:w="569" w:type="dxa"/>
            <w:tcBorders>
              <w:top w:val="single" w:sz="6" w:space="0" w:color="000000"/>
              <w:left w:val="single" w:sz="6" w:space="0" w:color="000000"/>
              <w:bottom w:val="single" w:sz="6" w:space="0" w:color="000000"/>
              <w:right w:val="single" w:sz="6" w:space="0" w:color="000000"/>
            </w:tcBorders>
            <w:shd w:val="clear" w:color="auto" w:fill="C00000"/>
          </w:tcPr>
          <w:p>
            <w:pPr>
              <w:pStyle w:val="TableParagraph"/>
              <w:spacing w:line="240" w:lineRule="auto" w:before="40"/>
              <w:ind w:right="0"/>
              <w:jc w:val="center"/>
              <w:rPr>
                <w:rFonts w:ascii="Times New Roman" w:hAnsi="Times New Roman" w:cs="Times New Roman" w:eastAsia="Times New Roman" w:hint="default"/>
                <w:sz w:val="22"/>
                <w:szCs w:val="22"/>
              </w:rPr>
            </w:pPr>
            <w:r>
              <w:rPr>
                <w:rFonts w:ascii="Times New Roman"/>
                <w:b/>
                <w:color w:val="FFFFFF"/>
                <w:w w:val="99"/>
                <w:sz w:val="22"/>
              </w:rPr>
              <w:t>3</w:t>
            </w:r>
            <w:r>
              <w:rPr>
                <w:rFonts w:ascii="Times New Roman"/>
                <w:sz w:val="22"/>
              </w:rPr>
            </w:r>
          </w:p>
        </w:tc>
        <w:tc>
          <w:tcPr>
            <w:tcW w:w="4262"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35"/>
              <w:ind w:right="1"/>
              <w:jc w:val="center"/>
              <w:rPr>
                <w:rFonts w:ascii="宋体" w:hAnsi="宋体" w:cs="宋体" w:eastAsia="宋体" w:hint="default"/>
                <w:sz w:val="16"/>
                <w:szCs w:val="16"/>
              </w:rPr>
            </w:pPr>
            <w:r>
              <w:rPr>
                <w:rFonts w:ascii="宋体" w:hAnsi="宋体" w:cs="宋体" w:eastAsia="宋体" w:hint="default"/>
                <w:sz w:val="16"/>
                <w:szCs w:val="16"/>
              </w:rPr>
              <w:t>一种</w:t>
            </w:r>
            <w:r>
              <w:rPr>
                <w:rFonts w:ascii="Times New Roman" w:hAnsi="Times New Roman" w:cs="Times New Roman" w:eastAsia="Times New Roman" w:hint="default"/>
                <w:sz w:val="16"/>
                <w:szCs w:val="16"/>
              </w:rPr>
              <w:t>LED</w:t>
            </w:r>
            <w:r>
              <w:rPr>
                <w:rFonts w:ascii="宋体" w:hAnsi="宋体" w:cs="宋体" w:eastAsia="宋体" w:hint="default"/>
                <w:sz w:val="16"/>
                <w:szCs w:val="16"/>
              </w:rPr>
              <w:t>箱体定位坐标方法、装置及</w:t>
            </w:r>
            <w:r>
              <w:rPr>
                <w:rFonts w:ascii="Times New Roman" w:hAnsi="Times New Roman" w:cs="Times New Roman" w:eastAsia="Times New Roman" w:hint="default"/>
                <w:sz w:val="16"/>
                <w:szCs w:val="16"/>
              </w:rPr>
              <w:t>LED</w:t>
            </w:r>
            <w:r>
              <w:rPr>
                <w:rFonts w:ascii="宋体" w:hAnsi="宋体" w:cs="宋体" w:eastAsia="宋体" w:hint="default"/>
                <w:sz w:val="16"/>
                <w:szCs w:val="16"/>
              </w:rPr>
              <w:t>显示屏</w:t>
            </w:r>
          </w:p>
        </w:tc>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0"/>
              <w:jc w:val="center"/>
              <w:rPr>
                <w:rFonts w:ascii="宋体" w:hAnsi="宋体" w:cs="宋体" w:eastAsia="宋体" w:hint="default"/>
                <w:sz w:val="16"/>
                <w:szCs w:val="16"/>
              </w:rPr>
            </w:pPr>
            <w:r>
              <w:rPr>
                <w:rFonts w:ascii="宋体" w:hAnsi="宋体" w:cs="宋体" w:eastAsia="宋体" w:hint="default"/>
                <w:sz w:val="16"/>
                <w:szCs w:val="16"/>
              </w:rPr>
              <w:t>发明专利</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1"/>
              <w:ind w:right="1"/>
              <w:jc w:val="center"/>
              <w:rPr>
                <w:rFonts w:ascii="Times New Roman" w:hAnsi="Times New Roman" w:cs="Times New Roman" w:eastAsia="Times New Roman" w:hint="default"/>
                <w:sz w:val="16"/>
                <w:szCs w:val="16"/>
              </w:rPr>
            </w:pPr>
            <w:r>
              <w:rPr>
                <w:rFonts w:ascii="Times New Roman"/>
                <w:sz w:val="16"/>
              </w:rPr>
              <w:t>2014103017057</w:t>
            </w:r>
          </w:p>
        </w:tc>
      </w:tr>
      <w:tr>
        <w:trPr>
          <w:trHeight w:val="347" w:hRule="exact"/>
        </w:trPr>
        <w:tc>
          <w:tcPr>
            <w:tcW w:w="569" w:type="dxa"/>
            <w:tcBorders>
              <w:top w:val="single" w:sz="6" w:space="0" w:color="000000"/>
              <w:left w:val="single" w:sz="6" w:space="0" w:color="000000"/>
              <w:bottom w:val="single" w:sz="6" w:space="0" w:color="000000"/>
              <w:right w:val="single" w:sz="6" w:space="0" w:color="000000"/>
            </w:tcBorders>
            <w:shd w:val="clear" w:color="auto" w:fill="C00000"/>
          </w:tcPr>
          <w:p>
            <w:pPr>
              <w:pStyle w:val="TableParagraph"/>
              <w:spacing w:line="240" w:lineRule="auto" w:before="42"/>
              <w:ind w:right="0"/>
              <w:jc w:val="center"/>
              <w:rPr>
                <w:rFonts w:ascii="Times New Roman" w:hAnsi="Times New Roman" w:cs="Times New Roman" w:eastAsia="Times New Roman" w:hint="default"/>
                <w:sz w:val="22"/>
                <w:szCs w:val="22"/>
              </w:rPr>
            </w:pPr>
            <w:r>
              <w:rPr>
                <w:rFonts w:ascii="Times New Roman"/>
                <w:b/>
                <w:color w:val="FFFFFF"/>
                <w:w w:val="99"/>
                <w:sz w:val="22"/>
              </w:rPr>
              <w:t>4</w:t>
            </w:r>
            <w:r>
              <w:rPr>
                <w:rFonts w:ascii="Times New Roman"/>
                <w:sz w:val="22"/>
              </w:rPr>
            </w:r>
          </w:p>
        </w:tc>
        <w:tc>
          <w:tcPr>
            <w:tcW w:w="4262"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36"/>
              <w:ind w:right="2"/>
              <w:jc w:val="center"/>
              <w:rPr>
                <w:rFonts w:ascii="宋体" w:hAnsi="宋体" w:cs="宋体" w:eastAsia="宋体" w:hint="default"/>
                <w:sz w:val="16"/>
                <w:szCs w:val="16"/>
              </w:rPr>
            </w:pPr>
            <w:r>
              <w:rPr>
                <w:rFonts w:ascii="宋体" w:hAnsi="宋体" w:cs="宋体" w:eastAsia="宋体" w:hint="default"/>
                <w:sz w:val="16"/>
                <w:szCs w:val="16"/>
              </w:rPr>
              <w:t>一种</w:t>
            </w:r>
            <w:r>
              <w:rPr>
                <w:rFonts w:ascii="Times New Roman" w:hAnsi="Times New Roman" w:cs="Times New Roman" w:eastAsia="Times New Roman" w:hint="default"/>
                <w:sz w:val="16"/>
                <w:szCs w:val="16"/>
              </w:rPr>
              <w:t>LED</w:t>
            </w:r>
            <w:r>
              <w:rPr>
                <w:rFonts w:ascii="宋体" w:hAnsi="宋体" w:cs="宋体" w:eastAsia="宋体" w:hint="default"/>
                <w:sz w:val="16"/>
                <w:szCs w:val="16"/>
              </w:rPr>
              <w:t>显示屏显示方法、装置及</w:t>
            </w:r>
            <w:r>
              <w:rPr>
                <w:rFonts w:ascii="Times New Roman" w:hAnsi="Times New Roman" w:cs="Times New Roman" w:eastAsia="Times New Roman" w:hint="default"/>
                <w:sz w:val="16"/>
                <w:szCs w:val="16"/>
              </w:rPr>
              <w:t>LED</w:t>
            </w:r>
            <w:r>
              <w:rPr>
                <w:rFonts w:ascii="宋体" w:hAnsi="宋体" w:cs="宋体" w:eastAsia="宋体" w:hint="default"/>
                <w:sz w:val="16"/>
                <w:szCs w:val="16"/>
              </w:rPr>
              <w:t>显示屏</w:t>
            </w:r>
          </w:p>
        </w:tc>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0"/>
              <w:jc w:val="center"/>
              <w:rPr>
                <w:rFonts w:ascii="宋体" w:hAnsi="宋体" w:cs="宋体" w:eastAsia="宋体" w:hint="default"/>
                <w:sz w:val="16"/>
                <w:szCs w:val="16"/>
              </w:rPr>
            </w:pPr>
            <w:r>
              <w:rPr>
                <w:rFonts w:ascii="宋体" w:hAnsi="宋体" w:cs="宋体" w:eastAsia="宋体" w:hint="default"/>
                <w:sz w:val="16"/>
                <w:szCs w:val="16"/>
              </w:rPr>
              <w:t>发明专利</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2"/>
              <w:ind w:right="1"/>
              <w:jc w:val="center"/>
              <w:rPr>
                <w:rFonts w:ascii="Times New Roman" w:hAnsi="Times New Roman" w:cs="Times New Roman" w:eastAsia="Times New Roman" w:hint="default"/>
                <w:sz w:val="16"/>
                <w:szCs w:val="16"/>
              </w:rPr>
            </w:pPr>
            <w:r>
              <w:rPr>
                <w:rFonts w:ascii="Times New Roman"/>
                <w:sz w:val="16"/>
              </w:rPr>
              <w:t>2014103011991</w:t>
            </w:r>
          </w:p>
        </w:tc>
      </w:tr>
      <w:tr>
        <w:trPr>
          <w:trHeight w:val="659" w:hRule="exact"/>
        </w:trPr>
        <w:tc>
          <w:tcPr>
            <w:tcW w:w="569" w:type="dxa"/>
            <w:tcBorders>
              <w:top w:val="single" w:sz="6" w:space="0" w:color="000000"/>
              <w:left w:val="single" w:sz="6" w:space="0" w:color="000000"/>
              <w:bottom w:val="single" w:sz="6" w:space="0" w:color="000000"/>
              <w:right w:val="single" w:sz="6" w:space="0" w:color="000000"/>
            </w:tcBorders>
            <w:shd w:val="clear" w:color="auto" w:fill="C00000"/>
          </w:tcPr>
          <w:p>
            <w:pPr>
              <w:pStyle w:val="TableParagraph"/>
              <w:spacing w:line="240" w:lineRule="auto" w:before="42"/>
              <w:ind w:right="0"/>
              <w:jc w:val="center"/>
              <w:rPr>
                <w:rFonts w:ascii="Times New Roman" w:hAnsi="Times New Roman" w:cs="Times New Roman" w:eastAsia="Times New Roman" w:hint="default"/>
                <w:sz w:val="22"/>
                <w:szCs w:val="22"/>
              </w:rPr>
            </w:pPr>
            <w:r>
              <w:rPr>
                <w:rFonts w:ascii="Times New Roman"/>
                <w:b/>
                <w:color w:val="FFFFFF"/>
                <w:w w:val="99"/>
                <w:sz w:val="22"/>
              </w:rPr>
              <w:t>5</w:t>
            </w:r>
            <w:r>
              <w:rPr>
                <w:rFonts w:ascii="Times New Roman"/>
                <w:sz w:val="22"/>
              </w:rPr>
            </w:r>
          </w:p>
        </w:tc>
        <w:tc>
          <w:tcPr>
            <w:tcW w:w="4262" w:type="dxa"/>
            <w:tcBorders>
              <w:top w:val="single" w:sz="6" w:space="0" w:color="000000"/>
              <w:left w:val="single" w:sz="7" w:space="0" w:color="000000"/>
              <w:bottom w:val="single" w:sz="6" w:space="0" w:color="000000"/>
              <w:right w:val="single" w:sz="6" w:space="0" w:color="000000"/>
            </w:tcBorders>
          </w:tcPr>
          <w:p>
            <w:pPr>
              <w:pStyle w:val="TableParagraph"/>
              <w:spacing w:line="338" w:lineRule="auto" w:before="36"/>
              <w:ind w:left="1961" w:right="56" w:hanging="1906"/>
              <w:jc w:val="left"/>
              <w:rPr>
                <w:rFonts w:ascii="宋体" w:hAnsi="宋体" w:cs="宋体" w:eastAsia="宋体" w:hint="default"/>
                <w:sz w:val="16"/>
                <w:szCs w:val="16"/>
              </w:rPr>
            </w:pPr>
            <w:r>
              <w:rPr>
                <w:rFonts w:ascii="Times New Roman" w:hAnsi="Times New Roman" w:cs="Times New Roman" w:eastAsia="Times New Roman" w:hint="default"/>
                <w:sz w:val="16"/>
                <w:szCs w:val="16"/>
              </w:rPr>
              <w:t>LED</w:t>
            </w:r>
            <w:r>
              <w:rPr>
                <w:rFonts w:ascii="宋体" w:hAnsi="宋体" w:cs="宋体" w:eastAsia="宋体" w:hint="default"/>
                <w:sz w:val="16"/>
                <w:szCs w:val="16"/>
              </w:rPr>
              <w:t>显示屏上</w:t>
            </w:r>
            <w:r>
              <w:rPr>
                <w:rFonts w:ascii="Times New Roman" w:hAnsi="Times New Roman" w:cs="Times New Roman" w:eastAsia="Times New Roman" w:hint="default"/>
                <w:sz w:val="16"/>
                <w:szCs w:val="16"/>
              </w:rPr>
              <w:t>LED</w:t>
            </w:r>
            <w:r>
              <w:rPr>
                <w:rFonts w:ascii="宋体" w:hAnsi="宋体" w:cs="宋体" w:eastAsia="宋体" w:hint="default"/>
                <w:sz w:val="16"/>
                <w:szCs w:val="16"/>
              </w:rPr>
              <w:t>模组的前维护方法和采用该方法的</w:t>
            </w:r>
            <w:r>
              <w:rPr>
                <w:rFonts w:ascii="Times New Roman" w:hAnsi="Times New Roman" w:cs="Times New Roman" w:eastAsia="Times New Roman" w:hint="default"/>
                <w:sz w:val="16"/>
                <w:szCs w:val="16"/>
              </w:rPr>
              <w:t>LED</w:t>
            </w:r>
            <w:r>
              <w:rPr>
                <w:rFonts w:ascii="宋体" w:hAnsi="宋体" w:cs="宋体" w:eastAsia="宋体" w:hint="default"/>
                <w:sz w:val="16"/>
                <w:szCs w:val="16"/>
              </w:rPr>
              <w:t>显</w:t>
            </w:r>
            <w:r>
              <w:rPr>
                <w:rFonts w:ascii="宋体" w:hAnsi="宋体" w:cs="宋体" w:eastAsia="宋体" w:hint="default"/>
                <w:w w:val="99"/>
                <w:sz w:val="16"/>
                <w:szCs w:val="16"/>
              </w:rPr>
              <w:t> </w:t>
            </w:r>
            <w:r>
              <w:rPr>
                <w:rFonts w:ascii="宋体" w:hAnsi="宋体" w:cs="宋体" w:eastAsia="宋体" w:hint="default"/>
                <w:sz w:val="16"/>
                <w:szCs w:val="16"/>
              </w:rPr>
              <w:t>示屏</w:t>
            </w:r>
          </w:p>
        </w:tc>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0"/>
              <w:jc w:val="center"/>
              <w:rPr>
                <w:rFonts w:ascii="宋体" w:hAnsi="宋体" w:cs="宋体" w:eastAsia="宋体" w:hint="default"/>
                <w:sz w:val="16"/>
                <w:szCs w:val="16"/>
              </w:rPr>
            </w:pPr>
            <w:r>
              <w:rPr>
                <w:rFonts w:ascii="宋体" w:hAnsi="宋体" w:cs="宋体" w:eastAsia="宋体" w:hint="default"/>
                <w:sz w:val="16"/>
                <w:szCs w:val="16"/>
              </w:rPr>
              <w:t>发明专利</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2"/>
              <w:ind w:right="1"/>
              <w:jc w:val="center"/>
              <w:rPr>
                <w:rFonts w:ascii="Times New Roman" w:hAnsi="Times New Roman" w:cs="Times New Roman" w:eastAsia="Times New Roman" w:hint="default"/>
                <w:sz w:val="16"/>
                <w:szCs w:val="16"/>
              </w:rPr>
            </w:pPr>
            <w:r>
              <w:rPr>
                <w:rFonts w:ascii="Times New Roman"/>
                <w:sz w:val="16"/>
              </w:rPr>
              <w:t>2014103111082</w:t>
            </w:r>
          </w:p>
        </w:tc>
      </w:tr>
      <w:tr>
        <w:trPr>
          <w:trHeight w:val="347" w:hRule="exact"/>
        </w:trPr>
        <w:tc>
          <w:tcPr>
            <w:tcW w:w="569" w:type="dxa"/>
            <w:tcBorders>
              <w:top w:val="single" w:sz="6" w:space="0" w:color="000000"/>
              <w:left w:val="single" w:sz="6" w:space="0" w:color="000000"/>
              <w:bottom w:val="single" w:sz="6" w:space="0" w:color="000000"/>
              <w:right w:val="single" w:sz="6" w:space="0" w:color="000000"/>
            </w:tcBorders>
            <w:shd w:val="clear" w:color="auto" w:fill="C00000"/>
          </w:tcPr>
          <w:p>
            <w:pPr>
              <w:pStyle w:val="TableParagraph"/>
              <w:spacing w:line="240" w:lineRule="auto" w:before="42"/>
              <w:ind w:right="0"/>
              <w:jc w:val="center"/>
              <w:rPr>
                <w:rFonts w:ascii="Times New Roman" w:hAnsi="Times New Roman" w:cs="Times New Roman" w:eastAsia="Times New Roman" w:hint="default"/>
                <w:sz w:val="22"/>
                <w:szCs w:val="22"/>
              </w:rPr>
            </w:pPr>
            <w:r>
              <w:rPr>
                <w:rFonts w:ascii="Times New Roman"/>
                <w:b/>
                <w:color w:val="FFFFFF"/>
                <w:w w:val="99"/>
                <w:sz w:val="22"/>
              </w:rPr>
              <w:t>6</w:t>
            </w:r>
            <w:r>
              <w:rPr>
                <w:rFonts w:ascii="Times New Roman"/>
                <w:sz w:val="22"/>
              </w:rPr>
            </w:r>
          </w:p>
        </w:tc>
        <w:tc>
          <w:tcPr>
            <w:tcW w:w="4262"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36"/>
              <w:ind w:right="1"/>
              <w:jc w:val="center"/>
              <w:rPr>
                <w:rFonts w:ascii="宋体" w:hAnsi="宋体" w:cs="宋体" w:eastAsia="宋体" w:hint="default"/>
                <w:sz w:val="16"/>
                <w:szCs w:val="16"/>
              </w:rPr>
            </w:pPr>
            <w:r>
              <w:rPr>
                <w:rFonts w:ascii="Times New Roman" w:hAnsi="Times New Roman" w:cs="Times New Roman" w:eastAsia="Times New Roman" w:hint="default"/>
                <w:sz w:val="16"/>
                <w:szCs w:val="16"/>
              </w:rPr>
              <w:t>LED</w:t>
            </w:r>
            <w:r>
              <w:rPr>
                <w:rFonts w:ascii="宋体" w:hAnsi="宋体" w:cs="宋体" w:eastAsia="宋体" w:hint="default"/>
                <w:sz w:val="16"/>
                <w:szCs w:val="16"/>
              </w:rPr>
              <w:t>显示屏的</w:t>
            </w:r>
            <w:r>
              <w:rPr>
                <w:rFonts w:ascii="Times New Roman" w:hAnsi="Times New Roman" w:cs="Times New Roman" w:eastAsia="Times New Roman" w:hint="default"/>
                <w:sz w:val="16"/>
                <w:szCs w:val="16"/>
              </w:rPr>
              <w:t>3D</w:t>
            </w:r>
            <w:r>
              <w:rPr>
                <w:rFonts w:ascii="宋体" w:hAnsi="宋体" w:cs="宋体" w:eastAsia="宋体" w:hint="default"/>
                <w:sz w:val="16"/>
                <w:szCs w:val="16"/>
              </w:rPr>
              <w:t>光栅贴合工艺</w:t>
            </w:r>
          </w:p>
        </w:tc>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0"/>
              <w:jc w:val="center"/>
              <w:rPr>
                <w:rFonts w:ascii="宋体" w:hAnsi="宋体" w:cs="宋体" w:eastAsia="宋体" w:hint="default"/>
                <w:sz w:val="16"/>
                <w:szCs w:val="16"/>
              </w:rPr>
            </w:pPr>
            <w:r>
              <w:rPr>
                <w:rFonts w:ascii="宋体" w:hAnsi="宋体" w:cs="宋体" w:eastAsia="宋体" w:hint="default"/>
                <w:sz w:val="16"/>
                <w:szCs w:val="16"/>
              </w:rPr>
              <w:t>发明专利</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2"/>
              <w:ind w:right="1"/>
              <w:jc w:val="center"/>
              <w:rPr>
                <w:rFonts w:ascii="Times New Roman" w:hAnsi="Times New Roman" w:cs="Times New Roman" w:eastAsia="Times New Roman" w:hint="default"/>
                <w:sz w:val="16"/>
                <w:szCs w:val="16"/>
              </w:rPr>
            </w:pPr>
            <w:r>
              <w:rPr>
                <w:rFonts w:ascii="Times New Roman"/>
                <w:sz w:val="16"/>
              </w:rPr>
              <w:t>2014103745177</w:t>
            </w:r>
          </w:p>
        </w:tc>
      </w:tr>
      <w:tr>
        <w:trPr>
          <w:trHeight w:val="347" w:hRule="exact"/>
        </w:trPr>
        <w:tc>
          <w:tcPr>
            <w:tcW w:w="569" w:type="dxa"/>
            <w:tcBorders>
              <w:top w:val="single" w:sz="6" w:space="0" w:color="000000"/>
              <w:left w:val="single" w:sz="6" w:space="0" w:color="000000"/>
              <w:bottom w:val="single" w:sz="6" w:space="0" w:color="000000"/>
              <w:right w:val="single" w:sz="6" w:space="0" w:color="000000"/>
            </w:tcBorders>
            <w:shd w:val="clear" w:color="auto" w:fill="C00000"/>
          </w:tcPr>
          <w:p>
            <w:pPr>
              <w:pStyle w:val="TableParagraph"/>
              <w:spacing w:line="240" w:lineRule="auto" w:before="42"/>
              <w:ind w:right="0"/>
              <w:jc w:val="center"/>
              <w:rPr>
                <w:rFonts w:ascii="Times New Roman" w:hAnsi="Times New Roman" w:cs="Times New Roman" w:eastAsia="Times New Roman" w:hint="default"/>
                <w:sz w:val="22"/>
                <w:szCs w:val="22"/>
              </w:rPr>
            </w:pPr>
            <w:r>
              <w:rPr>
                <w:rFonts w:ascii="Times New Roman"/>
                <w:b/>
                <w:color w:val="FFFFFF"/>
                <w:w w:val="99"/>
                <w:sz w:val="22"/>
              </w:rPr>
              <w:t>7</w:t>
            </w:r>
            <w:r>
              <w:rPr>
                <w:rFonts w:ascii="Times New Roman"/>
                <w:sz w:val="22"/>
              </w:rPr>
            </w:r>
          </w:p>
        </w:tc>
        <w:tc>
          <w:tcPr>
            <w:tcW w:w="4262"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36"/>
              <w:ind w:right="2"/>
              <w:jc w:val="center"/>
              <w:rPr>
                <w:rFonts w:ascii="宋体" w:hAnsi="宋体" w:cs="宋体" w:eastAsia="宋体" w:hint="default"/>
                <w:sz w:val="16"/>
                <w:szCs w:val="16"/>
              </w:rPr>
            </w:pPr>
            <w:r>
              <w:rPr>
                <w:rFonts w:ascii="宋体" w:hAnsi="宋体" w:cs="宋体" w:eastAsia="宋体" w:hint="default"/>
                <w:sz w:val="16"/>
                <w:szCs w:val="16"/>
              </w:rPr>
              <w:t>一种节目均匀排布方法、装置及</w:t>
            </w:r>
            <w:r>
              <w:rPr>
                <w:rFonts w:ascii="Times New Roman" w:hAnsi="Times New Roman" w:cs="Times New Roman" w:eastAsia="Times New Roman" w:hint="default"/>
                <w:sz w:val="16"/>
                <w:szCs w:val="16"/>
              </w:rPr>
              <w:t>LED</w:t>
            </w:r>
            <w:r>
              <w:rPr>
                <w:rFonts w:ascii="宋体" w:hAnsi="宋体" w:cs="宋体" w:eastAsia="宋体" w:hint="default"/>
                <w:sz w:val="16"/>
                <w:szCs w:val="16"/>
              </w:rPr>
              <w:t>节目显示系统</w:t>
            </w:r>
          </w:p>
        </w:tc>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0"/>
              <w:jc w:val="center"/>
              <w:rPr>
                <w:rFonts w:ascii="宋体" w:hAnsi="宋体" w:cs="宋体" w:eastAsia="宋体" w:hint="default"/>
                <w:sz w:val="16"/>
                <w:szCs w:val="16"/>
              </w:rPr>
            </w:pPr>
            <w:r>
              <w:rPr>
                <w:rFonts w:ascii="宋体" w:hAnsi="宋体" w:cs="宋体" w:eastAsia="宋体" w:hint="default"/>
                <w:sz w:val="16"/>
                <w:szCs w:val="16"/>
              </w:rPr>
              <w:t>发明专利</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2"/>
              <w:ind w:right="1"/>
              <w:jc w:val="center"/>
              <w:rPr>
                <w:rFonts w:ascii="Times New Roman" w:hAnsi="Times New Roman" w:cs="Times New Roman" w:eastAsia="Times New Roman" w:hint="default"/>
                <w:sz w:val="16"/>
                <w:szCs w:val="16"/>
              </w:rPr>
            </w:pPr>
            <w:r>
              <w:rPr>
                <w:rFonts w:ascii="Times New Roman"/>
                <w:sz w:val="16"/>
              </w:rPr>
              <w:t>2014103767091</w:t>
            </w:r>
          </w:p>
        </w:tc>
      </w:tr>
      <w:tr>
        <w:trPr>
          <w:trHeight w:val="348" w:hRule="exact"/>
        </w:trPr>
        <w:tc>
          <w:tcPr>
            <w:tcW w:w="569" w:type="dxa"/>
            <w:tcBorders>
              <w:top w:val="single" w:sz="6" w:space="0" w:color="000000"/>
              <w:left w:val="single" w:sz="6" w:space="0" w:color="000000"/>
              <w:bottom w:val="single" w:sz="6" w:space="0" w:color="000000"/>
              <w:right w:val="single" w:sz="6" w:space="0" w:color="000000"/>
            </w:tcBorders>
            <w:shd w:val="clear" w:color="auto" w:fill="C00000"/>
          </w:tcPr>
          <w:p>
            <w:pPr>
              <w:pStyle w:val="TableParagraph"/>
              <w:spacing w:line="240" w:lineRule="auto" w:before="42"/>
              <w:ind w:right="0"/>
              <w:jc w:val="center"/>
              <w:rPr>
                <w:rFonts w:ascii="Times New Roman" w:hAnsi="Times New Roman" w:cs="Times New Roman" w:eastAsia="Times New Roman" w:hint="default"/>
                <w:sz w:val="22"/>
                <w:szCs w:val="22"/>
              </w:rPr>
            </w:pPr>
            <w:r>
              <w:rPr>
                <w:rFonts w:ascii="Times New Roman"/>
                <w:b/>
                <w:color w:val="FFFFFF"/>
                <w:w w:val="99"/>
                <w:sz w:val="22"/>
              </w:rPr>
              <w:t>8</w:t>
            </w:r>
            <w:r>
              <w:rPr>
                <w:rFonts w:ascii="Times New Roman"/>
                <w:sz w:val="22"/>
              </w:rPr>
            </w:r>
          </w:p>
        </w:tc>
        <w:tc>
          <w:tcPr>
            <w:tcW w:w="4262"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36"/>
              <w:ind w:right="1"/>
              <w:jc w:val="center"/>
              <w:rPr>
                <w:rFonts w:ascii="宋体" w:hAnsi="宋体" w:cs="宋体" w:eastAsia="宋体" w:hint="default"/>
                <w:sz w:val="16"/>
                <w:szCs w:val="16"/>
              </w:rPr>
            </w:pPr>
            <w:r>
              <w:rPr>
                <w:rFonts w:ascii="宋体" w:hAnsi="宋体" w:cs="宋体" w:eastAsia="宋体" w:hint="default"/>
                <w:sz w:val="16"/>
                <w:szCs w:val="16"/>
              </w:rPr>
              <w:t>一种视频图像的色温调整方法及装置</w:t>
            </w:r>
          </w:p>
        </w:tc>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0"/>
              <w:jc w:val="center"/>
              <w:rPr>
                <w:rFonts w:ascii="宋体" w:hAnsi="宋体" w:cs="宋体" w:eastAsia="宋体" w:hint="default"/>
                <w:sz w:val="16"/>
                <w:szCs w:val="16"/>
              </w:rPr>
            </w:pPr>
            <w:r>
              <w:rPr>
                <w:rFonts w:ascii="宋体" w:hAnsi="宋体" w:cs="宋体" w:eastAsia="宋体" w:hint="default"/>
                <w:sz w:val="16"/>
                <w:szCs w:val="16"/>
              </w:rPr>
              <w:t>发明专利</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2"/>
              <w:ind w:right="1"/>
              <w:jc w:val="center"/>
              <w:rPr>
                <w:rFonts w:ascii="Times New Roman" w:hAnsi="Times New Roman" w:cs="Times New Roman" w:eastAsia="Times New Roman" w:hint="default"/>
                <w:sz w:val="16"/>
                <w:szCs w:val="16"/>
              </w:rPr>
            </w:pPr>
            <w:r>
              <w:rPr>
                <w:rFonts w:ascii="Times New Roman"/>
                <w:sz w:val="16"/>
              </w:rPr>
              <w:t>2014104164142</w:t>
            </w:r>
          </w:p>
        </w:tc>
      </w:tr>
      <w:tr>
        <w:trPr>
          <w:trHeight w:val="347" w:hRule="exact"/>
        </w:trPr>
        <w:tc>
          <w:tcPr>
            <w:tcW w:w="569" w:type="dxa"/>
            <w:tcBorders>
              <w:top w:val="single" w:sz="6" w:space="0" w:color="000000"/>
              <w:left w:val="single" w:sz="6" w:space="0" w:color="000000"/>
              <w:bottom w:val="single" w:sz="6" w:space="0" w:color="000000"/>
              <w:right w:val="single" w:sz="6" w:space="0" w:color="000000"/>
            </w:tcBorders>
            <w:shd w:val="clear" w:color="auto" w:fill="C00000"/>
          </w:tcPr>
          <w:p>
            <w:pPr>
              <w:pStyle w:val="TableParagraph"/>
              <w:spacing w:line="240" w:lineRule="auto" w:before="40"/>
              <w:ind w:right="0"/>
              <w:jc w:val="center"/>
              <w:rPr>
                <w:rFonts w:ascii="Times New Roman" w:hAnsi="Times New Roman" w:cs="Times New Roman" w:eastAsia="Times New Roman" w:hint="default"/>
                <w:sz w:val="22"/>
                <w:szCs w:val="22"/>
              </w:rPr>
            </w:pPr>
            <w:r>
              <w:rPr>
                <w:rFonts w:ascii="Times New Roman"/>
                <w:b/>
                <w:color w:val="FFFFFF"/>
                <w:w w:val="99"/>
                <w:sz w:val="22"/>
              </w:rPr>
              <w:t>9</w:t>
            </w:r>
            <w:r>
              <w:rPr>
                <w:rFonts w:ascii="Times New Roman"/>
                <w:sz w:val="22"/>
              </w:rPr>
            </w:r>
          </w:p>
        </w:tc>
        <w:tc>
          <w:tcPr>
            <w:tcW w:w="4262"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35"/>
              <w:ind w:right="3"/>
              <w:jc w:val="center"/>
              <w:rPr>
                <w:rFonts w:ascii="宋体" w:hAnsi="宋体" w:cs="宋体" w:eastAsia="宋体" w:hint="default"/>
                <w:sz w:val="16"/>
                <w:szCs w:val="16"/>
              </w:rPr>
            </w:pPr>
            <w:r>
              <w:rPr>
                <w:rFonts w:ascii="Times New Roman" w:hAnsi="Times New Roman" w:cs="Times New Roman" w:eastAsia="Times New Roman" w:hint="default"/>
                <w:sz w:val="16"/>
                <w:szCs w:val="16"/>
              </w:rPr>
              <w:t>LED</w:t>
            </w:r>
            <w:r>
              <w:rPr>
                <w:rFonts w:ascii="宋体" w:hAnsi="宋体" w:cs="宋体" w:eastAsia="宋体" w:hint="default"/>
                <w:sz w:val="16"/>
                <w:szCs w:val="16"/>
              </w:rPr>
              <w:t>显示屏自动带载配置方法及系统</w:t>
            </w:r>
          </w:p>
        </w:tc>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0"/>
              <w:jc w:val="center"/>
              <w:rPr>
                <w:rFonts w:ascii="宋体" w:hAnsi="宋体" w:cs="宋体" w:eastAsia="宋体" w:hint="default"/>
                <w:sz w:val="16"/>
                <w:szCs w:val="16"/>
              </w:rPr>
            </w:pPr>
            <w:r>
              <w:rPr>
                <w:rFonts w:ascii="宋体" w:hAnsi="宋体" w:cs="宋体" w:eastAsia="宋体" w:hint="default"/>
                <w:sz w:val="16"/>
                <w:szCs w:val="16"/>
              </w:rPr>
              <w:t>发明专利</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1"/>
              <w:ind w:right="1"/>
              <w:jc w:val="center"/>
              <w:rPr>
                <w:rFonts w:ascii="Times New Roman" w:hAnsi="Times New Roman" w:cs="Times New Roman" w:eastAsia="Times New Roman" w:hint="default"/>
                <w:sz w:val="16"/>
                <w:szCs w:val="16"/>
              </w:rPr>
            </w:pPr>
            <w:r>
              <w:rPr>
                <w:rFonts w:ascii="Times New Roman"/>
                <w:sz w:val="16"/>
              </w:rPr>
              <w:t>2014104433261</w:t>
            </w:r>
          </w:p>
        </w:tc>
      </w:tr>
      <w:tr>
        <w:trPr>
          <w:trHeight w:val="347" w:hRule="exact"/>
        </w:trPr>
        <w:tc>
          <w:tcPr>
            <w:tcW w:w="569" w:type="dxa"/>
            <w:tcBorders>
              <w:top w:val="single" w:sz="6" w:space="0" w:color="000000"/>
              <w:left w:val="single" w:sz="6" w:space="0" w:color="000000"/>
              <w:bottom w:val="single" w:sz="6" w:space="0" w:color="000000"/>
              <w:right w:val="single" w:sz="6" w:space="0" w:color="000000"/>
            </w:tcBorders>
            <w:shd w:val="clear" w:color="auto" w:fill="C00000"/>
          </w:tcPr>
          <w:p>
            <w:pPr>
              <w:pStyle w:val="TableParagraph"/>
              <w:spacing w:line="240" w:lineRule="auto" w:before="42"/>
              <w:ind w:left="168" w:right="0"/>
              <w:jc w:val="left"/>
              <w:rPr>
                <w:rFonts w:ascii="Times New Roman" w:hAnsi="Times New Roman" w:cs="Times New Roman" w:eastAsia="Times New Roman" w:hint="default"/>
                <w:sz w:val="22"/>
                <w:szCs w:val="22"/>
              </w:rPr>
            </w:pPr>
            <w:r>
              <w:rPr>
                <w:rFonts w:ascii="Times New Roman"/>
                <w:b/>
                <w:color w:val="FFFFFF"/>
                <w:sz w:val="22"/>
              </w:rPr>
              <w:t>10</w:t>
            </w:r>
            <w:r>
              <w:rPr>
                <w:rFonts w:ascii="Times New Roman"/>
                <w:sz w:val="22"/>
              </w:rPr>
            </w:r>
          </w:p>
        </w:tc>
        <w:tc>
          <w:tcPr>
            <w:tcW w:w="4262"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36"/>
              <w:ind w:right="2"/>
              <w:jc w:val="center"/>
              <w:rPr>
                <w:rFonts w:ascii="宋体" w:hAnsi="宋体" w:cs="宋体" w:eastAsia="宋体" w:hint="default"/>
                <w:sz w:val="16"/>
                <w:szCs w:val="16"/>
              </w:rPr>
            </w:pPr>
            <w:r>
              <w:rPr>
                <w:rFonts w:ascii="宋体" w:hAnsi="宋体" w:cs="宋体" w:eastAsia="宋体" w:hint="default"/>
                <w:spacing w:val="-2"/>
                <w:sz w:val="16"/>
                <w:szCs w:val="16"/>
              </w:rPr>
              <w:t>一种基于</w:t>
            </w:r>
            <w:r>
              <w:rPr>
                <w:rFonts w:ascii="Times New Roman" w:hAnsi="Times New Roman" w:cs="Times New Roman" w:eastAsia="Times New Roman" w:hint="default"/>
                <w:spacing w:val="-2"/>
                <w:sz w:val="16"/>
                <w:szCs w:val="16"/>
              </w:rPr>
              <w:t>LED</w:t>
            </w:r>
            <w:r>
              <w:rPr>
                <w:rFonts w:ascii="宋体" w:hAnsi="宋体" w:cs="宋体" w:eastAsia="宋体" w:hint="default"/>
                <w:spacing w:val="-2"/>
                <w:sz w:val="16"/>
                <w:szCs w:val="16"/>
              </w:rPr>
              <w:t>显示屏的</w:t>
            </w:r>
            <w:r>
              <w:rPr>
                <w:rFonts w:ascii="Times New Roman" w:hAnsi="Times New Roman" w:cs="Times New Roman" w:eastAsia="Times New Roman" w:hint="default"/>
                <w:spacing w:val="-2"/>
                <w:sz w:val="16"/>
                <w:szCs w:val="16"/>
              </w:rPr>
              <w:t>LED</w:t>
            </w:r>
            <w:r>
              <w:rPr>
                <w:rFonts w:ascii="宋体" w:hAnsi="宋体" w:cs="宋体" w:eastAsia="宋体" w:hint="default"/>
                <w:spacing w:val="-2"/>
                <w:sz w:val="16"/>
                <w:szCs w:val="16"/>
              </w:rPr>
              <w:t>箱体定位方法、装置及</w:t>
            </w:r>
            <w:r>
              <w:rPr>
                <w:rFonts w:ascii="Times New Roman" w:hAnsi="Times New Roman" w:cs="Times New Roman" w:eastAsia="Times New Roman" w:hint="default"/>
                <w:spacing w:val="-2"/>
                <w:sz w:val="16"/>
                <w:szCs w:val="16"/>
              </w:rPr>
              <w:t>LED</w:t>
            </w:r>
            <w:r>
              <w:rPr>
                <w:rFonts w:ascii="宋体" w:hAnsi="宋体" w:cs="宋体" w:eastAsia="宋体" w:hint="default"/>
                <w:spacing w:val="-2"/>
                <w:sz w:val="16"/>
                <w:szCs w:val="16"/>
              </w:rPr>
              <w:t>显示屏</w:t>
            </w:r>
          </w:p>
        </w:tc>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0"/>
              <w:jc w:val="center"/>
              <w:rPr>
                <w:rFonts w:ascii="宋体" w:hAnsi="宋体" w:cs="宋体" w:eastAsia="宋体" w:hint="default"/>
                <w:sz w:val="16"/>
                <w:szCs w:val="16"/>
              </w:rPr>
            </w:pPr>
            <w:r>
              <w:rPr>
                <w:rFonts w:ascii="宋体" w:hAnsi="宋体" w:cs="宋体" w:eastAsia="宋体" w:hint="default"/>
                <w:sz w:val="16"/>
                <w:szCs w:val="16"/>
              </w:rPr>
              <w:t>发明专利</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2"/>
              <w:ind w:right="1"/>
              <w:jc w:val="center"/>
              <w:rPr>
                <w:rFonts w:ascii="Times New Roman" w:hAnsi="Times New Roman" w:cs="Times New Roman" w:eastAsia="Times New Roman" w:hint="default"/>
                <w:sz w:val="16"/>
                <w:szCs w:val="16"/>
              </w:rPr>
            </w:pPr>
            <w:r>
              <w:rPr>
                <w:rFonts w:ascii="Times New Roman"/>
                <w:sz w:val="16"/>
              </w:rPr>
              <w:t>2014104626048</w:t>
            </w:r>
          </w:p>
        </w:tc>
      </w:tr>
      <w:tr>
        <w:trPr>
          <w:trHeight w:val="347" w:hRule="exact"/>
        </w:trPr>
        <w:tc>
          <w:tcPr>
            <w:tcW w:w="569" w:type="dxa"/>
            <w:tcBorders>
              <w:top w:val="single" w:sz="6" w:space="0" w:color="000000"/>
              <w:left w:val="single" w:sz="6" w:space="0" w:color="000000"/>
              <w:bottom w:val="single" w:sz="6" w:space="0" w:color="000000"/>
              <w:right w:val="single" w:sz="6" w:space="0" w:color="000000"/>
            </w:tcBorders>
            <w:shd w:val="clear" w:color="auto" w:fill="C00000"/>
          </w:tcPr>
          <w:p>
            <w:pPr>
              <w:pStyle w:val="TableParagraph"/>
              <w:spacing w:line="240" w:lineRule="auto" w:before="42"/>
              <w:ind w:left="168" w:right="0"/>
              <w:jc w:val="left"/>
              <w:rPr>
                <w:rFonts w:ascii="Times New Roman" w:hAnsi="Times New Roman" w:cs="Times New Roman" w:eastAsia="Times New Roman" w:hint="default"/>
                <w:sz w:val="22"/>
                <w:szCs w:val="22"/>
              </w:rPr>
            </w:pPr>
            <w:r>
              <w:rPr>
                <w:rFonts w:ascii="Times New Roman"/>
                <w:b/>
                <w:color w:val="FFFFFF"/>
                <w:sz w:val="22"/>
              </w:rPr>
              <w:t>11</w:t>
            </w:r>
            <w:r>
              <w:rPr>
                <w:rFonts w:ascii="Times New Roman"/>
                <w:sz w:val="22"/>
              </w:rPr>
            </w:r>
          </w:p>
        </w:tc>
        <w:tc>
          <w:tcPr>
            <w:tcW w:w="4262"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36"/>
              <w:ind w:right="2"/>
              <w:jc w:val="center"/>
              <w:rPr>
                <w:rFonts w:ascii="宋体" w:hAnsi="宋体" w:cs="宋体" w:eastAsia="宋体" w:hint="default"/>
                <w:sz w:val="16"/>
                <w:szCs w:val="16"/>
              </w:rPr>
            </w:pPr>
            <w:r>
              <w:rPr>
                <w:rFonts w:ascii="宋体" w:hAnsi="宋体" w:cs="宋体" w:eastAsia="宋体" w:hint="default"/>
                <w:sz w:val="16"/>
                <w:szCs w:val="16"/>
              </w:rPr>
              <w:t>快拆装置及具有该快拆装置的显示装置</w:t>
            </w:r>
          </w:p>
        </w:tc>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0"/>
              <w:jc w:val="center"/>
              <w:rPr>
                <w:rFonts w:ascii="宋体" w:hAnsi="宋体" w:cs="宋体" w:eastAsia="宋体" w:hint="default"/>
                <w:sz w:val="16"/>
                <w:szCs w:val="16"/>
              </w:rPr>
            </w:pPr>
            <w:r>
              <w:rPr>
                <w:rFonts w:ascii="宋体" w:hAnsi="宋体" w:cs="宋体" w:eastAsia="宋体" w:hint="default"/>
                <w:sz w:val="16"/>
                <w:szCs w:val="16"/>
              </w:rPr>
              <w:t>发明专利</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2"/>
              <w:ind w:right="1"/>
              <w:jc w:val="center"/>
              <w:rPr>
                <w:rFonts w:ascii="Times New Roman" w:hAnsi="Times New Roman" w:cs="Times New Roman" w:eastAsia="Times New Roman" w:hint="default"/>
                <w:sz w:val="16"/>
                <w:szCs w:val="16"/>
              </w:rPr>
            </w:pPr>
            <w:r>
              <w:rPr>
                <w:rFonts w:ascii="Times New Roman"/>
                <w:sz w:val="16"/>
              </w:rPr>
              <w:t>2014104894770</w:t>
            </w:r>
          </w:p>
        </w:tc>
      </w:tr>
      <w:tr>
        <w:trPr>
          <w:trHeight w:val="347" w:hRule="exact"/>
        </w:trPr>
        <w:tc>
          <w:tcPr>
            <w:tcW w:w="569" w:type="dxa"/>
            <w:tcBorders>
              <w:top w:val="single" w:sz="6" w:space="0" w:color="000000"/>
              <w:left w:val="single" w:sz="6" w:space="0" w:color="000000"/>
              <w:bottom w:val="single" w:sz="6" w:space="0" w:color="000000"/>
              <w:right w:val="single" w:sz="6" w:space="0" w:color="000000"/>
            </w:tcBorders>
            <w:shd w:val="clear" w:color="auto" w:fill="C00000"/>
          </w:tcPr>
          <w:p>
            <w:pPr>
              <w:pStyle w:val="TableParagraph"/>
              <w:spacing w:line="240" w:lineRule="auto" w:before="42"/>
              <w:ind w:left="168" w:right="0"/>
              <w:jc w:val="left"/>
              <w:rPr>
                <w:rFonts w:ascii="Times New Roman" w:hAnsi="Times New Roman" w:cs="Times New Roman" w:eastAsia="Times New Roman" w:hint="default"/>
                <w:sz w:val="22"/>
                <w:szCs w:val="22"/>
              </w:rPr>
            </w:pPr>
            <w:r>
              <w:rPr>
                <w:rFonts w:ascii="Times New Roman"/>
                <w:b/>
                <w:color w:val="FFFFFF"/>
                <w:sz w:val="22"/>
              </w:rPr>
              <w:t>12</w:t>
            </w:r>
            <w:r>
              <w:rPr>
                <w:rFonts w:ascii="Times New Roman"/>
                <w:sz w:val="22"/>
              </w:rPr>
            </w:r>
          </w:p>
        </w:tc>
        <w:tc>
          <w:tcPr>
            <w:tcW w:w="4262"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36"/>
              <w:ind w:right="1"/>
              <w:jc w:val="center"/>
              <w:rPr>
                <w:rFonts w:ascii="宋体" w:hAnsi="宋体" w:cs="宋体" w:eastAsia="宋体" w:hint="default"/>
                <w:sz w:val="16"/>
                <w:szCs w:val="16"/>
              </w:rPr>
            </w:pPr>
            <w:r>
              <w:rPr>
                <w:rFonts w:ascii="Times New Roman" w:hAnsi="Times New Roman" w:cs="Times New Roman" w:eastAsia="Times New Roman" w:hint="default"/>
                <w:sz w:val="16"/>
                <w:szCs w:val="16"/>
              </w:rPr>
              <w:t>LED</w:t>
            </w:r>
            <w:r>
              <w:rPr>
                <w:rFonts w:ascii="宋体" w:hAnsi="宋体" w:cs="宋体" w:eastAsia="宋体" w:hint="default"/>
                <w:sz w:val="16"/>
                <w:szCs w:val="16"/>
              </w:rPr>
              <w:t>显示屏用的框架</w:t>
            </w:r>
          </w:p>
        </w:tc>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0"/>
              <w:jc w:val="center"/>
              <w:rPr>
                <w:rFonts w:ascii="宋体" w:hAnsi="宋体" w:cs="宋体" w:eastAsia="宋体" w:hint="default"/>
                <w:sz w:val="16"/>
                <w:szCs w:val="16"/>
              </w:rPr>
            </w:pPr>
            <w:r>
              <w:rPr>
                <w:rFonts w:ascii="宋体" w:hAnsi="宋体" w:cs="宋体" w:eastAsia="宋体" w:hint="default"/>
                <w:sz w:val="16"/>
                <w:szCs w:val="16"/>
              </w:rPr>
              <w:t>发明专利</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2"/>
              <w:ind w:right="1"/>
              <w:jc w:val="center"/>
              <w:rPr>
                <w:rFonts w:ascii="Times New Roman" w:hAnsi="Times New Roman" w:cs="Times New Roman" w:eastAsia="Times New Roman" w:hint="default"/>
                <w:sz w:val="16"/>
                <w:szCs w:val="16"/>
              </w:rPr>
            </w:pPr>
            <w:r>
              <w:rPr>
                <w:rFonts w:ascii="Times New Roman"/>
                <w:sz w:val="16"/>
              </w:rPr>
              <w:t>2014105141256</w:t>
            </w:r>
          </w:p>
        </w:tc>
      </w:tr>
      <w:tr>
        <w:trPr>
          <w:trHeight w:val="347" w:hRule="exact"/>
        </w:trPr>
        <w:tc>
          <w:tcPr>
            <w:tcW w:w="569" w:type="dxa"/>
            <w:tcBorders>
              <w:top w:val="single" w:sz="6" w:space="0" w:color="000000"/>
              <w:left w:val="single" w:sz="6" w:space="0" w:color="000000"/>
              <w:bottom w:val="single" w:sz="6" w:space="0" w:color="000000"/>
              <w:right w:val="single" w:sz="6" w:space="0" w:color="000000"/>
            </w:tcBorders>
            <w:shd w:val="clear" w:color="auto" w:fill="C00000"/>
          </w:tcPr>
          <w:p>
            <w:pPr>
              <w:pStyle w:val="TableParagraph"/>
              <w:spacing w:line="240" w:lineRule="auto" w:before="42"/>
              <w:ind w:left="168" w:right="0"/>
              <w:jc w:val="left"/>
              <w:rPr>
                <w:rFonts w:ascii="Times New Roman" w:hAnsi="Times New Roman" w:cs="Times New Roman" w:eastAsia="Times New Roman" w:hint="default"/>
                <w:sz w:val="22"/>
                <w:szCs w:val="22"/>
              </w:rPr>
            </w:pPr>
            <w:r>
              <w:rPr>
                <w:rFonts w:ascii="Times New Roman"/>
                <w:b/>
                <w:color w:val="FFFFFF"/>
                <w:sz w:val="22"/>
              </w:rPr>
              <w:t>13</w:t>
            </w:r>
            <w:r>
              <w:rPr>
                <w:rFonts w:ascii="Times New Roman"/>
                <w:sz w:val="22"/>
              </w:rPr>
            </w:r>
          </w:p>
        </w:tc>
        <w:tc>
          <w:tcPr>
            <w:tcW w:w="4262"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36"/>
              <w:ind w:right="1"/>
              <w:jc w:val="center"/>
              <w:rPr>
                <w:rFonts w:ascii="宋体" w:hAnsi="宋体" w:cs="宋体" w:eastAsia="宋体" w:hint="default"/>
                <w:sz w:val="16"/>
                <w:szCs w:val="16"/>
              </w:rPr>
            </w:pPr>
            <w:r>
              <w:rPr>
                <w:rFonts w:ascii="宋体" w:hAnsi="宋体" w:cs="宋体" w:eastAsia="宋体" w:hint="default"/>
                <w:sz w:val="16"/>
                <w:szCs w:val="16"/>
              </w:rPr>
              <w:t>显示屏拼接装置及其显示设备</w:t>
            </w:r>
          </w:p>
        </w:tc>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0"/>
              <w:jc w:val="center"/>
              <w:rPr>
                <w:rFonts w:ascii="宋体" w:hAnsi="宋体" w:cs="宋体" w:eastAsia="宋体" w:hint="default"/>
                <w:sz w:val="16"/>
                <w:szCs w:val="16"/>
              </w:rPr>
            </w:pPr>
            <w:r>
              <w:rPr>
                <w:rFonts w:ascii="宋体" w:hAnsi="宋体" w:cs="宋体" w:eastAsia="宋体" w:hint="default"/>
                <w:sz w:val="16"/>
                <w:szCs w:val="16"/>
              </w:rPr>
              <w:t>发明专利</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2"/>
              <w:ind w:right="1"/>
              <w:jc w:val="center"/>
              <w:rPr>
                <w:rFonts w:ascii="Times New Roman" w:hAnsi="Times New Roman" w:cs="Times New Roman" w:eastAsia="Times New Roman" w:hint="default"/>
                <w:sz w:val="16"/>
                <w:szCs w:val="16"/>
              </w:rPr>
            </w:pPr>
            <w:r>
              <w:rPr>
                <w:rFonts w:ascii="Times New Roman"/>
                <w:sz w:val="16"/>
              </w:rPr>
              <w:t>2014105142013</w:t>
            </w:r>
          </w:p>
        </w:tc>
      </w:tr>
      <w:tr>
        <w:trPr>
          <w:trHeight w:val="348" w:hRule="exact"/>
        </w:trPr>
        <w:tc>
          <w:tcPr>
            <w:tcW w:w="569" w:type="dxa"/>
            <w:tcBorders>
              <w:top w:val="single" w:sz="6" w:space="0" w:color="000000"/>
              <w:left w:val="single" w:sz="6" w:space="0" w:color="000000"/>
              <w:bottom w:val="single" w:sz="6" w:space="0" w:color="000000"/>
              <w:right w:val="single" w:sz="6" w:space="0" w:color="000000"/>
            </w:tcBorders>
            <w:shd w:val="clear" w:color="auto" w:fill="C00000"/>
          </w:tcPr>
          <w:p>
            <w:pPr>
              <w:pStyle w:val="TableParagraph"/>
              <w:spacing w:line="240" w:lineRule="auto" w:before="42"/>
              <w:ind w:left="168" w:right="0"/>
              <w:jc w:val="left"/>
              <w:rPr>
                <w:rFonts w:ascii="Times New Roman" w:hAnsi="Times New Roman" w:cs="Times New Roman" w:eastAsia="Times New Roman" w:hint="default"/>
                <w:sz w:val="22"/>
                <w:szCs w:val="22"/>
              </w:rPr>
            </w:pPr>
            <w:r>
              <w:rPr>
                <w:rFonts w:ascii="Times New Roman"/>
                <w:b/>
                <w:color w:val="FFFFFF"/>
                <w:sz w:val="22"/>
              </w:rPr>
              <w:t>14</w:t>
            </w:r>
            <w:r>
              <w:rPr>
                <w:rFonts w:ascii="Times New Roman"/>
                <w:sz w:val="22"/>
              </w:rPr>
            </w:r>
          </w:p>
        </w:tc>
        <w:tc>
          <w:tcPr>
            <w:tcW w:w="4262"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36"/>
              <w:ind w:right="0"/>
              <w:jc w:val="center"/>
              <w:rPr>
                <w:rFonts w:ascii="宋体" w:hAnsi="宋体" w:cs="宋体" w:eastAsia="宋体" w:hint="default"/>
                <w:sz w:val="16"/>
                <w:szCs w:val="16"/>
              </w:rPr>
            </w:pPr>
            <w:r>
              <w:rPr>
                <w:rFonts w:ascii="Times New Roman" w:hAnsi="Times New Roman" w:cs="Times New Roman" w:eastAsia="Times New Roman" w:hint="default"/>
                <w:sz w:val="16"/>
                <w:szCs w:val="16"/>
              </w:rPr>
              <w:t>LED</w:t>
            </w:r>
            <w:r>
              <w:rPr>
                <w:rFonts w:ascii="宋体" w:hAnsi="宋体" w:cs="宋体" w:eastAsia="宋体" w:hint="default"/>
                <w:sz w:val="16"/>
                <w:szCs w:val="16"/>
              </w:rPr>
              <w:t>裸眼</w:t>
            </w:r>
            <w:r>
              <w:rPr>
                <w:rFonts w:ascii="Times New Roman" w:hAnsi="Times New Roman" w:cs="Times New Roman" w:eastAsia="Times New Roman" w:hint="default"/>
                <w:sz w:val="16"/>
                <w:szCs w:val="16"/>
              </w:rPr>
              <w:t>3D</w:t>
            </w:r>
            <w:r>
              <w:rPr>
                <w:rFonts w:ascii="宋体" w:hAnsi="宋体" w:cs="宋体" w:eastAsia="宋体" w:hint="default"/>
                <w:sz w:val="16"/>
                <w:szCs w:val="16"/>
              </w:rPr>
              <w:t>显示装置及其装配方法</w:t>
            </w:r>
          </w:p>
        </w:tc>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0"/>
              <w:jc w:val="center"/>
              <w:rPr>
                <w:rFonts w:ascii="宋体" w:hAnsi="宋体" w:cs="宋体" w:eastAsia="宋体" w:hint="default"/>
                <w:sz w:val="16"/>
                <w:szCs w:val="16"/>
              </w:rPr>
            </w:pPr>
            <w:r>
              <w:rPr>
                <w:rFonts w:ascii="宋体" w:hAnsi="宋体" w:cs="宋体" w:eastAsia="宋体" w:hint="default"/>
                <w:sz w:val="16"/>
                <w:szCs w:val="16"/>
              </w:rPr>
              <w:t>发明专利</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2"/>
              <w:ind w:right="1"/>
              <w:jc w:val="center"/>
              <w:rPr>
                <w:rFonts w:ascii="Times New Roman" w:hAnsi="Times New Roman" w:cs="Times New Roman" w:eastAsia="Times New Roman" w:hint="default"/>
                <w:sz w:val="16"/>
                <w:szCs w:val="16"/>
              </w:rPr>
            </w:pPr>
            <w:r>
              <w:rPr>
                <w:rFonts w:ascii="Times New Roman"/>
                <w:sz w:val="16"/>
              </w:rPr>
              <w:t>2014106683628</w:t>
            </w:r>
          </w:p>
        </w:tc>
      </w:tr>
      <w:tr>
        <w:trPr>
          <w:trHeight w:val="347" w:hRule="exact"/>
        </w:trPr>
        <w:tc>
          <w:tcPr>
            <w:tcW w:w="569" w:type="dxa"/>
            <w:tcBorders>
              <w:top w:val="single" w:sz="6" w:space="0" w:color="000000"/>
              <w:left w:val="single" w:sz="6" w:space="0" w:color="000000"/>
              <w:bottom w:val="single" w:sz="6" w:space="0" w:color="000000"/>
              <w:right w:val="single" w:sz="6" w:space="0" w:color="000000"/>
            </w:tcBorders>
            <w:shd w:val="clear" w:color="auto" w:fill="C00000"/>
          </w:tcPr>
          <w:p>
            <w:pPr>
              <w:pStyle w:val="TableParagraph"/>
              <w:spacing w:line="240" w:lineRule="auto" w:before="40"/>
              <w:ind w:left="168" w:right="0"/>
              <w:jc w:val="left"/>
              <w:rPr>
                <w:rFonts w:ascii="Times New Roman" w:hAnsi="Times New Roman" w:cs="Times New Roman" w:eastAsia="Times New Roman" w:hint="default"/>
                <w:sz w:val="22"/>
                <w:szCs w:val="22"/>
              </w:rPr>
            </w:pPr>
            <w:r>
              <w:rPr>
                <w:rFonts w:ascii="Times New Roman"/>
                <w:b/>
                <w:color w:val="FFFFFF"/>
                <w:sz w:val="22"/>
              </w:rPr>
              <w:t>15</w:t>
            </w:r>
            <w:r>
              <w:rPr>
                <w:rFonts w:ascii="Times New Roman"/>
                <w:sz w:val="22"/>
              </w:rPr>
            </w:r>
          </w:p>
        </w:tc>
        <w:tc>
          <w:tcPr>
            <w:tcW w:w="4262"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35"/>
              <w:ind w:right="1"/>
              <w:jc w:val="center"/>
              <w:rPr>
                <w:rFonts w:ascii="宋体" w:hAnsi="宋体" w:cs="宋体" w:eastAsia="宋体" w:hint="default"/>
                <w:sz w:val="16"/>
                <w:szCs w:val="16"/>
              </w:rPr>
            </w:pPr>
            <w:r>
              <w:rPr>
                <w:rFonts w:ascii="宋体" w:hAnsi="宋体" w:cs="宋体" w:eastAsia="宋体" w:hint="default"/>
                <w:sz w:val="16"/>
                <w:szCs w:val="16"/>
              </w:rPr>
              <w:t>一种</w:t>
            </w:r>
            <w:r>
              <w:rPr>
                <w:rFonts w:ascii="Times New Roman" w:hAnsi="Times New Roman" w:cs="Times New Roman" w:eastAsia="Times New Roman" w:hint="default"/>
                <w:sz w:val="16"/>
                <w:szCs w:val="16"/>
              </w:rPr>
              <w:t>LED</w:t>
            </w:r>
            <w:r>
              <w:rPr>
                <w:rFonts w:ascii="宋体" w:hAnsi="宋体" w:cs="宋体" w:eastAsia="宋体" w:hint="default"/>
                <w:sz w:val="16"/>
                <w:szCs w:val="16"/>
              </w:rPr>
              <w:t>显示屏亮度调节方法、装置及</w:t>
            </w:r>
            <w:r>
              <w:rPr>
                <w:rFonts w:ascii="Times New Roman" w:hAnsi="Times New Roman" w:cs="Times New Roman" w:eastAsia="Times New Roman" w:hint="default"/>
                <w:sz w:val="16"/>
                <w:szCs w:val="16"/>
              </w:rPr>
              <w:t>LED</w:t>
            </w:r>
            <w:r>
              <w:rPr>
                <w:rFonts w:ascii="宋体" w:hAnsi="宋体" w:cs="宋体" w:eastAsia="宋体" w:hint="default"/>
                <w:sz w:val="16"/>
                <w:szCs w:val="16"/>
              </w:rPr>
              <w:t>显示屏</w:t>
            </w:r>
          </w:p>
        </w:tc>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0"/>
              <w:jc w:val="center"/>
              <w:rPr>
                <w:rFonts w:ascii="宋体" w:hAnsi="宋体" w:cs="宋体" w:eastAsia="宋体" w:hint="default"/>
                <w:sz w:val="16"/>
                <w:szCs w:val="16"/>
              </w:rPr>
            </w:pPr>
            <w:r>
              <w:rPr>
                <w:rFonts w:ascii="宋体" w:hAnsi="宋体" w:cs="宋体" w:eastAsia="宋体" w:hint="default"/>
                <w:sz w:val="16"/>
                <w:szCs w:val="16"/>
              </w:rPr>
              <w:t>发明专利</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1"/>
              <w:ind w:right="1"/>
              <w:jc w:val="center"/>
              <w:rPr>
                <w:rFonts w:ascii="Times New Roman" w:hAnsi="Times New Roman" w:cs="Times New Roman" w:eastAsia="Times New Roman" w:hint="default"/>
                <w:sz w:val="16"/>
                <w:szCs w:val="16"/>
              </w:rPr>
            </w:pPr>
            <w:r>
              <w:rPr>
                <w:rFonts w:ascii="Times New Roman"/>
                <w:sz w:val="16"/>
              </w:rPr>
              <w:t>2015100524459</w:t>
            </w:r>
          </w:p>
        </w:tc>
      </w:tr>
      <w:tr>
        <w:trPr>
          <w:trHeight w:val="347" w:hRule="exact"/>
        </w:trPr>
        <w:tc>
          <w:tcPr>
            <w:tcW w:w="569" w:type="dxa"/>
            <w:tcBorders>
              <w:top w:val="single" w:sz="6" w:space="0" w:color="000000"/>
              <w:left w:val="single" w:sz="6" w:space="0" w:color="000000"/>
              <w:bottom w:val="single" w:sz="6" w:space="0" w:color="000000"/>
              <w:right w:val="single" w:sz="6" w:space="0" w:color="000000"/>
            </w:tcBorders>
            <w:shd w:val="clear" w:color="auto" w:fill="C00000"/>
          </w:tcPr>
          <w:p>
            <w:pPr>
              <w:pStyle w:val="TableParagraph"/>
              <w:spacing w:line="240" w:lineRule="auto" w:before="42"/>
              <w:ind w:left="168" w:right="0"/>
              <w:jc w:val="left"/>
              <w:rPr>
                <w:rFonts w:ascii="Times New Roman" w:hAnsi="Times New Roman" w:cs="Times New Roman" w:eastAsia="Times New Roman" w:hint="default"/>
                <w:sz w:val="22"/>
                <w:szCs w:val="22"/>
              </w:rPr>
            </w:pPr>
            <w:r>
              <w:rPr>
                <w:rFonts w:ascii="Times New Roman"/>
                <w:b/>
                <w:color w:val="FFFFFF"/>
                <w:sz w:val="22"/>
              </w:rPr>
              <w:t>16</w:t>
            </w:r>
            <w:r>
              <w:rPr>
                <w:rFonts w:ascii="Times New Roman"/>
                <w:sz w:val="22"/>
              </w:rPr>
            </w:r>
          </w:p>
        </w:tc>
        <w:tc>
          <w:tcPr>
            <w:tcW w:w="4262"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36"/>
              <w:ind w:right="0"/>
              <w:jc w:val="center"/>
              <w:rPr>
                <w:rFonts w:ascii="宋体" w:hAnsi="宋体" w:cs="宋体" w:eastAsia="宋体" w:hint="default"/>
                <w:sz w:val="16"/>
                <w:szCs w:val="16"/>
              </w:rPr>
            </w:pPr>
            <w:r>
              <w:rPr>
                <w:rFonts w:ascii="宋体" w:hAnsi="宋体" w:cs="宋体" w:eastAsia="宋体" w:hint="default"/>
                <w:sz w:val="16"/>
                <w:szCs w:val="16"/>
              </w:rPr>
              <w:t>无缝式连接结构和弯曲式拼接屏幕</w:t>
            </w:r>
          </w:p>
        </w:tc>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0"/>
              <w:jc w:val="center"/>
              <w:rPr>
                <w:rFonts w:ascii="宋体" w:hAnsi="宋体" w:cs="宋体" w:eastAsia="宋体" w:hint="default"/>
                <w:sz w:val="16"/>
                <w:szCs w:val="16"/>
              </w:rPr>
            </w:pPr>
            <w:r>
              <w:rPr>
                <w:rFonts w:ascii="宋体" w:hAnsi="宋体" w:cs="宋体" w:eastAsia="宋体" w:hint="default"/>
                <w:sz w:val="16"/>
                <w:szCs w:val="16"/>
              </w:rPr>
              <w:t>发明专利</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2"/>
              <w:ind w:right="1"/>
              <w:jc w:val="center"/>
              <w:rPr>
                <w:rFonts w:ascii="Times New Roman" w:hAnsi="Times New Roman" w:cs="Times New Roman" w:eastAsia="Times New Roman" w:hint="default"/>
                <w:sz w:val="16"/>
                <w:szCs w:val="16"/>
              </w:rPr>
            </w:pPr>
            <w:r>
              <w:rPr>
                <w:rFonts w:ascii="Times New Roman"/>
                <w:sz w:val="16"/>
              </w:rPr>
              <w:t>2015102879696</w:t>
            </w:r>
          </w:p>
        </w:tc>
      </w:tr>
      <w:tr>
        <w:trPr>
          <w:trHeight w:val="347" w:hRule="exact"/>
        </w:trPr>
        <w:tc>
          <w:tcPr>
            <w:tcW w:w="569" w:type="dxa"/>
            <w:tcBorders>
              <w:top w:val="single" w:sz="6" w:space="0" w:color="000000"/>
              <w:left w:val="single" w:sz="6" w:space="0" w:color="000000"/>
              <w:bottom w:val="single" w:sz="6" w:space="0" w:color="000000"/>
              <w:right w:val="single" w:sz="6" w:space="0" w:color="000000"/>
            </w:tcBorders>
            <w:shd w:val="clear" w:color="auto" w:fill="C00000"/>
          </w:tcPr>
          <w:p>
            <w:pPr>
              <w:pStyle w:val="TableParagraph"/>
              <w:spacing w:line="240" w:lineRule="auto" w:before="42"/>
              <w:ind w:left="168" w:right="0"/>
              <w:jc w:val="left"/>
              <w:rPr>
                <w:rFonts w:ascii="Times New Roman" w:hAnsi="Times New Roman" w:cs="Times New Roman" w:eastAsia="Times New Roman" w:hint="default"/>
                <w:sz w:val="22"/>
                <w:szCs w:val="22"/>
              </w:rPr>
            </w:pPr>
            <w:r>
              <w:rPr>
                <w:rFonts w:ascii="Times New Roman"/>
                <w:b/>
                <w:color w:val="FFFFFF"/>
                <w:sz w:val="22"/>
              </w:rPr>
              <w:t>17</w:t>
            </w:r>
            <w:r>
              <w:rPr>
                <w:rFonts w:ascii="Times New Roman"/>
                <w:sz w:val="22"/>
              </w:rPr>
            </w:r>
          </w:p>
        </w:tc>
        <w:tc>
          <w:tcPr>
            <w:tcW w:w="4262"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36"/>
              <w:ind w:right="2"/>
              <w:jc w:val="center"/>
              <w:rPr>
                <w:rFonts w:ascii="宋体" w:hAnsi="宋体" w:cs="宋体" w:eastAsia="宋体" w:hint="default"/>
                <w:sz w:val="16"/>
                <w:szCs w:val="16"/>
              </w:rPr>
            </w:pPr>
            <w:r>
              <w:rPr>
                <w:rFonts w:ascii="宋体" w:hAnsi="宋体" w:cs="宋体" w:eastAsia="宋体" w:hint="default"/>
                <w:sz w:val="16"/>
                <w:szCs w:val="16"/>
              </w:rPr>
              <w:t>户外</w:t>
            </w:r>
            <w:r>
              <w:rPr>
                <w:rFonts w:ascii="Times New Roman" w:hAnsi="Times New Roman" w:cs="Times New Roman" w:eastAsia="Times New Roman" w:hint="default"/>
                <w:sz w:val="16"/>
                <w:szCs w:val="16"/>
              </w:rPr>
              <w:t>LED</w:t>
            </w:r>
            <w:r>
              <w:rPr>
                <w:rFonts w:ascii="宋体" w:hAnsi="宋体" w:cs="宋体" w:eastAsia="宋体" w:hint="default"/>
                <w:sz w:val="16"/>
                <w:szCs w:val="16"/>
              </w:rPr>
              <w:t>显示屏</w:t>
            </w:r>
          </w:p>
        </w:tc>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0"/>
              <w:jc w:val="center"/>
              <w:rPr>
                <w:rFonts w:ascii="宋体" w:hAnsi="宋体" w:cs="宋体" w:eastAsia="宋体" w:hint="default"/>
                <w:sz w:val="16"/>
                <w:szCs w:val="16"/>
              </w:rPr>
            </w:pPr>
            <w:r>
              <w:rPr>
                <w:rFonts w:ascii="宋体" w:hAnsi="宋体" w:cs="宋体" w:eastAsia="宋体" w:hint="default"/>
                <w:sz w:val="16"/>
                <w:szCs w:val="16"/>
              </w:rPr>
              <w:t>发明专利</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2"/>
              <w:ind w:right="1"/>
              <w:jc w:val="center"/>
              <w:rPr>
                <w:rFonts w:ascii="Times New Roman" w:hAnsi="Times New Roman" w:cs="Times New Roman" w:eastAsia="Times New Roman" w:hint="default"/>
                <w:sz w:val="16"/>
                <w:szCs w:val="16"/>
              </w:rPr>
            </w:pPr>
            <w:r>
              <w:rPr>
                <w:rFonts w:ascii="Times New Roman"/>
                <w:sz w:val="16"/>
              </w:rPr>
              <w:t>2015105593597</w:t>
            </w:r>
          </w:p>
        </w:tc>
      </w:tr>
      <w:tr>
        <w:trPr>
          <w:trHeight w:val="347" w:hRule="exact"/>
        </w:trPr>
        <w:tc>
          <w:tcPr>
            <w:tcW w:w="569" w:type="dxa"/>
            <w:tcBorders>
              <w:top w:val="single" w:sz="6" w:space="0" w:color="000000"/>
              <w:left w:val="single" w:sz="6" w:space="0" w:color="000000"/>
              <w:bottom w:val="single" w:sz="6" w:space="0" w:color="000000"/>
              <w:right w:val="single" w:sz="6" w:space="0" w:color="000000"/>
            </w:tcBorders>
            <w:shd w:val="clear" w:color="auto" w:fill="C00000"/>
          </w:tcPr>
          <w:p>
            <w:pPr>
              <w:pStyle w:val="TableParagraph"/>
              <w:spacing w:line="240" w:lineRule="auto" w:before="42"/>
              <w:ind w:left="168" w:right="0"/>
              <w:jc w:val="left"/>
              <w:rPr>
                <w:rFonts w:ascii="Times New Roman" w:hAnsi="Times New Roman" w:cs="Times New Roman" w:eastAsia="Times New Roman" w:hint="default"/>
                <w:sz w:val="22"/>
                <w:szCs w:val="22"/>
              </w:rPr>
            </w:pPr>
            <w:r>
              <w:rPr>
                <w:rFonts w:ascii="Times New Roman"/>
                <w:b/>
                <w:color w:val="FFFFFF"/>
                <w:sz w:val="22"/>
              </w:rPr>
              <w:t>18</w:t>
            </w:r>
            <w:r>
              <w:rPr>
                <w:rFonts w:ascii="Times New Roman"/>
                <w:sz w:val="22"/>
              </w:rPr>
            </w:r>
          </w:p>
        </w:tc>
        <w:tc>
          <w:tcPr>
            <w:tcW w:w="4262"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36"/>
              <w:ind w:right="2"/>
              <w:jc w:val="center"/>
              <w:rPr>
                <w:rFonts w:ascii="宋体" w:hAnsi="宋体" w:cs="宋体" w:eastAsia="宋体" w:hint="default"/>
                <w:sz w:val="16"/>
                <w:szCs w:val="16"/>
              </w:rPr>
            </w:pPr>
            <w:r>
              <w:rPr>
                <w:rFonts w:ascii="宋体" w:hAnsi="宋体" w:cs="宋体" w:eastAsia="宋体" w:hint="default"/>
                <w:sz w:val="16"/>
                <w:szCs w:val="16"/>
              </w:rPr>
              <w:t>锁扣组件和</w:t>
            </w:r>
            <w:r>
              <w:rPr>
                <w:rFonts w:ascii="Times New Roman" w:hAnsi="Times New Roman" w:cs="Times New Roman" w:eastAsia="Times New Roman" w:hint="default"/>
                <w:sz w:val="16"/>
                <w:szCs w:val="16"/>
              </w:rPr>
              <w:t>LED</w:t>
            </w:r>
            <w:r>
              <w:rPr>
                <w:rFonts w:ascii="宋体" w:hAnsi="宋体" w:cs="宋体" w:eastAsia="宋体" w:hint="default"/>
                <w:sz w:val="16"/>
                <w:szCs w:val="16"/>
              </w:rPr>
              <w:t>拼装屏</w:t>
            </w:r>
          </w:p>
        </w:tc>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0"/>
              <w:jc w:val="center"/>
              <w:rPr>
                <w:rFonts w:ascii="宋体" w:hAnsi="宋体" w:cs="宋体" w:eastAsia="宋体" w:hint="default"/>
                <w:sz w:val="16"/>
                <w:szCs w:val="16"/>
              </w:rPr>
            </w:pPr>
            <w:r>
              <w:rPr>
                <w:rFonts w:ascii="宋体" w:hAnsi="宋体" w:cs="宋体" w:eastAsia="宋体" w:hint="default"/>
                <w:sz w:val="16"/>
                <w:szCs w:val="16"/>
              </w:rPr>
              <w:t>发明专利</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1"/>
              <w:jc w:val="center"/>
              <w:rPr>
                <w:rFonts w:ascii="Times New Roman" w:hAnsi="Times New Roman" w:cs="Times New Roman" w:eastAsia="Times New Roman" w:hint="default"/>
                <w:sz w:val="16"/>
                <w:szCs w:val="16"/>
              </w:rPr>
            </w:pPr>
            <w:r>
              <w:rPr>
                <w:rFonts w:ascii="Times New Roman"/>
                <w:sz w:val="16"/>
              </w:rPr>
              <w:t>2016100198011</w:t>
            </w:r>
          </w:p>
        </w:tc>
      </w:tr>
      <w:tr>
        <w:trPr>
          <w:trHeight w:val="347" w:hRule="exact"/>
        </w:trPr>
        <w:tc>
          <w:tcPr>
            <w:tcW w:w="569" w:type="dxa"/>
            <w:tcBorders>
              <w:top w:val="single" w:sz="6" w:space="0" w:color="000000"/>
              <w:left w:val="single" w:sz="6" w:space="0" w:color="000000"/>
              <w:bottom w:val="single" w:sz="6" w:space="0" w:color="000000"/>
              <w:right w:val="single" w:sz="6" w:space="0" w:color="000000"/>
            </w:tcBorders>
            <w:shd w:val="clear" w:color="auto" w:fill="C00000"/>
          </w:tcPr>
          <w:p>
            <w:pPr>
              <w:pStyle w:val="TableParagraph"/>
              <w:spacing w:line="240" w:lineRule="auto" w:before="42"/>
              <w:ind w:left="168" w:right="0"/>
              <w:jc w:val="left"/>
              <w:rPr>
                <w:rFonts w:ascii="Times New Roman" w:hAnsi="Times New Roman" w:cs="Times New Roman" w:eastAsia="Times New Roman" w:hint="default"/>
                <w:sz w:val="22"/>
                <w:szCs w:val="22"/>
              </w:rPr>
            </w:pPr>
            <w:r>
              <w:rPr>
                <w:rFonts w:ascii="Times New Roman"/>
                <w:b/>
                <w:color w:val="FFFFFF"/>
                <w:sz w:val="22"/>
              </w:rPr>
              <w:t>19</w:t>
            </w:r>
            <w:r>
              <w:rPr>
                <w:rFonts w:ascii="Times New Roman"/>
                <w:sz w:val="22"/>
              </w:rPr>
            </w:r>
          </w:p>
        </w:tc>
        <w:tc>
          <w:tcPr>
            <w:tcW w:w="4262"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36"/>
              <w:ind w:right="1"/>
              <w:jc w:val="center"/>
              <w:rPr>
                <w:rFonts w:ascii="宋体" w:hAnsi="宋体" w:cs="宋体" w:eastAsia="宋体" w:hint="default"/>
                <w:sz w:val="16"/>
                <w:szCs w:val="16"/>
              </w:rPr>
            </w:pPr>
            <w:r>
              <w:rPr>
                <w:rFonts w:ascii="宋体" w:hAnsi="宋体" w:cs="宋体" w:eastAsia="宋体" w:hint="default"/>
                <w:sz w:val="16"/>
                <w:szCs w:val="16"/>
              </w:rPr>
              <w:t>一种视差图提取的方法和装置</w:t>
            </w:r>
          </w:p>
        </w:tc>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0"/>
              <w:jc w:val="center"/>
              <w:rPr>
                <w:rFonts w:ascii="宋体" w:hAnsi="宋体" w:cs="宋体" w:eastAsia="宋体" w:hint="default"/>
                <w:sz w:val="16"/>
                <w:szCs w:val="16"/>
              </w:rPr>
            </w:pPr>
            <w:r>
              <w:rPr>
                <w:rFonts w:ascii="宋体" w:hAnsi="宋体" w:cs="宋体" w:eastAsia="宋体" w:hint="default"/>
                <w:sz w:val="16"/>
                <w:szCs w:val="16"/>
              </w:rPr>
              <w:t>发明专利</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2"/>
              <w:ind w:right="1"/>
              <w:jc w:val="center"/>
              <w:rPr>
                <w:rFonts w:ascii="Times New Roman" w:hAnsi="Times New Roman" w:cs="Times New Roman" w:eastAsia="Times New Roman" w:hint="default"/>
                <w:sz w:val="16"/>
                <w:szCs w:val="16"/>
              </w:rPr>
            </w:pPr>
            <w:r>
              <w:rPr>
                <w:rFonts w:ascii="Times New Roman"/>
                <w:sz w:val="16"/>
              </w:rPr>
              <w:t>2016100197273</w:t>
            </w:r>
          </w:p>
        </w:tc>
      </w:tr>
      <w:tr>
        <w:trPr>
          <w:trHeight w:val="348" w:hRule="exact"/>
        </w:trPr>
        <w:tc>
          <w:tcPr>
            <w:tcW w:w="569" w:type="dxa"/>
            <w:tcBorders>
              <w:top w:val="single" w:sz="6" w:space="0" w:color="000000"/>
              <w:left w:val="single" w:sz="6" w:space="0" w:color="000000"/>
              <w:bottom w:val="single" w:sz="6" w:space="0" w:color="000000"/>
              <w:right w:val="single" w:sz="6" w:space="0" w:color="000000"/>
            </w:tcBorders>
            <w:shd w:val="clear" w:color="auto" w:fill="C00000"/>
          </w:tcPr>
          <w:p>
            <w:pPr>
              <w:pStyle w:val="TableParagraph"/>
              <w:spacing w:line="240" w:lineRule="auto" w:before="42"/>
              <w:ind w:left="168" w:right="0"/>
              <w:jc w:val="left"/>
              <w:rPr>
                <w:rFonts w:ascii="Times New Roman" w:hAnsi="Times New Roman" w:cs="Times New Roman" w:eastAsia="Times New Roman" w:hint="default"/>
                <w:sz w:val="22"/>
                <w:szCs w:val="22"/>
              </w:rPr>
            </w:pPr>
            <w:r>
              <w:rPr>
                <w:rFonts w:ascii="Times New Roman"/>
                <w:b/>
                <w:color w:val="FFFFFF"/>
                <w:sz w:val="22"/>
              </w:rPr>
              <w:t>20</w:t>
            </w:r>
            <w:r>
              <w:rPr>
                <w:rFonts w:ascii="Times New Roman"/>
                <w:sz w:val="22"/>
              </w:rPr>
            </w:r>
          </w:p>
        </w:tc>
        <w:tc>
          <w:tcPr>
            <w:tcW w:w="4262"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36"/>
              <w:ind w:right="0"/>
              <w:jc w:val="center"/>
              <w:rPr>
                <w:rFonts w:ascii="宋体" w:hAnsi="宋体" w:cs="宋体" w:eastAsia="宋体" w:hint="default"/>
                <w:sz w:val="16"/>
                <w:szCs w:val="16"/>
              </w:rPr>
            </w:pPr>
            <w:r>
              <w:rPr>
                <w:rFonts w:ascii="宋体" w:hAnsi="宋体" w:cs="宋体" w:eastAsia="宋体" w:hint="default"/>
                <w:sz w:val="16"/>
                <w:szCs w:val="16"/>
              </w:rPr>
              <w:t>一种可弯曲的</w:t>
            </w:r>
            <w:r>
              <w:rPr>
                <w:rFonts w:ascii="Times New Roman" w:hAnsi="Times New Roman" w:cs="Times New Roman" w:eastAsia="Times New Roman" w:hint="default"/>
                <w:sz w:val="16"/>
                <w:szCs w:val="16"/>
              </w:rPr>
              <w:t>LED</w:t>
            </w:r>
            <w:r>
              <w:rPr>
                <w:rFonts w:ascii="宋体" w:hAnsi="宋体" w:cs="宋体" w:eastAsia="宋体" w:hint="default"/>
                <w:sz w:val="16"/>
                <w:szCs w:val="16"/>
              </w:rPr>
              <w:t>显示屏局部亮度调整的控制方法</w:t>
            </w:r>
          </w:p>
        </w:tc>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0"/>
              <w:jc w:val="center"/>
              <w:rPr>
                <w:rFonts w:ascii="宋体" w:hAnsi="宋体" w:cs="宋体" w:eastAsia="宋体" w:hint="default"/>
                <w:sz w:val="16"/>
                <w:szCs w:val="16"/>
              </w:rPr>
            </w:pPr>
            <w:r>
              <w:rPr>
                <w:rFonts w:ascii="宋体" w:hAnsi="宋体" w:cs="宋体" w:eastAsia="宋体" w:hint="default"/>
                <w:sz w:val="16"/>
                <w:szCs w:val="16"/>
              </w:rPr>
              <w:t>发明专利</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2"/>
              <w:ind w:right="1"/>
              <w:jc w:val="center"/>
              <w:rPr>
                <w:rFonts w:ascii="Times New Roman" w:hAnsi="Times New Roman" w:cs="Times New Roman" w:eastAsia="Times New Roman" w:hint="default"/>
                <w:sz w:val="16"/>
                <w:szCs w:val="16"/>
              </w:rPr>
            </w:pPr>
            <w:r>
              <w:rPr>
                <w:rFonts w:ascii="Times New Roman"/>
                <w:sz w:val="16"/>
              </w:rPr>
              <w:t>2016111582255.0</w:t>
            </w:r>
          </w:p>
        </w:tc>
      </w:tr>
      <w:tr>
        <w:trPr>
          <w:trHeight w:val="347" w:hRule="exact"/>
        </w:trPr>
        <w:tc>
          <w:tcPr>
            <w:tcW w:w="569" w:type="dxa"/>
            <w:tcBorders>
              <w:top w:val="single" w:sz="6" w:space="0" w:color="000000"/>
              <w:left w:val="single" w:sz="6" w:space="0" w:color="000000"/>
              <w:bottom w:val="single" w:sz="6" w:space="0" w:color="000000"/>
              <w:right w:val="single" w:sz="6" w:space="0" w:color="000000"/>
            </w:tcBorders>
            <w:shd w:val="clear" w:color="auto" w:fill="C00000"/>
          </w:tcPr>
          <w:p>
            <w:pPr>
              <w:pStyle w:val="TableParagraph"/>
              <w:spacing w:line="240" w:lineRule="auto" w:before="40"/>
              <w:ind w:left="168" w:right="0"/>
              <w:jc w:val="left"/>
              <w:rPr>
                <w:rFonts w:ascii="Times New Roman" w:hAnsi="Times New Roman" w:cs="Times New Roman" w:eastAsia="Times New Roman" w:hint="default"/>
                <w:sz w:val="22"/>
                <w:szCs w:val="22"/>
              </w:rPr>
            </w:pPr>
            <w:r>
              <w:rPr>
                <w:rFonts w:ascii="Times New Roman"/>
                <w:b/>
                <w:color w:val="FFFFFF"/>
                <w:sz w:val="22"/>
              </w:rPr>
              <w:t>21</w:t>
            </w:r>
            <w:r>
              <w:rPr>
                <w:rFonts w:ascii="Times New Roman"/>
                <w:sz w:val="22"/>
              </w:rPr>
            </w:r>
          </w:p>
        </w:tc>
        <w:tc>
          <w:tcPr>
            <w:tcW w:w="4262"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35"/>
              <w:ind w:right="2"/>
              <w:jc w:val="center"/>
              <w:rPr>
                <w:rFonts w:ascii="宋体" w:hAnsi="宋体" w:cs="宋体" w:eastAsia="宋体" w:hint="default"/>
                <w:sz w:val="16"/>
                <w:szCs w:val="16"/>
              </w:rPr>
            </w:pPr>
            <w:r>
              <w:rPr>
                <w:rFonts w:ascii="宋体" w:hAnsi="宋体" w:cs="宋体" w:eastAsia="宋体" w:hint="default"/>
                <w:sz w:val="16"/>
                <w:szCs w:val="16"/>
              </w:rPr>
              <w:t>一种</w:t>
            </w:r>
            <w:r>
              <w:rPr>
                <w:rFonts w:ascii="Times New Roman" w:hAnsi="Times New Roman" w:cs="Times New Roman" w:eastAsia="Times New Roman" w:hint="default"/>
                <w:sz w:val="16"/>
                <w:szCs w:val="16"/>
              </w:rPr>
              <w:t>LED</w:t>
            </w:r>
            <w:r>
              <w:rPr>
                <w:rFonts w:ascii="宋体" w:hAnsi="宋体" w:cs="宋体" w:eastAsia="宋体" w:hint="default"/>
                <w:sz w:val="16"/>
                <w:szCs w:val="16"/>
              </w:rPr>
              <w:t>组合屏锁扣机构、</w:t>
            </w:r>
            <w:r>
              <w:rPr>
                <w:rFonts w:ascii="Times New Roman" w:hAnsi="Times New Roman" w:cs="Times New Roman" w:eastAsia="Times New Roman" w:hint="default"/>
                <w:sz w:val="16"/>
                <w:szCs w:val="16"/>
              </w:rPr>
              <w:t>LED</w:t>
            </w:r>
            <w:r>
              <w:rPr>
                <w:rFonts w:ascii="宋体" w:hAnsi="宋体" w:cs="宋体" w:eastAsia="宋体" w:hint="default"/>
                <w:sz w:val="16"/>
                <w:szCs w:val="16"/>
              </w:rPr>
              <w:t>显示单元屏和</w:t>
            </w:r>
            <w:r>
              <w:rPr>
                <w:rFonts w:ascii="Times New Roman" w:hAnsi="Times New Roman" w:cs="Times New Roman" w:eastAsia="Times New Roman" w:hint="default"/>
                <w:sz w:val="16"/>
                <w:szCs w:val="16"/>
              </w:rPr>
              <w:t>LED</w:t>
            </w:r>
            <w:r>
              <w:rPr>
                <w:rFonts w:ascii="宋体" w:hAnsi="宋体" w:cs="宋体" w:eastAsia="宋体" w:hint="default"/>
                <w:sz w:val="16"/>
                <w:szCs w:val="16"/>
              </w:rPr>
              <w:t>组合屏</w:t>
            </w:r>
          </w:p>
        </w:tc>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0"/>
              <w:jc w:val="center"/>
              <w:rPr>
                <w:rFonts w:ascii="宋体" w:hAnsi="宋体" w:cs="宋体" w:eastAsia="宋体" w:hint="default"/>
                <w:sz w:val="16"/>
                <w:szCs w:val="16"/>
              </w:rPr>
            </w:pPr>
            <w:r>
              <w:rPr>
                <w:rFonts w:ascii="宋体" w:hAnsi="宋体" w:cs="宋体" w:eastAsia="宋体" w:hint="default"/>
                <w:sz w:val="16"/>
                <w:szCs w:val="16"/>
              </w:rPr>
              <w:t>发明专利</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1"/>
              <w:ind w:right="0"/>
              <w:jc w:val="center"/>
              <w:rPr>
                <w:rFonts w:ascii="Times New Roman" w:hAnsi="Times New Roman" w:cs="Times New Roman" w:eastAsia="Times New Roman" w:hint="default"/>
                <w:sz w:val="16"/>
                <w:szCs w:val="16"/>
              </w:rPr>
            </w:pPr>
            <w:r>
              <w:rPr>
                <w:rFonts w:ascii="Times New Roman"/>
                <w:sz w:val="16"/>
              </w:rPr>
              <w:t>201210507441.1</w:t>
            </w:r>
          </w:p>
        </w:tc>
      </w:tr>
      <w:tr>
        <w:trPr>
          <w:trHeight w:val="347" w:hRule="exact"/>
        </w:trPr>
        <w:tc>
          <w:tcPr>
            <w:tcW w:w="569" w:type="dxa"/>
            <w:tcBorders>
              <w:top w:val="single" w:sz="6" w:space="0" w:color="000000"/>
              <w:left w:val="single" w:sz="6" w:space="0" w:color="000000"/>
              <w:bottom w:val="single" w:sz="6" w:space="0" w:color="000000"/>
              <w:right w:val="single" w:sz="6" w:space="0" w:color="000000"/>
            </w:tcBorders>
            <w:shd w:val="clear" w:color="auto" w:fill="C00000"/>
          </w:tcPr>
          <w:p>
            <w:pPr>
              <w:pStyle w:val="TableParagraph"/>
              <w:spacing w:line="240" w:lineRule="auto" w:before="42"/>
              <w:ind w:left="168" w:right="0"/>
              <w:jc w:val="left"/>
              <w:rPr>
                <w:rFonts w:ascii="Times New Roman" w:hAnsi="Times New Roman" w:cs="Times New Roman" w:eastAsia="Times New Roman" w:hint="default"/>
                <w:sz w:val="22"/>
                <w:szCs w:val="22"/>
              </w:rPr>
            </w:pPr>
            <w:r>
              <w:rPr>
                <w:rFonts w:ascii="Times New Roman"/>
                <w:b/>
                <w:color w:val="FFFFFF"/>
                <w:sz w:val="22"/>
              </w:rPr>
              <w:t>22</w:t>
            </w:r>
            <w:r>
              <w:rPr>
                <w:rFonts w:ascii="Times New Roman"/>
                <w:sz w:val="22"/>
              </w:rPr>
            </w:r>
          </w:p>
        </w:tc>
        <w:tc>
          <w:tcPr>
            <w:tcW w:w="4262"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36"/>
              <w:ind w:right="2"/>
              <w:jc w:val="center"/>
              <w:rPr>
                <w:rFonts w:ascii="宋体" w:hAnsi="宋体" w:cs="宋体" w:eastAsia="宋体" w:hint="default"/>
                <w:sz w:val="16"/>
                <w:szCs w:val="16"/>
              </w:rPr>
            </w:pPr>
            <w:r>
              <w:rPr>
                <w:rFonts w:ascii="宋体" w:hAnsi="宋体" w:cs="宋体" w:eastAsia="宋体" w:hint="default"/>
                <w:sz w:val="16"/>
                <w:szCs w:val="16"/>
              </w:rPr>
              <w:t>一种</w:t>
            </w:r>
            <w:r>
              <w:rPr>
                <w:rFonts w:ascii="Times New Roman" w:hAnsi="Times New Roman" w:cs="Times New Roman" w:eastAsia="Times New Roman" w:hint="default"/>
                <w:sz w:val="16"/>
                <w:szCs w:val="16"/>
              </w:rPr>
              <w:t>LED</w:t>
            </w:r>
            <w:r>
              <w:rPr>
                <w:rFonts w:ascii="宋体" w:hAnsi="宋体" w:cs="宋体" w:eastAsia="宋体" w:hint="default"/>
                <w:sz w:val="16"/>
                <w:szCs w:val="16"/>
              </w:rPr>
              <w:t>灯条</w:t>
            </w:r>
          </w:p>
        </w:tc>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0"/>
              <w:jc w:val="center"/>
              <w:rPr>
                <w:rFonts w:ascii="宋体" w:hAnsi="宋体" w:cs="宋体" w:eastAsia="宋体" w:hint="default"/>
                <w:sz w:val="16"/>
                <w:szCs w:val="16"/>
              </w:rPr>
            </w:pPr>
            <w:r>
              <w:rPr>
                <w:rFonts w:ascii="宋体" w:hAnsi="宋体" w:cs="宋体" w:eastAsia="宋体" w:hint="default"/>
                <w:sz w:val="16"/>
                <w:szCs w:val="16"/>
              </w:rPr>
              <w:t>发明专利</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2"/>
              <w:ind w:right="0"/>
              <w:jc w:val="center"/>
              <w:rPr>
                <w:rFonts w:ascii="Times New Roman" w:hAnsi="Times New Roman" w:cs="Times New Roman" w:eastAsia="Times New Roman" w:hint="default"/>
                <w:sz w:val="16"/>
                <w:szCs w:val="16"/>
              </w:rPr>
            </w:pPr>
            <w:r>
              <w:rPr>
                <w:rFonts w:ascii="Times New Roman"/>
                <w:sz w:val="16"/>
              </w:rPr>
              <w:t>201620532664.7</w:t>
            </w:r>
          </w:p>
        </w:tc>
      </w:tr>
      <w:tr>
        <w:trPr>
          <w:trHeight w:val="347" w:hRule="exact"/>
        </w:trPr>
        <w:tc>
          <w:tcPr>
            <w:tcW w:w="569" w:type="dxa"/>
            <w:tcBorders>
              <w:top w:val="single" w:sz="6" w:space="0" w:color="000000"/>
              <w:left w:val="single" w:sz="6" w:space="0" w:color="000000"/>
              <w:bottom w:val="single" w:sz="6" w:space="0" w:color="000000"/>
              <w:right w:val="single" w:sz="6" w:space="0" w:color="000000"/>
            </w:tcBorders>
            <w:shd w:val="clear" w:color="auto" w:fill="C00000"/>
          </w:tcPr>
          <w:p>
            <w:pPr>
              <w:pStyle w:val="TableParagraph"/>
              <w:spacing w:line="240" w:lineRule="auto" w:before="42"/>
              <w:ind w:left="168" w:right="0"/>
              <w:jc w:val="left"/>
              <w:rPr>
                <w:rFonts w:ascii="Times New Roman" w:hAnsi="Times New Roman" w:cs="Times New Roman" w:eastAsia="Times New Roman" w:hint="default"/>
                <w:sz w:val="22"/>
                <w:szCs w:val="22"/>
              </w:rPr>
            </w:pPr>
            <w:r>
              <w:rPr>
                <w:rFonts w:ascii="Times New Roman"/>
                <w:b/>
                <w:color w:val="FFFFFF"/>
                <w:sz w:val="22"/>
              </w:rPr>
              <w:t>23</w:t>
            </w:r>
            <w:r>
              <w:rPr>
                <w:rFonts w:ascii="Times New Roman"/>
                <w:sz w:val="22"/>
              </w:rPr>
            </w:r>
          </w:p>
        </w:tc>
        <w:tc>
          <w:tcPr>
            <w:tcW w:w="4262"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36"/>
              <w:ind w:right="1"/>
              <w:jc w:val="center"/>
              <w:rPr>
                <w:rFonts w:ascii="宋体" w:hAnsi="宋体" w:cs="宋体" w:eastAsia="宋体" w:hint="default"/>
                <w:sz w:val="16"/>
                <w:szCs w:val="16"/>
              </w:rPr>
            </w:pPr>
            <w:r>
              <w:rPr>
                <w:rFonts w:ascii="宋体" w:hAnsi="宋体" w:cs="宋体" w:eastAsia="宋体" w:hint="default"/>
                <w:sz w:val="16"/>
                <w:szCs w:val="16"/>
              </w:rPr>
              <w:t>一种可精确记录数据的排队管理办法</w:t>
            </w:r>
          </w:p>
        </w:tc>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0"/>
              <w:jc w:val="center"/>
              <w:rPr>
                <w:rFonts w:ascii="宋体" w:hAnsi="宋体" w:cs="宋体" w:eastAsia="宋体" w:hint="default"/>
                <w:sz w:val="16"/>
                <w:szCs w:val="16"/>
              </w:rPr>
            </w:pPr>
            <w:r>
              <w:rPr>
                <w:rFonts w:ascii="宋体" w:hAnsi="宋体" w:cs="宋体" w:eastAsia="宋体" w:hint="default"/>
                <w:sz w:val="16"/>
                <w:szCs w:val="16"/>
              </w:rPr>
              <w:t>发明专利</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2"/>
              <w:ind w:right="0"/>
              <w:jc w:val="center"/>
              <w:rPr>
                <w:rFonts w:ascii="Times New Roman" w:hAnsi="Times New Roman" w:cs="Times New Roman" w:eastAsia="Times New Roman" w:hint="default"/>
                <w:sz w:val="16"/>
                <w:szCs w:val="16"/>
              </w:rPr>
            </w:pPr>
            <w:r>
              <w:rPr>
                <w:rFonts w:ascii="Times New Roman"/>
                <w:sz w:val="16"/>
              </w:rPr>
              <w:t>201410746850.6</w:t>
            </w:r>
          </w:p>
        </w:tc>
      </w:tr>
      <w:tr>
        <w:trPr>
          <w:trHeight w:val="347" w:hRule="exact"/>
        </w:trPr>
        <w:tc>
          <w:tcPr>
            <w:tcW w:w="569" w:type="dxa"/>
            <w:tcBorders>
              <w:top w:val="single" w:sz="6" w:space="0" w:color="000000"/>
              <w:left w:val="single" w:sz="6" w:space="0" w:color="000000"/>
              <w:bottom w:val="single" w:sz="6" w:space="0" w:color="000000"/>
              <w:right w:val="single" w:sz="6" w:space="0" w:color="000000"/>
            </w:tcBorders>
            <w:shd w:val="clear" w:color="auto" w:fill="C00000"/>
          </w:tcPr>
          <w:p>
            <w:pPr>
              <w:pStyle w:val="TableParagraph"/>
              <w:spacing w:line="240" w:lineRule="auto" w:before="42"/>
              <w:ind w:left="168" w:right="0"/>
              <w:jc w:val="left"/>
              <w:rPr>
                <w:rFonts w:ascii="Times New Roman" w:hAnsi="Times New Roman" w:cs="Times New Roman" w:eastAsia="Times New Roman" w:hint="default"/>
                <w:sz w:val="22"/>
                <w:szCs w:val="22"/>
              </w:rPr>
            </w:pPr>
            <w:r>
              <w:rPr>
                <w:rFonts w:ascii="Times New Roman"/>
                <w:b/>
                <w:color w:val="FFFFFF"/>
                <w:sz w:val="22"/>
              </w:rPr>
              <w:t>24</w:t>
            </w:r>
            <w:r>
              <w:rPr>
                <w:rFonts w:ascii="Times New Roman"/>
                <w:sz w:val="22"/>
              </w:rPr>
            </w:r>
          </w:p>
        </w:tc>
        <w:tc>
          <w:tcPr>
            <w:tcW w:w="4262"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36"/>
              <w:ind w:right="2"/>
              <w:jc w:val="center"/>
              <w:rPr>
                <w:rFonts w:ascii="宋体" w:hAnsi="宋体" w:cs="宋体" w:eastAsia="宋体" w:hint="default"/>
                <w:sz w:val="16"/>
                <w:szCs w:val="16"/>
              </w:rPr>
            </w:pPr>
            <w:r>
              <w:rPr>
                <w:rFonts w:ascii="宋体" w:hAnsi="宋体" w:cs="宋体" w:eastAsia="宋体" w:hint="default"/>
                <w:sz w:val="16"/>
                <w:szCs w:val="16"/>
              </w:rPr>
              <w:t>一种增加</w:t>
            </w:r>
            <w:r>
              <w:rPr>
                <w:rFonts w:ascii="Times New Roman" w:hAnsi="Times New Roman" w:cs="Times New Roman" w:eastAsia="Times New Roman" w:hint="default"/>
                <w:sz w:val="16"/>
                <w:szCs w:val="16"/>
              </w:rPr>
              <w:t>LED</w:t>
            </w:r>
            <w:r>
              <w:rPr>
                <w:rFonts w:ascii="宋体" w:hAnsi="宋体" w:cs="宋体" w:eastAsia="宋体" w:hint="default"/>
                <w:sz w:val="16"/>
                <w:szCs w:val="16"/>
              </w:rPr>
              <w:t>显示屏同步显示区间的方法</w:t>
            </w:r>
          </w:p>
        </w:tc>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0"/>
              <w:jc w:val="center"/>
              <w:rPr>
                <w:rFonts w:ascii="宋体" w:hAnsi="宋体" w:cs="宋体" w:eastAsia="宋体" w:hint="default"/>
                <w:sz w:val="16"/>
                <w:szCs w:val="16"/>
              </w:rPr>
            </w:pPr>
            <w:r>
              <w:rPr>
                <w:rFonts w:ascii="宋体" w:hAnsi="宋体" w:cs="宋体" w:eastAsia="宋体" w:hint="default"/>
                <w:sz w:val="16"/>
                <w:szCs w:val="16"/>
              </w:rPr>
              <w:t>发明专利</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2"/>
              <w:ind w:right="0"/>
              <w:jc w:val="center"/>
              <w:rPr>
                <w:rFonts w:ascii="Times New Roman" w:hAnsi="Times New Roman" w:cs="Times New Roman" w:eastAsia="Times New Roman" w:hint="default"/>
                <w:sz w:val="16"/>
                <w:szCs w:val="16"/>
              </w:rPr>
            </w:pPr>
            <w:r>
              <w:rPr>
                <w:rFonts w:ascii="Times New Roman"/>
                <w:sz w:val="16"/>
              </w:rPr>
              <w:t>201410800406.8</w:t>
            </w:r>
          </w:p>
        </w:tc>
      </w:tr>
      <w:tr>
        <w:trPr>
          <w:trHeight w:val="347" w:hRule="exact"/>
        </w:trPr>
        <w:tc>
          <w:tcPr>
            <w:tcW w:w="569" w:type="dxa"/>
            <w:tcBorders>
              <w:top w:val="single" w:sz="6" w:space="0" w:color="000000"/>
              <w:left w:val="single" w:sz="6" w:space="0" w:color="000000"/>
              <w:bottom w:val="single" w:sz="6" w:space="0" w:color="000000"/>
              <w:right w:val="single" w:sz="6" w:space="0" w:color="000000"/>
            </w:tcBorders>
            <w:shd w:val="clear" w:color="auto" w:fill="C00000"/>
          </w:tcPr>
          <w:p>
            <w:pPr>
              <w:pStyle w:val="TableParagraph"/>
              <w:spacing w:line="240" w:lineRule="auto" w:before="42"/>
              <w:ind w:left="168" w:right="0"/>
              <w:jc w:val="left"/>
              <w:rPr>
                <w:rFonts w:ascii="Times New Roman" w:hAnsi="Times New Roman" w:cs="Times New Roman" w:eastAsia="Times New Roman" w:hint="default"/>
                <w:sz w:val="22"/>
                <w:szCs w:val="22"/>
              </w:rPr>
            </w:pPr>
            <w:r>
              <w:rPr>
                <w:rFonts w:ascii="Times New Roman"/>
                <w:b/>
                <w:color w:val="FFFFFF"/>
                <w:sz w:val="22"/>
              </w:rPr>
              <w:t>25</w:t>
            </w:r>
            <w:r>
              <w:rPr>
                <w:rFonts w:ascii="Times New Roman"/>
                <w:sz w:val="22"/>
              </w:rPr>
            </w:r>
          </w:p>
        </w:tc>
        <w:tc>
          <w:tcPr>
            <w:tcW w:w="4262"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36"/>
              <w:ind w:right="1"/>
              <w:jc w:val="center"/>
              <w:rPr>
                <w:rFonts w:ascii="宋体" w:hAnsi="宋体" w:cs="宋体" w:eastAsia="宋体" w:hint="default"/>
                <w:sz w:val="16"/>
                <w:szCs w:val="16"/>
              </w:rPr>
            </w:pPr>
            <w:r>
              <w:rPr>
                <w:rFonts w:ascii="宋体" w:hAnsi="宋体" w:cs="宋体" w:eastAsia="宋体" w:hint="default"/>
                <w:sz w:val="16"/>
                <w:szCs w:val="16"/>
              </w:rPr>
              <w:t>一种功放电源滤波电路</w:t>
            </w:r>
          </w:p>
        </w:tc>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0"/>
              <w:jc w:val="center"/>
              <w:rPr>
                <w:rFonts w:ascii="宋体" w:hAnsi="宋体" w:cs="宋体" w:eastAsia="宋体" w:hint="default"/>
                <w:sz w:val="16"/>
                <w:szCs w:val="16"/>
              </w:rPr>
            </w:pPr>
            <w:r>
              <w:rPr>
                <w:rFonts w:ascii="宋体" w:hAnsi="宋体" w:cs="宋体" w:eastAsia="宋体" w:hint="default"/>
                <w:sz w:val="16"/>
                <w:szCs w:val="16"/>
              </w:rPr>
              <w:t>发明专利</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2"/>
              <w:ind w:right="0"/>
              <w:jc w:val="center"/>
              <w:rPr>
                <w:rFonts w:ascii="Times New Roman" w:hAnsi="Times New Roman" w:cs="Times New Roman" w:eastAsia="Times New Roman" w:hint="default"/>
                <w:sz w:val="16"/>
                <w:szCs w:val="16"/>
              </w:rPr>
            </w:pPr>
            <w:r>
              <w:rPr>
                <w:rFonts w:ascii="Times New Roman"/>
                <w:sz w:val="16"/>
              </w:rPr>
              <w:t>201510354697.7</w:t>
            </w:r>
          </w:p>
        </w:tc>
      </w:tr>
      <w:tr>
        <w:trPr>
          <w:trHeight w:val="348" w:hRule="exact"/>
        </w:trPr>
        <w:tc>
          <w:tcPr>
            <w:tcW w:w="569" w:type="dxa"/>
            <w:tcBorders>
              <w:top w:val="single" w:sz="6" w:space="0" w:color="000000"/>
              <w:left w:val="single" w:sz="6" w:space="0" w:color="000000"/>
              <w:bottom w:val="single" w:sz="6" w:space="0" w:color="000000"/>
              <w:right w:val="single" w:sz="6" w:space="0" w:color="000000"/>
            </w:tcBorders>
            <w:shd w:val="clear" w:color="auto" w:fill="C00000"/>
          </w:tcPr>
          <w:p>
            <w:pPr>
              <w:pStyle w:val="TableParagraph"/>
              <w:spacing w:line="240" w:lineRule="auto" w:before="42"/>
              <w:ind w:left="168" w:right="0"/>
              <w:jc w:val="left"/>
              <w:rPr>
                <w:rFonts w:ascii="Times New Roman" w:hAnsi="Times New Roman" w:cs="Times New Roman" w:eastAsia="Times New Roman" w:hint="default"/>
                <w:sz w:val="22"/>
                <w:szCs w:val="22"/>
              </w:rPr>
            </w:pPr>
            <w:r>
              <w:rPr>
                <w:rFonts w:ascii="Times New Roman"/>
                <w:b/>
                <w:color w:val="FFFFFF"/>
                <w:sz w:val="22"/>
              </w:rPr>
              <w:t>26</w:t>
            </w:r>
            <w:r>
              <w:rPr>
                <w:rFonts w:ascii="Times New Roman"/>
                <w:sz w:val="22"/>
              </w:rPr>
            </w:r>
          </w:p>
        </w:tc>
        <w:tc>
          <w:tcPr>
            <w:tcW w:w="4262"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36"/>
              <w:ind w:right="1"/>
              <w:jc w:val="center"/>
              <w:rPr>
                <w:rFonts w:ascii="宋体" w:hAnsi="宋体" w:cs="宋体" w:eastAsia="宋体" w:hint="default"/>
                <w:sz w:val="16"/>
                <w:szCs w:val="16"/>
              </w:rPr>
            </w:pPr>
            <w:r>
              <w:rPr>
                <w:rFonts w:ascii="Times New Roman" w:hAnsi="Times New Roman" w:cs="Times New Roman" w:eastAsia="Times New Roman" w:hint="default"/>
                <w:sz w:val="16"/>
                <w:szCs w:val="16"/>
              </w:rPr>
              <w:t>LED</w:t>
            </w:r>
            <w:r>
              <w:rPr>
                <w:rFonts w:ascii="宋体" w:hAnsi="宋体" w:cs="宋体" w:eastAsia="宋体" w:hint="default"/>
                <w:sz w:val="16"/>
                <w:szCs w:val="16"/>
              </w:rPr>
              <w:t>显示屏运行监控方法和系统</w:t>
            </w:r>
          </w:p>
        </w:tc>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left="3" w:right="-13"/>
              <w:jc w:val="center"/>
              <w:rPr>
                <w:rFonts w:ascii="宋体" w:hAnsi="宋体" w:cs="宋体" w:eastAsia="宋体" w:hint="default"/>
                <w:sz w:val="16"/>
                <w:szCs w:val="16"/>
              </w:rPr>
            </w:pPr>
            <w:r>
              <w:rPr>
                <w:rFonts w:ascii="宋体" w:hAnsi="宋体" w:cs="宋体" w:eastAsia="宋体" w:hint="default"/>
                <w:sz w:val="16"/>
                <w:szCs w:val="16"/>
              </w:rPr>
              <w:t>发明专利（欧盟）</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2"/>
              <w:ind w:right="0"/>
              <w:jc w:val="center"/>
              <w:rPr>
                <w:rFonts w:ascii="Times New Roman" w:hAnsi="Times New Roman" w:cs="Times New Roman" w:eastAsia="Times New Roman" w:hint="default"/>
                <w:sz w:val="16"/>
                <w:szCs w:val="16"/>
              </w:rPr>
            </w:pPr>
            <w:r>
              <w:rPr>
                <w:rFonts w:ascii="Times New Roman"/>
                <w:sz w:val="16"/>
              </w:rPr>
              <w:t>EP2346251B1</w:t>
            </w:r>
          </w:p>
        </w:tc>
      </w:tr>
      <w:tr>
        <w:trPr>
          <w:trHeight w:val="347" w:hRule="exact"/>
        </w:trPr>
        <w:tc>
          <w:tcPr>
            <w:tcW w:w="569" w:type="dxa"/>
            <w:tcBorders>
              <w:top w:val="single" w:sz="6" w:space="0" w:color="000000"/>
              <w:left w:val="single" w:sz="6" w:space="0" w:color="000000"/>
              <w:bottom w:val="single" w:sz="6" w:space="0" w:color="000000"/>
              <w:right w:val="single" w:sz="6" w:space="0" w:color="000000"/>
            </w:tcBorders>
            <w:shd w:val="clear" w:color="auto" w:fill="C00000"/>
          </w:tcPr>
          <w:p>
            <w:pPr>
              <w:pStyle w:val="TableParagraph"/>
              <w:spacing w:line="240" w:lineRule="auto" w:before="40"/>
              <w:ind w:left="168" w:right="0"/>
              <w:jc w:val="left"/>
              <w:rPr>
                <w:rFonts w:ascii="Times New Roman" w:hAnsi="Times New Roman" w:cs="Times New Roman" w:eastAsia="Times New Roman" w:hint="default"/>
                <w:sz w:val="22"/>
                <w:szCs w:val="22"/>
              </w:rPr>
            </w:pPr>
            <w:r>
              <w:rPr>
                <w:rFonts w:ascii="Times New Roman"/>
                <w:b/>
                <w:color w:val="FFFFFF"/>
                <w:sz w:val="22"/>
              </w:rPr>
              <w:t>27</w:t>
            </w:r>
            <w:r>
              <w:rPr>
                <w:rFonts w:ascii="Times New Roman"/>
                <w:sz w:val="22"/>
              </w:rPr>
            </w:r>
          </w:p>
        </w:tc>
        <w:tc>
          <w:tcPr>
            <w:tcW w:w="4262"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35"/>
              <w:ind w:right="2"/>
              <w:jc w:val="center"/>
              <w:rPr>
                <w:rFonts w:ascii="宋体" w:hAnsi="宋体" w:cs="宋体" w:eastAsia="宋体" w:hint="default"/>
                <w:sz w:val="16"/>
                <w:szCs w:val="16"/>
              </w:rPr>
            </w:pPr>
            <w:r>
              <w:rPr>
                <w:rFonts w:ascii="宋体" w:hAnsi="宋体" w:cs="宋体" w:eastAsia="宋体" w:hint="default"/>
                <w:sz w:val="16"/>
                <w:szCs w:val="16"/>
              </w:rPr>
              <w:t>一种显示屏快速拼接装置</w:t>
            </w:r>
          </w:p>
        </w:tc>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left="3" w:right="-13"/>
              <w:jc w:val="center"/>
              <w:rPr>
                <w:rFonts w:ascii="宋体" w:hAnsi="宋体" w:cs="宋体" w:eastAsia="宋体" w:hint="default"/>
                <w:sz w:val="16"/>
                <w:szCs w:val="16"/>
              </w:rPr>
            </w:pPr>
            <w:r>
              <w:rPr>
                <w:rFonts w:ascii="宋体" w:hAnsi="宋体" w:cs="宋体" w:eastAsia="宋体" w:hint="default"/>
                <w:sz w:val="16"/>
                <w:szCs w:val="16"/>
              </w:rPr>
              <w:t>发明专利（美国）</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1"/>
              <w:ind w:right="1"/>
              <w:jc w:val="center"/>
              <w:rPr>
                <w:rFonts w:ascii="Times New Roman" w:hAnsi="Times New Roman" w:cs="Times New Roman" w:eastAsia="Times New Roman" w:hint="default"/>
                <w:sz w:val="16"/>
                <w:szCs w:val="16"/>
              </w:rPr>
            </w:pPr>
            <w:r>
              <w:rPr>
                <w:rFonts w:ascii="Times New Roman"/>
                <w:sz w:val="16"/>
              </w:rPr>
              <w:t>US9615474B2</w:t>
            </w:r>
          </w:p>
        </w:tc>
      </w:tr>
      <w:tr>
        <w:trPr>
          <w:trHeight w:val="347" w:hRule="exact"/>
        </w:trPr>
        <w:tc>
          <w:tcPr>
            <w:tcW w:w="569" w:type="dxa"/>
            <w:tcBorders>
              <w:top w:val="single" w:sz="6" w:space="0" w:color="000000"/>
              <w:left w:val="single" w:sz="6" w:space="0" w:color="000000"/>
              <w:bottom w:val="single" w:sz="6" w:space="0" w:color="000000"/>
              <w:right w:val="single" w:sz="6" w:space="0" w:color="000000"/>
            </w:tcBorders>
            <w:shd w:val="clear" w:color="auto" w:fill="C00000"/>
          </w:tcPr>
          <w:p>
            <w:pPr>
              <w:pStyle w:val="TableParagraph"/>
              <w:spacing w:line="240" w:lineRule="auto" w:before="42"/>
              <w:ind w:left="168" w:right="0"/>
              <w:jc w:val="left"/>
              <w:rPr>
                <w:rFonts w:ascii="Times New Roman" w:hAnsi="Times New Roman" w:cs="Times New Roman" w:eastAsia="Times New Roman" w:hint="default"/>
                <w:sz w:val="22"/>
                <w:szCs w:val="22"/>
              </w:rPr>
            </w:pPr>
            <w:r>
              <w:rPr>
                <w:rFonts w:ascii="Times New Roman"/>
                <w:b/>
                <w:color w:val="FFFFFF"/>
                <w:sz w:val="22"/>
              </w:rPr>
              <w:t>28</w:t>
            </w:r>
            <w:r>
              <w:rPr>
                <w:rFonts w:ascii="Times New Roman"/>
                <w:sz w:val="22"/>
              </w:rPr>
            </w:r>
          </w:p>
        </w:tc>
        <w:tc>
          <w:tcPr>
            <w:tcW w:w="4262"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36"/>
              <w:ind w:right="0"/>
              <w:jc w:val="center"/>
              <w:rPr>
                <w:rFonts w:ascii="宋体" w:hAnsi="宋体" w:cs="宋体" w:eastAsia="宋体" w:hint="default"/>
                <w:sz w:val="16"/>
                <w:szCs w:val="16"/>
              </w:rPr>
            </w:pPr>
            <w:r>
              <w:rPr>
                <w:rFonts w:ascii="Times New Roman" w:hAnsi="Times New Roman" w:cs="Times New Roman" w:eastAsia="Times New Roman" w:hint="default"/>
                <w:sz w:val="16"/>
                <w:szCs w:val="16"/>
              </w:rPr>
              <w:t>LED</w:t>
            </w:r>
            <w:r>
              <w:rPr>
                <w:rFonts w:ascii="宋体" w:hAnsi="宋体" w:cs="宋体" w:eastAsia="宋体" w:hint="default"/>
                <w:sz w:val="16"/>
                <w:szCs w:val="16"/>
              </w:rPr>
              <w:t>虚拟排列结构及其</w:t>
            </w:r>
            <w:r>
              <w:rPr>
                <w:rFonts w:ascii="Times New Roman" w:hAnsi="Times New Roman" w:cs="Times New Roman" w:eastAsia="Times New Roman" w:hint="default"/>
                <w:sz w:val="16"/>
                <w:szCs w:val="16"/>
              </w:rPr>
              <w:t>LED</w:t>
            </w:r>
            <w:r>
              <w:rPr>
                <w:rFonts w:ascii="宋体" w:hAnsi="宋体" w:cs="宋体" w:eastAsia="宋体" w:hint="default"/>
                <w:sz w:val="16"/>
                <w:szCs w:val="16"/>
              </w:rPr>
              <w:t>显示屏</w:t>
            </w:r>
          </w:p>
        </w:tc>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left="3" w:right="-13"/>
              <w:jc w:val="center"/>
              <w:rPr>
                <w:rFonts w:ascii="宋体" w:hAnsi="宋体" w:cs="宋体" w:eastAsia="宋体" w:hint="default"/>
                <w:sz w:val="16"/>
                <w:szCs w:val="16"/>
              </w:rPr>
            </w:pPr>
            <w:r>
              <w:rPr>
                <w:rFonts w:ascii="宋体" w:hAnsi="宋体" w:cs="宋体" w:eastAsia="宋体" w:hint="default"/>
                <w:sz w:val="16"/>
                <w:szCs w:val="16"/>
              </w:rPr>
              <w:t>发明专利（美国）</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2"/>
              <w:ind w:right="1"/>
              <w:jc w:val="center"/>
              <w:rPr>
                <w:rFonts w:ascii="Times New Roman" w:hAnsi="Times New Roman" w:cs="Times New Roman" w:eastAsia="Times New Roman" w:hint="default"/>
                <w:sz w:val="16"/>
                <w:szCs w:val="16"/>
              </w:rPr>
            </w:pPr>
            <w:r>
              <w:rPr>
                <w:rFonts w:ascii="Times New Roman"/>
                <w:sz w:val="16"/>
              </w:rPr>
              <w:t>US9837467B2</w:t>
            </w:r>
          </w:p>
        </w:tc>
      </w:tr>
      <w:tr>
        <w:trPr>
          <w:trHeight w:val="347" w:hRule="exact"/>
        </w:trPr>
        <w:tc>
          <w:tcPr>
            <w:tcW w:w="7675" w:type="dxa"/>
            <w:gridSpan w:val="4"/>
            <w:tcBorders>
              <w:top w:val="single" w:sz="6" w:space="0" w:color="000000"/>
              <w:left w:val="single" w:sz="6" w:space="0" w:color="000000"/>
              <w:bottom w:val="single" w:sz="6" w:space="0" w:color="000000"/>
              <w:right w:val="single" w:sz="6" w:space="0" w:color="000000"/>
            </w:tcBorders>
            <w:shd w:val="clear" w:color="auto" w:fill="A6A6A6"/>
          </w:tcPr>
          <w:p>
            <w:pPr>
              <w:pStyle w:val="TableParagraph"/>
              <w:spacing w:line="287" w:lineRule="exact"/>
              <w:ind w:left="438" w:right="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2017</w:t>
            </w:r>
            <w:r>
              <w:rPr>
                <w:rFonts w:ascii="宋体" w:hAnsi="宋体" w:cs="宋体" w:eastAsia="宋体" w:hint="default"/>
                <w:b/>
                <w:bCs/>
                <w:sz w:val="21"/>
                <w:szCs w:val="21"/>
              </w:rPr>
              <w:t>年授权软件著作权</w:t>
            </w:r>
            <w:r>
              <w:rPr>
                <w:rFonts w:ascii="宋体" w:hAnsi="宋体" w:cs="宋体" w:eastAsia="宋体" w:hint="default"/>
                <w:sz w:val="21"/>
                <w:szCs w:val="21"/>
              </w:rPr>
            </w:r>
          </w:p>
        </w:tc>
      </w:tr>
      <w:tr>
        <w:trPr>
          <w:trHeight w:val="347" w:hRule="exact"/>
        </w:trPr>
        <w:tc>
          <w:tcPr>
            <w:tcW w:w="569" w:type="dxa"/>
            <w:tcBorders>
              <w:top w:val="single" w:sz="6" w:space="0" w:color="000000"/>
              <w:left w:val="single" w:sz="6" w:space="0" w:color="000000"/>
              <w:bottom w:val="single" w:sz="6" w:space="0" w:color="000000"/>
              <w:right w:val="single" w:sz="6" w:space="0" w:color="000000"/>
            </w:tcBorders>
            <w:shd w:val="clear" w:color="auto" w:fill="A6A6A6"/>
          </w:tcPr>
          <w:p>
            <w:pPr>
              <w:pStyle w:val="TableParagraph"/>
              <w:spacing w:line="271" w:lineRule="exact"/>
              <w:ind w:left="3" w:right="0"/>
              <w:jc w:val="left"/>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tc>
        <w:tc>
          <w:tcPr>
            <w:tcW w:w="4262" w:type="dxa"/>
            <w:tcBorders>
              <w:top w:val="single" w:sz="6" w:space="0" w:color="000000"/>
              <w:left w:val="single" w:sz="6" w:space="0" w:color="000000"/>
              <w:bottom w:val="single" w:sz="6" w:space="0" w:color="000000"/>
              <w:right w:val="single" w:sz="6" w:space="0" w:color="000000"/>
            </w:tcBorders>
            <w:shd w:val="clear" w:color="auto" w:fill="A6A6A6"/>
          </w:tcPr>
          <w:p>
            <w:pPr>
              <w:pStyle w:val="TableParagraph"/>
              <w:spacing w:line="271" w:lineRule="exact"/>
              <w:ind w:right="0"/>
              <w:jc w:val="center"/>
              <w:rPr>
                <w:rFonts w:ascii="宋体" w:hAnsi="宋体" w:cs="宋体" w:eastAsia="宋体" w:hint="default"/>
                <w:sz w:val="21"/>
                <w:szCs w:val="21"/>
              </w:rPr>
            </w:pPr>
            <w:r>
              <w:rPr>
                <w:rFonts w:ascii="宋体" w:hAnsi="宋体" w:cs="宋体" w:eastAsia="宋体" w:hint="default"/>
                <w:b/>
                <w:bCs/>
                <w:sz w:val="21"/>
                <w:szCs w:val="21"/>
              </w:rPr>
              <w:t>软件名称</w:t>
            </w:r>
            <w:r>
              <w:rPr>
                <w:rFonts w:ascii="宋体" w:hAnsi="宋体" w:cs="宋体" w:eastAsia="宋体" w:hint="default"/>
                <w:sz w:val="21"/>
                <w:szCs w:val="21"/>
              </w:rPr>
            </w:r>
          </w:p>
        </w:tc>
        <w:tc>
          <w:tcPr>
            <w:tcW w:w="1284" w:type="dxa"/>
            <w:tcBorders>
              <w:top w:val="single" w:sz="6" w:space="0" w:color="000000"/>
              <w:left w:val="single" w:sz="6" w:space="0" w:color="000000"/>
              <w:bottom w:val="single" w:sz="6" w:space="0" w:color="000000"/>
              <w:right w:val="single" w:sz="6" w:space="0" w:color="000000"/>
            </w:tcBorders>
            <w:shd w:val="clear" w:color="auto" w:fill="A6A6A6"/>
          </w:tcPr>
          <w:p>
            <w:pPr>
              <w:pStyle w:val="TableParagraph"/>
              <w:spacing w:line="271" w:lineRule="exact"/>
              <w:ind w:left="2" w:right="0"/>
              <w:jc w:val="center"/>
              <w:rPr>
                <w:rFonts w:ascii="宋体" w:hAnsi="宋体" w:cs="宋体" w:eastAsia="宋体" w:hint="default"/>
                <w:sz w:val="21"/>
                <w:szCs w:val="21"/>
              </w:rPr>
            </w:pPr>
            <w:r>
              <w:rPr>
                <w:rFonts w:ascii="宋体" w:hAnsi="宋体" w:cs="宋体" w:eastAsia="宋体" w:hint="default"/>
                <w:b/>
                <w:bCs/>
                <w:sz w:val="21"/>
                <w:szCs w:val="21"/>
              </w:rPr>
              <w:t>登记号</w:t>
            </w:r>
            <w:r>
              <w:rPr>
                <w:rFonts w:ascii="宋体" w:hAnsi="宋体" w:cs="宋体" w:eastAsia="宋体" w:hint="default"/>
                <w:sz w:val="21"/>
                <w:szCs w:val="21"/>
              </w:rPr>
            </w:r>
          </w:p>
        </w:tc>
        <w:tc>
          <w:tcPr>
            <w:tcW w:w="1560" w:type="dxa"/>
            <w:tcBorders>
              <w:top w:val="single" w:sz="6" w:space="0" w:color="000000"/>
              <w:left w:val="single" w:sz="6" w:space="0" w:color="000000"/>
              <w:bottom w:val="single" w:sz="6" w:space="0" w:color="000000"/>
              <w:right w:val="single" w:sz="6" w:space="0" w:color="000000"/>
            </w:tcBorders>
            <w:shd w:val="clear" w:color="auto" w:fill="A6A6A6"/>
          </w:tcPr>
          <w:p>
            <w:pPr>
              <w:pStyle w:val="TableParagraph"/>
              <w:spacing w:line="271" w:lineRule="exact"/>
              <w:ind w:right="0"/>
              <w:jc w:val="center"/>
              <w:rPr>
                <w:rFonts w:ascii="宋体" w:hAnsi="宋体" w:cs="宋体" w:eastAsia="宋体" w:hint="default"/>
                <w:sz w:val="21"/>
                <w:szCs w:val="21"/>
              </w:rPr>
            </w:pPr>
            <w:r>
              <w:rPr>
                <w:rFonts w:ascii="宋体" w:hAnsi="宋体" w:cs="宋体" w:eastAsia="宋体" w:hint="default"/>
                <w:b/>
                <w:bCs/>
                <w:sz w:val="21"/>
                <w:szCs w:val="21"/>
              </w:rPr>
              <w:t>证书号</w:t>
            </w:r>
            <w:r>
              <w:rPr>
                <w:rFonts w:ascii="宋体" w:hAnsi="宋体" w:cs="宋体" w:eastAsia="宋体" w:hint="default"/>
                <w:sz w:val="21"/>
                <w:szCs w:val="21"/>
              </w:rPr>
            </w:r>
          </w:p>
        </w:tc>
      </w:tr>
      <w:tr>
        <w:trPr>
          <w:trHeight w:val="347" w:hRule="exact"/>
        </w:trPr>
        <w:tc>
          <w:tcPr>
            <w:tcW w:w="569" w:type="dxa"/>
            <w:tcBorders>
              <w:top w:val="single" w:sz="6" w:space="0" w:color="000000"/>
              <w:left w:val="single" w:sz="6" w:space="0" w:color="000000"/>
              <w:bottom w:val="single" w:sz="6" w:space="0" w:color="000000"/>
              <w:right w:val="single" w:sz="6" w:space="0" w:color="000000"/>
            </w:tcBorders>
            <w:shd w:val="clear" w:color="auto" w:fill="C00000"/>
          </w:tcPr>
          <w:p>
            <w:pPr>
              <w:pStyle w:val="TableParagraph"/>
              <w:spacing w:line="240" w:lineRule="auto" w:before="42"/>
              <w:ind w:right="0"/>
              <w:jc w:val="center"/>
              <w:rPr>
                <w:rFonts w:ascii="Times New Roman" w:hAnsi="Times New Roman" w:cs="Times New Roman" w:eastAsia="Times New Roman" w:hint="default"/>
                <w:sz w:val="22"/>
                <w:szCs w:val="22"/>
              </w:rPr>
            </w:pPr>
            <w:r>
              <w:rPr>
                <w:rFonts w:ascii="Times New Roman"/>
                <w:b/>
                <w:color w:val="FFFFFF"/>
                <w:w w:val="99"/>
                <w:sz w:val="22"/>
              </w:rPr>
              <w:t>1</w:t>
            </w:r>
            <w:r>
              <w:rPr>
                <w:rFonts w:ascii="Times New Roman"/>
                <w:sz w:val="22"/>
              </w:rPr>
            </w:r>
          </w:p>
        </w:tc>
        <w:tc>
          <w:tcPr>
            <w:tcW w:w="42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1"/>
              <w:jc w:val="center"/>
              <w:rPr>
                <w:rFonts w:ascii="Times New Roman" w:hAnsi="Times New Roman" w:cs="Times New Roman" w:eastAsia="Times New Roman" w:hint="default"/>
                <w:sz w:val="16"/>
                <w:szCs w:val="16"/>
              </w:rPr>
            </w:pPr>
            <w:r>
              <w:rPr>
                <w:rFonts w:ascii="宋体" w:hAnsi="宋体" w:cs="宋体" w:eastAsia="宋体" w:hint="default"/>
                <w:sz w:val="16"/>
                <w:szCs w:val="16"/>
              </w:rPr>
              <w:t>奥拓租赁</w:t>
            </w:r>
            <w:r>
              <w:rPr>
                <w:rFonts w:ascii="Times New Roman" w:hAnsi="Times New Roman" w:cs="Times New Roman" w:eastAsia="Times New Roman" w:hint="default"/>
                <w:sz w:val="16"/>
                <w:szCs w:val="16"/>
              </w:rPr>
              <w:t>LED</w:t>
            </w:r>
            <w:r>
              <w:rPr>
                <w:rFonts w:ascii="宋体" w:hAnsi="宋体" w:cs="宋体" w:eastAsia="宋体" w:hint="default"/>
                <w:sz w:val="16"/>
                <w:szCs w:val="16"/>
              </w:rPr>
              <w:t>建造师软件</w:t>
            </w:r>
            <w:r>
              <w:rPr>
                <w:rFonts w:ascii="Times New Roman" w:hAnsi="Times New Roman" w:cs="Times New Roman" w:eastAsia="Times New Roman" w:hint="default"/>
                <w:sz w:val="16"/>
                <w:szCs w:val="16"/>
              </w:rPr>
              <w:t>V3.0</w:t>
            </w:r>
          </w:p>
        </w:tc>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2"/>
              <w:ind w:right="0"/>
              <w:jc w:val="center"/>
              <w:rPr>
                <w:rFonts w:ascii="Times New Roman" w:hAnsi="Times New Roman" w:cs="Times New Roman" w:eastAsia="Times New Roman" w:hint="default"/>
                <w:sz w:val="16"/>
                <w:szCs w:val="16"/>
              </w:rPr>
            </w:pPr>
            <w:r>
              <w:rPr>
                <w:rFonts w:ascii="Times New Roman"/>
                <w:sz w:val="16"/>
              </w:rPr>
              <w:t>2017SR158398</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1"/>
              <w:jc w:val="center"/>
              <w:rPr>
                <w:rFonts w:ascii="宋体" w:hAnsi="宋体" w:cs="宋体" w:eastAsia="宋体" w:hint="default"/>
                <w:sz w:val="16"/>
                <w:szCs w:val="16"/>
              </w:rPr>
            </w:pPr>
            <w:r>
              <w:rPr>
                <w:rFonts w:ascii="宋体" w:hAnsi="宋体" w:cs="宋体" w:eastAsia="宋体" w:hint="default"/>
                <w:sz w:val="16"/>
                <w:szCs w:val="16"/>
              </w:rPr>
              <w:t>软著登字第</w:t>
            </w:r>
            <w:r>
              <w:rPr>
                <w:rFonts w:ascii="Times New Roman" w:hAnsi="Times New Roman" w:cs="Times New Roman" w:eastAsia="Times New Roman" w:hint="default"/>
                <w:sz w:val="16"/>
                <w:szCs w:val="16"/>
              </w:rPr>
              <w:t>1743682</w:t>
            </w:r>
            <w:r>
              <w:rPr>
                <w:rFonts w:ascii="宋体" w:hAnsi="宋体" w:cs="宋体" w:eastAsia="宋体" w:hint="default"/>
                <w:sz w:val="16"/>
                <w:szCs w:val="16"/>
              </w:rPr>
              <w:t>号</w:t>
            </w:r>
          </w:p>
        </w:tc>
      </w:tr>
      <w:tr>
        <w:trPr>
          <w:trHeight w:val="348" w:hRule="exact"/>
        </w:trPr>
        <w:tc>
          <w:tcPr>
            <w:tcW w:w="569" w:type="dxa"/>
            <w:tcBorders>
              <w:top w:val="single" w:sz="6" w:space="0" w:color="000000"/>
              <w:left w:val="single" w:sz="6" w:space="0" w:color="000000"/>
              <w:bottom w:val="single" w:sz="6" w:space="0" w:color="000000"/>
              <w:right w:val="single" w:sz="6" w:space="0" w:color="000000"/>
            </w:tcBorders>
            <w:shd w:val="clear" w:color="auto" w:fill="C00000"/>
          </w:tcPr>
          <w:p>
            <w:pPr>
              <w:pStyle w:val="TableParagraph"/>
              <w:spacing w:line="240" w:lineRule="auto" w:before="42"/>
              <w:ind w:right="0"/>
              <w:jc w:val="center"/>
              <w:rPr>
                <w:rFonts w:ascii="Times New Roman" w:hAnsi="Times New Roman" w:cs="Times New Roman" w:eastAsia="Times New Roman" w:hint="default"/>
                <w:sz w:val="22"/>
                <w:szCs w:val="22"/>
              </w:rPr>
            </w:pPr>
            <w:r>
              <w:rPr>
                <w:rFonts w:ascii="Times New Roman"/>
                <w:b/>
                <w:color w:val="FFFFFF"/>
                <w:w w:val="99"/>
                <w:sz w:val="22"/>
              </w:rPr>
              <w:t>2</w:t>
            </w:r>
            <w:r>
              <w:rPr>
                <w:rFonts w:ascii="Times New Roman"/>
                <w:sz w:val="22"/>
              </w:rPr>
            </w:r>
          </w:p>
        </w:tc>
        <w:tc>
          <w:tcPr>
            <w:tcW w:w="42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1"/>
              <w:jc w:val="center"/>
              <w:rPr>
                <w:rFonts w:ascii="Times New Roman" w:hAnsi="Times New Roman" w:cs="Times New Roman" w:eastAsia="Times New Roman" w:hint="default"/>
                <w:sz w:val="16"/>
                <w:szCs w:val="16"/>
              </w:rPr>
            </w:pPr>
            <w:r>
              <w:rPr>
                <w:rFonts w:ascii="宋体" w:hAnsi="宋体" w:cs="宋体" w:eastAsia="宋体" w:hint="default"/>
                <w:sz w:val="16"/>
                <w:szCs w:val="16"/>
              </w:rPr>
              <w:t>羽毛球记分牌显示终端软件</w:t>
            </w:r>
            <w:r>
              <w:rPr>
                <w:rFonts w:ascii="Times New Roman" w:hAnsi="Times New Roman" w:cs="Times New Roman" w:eastAsia="Times New Roman" w:hint="default"/>
                <w:sz w:val="16"/>
                <w:szCs w:val="16"/>
              </w:rPr>
              <w:t>V1.0</w:t>
            </w:r>
          </w:p>
        </w:tc>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2"/>
              <w:ind w:right="0"/>
              <w:jc w:val="center"/>
              <w:rPr>
                <w:rFonts w:ascii="Times New Roman" w:hAnsi="Times New Roman" w:cs="Times New Roman" w:eastAsia="Times New Roman" w:hint="default"/>
                <w:sz w:val="16"/>
                <w:szCs w:val="16"/>
              </w:rPr>
            </w:pPr>
            <w:r>
              <w:rPr>
                <w:rFonts w:ascii="Times New Roman"/>
                <w:sz w:val="16"/>
              </w:rPr>
              <w:t>2017SR370487</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1"/>
              <w:jc w:val="center"/>
              <w:rPr>
                <w:rFonts w:ascii="宋体" w:hAnsi="宋体" w:cs="宋体" w:eastAsia="宋体" w:hint="default"/>
                <w:sz w:val="16"/>
                <w:szCs w:val="16"/>
              </w:rPr>
            </w:pPr>
            <w:r>
              <w:rPr>
                <w:rFonts w:ascii="宋体" w:hAnsi="宋体" w:cs="宋体" w:eastAsia="宋体" w:hint="default"/>
                <w:sz w:val="16"/>
                <w:szCs w:val="16"/>
              </w:rPr>
              <w:t>软著登字第</w:t>
            </w:r>
            <w:r>
              <w:rPr>
                <w:rFonts w:ascii="Times New Roman" w:hAnsi="Times New Roman" w:cs="Times New Roman" w:eastAsia="Times New Roman" w:hint="default"/>
                <w:sz w:val="16"/>
                <w:szCs w:val="16"/>
              </w:rPr>
              <w:t>1955771</w:t>
            </w:r>
            <w:r>
              <w:rPr>
                <w:rFonts w:ascii="宋体" w:hAnsi="宋体" w:cs="宋体" w:eastAsia="宋体" w:hint="default"/>
                <w:sz w:val="16"/>
                <w:szCs w:val="16"/>
              </w:rPr>
              <w:t>号</w:t>
            </w:r>
          </w:p>
        </w:tc>
      </w:tr>
      <w:tr>
        <w:trPr>
          <w:trHeight w:val="347" w:hRule="exact"/>
        </w:trPr>
        <w:tc>
          <w:tcPr>
            <w:tcW w:w="569" w:type="dxa"/>
            <w:tcBorders>
              <w:top w:val="single" w:sz="6" w:space="0" w:color="000000"/>
              <w:left w:val="single" w:sz="6" w:space="0" w:color="000000"/>
              <w:bottom w:val="single" w:sz="6" w:space="0" w:color="000000"/>
              <w:right w:val="single" w:sz="6" w:space="0" w:color="000000"/>
            </w:tcBorders>
            <w:shd w:val="clear" w:color="auto" w:fill="C00000"/>
          </w:tcPr>
          <w:p>
            <w:pPr>
              <w:pStyle w:val="TableParagraph"/>
              <w:spacing w:line="240" w:lineRule="auto" w:before="40"/>
              <w:ind w:right="0"/>
              <w:jc w:val="center"/>
              <w:rPr>
                <w:rFonts w:ascii="Times New Roman" w:hAnsi="Times New Roman" w:cs="Times New Roman" w:eastAsia="Times New Roman" w:hint="default"/>
                <w:sz w:val="22"/>
                <w:szCs w:val="22"/>
              </w:rPr>
            </w:pPr>
            <w:r>
              <w:rPr>
                <w:rFonts w:ascii="Times New Roman"/>
                <w:b/>
                <w:color w:val="FFFFFF"/>
                <w:w w:val="99"/>
                <w:sz w:val="22"/>
              </w:rPr>
              <w:t>3</w:t>
            </w:r>
            <w:r>
              <w:rPr>
                <w:rFonts w:ascii="Times New Roman"/>
                <w:sz w:val="22"/>
              </w:rPr>
            </w:r>
          </w:p>
        </w:tc>
        <w:tc>
          <w:tcPr>
            <w:tcW w:w="42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
              <w:jc w:val="center"/>
              <w:rPr>
                <w:rFonts w:ascii="Times New Roman" w:hAnsi="Times New Roman" w:cs="Times New Roman" w:eastAsia="Times New Roman" w:hint="default"/>
                <w:sz w:val="16"/>
                <w:szCs w:val="16"/>
              </w:rPr>
            </w:pPr>
            <w:r>
              <w:rPr>
                <w:rFonts w:ascii="宋体" w:hAnsi="宋体" w:cs="宋体" w:eastAsia="宋体" w:hint="default"/>
                <w:sz w:val="16"/>
                <w:szCs w:val="16"/>
              </w:rPr>
              <w:t>体育场馆综合信息发布系统</w:t>
            </w:r>
            <w:r>
              <w:rPr>
                <w:rFonts w:ascii="Times New Roman" w:hAnsi="Times New Roman" w:cs="Times New Roman" w:eastAsia="Times New Roman" w:hint="default"/>
                <w:sz w:val="16"/>
                <w:szCs w:val="16"/>
              </w:rPr>
              <w:t>V1.0</w:t>
            </w:r>
          </w:p>
        </w:tc>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1"/>
              <w:ind w:right="0"/>
              <w:jc w:val="center"/>
              <w:rPr>
                <w:rFonts w:ascii="Times New Roman" w:hAnsi="Times New Roman" w:cs="Times New Roman" w:eastAsia="Times New Roman" w:hint="default"/>
                <w:sz w:val="16"/>
                <w:szCs w:val="16"/>
              </w:rPr>
            </w:pPr>
            <w:r>
              <w:rPr>
                <w:rFonts w:ascii="Times New Roman"/>
                <w:sz w:val="16"/>
              </w:rPr>
              <w:t>2017SR372146</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
              <w:jc w:val="center"/>
              <w:rPr>
                <w:rFonts w:ascii="宋体" w:hAnsi="宋体" w:cs="宋体" w:eastAsia="宋体" w:hint="default"/>
                <w:sz w:val="16"/>
                <w:szCs w:val="16"/>
              </w:rPr>
            </w:pPr>
            <w:r>
              <w:rPr>
                <w:rFonts w:ascii="宋体" w:hAnsi="宋体" w:cs="宋体" w:eastAsia="宋体" w:hint="default"/>
                <w:sz w:val="16"/>
                <w:szCs w:val="16"/>
              </w:rPr>
              <w:t>软著登字第</w:t>
            </w:r>
            <w:r>
              <w:rPr>
                <w:rFonts w:ascii="Times New Roman" w:hAnsi="Times New Roman" w:cs="Times New Roman" w:eastAsia="Times New Roman" w:hint="default"/>
                <w:sz w:val="16"/>
                <w:szCs w:val="16"/>
              </w:rPr>
              <w:t>1957430</w:t>
            </w:r>
            <w:r>
              <w:rPr>
                <w:rFonts w:ascii="宋体" w:hAnsi="宋体" w:cs="宋体" w:eastAsia="宋体" w:hint="default"/>
                <w:sz w:val="16"/>
                <w:szCs w:val="16"/>
              </w:rPr>
              <w:t>号</w:t>
            </w:r>
          </w:p>
        </w:tc>
      </w:tr>
      <w:tr>
        <w:trPr>
          <w:trHeight w:val="347" w:hRule="exact"/>
        </w:trPr>
        <w:tc>
          <w:tcPr>
            <w:tcW w:w="569" w:type="dxa"/>
            <w:tcBorders>
              <w:top w:val="single" w:sz="6" w:space="0" w:color="000000"/>
              <w:left w:val="single" w:sz="6" w:space="0" w:color="000000"/>
              <w:bottom w:val="single" w:sz="6" w:space="0" w:color="000000"/>
              <w:right w:val="single" w:sz="6" w:space="0" w:color="000000"/>
            </w:tcBorders>
            <w:shd w:val="clear" w:color="auto" w:fill="C00000"/>
          </w:tcPr>
          <w:p>
            <w:pPr>
              <w:pStyle w:val="TableParagraph"/>
              <w:spacing w:line="240" w:lineRule="auto" w:before="42"/>
              <w:ind w:right="0"/>
              <w:jc w:val="center"/>
              <w:rPr>
                <w:rFonts w:ascii="Times New Roman" w:hAnsi="Times New Roman" w:cs="Times New Roman" w:eastAsia="Times New Roman" w:hint="default"/>
                <w:sz w:val="22"/>
                <w:szCs w:val="22"/>
              </w:rPr>
            </w:pPr>
            <w:r>
              <w:rPr>
                <w:rFonts w:ascii="Times New Roman"/>
                <w:b/>
                <w:color w:val="FFFFFF"/>
                <w:w w:val="99"/>
                <w:sz w:val="22"/>
              </w:rPr>
              <w:t>4</w:t>
            </w:r>
            <w:r>
              <w:rPr>
                <w:rFonts w:ascii="Times New Roman"/>
                <w:sz w:val="22"/>
              </w:rPr>
            </w:r>
          </w:p>
        </w:tc>
        <w:tc>
          <w:tcPr>
            <w:tcW w:w="42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0"/>
              <w:jc w:val="center"/>
              <w:rPr>
                <w:rFonts w:ascii="Times New Roman" w:hAnsi="Times New Roman" w:cs="Times New Roman" w:eastAsia="Times New Roman" w:hint="default"/>
                <w:sz w:val="16"/>
                <w:szCs w:val="16"/>
              </w:rPr>
            </w:pPr>
            <w:r>
              <w:rPr>
                <w:rFonts w:ascii="宋体" w:hAnsi="宋体" w:cs="宋体" w:eastAsia="宋体" w:hint="default"/>
                <w:sz w:val="16"/>
                <w:szCs w:val="16"/>
              </w:rPr>
              <w:t>大众体育场馆智能平台</w:t>
            </w:r>
            <w:r>
              <w:rPr>
                <w:rFonts w:ascii="Times New Roman" w:hAnsi="Times New Roman" w:cs="Times New Roman" w:eastAsia="Times New Roman" w:hint="default"/>
                <w:sz w:val="16"/>
                <w:szCs w:val="16"/>
              </w:rPr>
              <w:t>V1.0</w:t>
            </w:r>
          </w:p>
        </w:tc>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0"/>
              <w:jc w:val="center"/>
              <w:rPr>
                <w:rFonts w:ascii="Times New Roman" w:hAnsi="Times New Roman" w:cs="Times New Roman" w:eastAsia="Times New Roman" w:hint="default"/>
                <w:sz w:val="16"/>
                <w:szCs w:val="16"/>
              </w:rPr>
            </w:pPr>
            <w:r>
              <w:rPr>
                <w:rFonts w:ascii="Times New Roman"/>
                <w:sz w:val="16"/>
              </w:rPr>
              <w:t>2017SR370407</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1"/>
              <w:jc w:val="center"/>
              <w:rPr>
                <w:rFonts w:ascii="宋体" w:hAnsi="宋体" w:cs="宋体" w:eastAsia="宋体" w:hint="default"/>
                <w:sz w:val="16"/>
                <w:szCs w:val="16"/>
              </w:rPr>
            </w:pPr>
            <w:r>
              <w:rPr>
                <w:rFonts w:ascii="宋体" w:hAnsi="宋体" w:cs="宋体" w:eastAsia="宋体" w:hint="default"/>
                <w:sz w:val="16"/>
                <w:szCs w:val="16"/>
              </w:rPr>
              <w:t>软著登字第</w:t>
            </w:r>
            <w:r>
              <w:rPr>
                <w:rFonts w:ascii="Times New Roman" w:hAnsi="Times New Roman" w:cs="Times New Roman" w:eastAsia="Times New Roman" w:hint="default"/>
                <w:sz w:val="16"/>
                <w:szCs w:val="16"/>
              </w:rPr>
              <w:t>1955691</w:t>
            </w:r>
            <w:r>
              <w:rPr>
                <w:rFonts w:ascii="宋体" w:hAnsi="宋体" w:cs="宋体" w:eastAsia="宋体" w:hint="default"/>
                <w:sz w:val="16"/>
                <w:szCs w:val="16"/>
              </w:rPr>
              <w:t>号</w:t>
            </w:r>
          </w:p>
        </w:tc>
      </w:tr>
      <w:tr>
        <w:trPr>
          <w:trHeight w:val="347" w:hRule="exact"/>
        </w:trPr>
        <w:tc>
          <w:tcPr>
            <w:tcW w:w="7675" w:type="dxa"/>
            <w:gridSpan w:val="4"/>
            <w:tcBorders>
              <w:top w:val="single" w:sz="6" w:space="0" w:color="000000"/>
              <w:left w:val="single" w:sz="6" w:space="0" w:color="000000"/>
              <w:bottom w:val="single" w:sz="6" w:space="0" w:color="000000"/>
              <w:right w:val="single" w:sz="6" w:space="0" w:color="000000"/>
            </w:tcBorders>
            <w:shd w:val="clear" w:color="auto" w:fill="A6A6A6"/>
          </w:tcPr>
          <w:p>
            <w:pPr>
              <w:pStyle w:val="TableParagraph"/>
              <w:spacing w:line="271" w:lineRule="exact"/>
              <w:ind w:left="2678" w:right="0"/>
              <w:jc w:val="left"/>
              <w:rPr>
                <w:rFonts w:ascii="宋体" w:hAnsi="宋体" w:cs="宋体" w:eastAsia="宋体" w:hint="default"/>
                <w:sz w:val="21"/>
                <w:szCs w:val="21"/>
              </w:rPr>
            </w:pPr>
            <w:r>
              <w:rPr>
                <w:rFonts w:ascii="宋体" w:hAnsi="宋体" w:cs="宋体" w:eastAsia="宋体" w:hint="default"/>
                <w:b/>
                <w:bCs/>
                <w:sz w:val="21"/>
                <w:szCs w:val="21"/>
              </w:rPr>
              <w:t>2018</w:t>
            </w:r>
            <w:r>
              <w:rPr>
                <w:rFonts w:ascii="宋体" w:hAnsi="宋体" w:cs="宋体" w:eastAsia="宋体" w:hint="default"/>
                <w:b/>
                <w:bCs/>
                <w:sz w:val="21"/>
                <w:szCs w:val="21"/>
              </w:rPr>
              <w:t>年一季度授权软件著作权</w:t>
            </w:r>
            <w:r>
              <w:rPr>
                <w:rFonts w:ascii="宋体" w:hAnsi="宋体" w:cs="宋体" w:eastAsia="宋体" w:hint="default"/>
                <w:sz w:val="21"/>
                <w:szCs w:val="21"/>
              </w:rPr>
            </w:r>
          </w:p>
        </w:tc>
      </w:tr>
      <w:tr>
        <w:trPr>
          <w:trHeight w:val="347" w:hRule="exact"/>
        </w:trPr>
        <w:tc>
          <w:tcPr>
            <w:tcW w:w="569" w:type="dxa"/>
            <w:tcBorders>
              <w:top w:val="single" w:sz="6" w:space="0" w:color="000000"/>
              <w:left w:val="single" w:sz="6" w:space="0" w:color="000000"/>
              <w:bottom w:val="single" w:sz="6" w:space="0" w:color="000000"/>
              <w:right w:val="single" w:sz="6" w:space="0" w:color="000000"/>
            </w:tcBorders>
            <w:shd w:val="clear" w:color="auto" w:fill="A6A6A6"/>
          </w:tcPr>
          <w:p>
            <w:pPr>
              <w:pStyle w:val="TableParagraph"/>
              <w:spacing w:line="271" w:lineRule="exact"/>
              <w:ind w:left="3" w:right="0"/>
              <w:jc w:val="left"/>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tc>
        <w:tc>
          <w:tcPr>
            <w:tcW w:w="4262" w:type="dxa"/>
            <w:tcBorders>
              <w:top w:val="single" w:sz="6" w:space="0" w:color="000000"/>
              <w:left w:val="single" w:sz="6" w:space="0" w:color="000000"/>
              <w:bottom w:val="single" w:sz="6" w:space="0" w:color="000000"/>
              <w:right w:val="single" w:sz="6" w:space="0" w:color="000000"/>
            </w:tcBorders>
            <w:shd w:val="clear" w:color="auto" w:fill="A6A6A6"/>
          </w:tcPr>
          <w:p>
            <w:pPr>
              <w:pStyle w:val="TableParagraph"/>
              <w:spacing w:line="271" w:lineRule="exact"/>
              <w:ind w:right="0"/>
              <w:jc w:val="center"/>
              <w:rPr>
                <w:rFonts w:ascii="宋体" w:hAnsi="宋体" w:cs="宋体" w:eastAsia="宋体" w:hint="default"/>
                <w:sz w:val="21"/>
                <w:szCs w:val="21"/>
              </w:rPr>
            </w:pPr>
            <w:r>
              <w:rPr>
                <w:rFonts w:ascii="宋体" w:hAnsi="宋体" w:cs="宋体" w:eastAsia="宋体" w:hint="default"/>
                <w:b/>
                <w:bCs/>
                <w:sz w:val="21"/>
                <w:szCs w:val="21"/>
              </w:rPr>
              <w:t>软件名称</w:t>
            </w:r>
            <w:r>
              <w:rPr>
                <w:rFonts w:ascii="宋体" w:hAnsi="宋体" w:cs="宋体" w:eastAsia="宋体" w:hint="default"/>
                <w:sz w:val="21"/>
                <w:szCs w:val="21"/>
              </w:rPr>
            </w:r>
          </w:p>
        </w:tc>
        <w:tc>
          <w:tcPr>
            <w:tcW w:w="1284" w:type="dxa"/>
            <w:tcBorders>
              <w:top w:val="single" w:sz="6" w:space="0" w:color="000000"/>
              <w:left w:val="single" w:sz="6" w:space="0" w:color="000000"/>
              <w:bottom w:val="single" w:sz="6" w:space="0" w:color="000000"/>
              <w:right w:val="single" w:sz="6" w:space="0" w:color="000000"/>
            </w:tcBorders>
            <w:shd w:val="clear" w:color="auto" w:fill="A6A6A6"/>
          </w:tcPr>
          <w:p>
            <w:pPr>
              <w:pStyle w:val="TableParagraph"/>
              <w:spacing w:line="271" w:lineRule="exact"/>
              <w:ind w:left="2" w:right="0"/>
              <w:jc w:val="center"/>
              <w:rPr>
                <w:rFonts w:ascii="宋体" w:hAnsi="宋体" w:cs="宋体" w:eastAsia="宋体" w:hint="default"/>
                <w:sz w:val="21"/>
                <w:szCs w:val="21"/>
              </w:rPr>
            </w:pPr>
            <w:r>
              <w:rPr>
                <w:rFonts w:ascii="宋体" w:hAnsi="宋体" w:cs="宋体" w:eastAsia="宋体" w:hint="default"/>
                <w:b/>
                <w:bCs/>
                <w:sz w:val="21"/>
                <w:szCs w:val="21"/>
              </w:rPr>
              <w:t>登记号</w:t>
            </w:r>
            <w:r>
              <w:rPr>
                <w:rFonts w:ascii="宋体" w:hAnsi="宋体" w:cs="宋体" w:eastAsia="宋体" w:hint="default"/>
                <w:sz w:val="21"/>
                <w:szCs w:val="21"/>
              </w:rPr>
            </w:r>
          </w:p>
        </w:tc>
        <w:tc>
          <w:tcPr>
            <w:tcW w:w="1560" w:type="dxa"/>
            <w:tcBorders>
              <w:top w:val="single" w:sz="6" w:space="0" w:color="000000"/>
              <w:left w:val="single" w:sz="6" w:space="0" w:color="000000"/>
              <w:bottom w:val="single" w:sz="6" w:space="0" w:color="000000"/>
              <w:right w:val="single" w:sz="6" w:space="0" w:color="000000"/>
            </w:tcBorders>
            <w:shd w:val="clear" w:color="auto" w:fill="A6A6A6"/>
          </w:tcPr>
          <w:p>
            <w:pPr>
              <w:pStyle w:val="TableParagraph"/>
              <w:spacing w:line="271" w:lineRule="exact"/>
              <w:ind w:right="0"/>
              <w:jc w:val="center"/>
              <w:rPr>
                <w:rFonts w:ascii="宋体" w:hAnsi="宋体" w:cs="宋体" w:eastAsia="宋体" w:hint="default"/>
                <w:sz w:val="21"/>
                <w:szCs w:val="21"/>
              </w:rPr>
            </w:pPr>
            <w:r>
              <w:rPr>
                <w:rFonts w:ascii="宋体" w:hAnsi="宋体" w:cs="宋体" w:eastAsia="宋体" w:hint="default"/>
                <w:b/>
                <w:bCs/>
                <w:sz w:val="21"/>
                <w:szCs w:val="21"/>
              </w:rPr>
              <w:t>证书号</w:t>
            </w:r>
            <w:r>
              <w:rPr>
                <w:rFonts w:ascii="宋体" w:hAnsi="宋体" w:cs="宋体" w:eastAsia="宋体" w:hint="default"/>
                <w:sz w:val="21"/>
                <w:szCs w:val="21"/>
              </w:rPr>
            </w:r>
          </w:p>
        </w:tc>
      </w:tr>
      <w:tr>
        <w:trPr>
          <w:trHeight w:val="348" w:hRule="exact"/>
        </w:trPr>
        <w:tc>
          <w:tcPr>
            <w:tcW w:w="569" w:type="dxa"/>
            <w:tcBorders>
              <w:top w:val="single" w:sz="6" w:space="0" w:color="000000"/>
              <w:left w:val="single" w:sz="6" w:space="0" w:color="000000"/>
              <w:bottom w:val="single" w:sz="6" w:space="0" w:color="000000"/>
              <w:right w:val="single" w:sz="6" w:space="0" w:color="000000"/>
            </w:tcBorders>
            <w:shd w:val="clear" w:color="auto" w:fill="C00000"/>
          </w:tcPr>
          <w:p>
            <w:pPr>
              <w:pStyle w:val="TableParagraph"/>
              <w:spacing w:line="240" w:lineRule="auto" w:before="42"/>
              <w:ind w:right="0"/>
              <w:jc w:val="center"/>
              <w:rPr>
                <w:rFonts w:ascii="Times New Roman" w:hAnsi="Times New Roman" w:cs="Times New Roman" w:eastAsia="Times New Roman" w:hint="default"/>
                <w:sz w:val="22"/>
                <w:szCs w:val="22"/>
              </w:rPr>
            </w:pPr>
            <w:r>
              <w:rPr>
                <w:rFonts w:ascii="Times New Roman"/>
                <w:b/>
                <w:color w:val="FFFFFF"/>
                <w:w w:val="99"/>
                <w:sz w:val="22"/>
              </w:rPr>
              <w:t>1</w:t>
            </w:r>
            <w:r>
              <w:rPr>
                <w:rFonts w:ascii="Times New Roman"/>
                <w:sz w:val="22"/>
              </w:rPr>
            </w:r>
          </w:p>
        </w:tc>
        <w:tc>
          <w:tcPr>
            <w:tcW w:w="42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1"/>
              <w:jc w:val="center"/>
              <w:rPr>
                <w:rFonts w:ascii="宋体" w:hAnsi="宋体" w:cs="宋体" w:eastAsia="宋体" w:hint="default"/>
                <w:sz w:val="16"/>
                <w:szCs w:val="16"/>
              </w:rPr>
            </w:pPr>
            <w:r>
              <w:rPr>
                <w:rFonts w:ascii="宋体" w:hAnsi="宋体" w:cs="宋体" w:eastAsia="宋体" w:hint="default"/>
                <w:sz w:val="16"/>
                <w:szCs w:val="16"/>
              </w:rPr>
              <w:t>翰明自助发卡系统软件</w:t>
            </w:r>
            <w:r>
              <w:rPr>
                <w:rFonts w:ascii="宋体" w:hAnsi="宋体" w:cs="宋体" w:eastAsia="宋体" w:hint="default"/>
                <w:sz w:val="16"/>
                <w:szCs w:val="16"/>
              </w:rPr>
              <w:t>V1.0</w:t>
            </w:r>
          </w:p>
        </w:tc>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0"/>
              <w:jc w:val="center"/>
              <w:rPr>
                <w:rFonts w:ascii="宋体" w:hAnsi="宋体" w:cs="宋体" w:eastAsia="宋体" w:hint="default"/>
                <w:sz w:val="16"/>
                <w:szCs w:val="16"/>
              </w:rPr>
            </w:pPr>
            <w:r>
              <w:rPr>
                <w:rFonts w:ascii="宋体"/>
                <w:sz w:val="16"/>
              </w:rPr>
              <w:t>2017SR650528</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0"/>
              <w:jc w:val="center"/>
              <w:rPr>
                <w:rFonts w:ascii="宋体" w:hAnsi="宋体" w:cs="宋体" w:eastAsia="宋体" w:hint="default"/>
                <w:sz w:val="16"/>
                <w:szCs w:val="16"/>
              </w:rPr>
            </w:pPr>
            <w:r>
              <w:rPr>
                <w:rFonts w:ascii="宋体" w:hAnsi="宋体" w:cs="宋体" w:eastAsia="宋体" w:hint="default"/>
                <w:sz w:val="16"/>
                <w:szCs w:val="16"/>
              </w:rPr>
              <w:t>沪</w:t>
            </w:r>
            <w:r>
              <w:rPr>
                <w:rFonts w:ascii="宋体" w:hAnsi="宋体" w:cs="宋体" w:eastAsia="宋体" w:hint="default"/>
                <w:sz w:val="16"/>
                <w:szCs w:val="16"/>
              </w:rPr>
              <w:t>RC-2018-0005</w:t>
            </w:r>
          </w:p>
        </w:tc>
      </w:tr>
    </w:tbl>
    <w:p>
      <w:pPr>
        <w:spacing w:after="0" w:line="240" w:lineRule="auto"/>
        <w:jc w:val="center"/>
        <w:rPr>
          <w:rFonts w:ascii="宋体" w:hAnsi="宋体" w:cs="宋体" w:eastAsia="宋体" w:hint="default"/>
          <w:sz w:val="16"/>
          <w:szCs w:val="16"/>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128" w:type="dxa"/>
        <w:tblLayout w:type="fixed"/>
        <w:tblCellMar>
          <w:top w:w="0" w:type="dxa"/>
          <w:left w:w="0" w:type="dxa"/>
          <w:bottom w:w="0" w:type="dxa"/>
          <w:right w:w="0" w:type="dxa"/>
        </w:tblCellMar>
        <w:tblLook w:val="01E0"/>
      </w:tblPr>
      <w:tblGrid>
        <w:gridCol w:w="569"/>
        <w:gridCol w:w="4262"/>
        <w:gridCol w:w="1284"/>
        <w:gridCol w:w="1560"/>
      </w:tblGrid>
      <w:tr>
        <w:trPr>
          <w:trHeight w:val="347" w:hRule="exact"/>
        </w:trPr>
        <w:tc>
          <w:tcPr>
            <w:tcW w:w="569" w:type="dxa"/>
            <w:tcBorders>
              <w:top w:val="single" w:sz="6" w:space="0" w:color="000000"/>
              <w:left w:val="single" w:sz="6" w:space="0" w:color="000000"/>
              <w:bottom w:val="single" w:sz="6" w:space="0" w:color="000000"/>
              <w:right w:val="single" w:sz="6" w:space="0" w:color="000000"/>
            </w:tcBorders>
            <w:shd w:val="clear" w:color="auto" w:fill="C00000"/>
          </w:tcPr>
          <w:p>
            <w:pPr>
              <w:pStyle w:val="TableParagraph"/>
              <w:spacing w:line="240" w:lineRule="auto" w:before="42"/>
              <w:ind w:right="0"/>
              <w:jc w:val="center"/>
              <w:rPr>
                <w:rFonts w:ascii="Times New Roman" w:hAnsi="Times New Roman" w:cs="Times New Roman" w:eastAsia="Times New Roman" w:hint="default"/>
                <w:sz w:val="22"/>
                <w:szCs w:val="22"/>
              </w:rPr>
            </w:pPr>
            <w:r>
              <w:rPr>
                <w:rFonts w:ascii="Times New Roman"/>
                <w:b/>
                <w:color w:val="FFFFFF"/>
                <w:w w:val="99"/>
                <w:sz w:val="22"/>
              </w:rPr>
              <w:t>2</w:t>
            </w:r>
            <w:r>
              <w:rPr>
                <w:rFonts w:ascii="Times New Roman"/>
                <w:sz w:val="22"/>
              </w:rPr>
            </w:r>
          </w:p>
        </w:tc>
        <w:tc>
          <w:tcPr>
            <w:tcW w:w="42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1"/>
              <w:jc w:val="center"/>
              <w:rPr>
                <w:rFonts w:ascii="宋体" w:hAnsi="宋体" w:cs="宋体" w:eastAsia="宋体" w:hint="default"/>
                <w:sz w:val="16"/>
                <w:szCs w:val="16"/>
              </w:rPr>
            </w:pPr>
            <w:r>
              <w:rPr>
                <w:rFonts w:ascii="宋体" w:hAnsi="宋体" w:cs="宋体" w:eastAsia="宋体" w:hint="default"/>
                <w:sz w:val="16"/>
                <w:szCs w:val="16"/>
              </w:rPr>
              <w:t>翰明基于区块链技术的电子对账系统软件</w:t>
            </w:r>
            <w:r>
              <w:rPr>
                <w:rFonts w:ascii="宋体" w:hAnsi="宋体" w:cs="宋体" w:eastAsia="宋体" w:hint="default"/>
                <w:sz w:val="16"/>
                <w:szCs w:val="16"/>
              </w:rPr>
              <w:t>V1.0</w:t>
            </w:r>
          </w:p>
        </w:tc>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0"/>
              <w:jc w:val="center"/>
              <w:rPr>
                <w:rFonts w:ascii="宋体" w:hAnsi="宋体" w:cs="宋体" w:eastAsia="宋体" w:hint="default"/>
                <w:sz w:val="16"/>
                <w:szCs w:val="16"/>
              </w:rPr>
            </w:pPr>
            <w:r>
              <w:rPr>
                <w:rFonts w:ascii="宋体"/>
                <w:sz w:val="16"/>
              </w:rPr>
              <w:t>2017SR650516</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211"/>
              <w:jc w:val="right"/>
              <w:rPr>
                <w:rFonts w:ascii="宋体" w:hAnsi="宋体" w:cs="宋体" w:eastAsia="宋体" w:hint="default"/>
                <w:sz w:val="16"/>
                <w:szCs w:val="16"/>
              </w:rPr>
            </w:pPr>
            <w:r>
              <w:rPr>
                <w:rFonts w:ascii="宋体" w:hAnsi="宋体" w:cs="宋体" w:eastAsia="宋体" w:hint="default"/>
                <w:spacing w:val="-1"/>
                <w:sz w:val="16"/>
                <w:szCs w:val="16"/>
              </w:rPr>
              <w:t>沪</w:t>
            </w:r>
            <w:r>
              <w:rPr>
                <w:rFonts w:ascii="宋体" w:hAnsi="宋体" w:cs="宋体" w:eastAsia="宋体" w:hint="default"/>
                <w:spacing w:val="-1"/>
                <w:sz w:val="16"/>
                <w:szCs w:val="16"/>
              </w:rPr>
              <w:t>RC-2018-0006</w:t>
            </w:r>
          </w:p>
        </w:tc>
      </w:tr>
      <w:tr>
        <w:trPr>
          <w:trHeight w:val="348" w:hRule="exact"/>
        </w:trPr>
        <w:tc>
          <w:tcPr>
            <w:tcW w:w="569" w:type="dxa"/>
            <w:tcBorders>
              <w:top w:val="single" w:sz="6" w:space="0" w:color="000000"/>
              <w:left w:val="single" w:sz="6" w:space="0" w:color="000000"/>
              <w:bottom w:val="single" w:sz="6" w:space="0" w:color="000000"/>
              <w:right w:val="single" w:sz="6" w:space="0" w:color="000000"/>
            </w:tcBorders>
            <w:shd w:val="clear" w:color="auto" w:fill="C00000"/>
          </w:tcPr>
          <w:p>
            <w:pPr>
              <w:pStyle w:val="TableParagraph"/>
              <w:spacing w:line="240" w:lineRule="auto" w:before="42"/>
              <w:ind w:right="0"/>
              <w:jc w:val="center"/>
              <w:rPr>
                <w:rFonts w:ascii="Times New Roman" w:hAnsi="Times New Roman" w:cs="Times New Roman" w:eastAsia="Times New Roman" w:hint="default"/>
                <w:sz w:val="22"/>
                <w:szCs w:val="22"/>
              </w:rPr>
            </w:pPr>
            <w:r>
              <w:rPr>
                <w:rFonts w:ascii="Times New Roman"/>
                <w:b/>
                <w:color w:val="FFFFFF"/>
                <w:w w:val="99"/>
                <w:sz w:val="22"/>
              </w:rPr>
              <w:t>3</w:t>
            </w:r>
            <w:r>
              <w:rPr>
                <w:rFonts w:ascii="Times New Roman"/>
                <w:sz w:val="22"/>
              </w:rPr>
            </w:r>
          </w:p>
        </w:tc>
        <w:tc>
          <w:tcPr>
            <w:tcW w:w="42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0"/>
              <w:jc w:val="center"/>
              <w:rPr>
                <w:rFonts w:ascii="宋体" w:hAnsi="宋体" w:cs="宋体" w:eastAsia="宋体" w:hint="default"/>
                <w:sz w:val="16"/>
                <w:szCs w:val="16"/>
              </w:rPr>
            </w:pPr>
            <w:r>
              <w:rPr>
                <w:rFonts w:ascii="宋体" w:hAnsi="宋体" w:cs="宋体" w:eastAsia="宋体" w:hint="default"/>
                <w:sz w:val="16"/>
                <w:szCs w:val="16"/>
              </w:rPr>
              <w:t>翰明资产保全管理系统软件</w:t>
            </w:r>
            <w:r>
              <w:rPr>
                <w:rFonts w:ascii="宋体" w:hAnsi="宋体" w:cs="宋体" w:eastAsia="宋体" w:hint="default"/>
                <w:sz w:val="16"/>
                <w:szCs w:val="16"/>
              </w:rPr>
              <w:t>V1.0</w:t>
            </w:r>
          </w:p>
        </w:tc>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0"/>
              <w:jc w:val="center"/>
              <w:rPr>
                <w:rFonts w:ascii="宋体" w:hAnsi="宋体" w:cs="宋体" w:eastAsia="宋体" w:hint="default"/>
                <w:sz w:val="16"/>
                <w:szCs w:val="16"/>
              </w:rPr>
            </w:pPr>
            <w:r>
              <w:rPr>
                <w:rFonts w:ascii="宋体"/>
                <w:sz w:val="16"/>
              </w:rPr>
              <w:t>2017SR683979</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211"/>
              <w:jc w:val="right"/>
              <w:rPr>
                <w:rFonts w:ascii="宋体" w:hAnsi="宋体" w:cs="宋体" w:eastAsia="宋体" w:hint="default"/>
                <w:sz w:val="16"/>
                <w:szCs w:val="16"/>
              </w:rPr>
            </w:pPr>
            <w:r>
              <w:rPr>
                <w:rFonts w:ascii="宋体" w:hAnsi="宋体" w:cs="宋体" w:eastAsia="宋体" w:hint="default"/>
                <w:spacing w:val="-1"/>
                <w:sz w:val="16"/>
                <w:szCs w:val="16"/>
              </w:rPr>
              <w:t>沪</w:t>
            </w:r>
            <w:r>
              <w:rPr>
                <w:rFonts w:ascii="宋体" w:hAnsi="宋体" w:cs="宋体" w:eastAsia="宋体" w:hint="default"/>
                <w:spacing w:val="-1"/>
                <w:sz w:val="16"/>
                <w:szCs w:val="16"/>
              </w:rPr>
              <w:t>RC-2018-0027</w:t>
            </w:r>
          </w:p>
        </w:tc>
      </w:tr>
    </w:tbl>
    <w:p>
      <w:pPr>
        <w:pStyle w:val="BodyText"/>
        <w:spacing w:line="360" w:lineRule="auto" w:before="10"/>
        <w:ind w:left="513" w:right="0" w:firstLine="1"/>
        <w:jc w:val="left"/>
      </w:pPr>
      <w:r>
        <w:rPr>
          <w:rFonts w:ascii="宋体" w:hAnsi="宋体" w:cs="宋体" w:eastAsia="宋体" w:hint="default"/>
          <w:b/>
          <w:bCs/>
        </w:rPr>
        <w:t>2</w:t>
      </w:r>
      <w:r>
        <w:rPr>
          <w:rFonts w:ascii="宋体" w:hAnsi="宋体" w:cs="宋体" w:eastAsia="宋体" w:hint="default"/>
          <w:b/>
          <w:bCs/>
        </w:rPr>
        <w:t>、持续提升的品牌影响力</w:t>
      </w:r>
      <w:r>
        <w:rPr>
          <w:rFonts w:ascii="宋体" w:hAnsi="宋体" w:cs="宋体" w:eastAsia="宋体" w:hint="default"/>
          <w:b/>
          <w:bCs/>
          <w:w w:val="99"/>
        </w:rPr>
        <w:t> </w:t>
      </w:r>
      <w:r>
        <w:rPr>
          <w:spacing w:val="-2"/>
        </w:rPr>
        <w:t>公司一直专注为国内外高端市场和客户提供优质及先进的产品及服务，坚持以自主品牌进行全球的拓展及运营，通过技</w:t>
      </w:r>
    </w:p>
    <w:p>
      <w:pPr>
        <w:pStyle w:val="BodyText"/>
        <w:spacing w:line="222" w:lineRule="exact"/>
        <w:ind w:right="0"/>
        <w:jc w:val="left"/>
      </w:pPr>
      <w:r>
        <w:rPr/>
        <w:t>术创新和优质服务不断满足高端市场的客户需求，提升产品附加值，从而提高公司盈利能力。</w:t>
      </w:r>
    </w:p>
    <w:p>
      <w:pPr>
        <w:pStyle w:val="BodyText"/>
        <w:spacing w:line="319" w:lineRule="auto" w:before="115"/>
        <w:ind w:right="1130" w:firstLine="360"/>
        <w:jc w:val="both"/>
      </w:pPr>
      <w:r>
        <w:rPr>
          <w:spacing w:val="-3"/>
        </w:rPr>
        <w:t>报告期内，公司的</w:t>
      </w:r>
      <w:r>
        <w:rPr>
          <w:spacing w:val="-72"/>
        </w:rPr>
        <w:t> </w:t>
      </w:r>
      <w:r>
        <w:rPr>
          <w:rFonts w:ascii="宋体" w:hAnsi="宋体" w:cs="宋体" w:eastAsia="宋体" w:hint="default"/>
        </w:rPr>
        <w:t>LED</w:t>
      </w:r>
      <w:r>
        <w:rPr>
          <w:rFonts w:ascii="宋体" w:hAnsi="宋体" w:cs="宋体" w:eastAsia="宋体" w:hint="default"/>
          <w:spacing w:val="-72"/>
        </w:rPr>
        <w:t> </w:t>
      </w:r>
      <w:r>
        <w:rPr/>
        <w:t>显示产品广泛应用于全球各地，如新加坡樟宜机场、法兰克福车展、中国电信北京公司、俄罗斯 </w:t>
      </w:r>
      <w:r>
        <w:rPr>
          <w:spacing w:val="-2"/>
        </w:rPr>
        <w:t>联合会杯、“中国杯”国际足球锦标赛、重庆市江北机场等，极大的提升了公司品牌形象和知名度，并通过获得全球重大项</w:t>
      </w:r>
      <w:r>
        <w:rPr>
          <w:spacing w:val="-67"/>
        </w:rPr>
        <w:t> </w:t>
      </w:r>
      <w:r>
        <w:rPr>
          <w:spacing w:val="-67"/>
        </w:rPr>
      </w:r>
      <w:r>
        <w:rPr/>
        <w:t>目，建立了公司的高端和专业的全球性品牌；公司全资子公司千百辉承接了</w:t>
      </w:r>
      <w:r>
        <w:rPr>
          <w:rFonts w:ascii="宋体" w:hAnsi="宋体" w:cs="宋体" w:eastAsia="宋体" w:hint="default"/>
          <w:b/>
          <w:bCs/>
        </w:rPr>
        <w:t>厦门金砖五国会议国际会议中心</w:t>
      </w:r>
      <w:r>
        <w:rPr/>
        <w:t>等多个核心标</w:t>
      </w:r>
      <w:r>
        <w:rPr>
          <w:spacing w:val="-12"/>
        </w:rPr>
        <w:t> </w:t>
      </w:r>
      <w:r>
        <w:rPr>
          <w:spacing w:val="-12"/>
        </w:rPr>
      </w:r>
      <w:r>
        <w:rPr/>
        <w:t>段的亮化建设，广受业界人士及游客的赞赏，极大地提升了公司在</w:t>
      </w:r>
      <w:r>
        <w:rPr>
          <w:spacing w:val="-45"/>
        </w:rPr>
        <w:t> </w:t>
      </w:r>
      <w:r>
        <w:rPr>
          <w:rFonts w:ascii="宋体" w:hAnsi="宋体" w:cs="宋体" w:eastAsia="宋体" w:hint="default"/>
        </w:rPr>
        <w:t>LED</w:t>
      </w:r>
      <w:r>
        <w:rPr>
          <w:rFonts w:ascii="宋体" w:hAnsi="宋体" w:cs="宋体" w:eastAsia="宋体" w:hint="default"/>
          <w:spacing w:val="-46"/>
        </w:rPr>
        <w:t> </w:t>
      </w:r>
      <w:r>
        <w:rPr/>
        <w:t>景观照明行业的地位及品牌影响力。</w:t>
      </w:r>
    </w:p>
    <w:p>
      <w:pPr>
        <w:pStyle w:val="BodyText"/>
        <w:spacing w:line="319" w:lineRule="auto" w:before="56"/>
        <w:ind w:right="1130" w:firstLine="360"/>
        <w:jc w:val="both"/>
      </w:pPr>
      <w:r>
        <w:rPr>
          <w:spacing w:val="-2"/>
          <w:w w:val="99"/>
        </w:rPr>
        <w:t>金融科技板块智慧银行解决方案已应用在上海中心大厦中国银行以及</w:t>
      </w:r>
      <w:r>
        <w:rPr>
          <w:rFonts w:ascii="宋体" w:hAnsi="宋体" w:cs="宋体" w:eastAsia="宋体" w:hint="default"/>
          <w:b/>
          <w:bCs/>
          <w:spacing w:val="-2"/>
          <w:w w:val="99"/>
        </w:rPr>
        <w:t>雄安新区中国银行</w:t>
      </w:r>
      <w:r>
        <w:rPr>
          <w:spacing w:val="-2"/>
          <w:w w:val="99"/>
        </w:rPr>
        <w:t>，推动公司在智慧银行领域的快</w:t>
      </w:r>
      <w:r>
        <w:rPr/>
        <w:t> </w:t>
      </w:r>
      <w:r>
        <w:rPr>
          <w:spacing w:val="-2"/>
        </w:rPr>
        <w:t>速发展；金融科技板块子公司上海翰明与毕马威企业咨询（中国）有限公司积极推进</w:t>
      </w:r>
      <w:r>
        <w:rPr>
          <w:rFonts w:ascii="宋体" w:hAnsi="宋体" w:cs="宋体" w:eastAsia="宋体" w:hint="default"/>
          <w:b/>
          <w:bCs/>
          <w:spacing w:val="-2"/>
        </w:rPr>
        <w:t>区块链</w:t>
      </w:r>
      <w:r>
        <w:rPr>
          <w:spacing w:val="-2"/>
        </w:rPr>
        <w:t>技术在传统金融产品中应用探索</w:t>
      </w:r>
      <w:r>
        <w:rPr>
          <w:spacing w:val="-70"/>
        </w:rPr>
        <w:t> </w:t>
      </w:r>
      <w:r>
        <w:rPr>
          <w:spacing w:val="-70"/>
        </w:rPr>
      </w:r>
      <w:r>
        <w:rPr>
          <w:spacing w:val="-2"/>
        </w:rPr>
        <w:t>和研究，共同与台州银行三方进行区块链技术研发，将区块链技术应用于银行和企业客户的账务核对业务中，提升了金融科</w:t>
      </w:r>
      <w:r>
        <w:rPr>
          <w:spacing w:val="-66"/>
        </w:rPr>
        <w:t> </w:t>
      </w:r>
      <w:r>
        <w:rPr>
          <w:spacing w:val="-66"/>
        </w:rPr>
      </w:r>
      <w:r>
        <w:rPr/>
        <w:t>技的新技术研发及应用能力。</w:t>
      </w:r>
    </w:p>
    <w:p>
      <w:pPr>
        <w:pStyle w:val="BodyText"/>
        <w:spacing w:line="319" w:lineRule="auto" w:before="55"/>
        <w:ind w:right="1132" w:firstLine="360"/>
        <w:jc w:val="both"/>
      </w:pPr>
      <w:r>
        <w:rPr/>
        <w:t>控股子公司奥拓体育的大众体育场馆</w:t>
      </w:r>
      <w:r>
        <w:rPr>
          <w:spacing w:val="-38"/>
        </w:rPr>
        <w:t> </w:t>
      </w:r>
      <w:r>
        <w:rPr>
          <w:rFonts w:ascii="宋体" w:hAnsi="宋体" w:cs="宋体" w:eastAsia="宋体" w:hint="default"/>
        </w:rPr>
        <w:t>O2O</w:t>
      </w:r>
      <w:r>
        <w:rPr>
          <w:rFonts w:ascii="宋体" w:hAnsi="宋体" w:cs="宋体" w:eastAsia="宋体" w:hint="default"/>
          <w:spacing w:val="-37"/>
        </w:rPr>
        <w:t> </w:t>
      </w:r>
      <w:r>
        <w:rPr>
          <w:spacing w:val="-3"/>
        </w:rPr>
        <w:t>运营平台陆续在深圳、广州、上海等城市落地，也使得公司在体育行业的品牌</w:t>
      </w:r>
      <w:r>
        <w:rPr/>
        <w:t> 影响力得到提升。</w:t>
      </w:r>
    </w:p>
    <w:p>
      <w:pPr>
        <w:pStyle w:val="BodyText"/>
        <w:spacing w:line="316" w:lineRule="auto" w:before="55"/>
        <w:ind w:right="1129" w:firstLine="360"/>
        <w:jc w:val="both"/>
      </w:pPr>
      <w:r>
        <w:rPr/>
        <w:t>报告期内，公司也屡次获得行业奖项。凭借最新推出的</w:t>
      </w:r>
      <w:r>
        <w:rPr>
          <w:rFonts w:ascii="宋体" w:hAnsi="宋体" w:cs="宋体" w:eastAsia="宋体" w:hint="default"/>
        </w:rPr>
        <w:t>CLD</w:t>
      </w:r>
      <w:r>
        <w:rPr/>
        <w:t>产品，公司获得了第四届工业设计“红帆奖”概念创新奖及 </w:t>
      </w:r>
      <w:r>
        <w:rPr>
          <w:spacing w:val="-2"/>
        </w:rPr>
        <w:t>“中国好设计”优胜奖；在</w:t>
      </w:r>
      <w:r>
        <w:rPr>
          <w:rFonts w:ascii="宋体" w:hAnsi="宋体" w:cs="宋体" w:eastAsia="宋体" w:hint="default"/>
          <w:spacing w:val="-2"/>
        </w:rPr>
        <w:t>2017</w:t>
      </w:r>
      <w:r>
        <w:rPr>
          <w:spacing w:val="-2"/>
        </w:rPr>
        <w:t>中国半导体照明产业交流大会暨第七届“金手指奖”颁奖典礼上，千百辉凭借雄厚的实力及</w:t>
      </w:r>
      <w:r>
        <w:rPr>
          <w:spacing w:val="-61"/>
        </w:rPr>
        <w:t> </w:t>
      </w:r>
      <w:r>
        <w:rPr>
          <w:spacing w:val="-61"/>
        </w:rPr>
      </w:r>
      <w:r>
        <w:rPr>
          <w:spacing w:val="-2"/>
        </w:rPr>
        <w:t>综合影响力，荣获“十大影响力照明工程公司”奖项；</w:t>
      </w:r>
      <w:r>
        <w:rPr>
          <w:rFonts w:ascii="宋体" w:hAnsi="宋体" w:cs="宋体" w:eastAsia="宋体" w:hint="default"/>
          <w:spacing w:val="-2"/>
        </w:rPr>
        <w:t>2018</w:t>
      </w:r>
      <w:r>
        <w:rPr>
          <w:spacing w:val="-2"/>
        </w:rPr>
        <w:t>年</w:t>
      </w:r>
      <w:r>
        <w:rPr>
          <w:rFonts w:ascii="宋体" w:hAnsi="宋体" w:cs="宋体" w:eastAsia="宋体" w:hint="default"/>
          <w:spacing w:val="-2"/>
        </w:rPr>
        <w:t>1</w:t>
      </w:r>
      <w:r>
        <w:rPr>
          <w:spacing w:val="-2"/>
        </w:rPr>
        <w:t>月</w:t>
      </w:r>
      <w:r>
        <w:rPr>
          <w:rFonts w:ascii="宋体" w:hAnsi="宋体" w:cs="宋体" w:eastAsia="宋体" w:hint="default"/>
          <w:spacing w:val="-2"/>
        </w:rPr>
        <w:t>8</w:t>
      </w:r>
      <w:r>
        <w:rPr>
          <w:spacing w:val="-2"/>
        </w:rPr>
        <w:t>日，公司被中国光学光电子行业协会评选为</w:t>
      </w:r>
      <w:r>
        <w:rPr>
          <w:rFonts w:ascii="宋体" w:hAnsi="宋体" w:cs="宋体" w:eastAsia="宋体" w:hint="default"/>
          <w:spacing w:val="-2"/>
        </w:rPr>
        <w:t>2017</w:t>
      </w:r>
      <w:r>
        <w:rPr>
          <w:spacing w:val="-2"/>
        </w:rPr>
        <w:t>年度中国</w:t>
      </w:r>
      <w:r>
        <w:rPr>
          <w:spacing w:val="-56"/>
        </w:rPr>
        <w:t> </w:t>
      </w:r>
      <w:r>
        <w:rPr/>
        <w:t>光电行业“影响力企业”；</w:t>
      </w:r>
      <w:r>
        <w:rPr>
          <w:rFonts w:ascii="宋体" w:hAnsi="宋体" w:cs="宋体" w:eastAsia="宋体" w:hint="default"/>
        </w:rPr>
        <w:t>2018</w:t>
      </w:r>
      <w:r>
        <w:rPr/>
        <w:t>年</w:t>
      </w:r>
      <w:r>
        <w:rPr>
          <w:rFonts w:ascii="宋体" w:hAnsi="宋体" w:cs="宋体" w:eastAsia="宋体" w:hint="default"/>
        </w:rPr>
        <w:t>1</w:t>
      </w:r>
      <w:r>
        <w:rPr/>
        <w:t>月</w:t>
      </w:r>
      <w:r>
        <w:rPr>
          <w:rFonts w:ascii="宋体" w:hAnsi="宋体" w:cs="宋体" w:eastAsia="宋体" w:hint="default"/>
        </w:rPr>
        <w:t>11</w:t>
      </w:r>
      <w:r>
        <w:rPr/>
        <w:t>日，深圳市科学技术奖励委员会办公室公示了</w:t>
      </w:r>
      <w:r>
        <w:rPr>
          <w:rFonts w:ascii="宋体" w:hAnsi="宋体" w:cs="宋体" w:eastAsia="宋体" w:hint="default"/>
        </w:rPr>
        <w:t>2017</w:t>
      </w:r>
      <w:r>
        <w:rPr/>
        <w:t>年度深圳市科学技术奖五类奖项</w:t>
      </w:r>
      <w:r>
        <w:rPr>
          <w:spacing w:val="-83"/>
        </w:rPr>
        <w:t> </w:t>
      </w:r>
      <w:r>
        <w:rPr>
          <w:spacing w:val="-83"/>
        </w:rPr>
      </w:r>
      <w:r>
        <w:rPr/>
        <w:t>的获奖名单，公司“深色超极清体育场馆</w:t>
      </w:r>
      <w:r>
        <w:rPr>
          <w:rFonts w:ascii="宋体" w:hAnsi="宋体" w:cs="宋体" w:eastAsia="宋体" w:hint="default"/>
        </w:rPr>
        <w:t>LED</w:t>
      </w:r>
      <w:r>
        <w:rPr/>
        <w:t>显示系统研制技术”项目荣获科技进步奖二等奖。</w:t>
      </w:r>
    </w:p>
    <w:p>
      <w:pPr>
        <w:pStyle w:val="Heading4"/>
        <w:spacing w:line="240" w:lineRule="auto" w:before="19"/>
        <w:ind w:right="0"/>
        <w:jc w:val="left"/>
        <w:rPr>
          <w:b w:val="0"/>
          <w:bCs w:val="0"/>
        </w:rPr>
      </w:pPr>
      <w:r>
        <w:rPr>
          <w:rFonts w:ascii="宋体" w:hAnsi="宋体" w:cs="宋体" w:eastAsia="宋体" w:hint="default"/>
        </w:rPr>
        <w:t>3</w:t>
      </w:r>
      <w:r>
        <w:rPr/>
        <w:t>、高效的运营管理体系</w:t>
      </w:r>
      <w:r>
        <w:rPr>
          <w:b w:val="0"/>
          <w:bCs w:val="0"/>
        </w:rPr>
      </w:r>
    </w:p>
    <w:p>
      <w:pPr>
        <w:pStyle w:val="BodyText"/>
        <w:spacing w:line="319" w:lineRule="auto" w:before="117"/>
        <w:ind w:left="154" w:right="1132" w:firstLine="360"/>
        <w:jc w:val="both"/>
      </w:pPr>
      <w:r>
        <w:rPr/>
        <w:t>报告期内，公司努力提升集团化管理能力以及内部资源整合的能力，通过建设</w:t>
      </w:r>
      <w:r>
        <w:rPr>
          <w:spacing w:val="-58"/>
        </w:rPr>
        <w:t> </w:t>
      </w:r>
      <w:r>
        <w:rPr>
          <w:rFonts w:ascii="宋体" w:hAnsi="宋体" w:cs="宋体" w:eastAsia="宋体" w:hint="default"/>
        </w:rPr>
        <w:t>ERP</w:t>
      </w:r>
      <w:r>
        <w:rPr>
          <w:rFonts w:ascii="宋体" w:hAnsi="宋体" w:cs="宋体" w:eastAsia="宋体" w:hint="default"/>
          <w:spacing w:val="-58"/>
        </w:rPr>
        <w:t> </w:t>
      </w:r>
      <w:r>
        <w:rPr/>
        <w:t>系统、</w:t>
      </w:r>
      <w:r>
        <w:rPr>
          <w:rFonts w:ascii="宋体" w:hAnsi="宋体" w:cs="宋体" w:eastAsia="宋体" w:hint="default"/>
        </w:rPr>
        <w:t>CRM</w:t>
      </w:r>
      <w:r>
        <w:rPr>
          <w:rFonts w:ascii="宋体" w:hAnsi="宋体" w:cs="宋体" w:eastAsia="宋体" w:hint="default"/>
          <w:spacing w:val="-58"/>
        </w:rPr>
        <w:t> </w:t>
      </w:r>
      <w:r>
        <w:rPr/>
        <w:t>系统，构建了集团化战略 </w:t>
      </w:r>
      <w:r>
        <w:rPr>
          <w:spacing w:val="-2"/>
        </w:rPr>
        <w:t>管控的信息化平台，同时，通过完善集团化战略管控的制度建设和文化宣贯，努力促使各业务板块及经营单元实现战略协同</w:t>
      </w:r>
      <w:r>
        <w:rPr>
          <w:spacing w:val="-66"/>
        </w:rPr>
        <w:t> </w:t>
      </w:r>
      <w:r>
        <w:rPr>
          <w:spacing w:val="-66"/>
        </w:rPr>
      </w:r>
      <w:r>
        <w:rPr/>
        <w:t>及文化融合。</w:t>
      </w:r>
    </w:p>
    <w:p>
      <w:pPr>
        <w:pStyle w:val="BodyText"/>
        <w:spacing w:line="316" w:lineRule="auto" w:before="55"/>
        <w:ind w:left="154" w:right="1032" w:firstLine="360"/>
        <w:jc w:val="left"/>
      </w:pPr>
      <w:r>
        <w:rPr/>
        <w:t>公司的核心管理团队拥有多年的行业从业及管理经验，在公司服务年限平均超过</w:t>
      </w:r>
      <w:r>
        <w:rPr>
          <w:rFonts w:ascii="宋体" w:hAnsi="宋体" w:cs="宋体" w:eastAsia="宋体" w:hint="default"/>
        </w:rPr>
        <w:t>20</w:t>
      </w:r>
      <w:r>
        <w:rPr/>
        <w:t>年，其中大多数高管也是公司股东， </w:t>
      </w:r>
      <w:r>
        <w:rPr>
          <w:spacing w:val="-2"/>
        </w:rPr>
        <w:t>能够最大限度地发挥自身优势和潜能，有利于公司的长远发展。同时，公司的管理层具有较强的执行能力及创新意识，始终</w:t>
      </w:r>
      <w:r>
        <w:rPr>
          <w:spacing w:val="-66"/>
        </w:rPr>
        <w:t> </w:t>
      </w:r>
      <w:r>
        <w:rPr>
          <w:spacing w:val="-66"/>
        </w:rPr>
      </w:r>
      <w:r>
        <w:rPr/>
        <w:t>致力于公司产品在高端应用领域的技术研发与推广，积累了丰富的行业经验。</w:t>
      </w:r>
    </w:p>
    <w:p>
      <w:pPr>
        <w:pStyle w:val="BodyText"/>
        <w:spacing w:line="360" w:lineRule="auto" w:before="19"/>
        <w:ind w:left="514" w:right="1032" w:firstLine="1"/>
        <w:jc w:val="left"/>
      </w:pPr>
      <w:r>
        <w:rPr>
          <w:rFonts w:ascii="宋体" w:hAnsi="宋体" w:cs="宋体" w:eastAsia="宋体" w:hint="default"/>
          <w:b/>
          <w:bCs/>
        </w:rPr>
        <w:t>4</w:t>
      </w:r>
      <w:r>
        <w:rPr>
          <w:rFonts w:ascii="宋体" w:hAnsi="宋体" w:cs="宋体" w:eastAsia="宋体" w:hint="default"/>
          <w:b/>
          <w:bCs/>
        </w:rPr>
        <w:t>、全面的营销服务网络</w:t>
      </w:r>
      <w:r>
        <w:rPr>
          <w:rFonts w:ascii="宋体" w:hAnsi="宋体" w:cs="宋体" w:eastAsia="宋体" w:hint="default"/>
          <w:b/>
          <w:bCs/>
          <w:w w:val="99"/>
        </w:rPr>
        <w:t> </w:t>
      </w:r>
      <w:r>
        <w:rPr/>
        <w:t>报告期内，奥拓电子努力打造海外市场本地化营销网络，网罗专业营销服务人才，经过多年积累，已拥有日本、美国、</w:t>
      </w:r>
    </w:p>
    <w:p>
      <w:pPr>
        <w:pStyle w:val="BodyText"/>
        <w:spacing w:line="221" w:lineRule="exact"/>
        <w:ind w:left="154" w:right="0"/>
        <w:jc w:val="left"/>
      </w:pPr>
      <w:r>
        <w:rPr/>
        <w:t>英国、德国、香港等多个地区子公司、办事处等营销服务网络。公司已建立了一套完整的从客户报修到现场维护及定期回访</w:t>
      </w:r>
    </w:p>
    <w:p>
      <w:pPr>
        <w:pStyle w:val="BodyText"/>
        <w:spacing w:line="319" w:lineRule="auto" w:before="76"/>
        <w:ind w:left="154" w:right="0"/>
        <w:jc w:val="left"/>
      </w:pPr>
      <w:r>
        <w:rPr>
          <w:spacing w:val="-2"/>
        </w:rPr>
        <w:t>的售后服务体系，极大的保障了产品的可靠性及长寿命，提升高端客户的使用体验，公司用品质和信誉撑起与客户和谐发展</w:t>
      </w:r>
      <w:r>
        <w:rPr>
          <w:spacing w:val="-66"/>
        </w:rPr>
        <w:t> </w:t>
      </w:r>
      <w:r>
        <w:rPr>
          <w:spacing w:val="-66"/>
        </w:rPr>
      </w:r>
      <w:r>
        <w:rPr/>
        <w:t>的广阔空间。同时，公司在国内拥有</w:t>
      </w:r>
      <w:r>
        <w:rPr>
          <w:spacing w:val="-46"/>
        </w:rPr>
        <w:t> </w:t>
      </w:r>
      <w:r>
        <w:rPr>
          <w:rFonts w:ascii="宋体" w:hAnsi="宋体" w:cs="宋体" w:eastAsia="宋体" w:hint="default"/>
        </w:rPr>
        <w:t>88</w:t>
      </w:r>
      <w:r>
        <w:rPr>
          <w:rFonts w:ascii="宋体" w:hAnsi="宋体" w:cs="宋体" w:eastAsia="宋体" w:hint="default"/>
          <w:spacing w:val="-46"/>
        </w:rPr>
        <w:t> </w:t>
      </w:r>
      <w:r>
        <w:rPr/>
        <w:t>个销售办事处及售后服务网点，为全国各地客户提供了最优质的产品及服务。</w:t>
      </w:r>
    </w:p>
    <w:p>
      <w:pPr>
        <w:pStyle w:val="BodyText"/>
        <w:spacing w:line="316" w:lineRule="auto" w:before="56"/>
        <w:ind w:left="154" w:right="1133" w:firstLine="360"/>
        <w:jc w:val="both"/>
      </w:pPr>
      <w:r>
        <w:rPr>
          <w:spacing w:val="-2"/>
        </w:rPr>
        <w:t>在产品同质化竞争异常激烈的市场环境中，个性化及专业化的服务决定了公司的优势竞争地位。公司在人员配备、业务</w:t>
      </w:r>
      <w:r>
        <w:rPr/>
        <w:t> 流程、售后服务体系上保证对客户的快速反应，长期跟踪并向客户提供优质服务。</w:t>
      </w:r>
    </w:p>
    <w:p>
      <w:pPr>
        <w:spacing w:after="0" w:line="316" w:lineRule="auto"/>
        <w:jc w:val="both"/>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8"/>
          <w:szCs w:val="18"/>
        </w:rPr>
      </w:pPr>
    </w:p>
    <w:p>
      <w:pPr>
        <w:spacing w:line="4104" w:lineRule="exact"/>
        <w:ind w:left="1417" w:right="0" w:firstLine="0"/>
        <w:rPr>
          <w:rFonts w:ascii="宋体" w:hAnsi="宋体" w:cs="宋体" w:eastAsia="宋体" w:hint="default"/>
          <w:sz w:val="20"/>
          <w:szCs w:val="20"/>
        </w:rPr>
      </w:pPr>
      <w:r>
        <w:rPr>
          <w:rFonts w:ascii="宋体" w:hAnsi="宋体" w:cs="宋体" w:eastAsia="宋体" w:hint="default"/>
          <w:position w:val="-81"/>
          <w:sz w:val="20"/>
          <w:szCs w:val="20"/>
        </w:rPr>
        <w:drawing>
          <wp:inline distT="0" distB="0" distL="0" distR="0">
            <wp:extent cx="4650603" cy="2606040"/>
            <wp:effectExtent l="0" t="0" r="0" b="0"/>
            <wp:docPr id="35" name="image21.jpeg" descr=""/>
            <wp:cNvGraphicFramePr>
              <a:graphicFrameLocks noChangeAspect="1"/>
            </wp:cNvGraphicFramePr>
            <a:graphic>
              <a:graphicData uri="http://schemas.openxmlformats.org/drawingml/2006/picture">
                <pic:pic>
                  <pic:nvPicPr>
                    <pic:cNvPr id="36" name="image21.jpeg"/>
                    <pic:cNvPicPr/>
                  </pic:nvPicPr>
                  <pic:blipFill>
                    <a:blip r:embed="rId32" cstate="print"/>
                    <a:stretch>
                      <a:fillRect/>
                    </a:stretch>
                  </pic:blipFill>
                  <pic:spPr>
                    <a:xfrm>
                      <a:off x="0" y="0"/>
                      <a:ext cx="4650603" cy="2606040"/>
                    </a:xfrm>
                    <a:prstGeom prst="rect">
                      <a:avLst/>
                    </a:prstGeom>
                  </pic:spPr>
                </pic:pic>
              </a:graphicData>
            </a:graphic>
          </wp:inline>
        </w:drawing>
      </w:r>
      <w:r>
        <w:rPr>
          <w:rFonts w:ascii="宋体" w:hAnsi="宋体" w:cs="宋体" w:eastAsia="宋体" w:hint="default"/>
          <w:position w:val="-81"/>
          <w:sz w:val="20"/>
          <w:szCs w:val="20"/>
        </w:rPr>
      </w:r>
    </w:p>
    <w:p>
      <w:pPr>
        <w:spacing w:line="240" w:lineRule="auto" w:before="10"/>
        <w:rPr>
          <w:rFonts w:ascii="宋体" w:hAnsi="宋体" w:cs="宋体" w:eastAsia="宋体" w:hint="default"/>
          <w:sz w:val="7"/>
          <w:szCs w:val="7"/>
        </w:rPr>
      </w:pPr>
    </w:p>
    <w:p>
      <w:pPr>
        <w:pStyle w:val="BodyText"/>
        <w:spacing w:line="240" w:lineRule="auto" w:before="44"/>
        <w:ind w:left="3066" w:right="3833"/>
        <w:jc w:val="center"/>
      </w:pPr>
      <w:r>
        <w:rPr/>
        <w:t>全球子公司及办事处分布图</w:t>
      </w:r>
    </w:p>
    <w:p>
      <w:pPr>
        <w:spacing w:line="240" w:lineRule="auto" w:before="2"/>
        <w:rPr>
          <w:rFonts w:ascii="宋体" w:hAnsi="宋体" w:cs="宋体" w:eastAsia="宋体" w:hint="default"/>
          <w:sz w:val="6"/>
          <w:szCs w:val="6"/>
        </w:rPr>
      </w:pPr>
    </w:p>
    <w:p>
      <w:pPr>
        <w:spacing w:line="4638" w:lineRule="exact"/>
        <w:ind w:left="1478" w:right="0" w:firstLine="0"/>
        <w:rPr>
          <w:rFonts w:ascii="宋体" w:hAnsi="宋体" w:cs="宋体" w:eastAsia="宋体" w:hint="default"/>
          <w:sz w:val="20"/>
          <w:szCs w:val="20"/>
        </w:rPr>
      </w:pPr>
      <w:r>
        <w:rPr>
          <w:rFonts w:ascii="宋体" w:hAnsi="宋体" w:cs="宋体" w:eastAsia="宋体" w:hint="default"/>
          <w:position w:val="-92"/>
          <w:sz w:val="20"/>
          <w:szCs w:val="20"/>
        </w:rPr>
        <w:drawing>
          <wp:inline distT="0" distB="0" distL="0" distR="0">
            <wp:extent cx="4556136" cy="2945701"/>
            <wp:effectExtent l="0" t="0" r="0" b="0"/>
            <wp:docPr id="37" name="image22.jpeg" descr=""/>
            <wp:cNvGraphicFramePr>
              <a:graphicFrameLocks noChangeAspect="1"/>
            </wp:cNvGraphicFramePr>
            <a:graphic>
              <a:graphicData uri="http://schemas.openxmlformats.org/drawingml/2006/picture">
                <pic:pic>
                  <pic:nvPicPr>
                    <pic:cNvPr id="38" name="image22.jpeg"/>
                    <pic:cNvPicPr/>
                  </pic:nvPicPr>
                  <pic:blipFill>
                    <a:blip r:embed="rId33" cstate="print"/>
                    <a:stretch>
                      <a:fillRect/>
                    </a:stretch>
                  </pic:blipFill>
                  <pic:spPr>
                    <a:xfrm>
                      <a:off x="0" y="0"/>
                      <a:ext cx="4556136" cy="2945701"/>
                    </a:xfrm>
                    <a:prstGeom prst="rect">
                      <a:avLst/>
                    </a:prstGeom>
                  </pic:spPr>
                </pic:pic>
              </a:graphicData>
            </a:graphic>
          </wp:inline>
        </w:drawing>
      </w:r>
      <w:r>
        <w:rPr>
          <w:rFonts w:ascii="宋体" w:hAnsi="宋体" w:cs="宋体" w:eastAsia="宋体" w:hint="default"/>
          <w:position w:val="-92"/>
          <w:sz w:val="20"/>
          <w:szCs w:val="20"/>
        </w:rPr>
      </w:r>
    </w:p>
    <w:p>
      <w:pPr>
        <w:pStyle w:val="BodyText"/>
        <w:spacing w:line="240" w:lineRule="auto" w:before="38"/>
        <w:ind w:left="3066" w:right="3833"/>
        <w:jc w:val="center"/>
      </w:pPr>
      <w:r>
        <w:rPr/>
        <w:t>国内营销服务网点</w:t>
      </w:r>
    </w:p>
    <w:p>
      <w:pPr>
        <w:pStyle w:val="Heading4"/>
        <w:spacing w:line="240" w:lineRule="auto" w:before="76"/>
        <w:ind w:right="0"/>
        <w:jc w:val="left"/>
        <w:rPr>
          <w:b w:val="0"/>
          <w:bCs w:val="0"/>
        </w:rPr>
      </w:pPr>
      <w:r>
        <w:rPr>
          <w:rFonts w:ascii="宋体" w:hAnsi="宋体" w:cs="宋体" w:eastAsia="宋体" w:hint="default"/>
        </w:rPr>
        <w:t>5</w:t>
      </w:r>
      <w:r>
        <w:rPr/>
        <w:t>、人才高地战略</w:t>
      </w:r>
      <w:r>
        <w:rPr>
          <w:b w:val="0"/>
          <w:bCs w:val="0"/>
        </w:rPr>
      </w:r>
    </w:p>
    <w:p>
      <w:pPr>
        <w:pStyle w:val="BodyText"/>
        <w:spacing w:line="316" w:lineRule="auto" w:before="117"/>
        <w:ind w:right="1033" w:firstLine="360"/>
        <w:jc w:val="left"/>
      </w:pPr>
      <w:r>
        <w:rPr/>
        <w:t>公司以“让人们的生活更亮丽、更便捷”为企业愿景，努力塑造及完善公司的企业文化，通过企业文化的宣贯及融合， </w:t>
      </w:r>
      <w:r>
        <w:rPr>
          <w:spacing w:val="-2"/>
        </w:rPr>
        <w:t>培养一批优秀的奥拓人。报告期内，公司努力加强团队建设，在公司规模快速发展的同时，力争打造和谐、融洽、积极、向</w:t>
      </w:r>
      <w:r>
        <w:rPr>
          <w:spacing w:val="-71"/>
        </w:rPr>
        <w:t> </w:t>
      </w:r>
      <w:r>
        <w:rPr>
          <w:spacing w:val="-71"/>
        </w:rPr>
      </w:r>
      <w:r>
        <w:rPr/>
        <w:t>上的工作环境及氛围，通过</w:t>
      </w:r>
      <w:r>
        <w:rPr>
          <w:spacing w:val="-41"/>
        </w:rPr>
        <w:t> </w:t>
      </w:r>
      <w:r>
        <w:rPr>
          <w:rFonts w:ascii="宋体" w:hAnsi="宋体" w:cs="宋体" w:eastAsia="宋体" w:hint="default"/>
        </w:rPr>
        <w:t>24</w:t>
      </w:r>
      <w:r>
        <w:rPr>
          <w:rFonts w:ascii="宋体" w:hAnsi="宋体" w:cs="宋体" w:eastAsia="宋体" w:hint="default"/>
          <w:spacing w:val="-41"/>
        </w:rPr>
        <w:t> </w:t>
      </w:r>
      <w:r>
        <w:rPr/>
        <w:t>周年庆一系列活动，增强员工的幸福感及归属感；通过《奥拓人》期刊及奥拓学院等方式，</w:t>
      </w:r>
    </w:p>
    <w:p>
      <w:pPr>
        <w:pStyle w:val="BodyText"/>
        <w:spacing w:line="357" w:lineRule="auto" w:before="20"/>
        <w:ind w:left="514" w:right="1032" w:hanging="360"/>
        <w:jc w:val="left"/>
      </w:pPr>
      <w:r>
        <w:rPr/>
        <w:t>增强员工的凝聚力；报告期内，公司向核心员工授予</w:t>
      </w:r>
      <w:r>
        <w:rPr>
          <w:spacing w:val="-45"/>
        </w:rPr>
        <w:t> </w:t>
      </w:r>
      <w:r>
        <w:rPr>
          <w:rFonts w:ascii="宋体" w:hAnsi="宋体" w:cs="宋体" w:eastAsia="宋体" w:hint="default"/>
        </w:rPr>
        <w:t>500</w:t>
      </w:r>
      <w:r>
        <w:rPr>
          <w:rFonts w:ascii="宋体" w:hAnsi="宋体" w:cs="宋体" w:eastAsia="宋体" w:hint="default"/>
          <w:spacing w:val="-46"/>
        </w:rPr>
        <w:t> </w:t>
      </w:r>
      <w:r>
        <w:rPr/>
        <w:t>万份股票期权，增强员工的凝聚力和工作积极性。 报告期内，公司实施人才高地战略，通过内部培养及外部招聘等方式，针对不同的职能划分，建立团队的梯队化建设，</w:t>
      </w:r>
    </w:p>
    <w:p>
      <w:pPr>
        <w:pStyle w:val="BodyText"/>
        <w:spacing w:line="224" w:lineRule="exact"/>
        <w:ind w:left="154" w:right="0"/>
        <w:jc w:val="left"/>
      </w:pPr>
      <w:r>
        <w:rPr/>
        <w:t>让优秀人才有更多的发挥空间及决策空间，让有潜力的员工最大限度的发挥自身潜力，让普通员工有更丰富的晋升渠道。另</w:t>
      </w:r>
    </w:p>
    <w:p>
      <w:pPr>
        <w:pStyle w:val="BodyText"/>
        <w:spacing w:line="319" w:lineRule="auto" w:before="76"/>
        <w:ind w:left="154" w:right="0"/>
        <w:jc w:val="left"/>
      </w:pPr>
      <w:r>
        <w:rPr>
          <w:spacing w:val="-2"/>
        </w:rPr>
        <w:t>外，建设团队的同时，公司研究探索新形势下员工的薪酬管理和激励机制，通过合理的薪酬制度及丰厚的激励措施，提升员</w:t>
      </w:r>
      <w:r>
        <w:rPr>
          <w:spacing w:val="-66"/>
        </w:rPr>
        <w:t> </w:t>
      </w:r>
      <w:r>
        <w:rPr>
          <w:spacing w:val="-66"/>
        </w:rPr>
      </w:r>
      <w:r>
        <w:rPr/>
        <w:t>工的工作积极性。</w:t>
      </w:r>
    </w:p>
    <w:p>
      <w:pPr>
        <w:spacing w:after="0" w:line="319" w:lineRule="auto"/>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p>
      <w:pPr>
        <w:pStyle w:val="Heading1"/>
        <w:spacing w:line="240" w:lineRule="auto"/>
        <w:ind w:right="0"/>
        <w:jc w:val="left"/>
        <w:rPr>
          <w:b w:val="0"/>
          <w:bCs w:val="0"/>
        </w:rPr>
      </w:pPr>
      <w:bookmarkStart w:name="第四节 经营情况讨论与分析" w:id="22"/>
      <w:bookmarkEnd w:id="22"/>
      <w:r>
        <w:rPr>
          <w:b w:val="0"/>
          <w:bCs w:val="0"/>
        </w:rPr>
      </w:r>
      <w:bookmarkStart w:name="_bookmark2" w:id="23"/>
      <w:bookmarkEnd w:id="23"/>
      <w:r>
        <w:rPr>
          <w:b w:val="0"/>
          <w:bCs w:val="0"/>
        </w:rPr>
      </w:r>
      <w:r>
        <w:rPr/>
        <w:t>第四节</w:t>
      </w:r>
      <w:r>
        <w:rPr>
          <w:spacing w:val="-10"/>
        </w:rPr>
        <w:t> </w:t>
      </w:r>
      <w:r>
        <w:rPr/>
        <w:t>经营情况讨论与分析</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before="26"/>
        <w:ind w:right="0"/>
        <w:jc w:val="left"/>
        <w:rPr>
          <w:b w:val="0"/>
          <w:bCs w:val="0"/>
        </w:rPr>
      </w:pPr>
      <w:bookmarkStart w:name="一、概述" w:id="24"/>
      <w:bookmarkEnd w:id="24"/>
      <w:r>
        <w:rPr>
          <w:b w:val="0"/>
          <w:bCs w:val="0"/>
        </w:rPr>
      </w:r>
      <w:r>
        <w:rPr/>
        <w:t>一、概述</w:t>
      </w:r>
      <w:r>
        <w:rPr>
          <w:b w:val="0"/>
          <w:bCs w:val="0"/>
        </w:rPr>
      </w:r>
    </w:p>
    <w:p>
      <w:pPr>
        <w:spacing w:line="240" w:lineRule="auto" w:before="7"/>
        <w:rPr>
          <w:rFonts w:ascii="宋体" w:hAnsi="宋体" w:cs="宋体" w:eastAsia="宋体" w:hint="default"/>
          <w:b/>
          <w:bCs/>
          <w:sz w:val="26"/>
          <w:szCs w:val="26"/>
        </w:rPr>
      </w:pPr>
    </w:p>
    <w:p>
      <w:pPr>
        <w:spacing w:line="319" w:lineRule="auto" w:before="0"/>
        <w:ind w:left="153" w:right="1132" w:firstLine="360"/>
        <w:jc w:val="both"/>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28"/>
          <w:sz w:val="18"/>
          <w:szCs w:val="18"/>
        </w:rPr>
        <w:t> </w:t>
      </w:r>
      <w:r>
        <w:rPr>
          <w:rFonts w:ascii="宋体" w:hAnsi="宋体" w:cs="宋体" w:eastAsia="宋体" w:hint="default"/>
          <w:sz w:val="18"/>
          <w:szCs w:val="18"/>
        </w:rPr>
        <w:t>年，公司以跨越式发展为战略目标，扩大了</w:t>
      </w:r>
      <w:r>
        <w:rPr>
          <w:rFonts w:ascii="宋体" w:hAnsi="宋体" w:cs="宋体" w:eastAsia="宋体" w:hint="default"/>
          <w:spacing w:val="-28"/>
          <w:sz w:val="18"/>
          <w:szCs w:val="18"/>
        </w:rPr>
        <w:t> </w:t>
      </w:r>
      <w:r>
        <w:rPr>
          <w:rFonts w:ascii="宋体" w:hAnsi="宋体" w:cs="宋体" w:eastAsia="宋体" w:hint="default"/>
          <w:sz w:val="18"/>
          <w:szCs w:val="18"/>
        </w:rPr>
        <w:t>LED</w:t>
      </w:r>
      <w:r>
        <w:rPr>
          <w:rFonts w:ascii="宋体" w:hAnsi="宋体" w:cs="宋体" w:eastAsia="宋体" w:hint="default"/>
          <w:spacing w:val="-28"/>
          <w:sz w:val="18"/>
          <w:szCs w:val="18"/>
        </w:rPr>
        <w:t> </w:t>
      </w:r>
      <w:r>
        <w:rPr>
          <w:rFonts w:ascii="宋体" w:hAnsi="宋体" w:cs="宋体" w:eastAsia="宋体" w:hint="default"/>
          <w:sz w:val="18"/>
          <w:szCs w:val="18"/>
        </w:rPr>
        <w:t>应用业务的销售规模及行业影响力，大力开发新的金融科技产品 </w:t>
      </w:r>
      <w:r>
        <w:rPr>
          <w:rFonts w:ascii="宋体" w:hAnsi="宋体" w:cs="宋体" w:eastAsia="宋体" w:hint="default"/>
          <w:spacing w:val="-2"/>
          <w:sz w:val="18"/>
          <w:szCs w:val="18"/>
        </w:rPr>
        <w:t>及技术，拓展了智慧银行业务，并且突破了银行智能服务型机器人的研发及集成运用，大众体育场馆</w:t>
      </w:r>
      <w:r>
        <w:rPr>
          <w:rFonts w:ascii="宋体" w:hAnsi="宋体" w:cs="宋体" w:eastAsia="宋体" w:hint="default"/>
          <w:spacing w:val="-43"/>
          <w:sz w:val="18"/>
          <w:szCs w:val="18"/>
        </w:rPr>
        <w:t> </w:t>
      </w:r>
      <w:r>
        <w:rPr>
          <w:rFonts w:ascii="宋体" w:hAnsi="宋体" w:cs="宋体" w:eastAsia="宋体" w:hint="default"/>
          <w:sz w:val="18"/>
          <w:szCs w:val="18"/>
        </w:rPr>
        <w:t>O2O</w:t>
      </w:r>
      <w:r>
        <w:rPr>
          <w:rFonts w:ascii="宋体" w:hAnsi="宋体" w:cs="宋体" w:eastAsia="宋体" w:hint="default"/>
          <w:spacing w:val="-44"/>
          <w:sz w:val="18"/>
          <w:szCs w:val="18"/>
        </w:rPr>
        <w:t> </w:t>
      </w:r>
      <w:r>
        <w:rPr>
          <w:rFonts w:ascii="宋体" w:hAnsi="宋体" w:cs="宋体" w:eastAsia="宋体" w:hint="default"/>
          <w:sz w:val="18"/>
          <w:szCs w:val="18"/>
        </w:rPr>
        <w:t>运营平台也逐渐落 地。</w:t>
      </w:r>
      <w:r>
        <w:rPr>
          <w:rFonts w:ascii="宋体" w:hAnsi="宋体" w:cs="宋体" w:eastAsia="宋体" w:hint="default"/>
          <w:b/>
          <w:bCs/>
          <w:sz w:val="18"/>
          <w:szCs w:val="18"/>
        </w:rPr>
        <w:t>全年营业收入和利润等主要经营指标均再创新高，实现了销售规模及行业地位的大跨越。</w:t>
      </w:r>
      <w:r>
        <w:rPr>
          <w:rFonts w:ascii="宋体" w:hAnsi="宋体" w:cs="宋体" w:eastAsia="宋体" w:hint="default"/>
          <w:sz w:val="18"/>
          <w:szCs w:val="18"/>
        </w:rPr>
      </w:r>
    </w:p>
    <w:p>
      <w:pPr>
        <w:pStyle w:val="BodyText"/>
        <w:spacing w:line="319" w:lineRule="auto" w:before="55"/>
        <w:ind w:right="1130" w:firstLine="360"/>
        <w:jc w:val="both"/>
      </w:pPr>
      <w:r>
        <w:rPr>
          <w:spacing w:val="-4"/>
        </w:rPr>
        <w:t>报告期内，公司实现营业收入</w:t>
      </w:r>
      <w:r>
        <w:rPr>
          <w:spacing w:val="-41"/>
        </w:rPr>
        <w:t> </w:t>
      </w:r>
      <w:r>
        <w:rPr>
          <w:rFonts w:ascii="宋体" w:hAnsi="宋体" w:cs="宋体" w:eastAsia="宋体" w:hint="default"/>
        </w:rPr>
        <w:t>104,112.40</w:t>
      </w:r>
      <w:r>
        <w:rPr>
          <w:rFonts w:ascii="宋体" w:hAnsi="宋体" w:cs="宋体" w:eastAsia="宋体" w:hint="default"/>
          <w:spacing w:val="-41"/>
        </w:rPr>
        <w:t> </w:t>
      </w:r>
      <w:r>
        <w:rPr>
          <w:spacing w:val="-7"/>
        </w:rPr>
        <w:t>万元，同比增长</w:t>
      </w:r>
      <w:r>
        <w:rPr>
          <w:spacing w:val="-41"/>
        </w:rPr>
        <w:t> </w:t>
      </w:r>
      <w:r>
        <w:rPr>
          <w:rFonts w:ascii="宋体" w:hAnsi="宋体" w:cs="宋体" w:eastAsia="宋体" w:hint="default"/>
          <w:spacing w:val="-4"/>
        </w:rPr>
        <w:t>127.78%</w:t>
      </w:r>
      <w:r>
        <w:rPr>
          <w:spacing w:val="-4"/>
        </w:rPr>
        <w:t>；实现营业利润</w:t>
      </w:r>
      <w:r>
        <w:rPr>
          <w:spacing w:val="-41"/>
        </w:rPr>
        <w:t> </w:t>
      </w:r>
      <w:r>
        <w:rPr>
          <w:rFonts w:ascii="宋体" w:hAnsi="宋体" w:cs="宋体" w:eastAsia="宋体" w:hint="default"/>
        </w:rPr>
        <w:t>14,009.53</w:t>
      </w:r>
      <w:r>
        <w:rPr>
          <w:rFonts w:ascii="宋体" w:hAnsi="宋体" w:cs="宋体" w:eastAsia="宋体" w:hint="default"/>
          <w:spacing w:val="-41"/>
        </w:rPr>
        <w:t> </w:t>
      </w:r>
      <w:r>
        <w:rPr>
          <w:spacing w:val="-7"/>
        </w:rPr>
        <w:t>万元，同比增长</w:t>
      </w:r>
      <w:r>
        <w:rPr>
          <w:spacing w:val="-41"/>
        </w:rPr>
        <w:t> </w:t>
      </w:r>
      <w:r>
        <w:rPr>
          <w:rFonts w:ascii="宋体" w:hAnsi="宋体" w:cs="宋体" w:eastAsia="宋体" w:hint="default"/>
        </w:rPr>
        <w:t>50.56%</w:t>
      </w:r>
      <w:r>
        <w:rPr/>
        <w:t>； 实现归属于上市公司股东的净利润 </w:t>
      </w:r>
      <w:r>
        <w:rPr>
          <w:rFonts w:ascii="宋体" w:hAnsi="宋体" w:cs="宋体" w:eastAsia="宋体" w:hint="default"/>
        </w:rPr>
        <w:t>13,201.41 </w:t>
      </w:r>
      <w:r>
        <w:rPr/>
        <w:t>万元，同比增长 </w:t>
      </w:r>
      <w:r>
        <w:rPr>
          <w:rFonts w:ascii="宋体" w:hAnsi="宋体" w:cs="宋体" w:eastAsia="宋体" w:hint="default"/>
        </w:rPr>
        <w:t>53.00%</w:t>
      </w:r>
      <w:r>
        <w:rPr/>
        <w:t>。公司综合毛利率为</w:t>
      </w:r>
      <w:r>
        <w:rPr>
          <w:spacing w:val="6"/>
        </w:rPr>
        <w:t> </w:t>
      </w:r>
      <w:r>
        <w:rPr>
          <w:rFonts w:ascii="宋体" w:hAnsi="宋体" w:cs="宋体" w:eastAsia="宋体" w:hint="default"/>
        </w:rPr>
        <w:t>39.76%</w:t>
      </w:r>
      <w:r>
        <w:rPr/>
        <w:t>，经营性现金流净额为 </w:t>
      </w:r>
      <w:r>
        <w:rPr>
          <w:rFonts w:ascii="宋体" w:hAnsi="宋体" w:cs="宋体" w:eastAsia="宋体" w:hint="default"/>
        </w:rPr>
        <w:t>935.70</w:t>
      </w:r>
      <w:r>
        <w:rPr>
          <w:rFonts w:ascii="宋体" w:hAnsi="宋体" w:cs="宋体" w:eastAsia="宋体" w:hint="default"/>
          <w:spacing w:val="-58"/>
        </w:rPr>
        <w:t> </w:t>
      </w:r>
      <w:r>
        <w:rPr/>
        <w:t>万元。尽管由于汇率波动，导致公司报告期内汇兑损失</w:t>
      </w:r>
      <w:r>
        <w:rPr>
          <w:spacing w:val="-58"/>
        </w:rPr>
        <w:t> </w:t>
      </w:r>
      <w:r>
        <w:rPr>
          <w:rFonts w:ascii="宋体" w:hAnsi="宋体" w:cs="宋体" w:eastAsia="宋体" w:hint="default"/>
        </w:rPr>
        <w:t>1,311.05</w:t>
      </w:r>
      <w:r>
        <w:rPr>
          <w:rFonts w:ascii="宋体" w:hAnsi="宋体" w:cs="宋体" w:eastAsia="宋体" w:hint="default"/>
          <w:spacing w:val="-58"/>
        </w:rPr>
        <w:t> </w:t>
      </w:r>
      <w:r>
        <w:rPr/>
        <w:t>万元，公司利润仍然保持大幅增长，实现了年初的 </w:t>
      </w:r>
      <w:r>
        <w:rPr>
          <w:spacing w:val="-2"/>
        </w:rPr>
        <w:t>既定目标。新并购子公司千百辉业绩并表，推动了公司销售收入和利润的快速增长，同时也降低了公司综合毛利率，对公司</w:t>
      </w:r>
      <w:r>
        <w:rPr>
          <w:spacing w:val="-66"/>
        </w:rPr>
        <w:t> </w:t>
      </w:r>
      <w:r>
        <w:rPr>
          <w:spacing w:val="-66"/>
        </w:rPr>
      </w:r>
      <w:r>
        <w:rPr/>
        <w:t>现金流影响较大。报告期内，公司业绩的快速提升，展现了公司整体的竞争力和公司经营发展的良好态势。</w:t>
      </w:r>
    </w:p>
    <w:p>
      <w:pPr>
        <w:spacing w:line="240" w:lineRule="auto" w:before="2"/>
        <w:rPr>
          <w:rFonts w:ascii="宋体" w:hAnsi="宋体" w:cs="宋体" w:eastAsia="宋体" w:hint="default"/>
          <w:sz w:val="5"/>
          <w:szCs w:val="5"/>
        </w:rPr>
      </w:pPr>
    </w:p>
    <w:p>
      <w:pPr>
        <w:spacing w:line="8690" w:lineRule="exact"/>
        <w:ind w:left="1373" w:right="0" w:firstLine="0"/>
        <w:rPr>
          <w:rFonts w:ascii="宋体" w:hAnsi="宋体" w:cs="宋体" w:eastAsia="宋体" w:hint="default"/>
          <w:sz w:val="20"/>
          <w:szCs w:val="20"/>
        </w:rPr>
      </w:pPr>
      <w:r>
        <w:rPr>
          <w:rFonts w:ascii="宋体" w:hAnsi="宋体" w:cs="宋体" w:eastAsia="宋体" w:hint="default"/>
          <w:position w:val="-173"/>
          <w:sz w:val="20"/>
          <w:szCs w:val="20"/>
        </w:rPr>
        <w:pict>
          <v:group style="width:365.25pt;height:434.55pt;mso-position-horizontal-relative:char;mso-position-vertical-relative:line" coordorigin="0,0" coordsize="7305,8691">
            <v:shape style="position:absolute;left:105;top:0;width:7200;height:4323" type="#_x0000_t75" stroked="false">
              <v:imagedata r:id="rId34" o:title=""/>
            </v:shape>
            <v:shape style="position:absolute;left:0;top:4368;width:7200;height:4323" type="#_x0000_t75" stroked="false">
              <v:imagedata r:id="rId35" o:title=""/>
            </v:shape>
          </v:group>
        </w:pict>
      </w:r>
      <w:r>
        <w:rPr>
          <w:rFonts w:ascii="宋体" w:hAnsi="宋体" w:cs="宋体" w:eastAsia="宋体" w:hint="default"/>
          <w:position w:val="-173"/>
          <w:sz w:val="20"/>
          <w:szCs w:val="20"/>
        </w:rPr>
      </w:r>
    </w:p>
    <w:p>
      <w:pPr>
        <w:pStyle w:val="BodyText"/>
        <w:spacing w:line="240" w:lineRule="auto" w:before="75"/>
        <w:ind w:left="513" w:right="0"/>
        <w:jc w:val="left"/>
      </w:pPr>
      <w:r>
        <w:rPr/>
        <w:t>技术创新方面，公司坚持技术领先型全球化发展战略，进一步强化及提升核心产品的竞争力和创造力，研发出第一款拥</w:t>
      </w:r>
    </w:p>
    <w:p>
      <w:pPr>
        <w:spacing w:after="0" w:line="240"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19" w:lineRule="auto" w:before="44"/>
        <w:ind w:right="1130"/>
        <w:jc w:val="both"/>
      </w:pPr>
      <w:r>
        <w:rPr/>
        <w:t>有自主知识产权的</w:t>
      </w:r>
      <w:r>
        <w:rPr>
          <w:spacing w:val="-62"/>
        </w:rPr>
        <w:t> </w:t>
      </w:r>
      <w:r>
        <w:rPr>
          <w:rFonts w:ascii="宋体" w:hAnsi="宋体" w:cs="宋体" w:eastAsia="宋体" w:hint="default"/>
        </w:rPr>
        <w:t>COB</w:t>
      </w:r>
      <w:r>
        <w:rPr>
          <w:rFonts w:ascii="宋体" w:hAnsi="宋体" w:cs="宋体" w:eastAsia="宋体" w:hint="default"/>
          <w:spacing w:val="-62"/>
        </w:rPr>
        <w:t> </w:t>
      </w:r>
      <w:r>
        <w:rPr/>
        <w:t>小间距</w:t>
      </w:r>
      <w:r>
        <w:rPr>
          <w:spacing w:val="-62"/>
        </w:rPr>
        <w:t> </w:t>
      </w:r>
      <w:r>
        <w:rPr>
          <w:rFonts w:ascii="宋体" w:hAnsi="宋体" w:cs="宋体" w:eastAsia="宋体" w:hint="default"/>
        </w:rPr>
        <w:t>LED</w:t>
      </w:r>
      <w:r>
        <w:rPr>
          <w:rFonts w:ascii="宋体" w:hAnsi="宋体" w:cs="宋体" w:eastAsia="宋体" w:hint="default"/>
          <w:spacing w:val="-62"/>
        </w:rPr>
        <w:t> </w:t>
      </w:r>
      <w:r>
        <w:rPr>
          <w:spacing w:val="-5"/>
        </w:rPr>
        <w:t>显示面板产品，推出提升人机交互体验的智能型</w:t>
      </w:r>
      <w:r>
        <w:rPr>
          <w:spacing w:val="-62"/>
        </w:rPr>
        <w:t> </w:t>
      </w:r>
      <w:r>
        <w:rPr>
          <w:rFonts w:ascii="宋体" w:hAnsi="宋体" w:cs="宋体" w:eastAsia="宋体" w:hint="default"/>
        </w:rPr>
        <w:t>LED</w:t>
      </w:r>
      <w:r>
        <w:rPr>
          <w:rFonts w:ascii="宋体" w:hAnsi="宋体" w:cs="宋体" w:eastAsia="宋体" w:hint="default"/>
          <w:spacing w:val="-62"/>
        </w:rPr>
        <w:t> </w:t>
      </w:r>
      <w:r>
        <w:rPr>
          <w:spacing w:val="-7"/>
        </w:rPr>
        <w:t>显示系统，研发出行业领先的</w:t>
      </w:r>
      <w:r>
        <w:rPr>
          <w:spacing w:val="-62"/>
        </w:rPr>
        <w:t> </w:t>
      </w:r>
      <w:r>
        <w:rPr>
          <w:rFonts w:ascii="宋体" w:hAnsi="宋体" w:cs="宋体" w:eastAsia="宋体" w:hint="default"/>
        </w:rPr>
        <w:t>ATLVC-8K </w:t>
      </w:r>
      <w:r>
        <w:rPr>
          <w:spacing w:val="-3"/>
        </w:rPr>
        <w:t>显示控制系统，推出适合商显市场、大交通市场、控制中心及会议室市场等领域的</w:t>
      </w:r>
      <w:r>
        <w:rPr>
          <w:spacing w:val="-39"/>
        </w:rPr>
        <w:t> </w:t>
      </w:r>
      <w:r>
        <w:rPr>
          <w:rFonts w:ascii="宋体" w:hAnsi="宋体" w:cs="宋体" w:eastAsia="宋体" w:hint="default"/>
        </w:rPr>
        <w:t>CLD</w:t>
      </w:r>
      <w:r>
        <w:rPr>
          <w:rFonts w:ascii="宋体" w:hAnsi="宋体" w:cs="宋体" w:eastAsia="宋体" w:hint="default"/>
          <w:spacing w:val="-40"/>
        </w:rPr>
        <w:t> </w:t>
      </w:r>
      <w:r>
        <w:rPr/>
        <w:t>小间距产品以及户外租赁的</w:t>
      </w:r>
      <w:r>
        <w:rPr>
          <w:spacing w:val="-40"/>
        </w:rPr>
        <w:t> </w:t>
      </w:r>
      <w:r>
        <w:rPr>
          <w:rFonts w:ascii="宋体" w:hAnsi="宋体" w:cs="宋体" w:eastAsia="宋体" w:hint="default"/>
        </w:rPr>
        <w:t>MXC</w:t>
      </w:r>
      <w:r>
        <w:rPr>
          <w:rFonts w:ascii="宋体" w:hAnsi="宋体" w:cs="宋体" w:eastAsia="宋体" w:hint="default"/>
          <w:spacing w:val="-40"/>
        </w:rPr>
        <w:t> </w:t>
      </w:r>
      <w:r>
        <w:rPr/>
        <w:t>系列</w:t>
      </w:r>
      <w:r>
        <w:rPr>
          <w:spacing w:val="1"/>
        </w:rPr>
        <w:t> </w:t>
      </w:r>
      <w:r>
        <w:rPr>
          <w:spacing w:val="-2"/>
        </w:rPr>
        <w:t>产品；银行智能服务型机器人也已进行第二代试产阶段，并逐步推向市场；与毕马威及台州银行三方合作的基于区块链的银</w:t>
      </w:r>
      <w:r>
        <w:rPr>
          <w:spacing w:val="-66"/>
        </w:rPr>
        <w:t> </w:t>
      </w:r>
      <w:r>
        <w:rPr>
          <w:spacing w:val="-66"/>
        </w:rPr>
      </w:r>
      <w:r>
        <w:rPr>
          <w:spacing w:val="-2"/>
        </w:rPr>
        <w:t>行电子对账系统的研发也在持续进行中；大众体育场馆</w:t>
      </w:r>
      <w:r>
        <w:rPr>
          <w:spacing w:val="-35"/>
        </w:rPr>
        <w:t> </w:t>
      </w:r>
      <w:r>
        <w:rPr>
          <w:rFonts w:ascii="宋体" w:hAnsi="宋体" w:cs="宋体" w:eastAsia="宋体" w:hint="default"/>
        </w:rPr>
        <w:t>O2O</w:t>
      </w:r>
      <w:r>
        <w:rPr>
          <w:rFonts w:ascii="宋体" w:hAnsi="宋体" w:cs="宋体" w:eastAsia="宋体" w:hint="default"/>
          <w:spacing w:val="-37"/>
        </w:rPr>
        <w:t> </w:t>
      </w:r>
      <w:r>
        <w:rPr>
          <w:spacing w:val="-2"/>
        </w:rPr>
        <w:t>运营平台系统也经历数次迭代升级，大幅提升了场馆用户的使用</w:t>
      </w:r>
      <w:r>
        <w:rPr>
          <w:spacing w:val="-88"/>
        </w:rPr>
        <w:t> </w:t>
      </w:r>
      <w:r>
        <w:rPr>
          <w:spacing w:val="-88"/>
        </w:rPr>
      </w:r>
      <w:r>
        <w:rPr/>
        <w:t>感受。</w:t>
      </w:r>
    </w:p>
    <w:p>
      <w:pPr>
        <w:pStyle w:val="BodyText"/>
        <w:spacing w:line="357" w:lineRule="auto" w:before="56"/>
        <w:ind w:left="513" w:right="1123"/>
        <w:jc w:val="left"/>
      </w:pPr>
      <w:r>
        <w:rPr/>
        <w:t>战略协同方面，千百辉、奥拓立翔等子公司与集团各业务单元的业务协同大幅提升，企业文化融合进展顺利。 </w:t>
      </w:r>
      <w:r>
        <w:rPr>
          <w:rFonts w:ascii="宋体" w:hAnsi="宋体" w:cs="宋体" w:eastAsia="宋体" w:hint="default"/>
        </w:rPr>
        <w:t>2017</w:t>
      </w:r>
      <w:r>
        <w:rPr/>
        <w:t>年，公司在</w:t>
      </w:r>
      <w:r>
        <w:rPr>
          <w:rFonts w:ascii="宋体" w:hAnsi="宋体" w:cs="宋体" w:eastAsia="宋体" w:hint="default"/>
        </w:rPr>
        <w:t>LED</w:t>
      </w:r>
      <w:r>
        <w:rPr/>
        <w:t>应用业务板块、金融科技业务板块、体育新业务板块、投资并购、运营管理、股东回报等方面主要</w:t>
      </w:r>
    </w:p>
    <w:p>
      <w:pPr>
        <w:pStyle w:val="BodyText"/>
        <w:spacing w:line="224" w:lineRule="exact"/>
        <w:ind w:right="0"/>
        <w:jc w:val="both"/>
      </w:pPr>
      <w:r>
        <w:rPr/>
        <w:t>完成的工作情况如下：</w:t>
      </w:r>
    </w:p>
    <w:p>
      <w:pPr>
        <w:spacing w:line="316" w:lineRule="auto" w:before="76"/>
        <w:ind w:left="513" w:right="0" w:firstLine="1"/>
        <w:jc w:val="left"/>
        <w:rPr>
          <w:rFonts w:ascii="宋体" w:hAnsi="宋体" w:cs="宋体" w:eastAsia="宋体" w:hint="default"/>
          <w:sz w:val="18"/>
          <w:szCs w:val="18"/>
        </w:rPr>
      </w:pPr>
      <w:r>
        <w:rPr>
          <w:rFonts w:ascii="宋体" w:hAnsi="宋体" w:cs="宋体" w:eastAsia="宋体" w:hint="default"/>
          <w:b/>
          <w:bCs/>
          <w:sz w:val="18"/>
          <w:szCs w:val="18"/>
        </w:rPr>
        <w:t>1</w:t>
      </w:r>
      <w:r>
        <w:rPr>
          <w:rFonts w:ascii="宋体" w:hAnsi="宋体" w:cs="宋体" w:eastAsia="宋体" w:hint="default"/>
          <w:b/>
          <w:bCs/>
          <w:sz w:val="18"/>
          <w:szCs w:val="18"/>
        </w:rPr>
        <w:t>、</w:t>
      </w:r>
      <w:r>
        <w:rPr>
          <w:rFonts w:ascii="宋体" w:hAnsi="宋体" w:cs="宋体" w:eastAsia="宋体" w:hint="default"/>
          <w:b/>
          <w:bCs/>
          <w:sz w:val="18"/>
          <w:szCs w:val="18"/>
        </w:rPr>
        <w:t>LED</w:t>
      </w:r>
      <w:r>
        <w:rPr>
          <w:rFonts w:ascii="宋体" w:hAnsi="宋体" w:cs="宋体" w:eastAsia="宋体" w:hint="default"/>
          <w:b/>
          <w:bCs/>
          <w:sz w:val="18"/>
          <w:szCs w:val="18"/>
        </w:rPr>
        <w:t>应用——销售规模大幅提升，创新技术再上台阶</w:t>
      </w:r>
      <w:r>
        <w:rPr>
          <w:rFonts w:ascii="宋体" w:hAnsi="宋体" w:cs="宋体" w:eastAsia="宋体" w:hint="default"/>
          <w:b/>
          <w:bCs/>
          <w:w w:val="99"/>
          <w:sz w:val="18"/>
          <w:szCs w:val="18"/>
        </w:rPr>
        <w:t> </w:t>
      </w:r>
      <w:r>
        <w:rPr>
          <w:rFonts w:ascii="宋体" w:hAnsi="宋体" w:cs="宋体" w:eastAsia="宋体" w:hint="default"/>
          <w:spacing w:val="-2"/>
          <w:sz w:val="18"/>
          <w:szCs w:val="18"/>
        </w:rPr>
        <w:t>报告期内，</w:t>
      </w:r>
      <w:r>
        <w:rPr>
          <w:rFonts w:ascii="宋体" w:hAnsi="宋体" w:cs="宋体" w:eastAsia="宋体" w:hint="default"/>
          <w:spacing w:val="-2"/>
          <w:sz w:val="18"/>
          <w:szCs w:val="18"/>
        </w:rPr>
        <w:t>LED</w:t>
      </w:r>
      <w:r>
        <w:rPr>
          <w:rFonts w:ascii="宋体" w:hAnsi="宋体" w:cs="宋体" w:eastAsia="宋体" w:hint="default"/>
          <w:spacing w:val="-2"/>
          <w:sz w:val="18"/>
          <w:szCs w:val="18"/>
        </w:rPr>
        <w:t>应用业务销售规模大幅增长，</w:t>
      </w:r>
      <w:r>
        <w:rPr>
          <w:rFonts w:ascii="宋体" w:hAnsi="宋体" w:cs="宋体" w:eastAsia="宋体" w:hint="default"/>
          <w:spacing w:val="-2"/>
          <w:sz w:val="18"/>
          <w:szCs w:val="18"/>
        </w:rPr>
        <w:t>2017</w:t>
      </w:r>
      <w:r>
        <w:rPr>
          <w:rFonts w:ascii="宋体" w:hAnsi="宋体" w:cs="宋体" w:eastAsia="宋体" w:hint="default"/>
          <w:spacing w:val="-2"/>
          <w:sz w:val="18"/>
          <w:szCs w:val="18"/>
        </w:rPr>
        <w:t>年，</w:t>
      </w:r>
      <w:r>
        <w:rPr>
          <w:rFonts w:ascii="宋体" w:hAnsi="宋体" w:cs="宋体" w:eastAsia="宋体" w:hint="default"/>
          <w:spacing w:val="-2"/>
          <w:sz w:val="18"/>
          <w:szCs w:val="18"/>
        </w:rPr>
        <w:t>LED</w:t>
      </w:r>
      <w:r>
        <w:rPr>
          <w:rFonts w:ascii="宋体" w:hAnsi="宋体" w:cs="宋体" w:eastAsia="宋体" w:hint="default"/>
          <w:spacing w:val="-2"/>
          <w:sz w:val="18"/>
          <w:szCs w:val="18"/>
        </w:rPr>
        <w:t>应用业务销售收入</w:t>
      </w:r>
      <w:r>
        <w:rPr>
          <w:rFonts w:ascii="宋体" w:hAnsi="宋体" w:cs="宋体" w:eastAsia="宋体" w:hint="default"/>
          <w:spacing w:val="-2"/>
          <w:sz w:val="18"/>
          <w:szCs w:val="18"/>
        </w:rPr>
        <w:t>88,872.42</w:t>
      </w:r>
      <w:r>
        <w:rPr>
          <w:rFonts w:ascii="宋体" w:hAnsi="宋体" w:cs="宋体" w:eastAsia="宋体" w:hint="default"/>
          <w:spacing w:val="-2"/>
          <w:sz w:val="18"/>
          <w:szCs w:val="18"/>
        </w:rPr>
        <w:t>万元，相比去年同期增</w:t>
      </w:r>
    </w:p>
    <w:p>
      <w:pPr>
        <w:pStyle w:val="BodyText"/>
        <w:spacing w:line="240" w:lineRule="auto" w:before="19"/>
        <w:ind w:right="0"/>
        <w:jc w:val="both"/>
      </w:pPr>
      <w:r>
        <w:rPr/>
        <w:t>长了</w:t>
      </w:r>
      <w:r>
        <w:rPr>
          <w:rFonts w:ascii="宋体" w:hAnsi="宋体" w:cs="宋体" w:eastAsia="宋体" w:hint="default"/>
        </w:rPr>
        <w:t>148.19%</w:t>
      </w:r>
      <w:r>
        <w:rPr/>
        <w:t>。</w:t>
      </w:r>
    </w:p>
    <w:p>
      <w:pPr>
        <w:spacing w:line="240" w:lineRule="auto" w:before="11"/>
        <w:rPr>
          <w:rFonts w:ascii="宋体" w:hAnsi="宋体" w:cs="宋体" w:eastAsia="宋体" w:hint="default"/>
          <w:sz w:val="6"/>
          <w:szCs w:val="6"/>
        </w:rPr>
      </w:pPr>
    </w:p>
    <w:p>
      <w:pPr>
        <w:spacing w:line="4320" w:lineRule="exact"/>
        <w:ind w:left="1587" w:right="0" w:firstLine="0"/>
        <w:rPr>
          <w:rFonts w:ascii="宋体" w:hAnsi="宋体" w:cs="宋体" w:eastAsia="宋体" w:hint="default"/>
          <w:sz w:val="20"/>
          <w:szCs w:val="20"/>
        </w:rPr>
      </w:pPr>
      <w:r>
        <w:rPr>
          <w:rFonts w:ascii="宋体" w:hAnsi="宋体" w:cs="宋体" w:eastAsia="宋体" w:hint="default"/>
          <w:position w:val="-85"/>
          <w:sz w:val="20"/>
          <w:szCs w:val="20"/>
        </w:rPr>
        <w:drawing>
          <wp:inline distT="0" distB="0" distL="0" distR="0">
            <wp:extent cx="4572635" cy="2743200"/>
            <wp:effectExtent l="0" t="0" r="0" b="0"/>
            <wp:docPr id="39" name="image25.jpeg" descr=""/>
            <wp:cNvGraphicFramePr>
              <a:graphicFrameLocks noChangeAspect="1"/>
            </wp:cNvGraphicFramePr>
            <a:graphic>
              <a:graphicData uri="http://schemas.openxmlformats.org/drawingml/2006/picture">
                <pic:pic>
                  <pic:nvPicPr>
                    <pic:cNvPr id="40" name="image25.jpeg"/>
                    <pic:cNvPicPr/>
                  </pic:nvPicPr>
                  <pic:blipFill>
                    <a:blip r:embed="rId36" cstate="print"/>
                    <a:stretch>
                      <a:fillRect/>
                    </a:stretch>
                  </pic:blipFill>
                  <pic:spPr>
                    <a:xfrm>
                      <a:off x="0" y="0"/>
                      <a:ext cx="4572635" cy="2743200"/>
                    </a:xfrm>
                    <a:prstGeom prst="rect">
                      <a:avLst/>
                    </a:prstGeom>
                  </pic:spPr>
                </pic:pic>
              </a:graphicData>
            </a:graphic>
          </wp:inline>
        </w:drawing>
      </w:r>
      <w:r>
        <w:rPr>
          <w:rFonts w:ascii="宋体" w:hAnsi="宋体" w:cs="宋体" w:eastAsia="宋体" w:hint="default"/>
          <w:position w:val="-85"/>
          <w:sz w:val="20"/>
          <w:szCs w:val="20"/>
        </w:rPr>
      </w:r>
    </w:p>
    <w:p>
      <w:pPr>
        <w:pStyle w:val="BodyText"/>
        <w:spacing w:line="316" w:lineRule="auto" w:before="35"/>
        <w:ind w:right="1129" w:firstLine="360"/>
        <w:jc w:val="both"/>
      </w:pPr>
      <w:r>
        <w:rPr>
          <w:rFonts w:ascii="宋体" w:hAnsi="宋体" w:cs="宋体" w:eastAsia="宋体" w:hint="default"/>
          <w:spacing w:val="-4"/>
        </w:rPr>
        <w:t>2017</w:t>
      </w:r>
      <w:r>
        <w:rPr>
          <w:spacing w:val="-4"/>
        </w:rPr>
        <w:t>年，公司在延续去年销售策略的基础上，加大了</w:t>
      </w:r>
      <w:r>
        <w:rPr>
          <w:rFonts w:ascii="宋体" w:hAnsi="宋体" w:cs="宋体" w:eastAsia="宋体" w:hint="default"/>
          <w:spacing w:val="-4"/>
        </w:rPr>
        <w:t>LED</w:t>
      </w:r>
      <w:r>
        <w:rPr>
          <w:spacing w:val="-4"/>
        </w:rPr>
        <w:t>应用各业务单元的战略协同，有效地提升了内部资源的转换率，</w:t>
      </w:r>
      <w:r>
        <w:rPr/>
        <w:t> </w:t>
      </w:r>
      <w:r>
        <w:rPr>
          <w:spacing w:val="-2"/>
        </w:rPr>
        <w:t>从而更好地提升业务板块的整体盈利能力。公司积极采取大市场营销战略，重点加强海外营销服务平台的建设，网罗优秀的</w:t>
      </w:r>
      <w:r>
        <w:rPr>
          <w:spacing w:val="-66"/>
        </w:rPr>
        <w:t> </w:t>
      </w:r>
      <w:r>
        <w:rPr>
          <w:spacing w:val="-66"/>
        </w:rPr>
      </w:r>
      <w:r>
        <w:rPr/>
        <w:t>营销服务人才。同时，升级公司的高密度</w:t>
      </w:r>
      <w:r>
        <w:rPr>
          <w:rFonts w:ascii="宋体" w:hAnsi="宋体" w:cs="宋体" w:eastAsia="宋体" w:hint="default"/>
        </w:rPr>
        <w:t>LED</w:t>
      </w:r>
      <w:r>
        <w:rPr/>
        <w:t>显示产品，凭借自身在</w:t>
      </w:r>
      <w:r>
        <w:rPr>
          <w:rFonts w:ascii="宋体" w:hAnsi="宋体" w:cs="宋体" w:eastAsia="宋体" w:hint="default"/>
        </w:rPr>
        <w:t>LED</w:t>
      </w:r>
      <w:r>
        <w:rPr/>
        <w:t>显示控制系统的优势，加大对户外高密度</w:t>
      </w:r>
      <w:r>
        <w:rPr>
          <w:rFonts w:ascii="宋体" w:hAnsi="宋体" w:cs="宋体" w:eastAsia="宋体" w:hint="default"/>
        </w:rPr>
        <w:t>LED</w:t>
      </w:r>
      <w:r>
        <w:rPr/>
        <w:t>产品市</w:t>
      </w:r>
      <w:r>
        <w:rPr>
          <w:spacing w:val="-83"/>
        </w:rPr>
        <w:t> </w:t>
      </w:r>
      <w:r>
        <w:rPr>
          <w:spacing w:val="-5"/>
        </w:rPr>
        <w:t>场的拓展，提升市场份额。公司的产品在大交通、高端零售、高端会议系统和监控系统等行业的市场拓展取得了较好的成绩，</w:t>
      </w:r>
      <w:r>
        <w:rPr>
          <w:spacing w:val="-81"/>
        </w:rPr>
        <w:t> </w:t>
      </w:r>
      <w:r>
        <w:rPr>
          <w:spacing w:val="-81"/>
        </w:rPr>
      </w:r>
      <w:r>
        <w:rPr>
          <w:spacing w:val="-5"/>
        </w:rPr>
        <w:t>优质项目包括新加坡樟宜机场、广州市白云机场、重庆市江北机场、中国电信北京公司、俄罗斯联合会杯、法兰克福车展等，</w:t>
      </w:r>
      <w:r>
        <w:rPr>
          <w:spacing w:val="-80"/>
        </w:rPr>
        <w:t> </w:t>
      </w:r>
      <w:r>
        <w:rPr>
          <w:spacing w:val="-80"/>
        </w:rPr>
      </w:r>
      <w:r>
        <w:rPr/>
        <w:t>进一步提升公司产品在全球的影响力及知名度。</w:t>
      </w:r>
    </w:p>
    <w:p>
      <w:pPr>
        <w:spacing w:line="240" w:lineRule="auto" w:before="8"/>
        <w:rPr>
          <w:rFonts w:ascii="宋体" w:hAnsi="宋体" w:cs="宋体" w:eastAsia="宋体" w:hint="default"/>
          <w:sz w:val="2"/>
          <w:szCs w:val="2"/>
        </w:rPr>
      </w:pPr>
    </w:p>
    <w:p>
      <w:pPr>
        <w:spacing w:line="2116" w:lineRule="exact"/>
        <w:ind w:left="2044" w:right="0" w:firstLine="0"/>
        <w:rPr>
          <w:rFonts w:ascii="宋体" w:hAnsi="宋体" w:cs="宋体" w:eastAsia="宋体" w:hint="default"/>
          <w:sz w:val="20"/>
          <w:szCs w:val="20"/>
        </w:rPr>
      </w:pPr>
      <w:r>
        <w:rPr>
          <w:rFonts w:ascii="宋体" w:hAnsi="宋体" w:cs="宋体" w:eastAsia="宋体" w:hint="default"/>
          <w:position w:val="-41"/>
          <w:sz w:val="20"/>
          <w:szCs w:val="20"/>
        </w:rPr>
        <w:drawing>
          <wp:inline distT="0" distB="0" distL="0" distR="0">
            <wp:extent cx="3757635" cy="1344168"/>
            <wp:effectExtent l="0" t="0" r="0" b="0"/>
            <wp:docPr id="41" name="image26.png" descr=""/>
            <wp:cNvGraphicFramePr>
              <a:graphicFrameLocks noChangeAspect="1"/>
            </wp:cNvGraphicFramePr>
            <a:graphic>
              <a:graphicData uri="http://schemas.openxmlformats.org/drawingml/2006/picture">
                <pic:pic>
                  <pic:nvPicPr>
                    <pic:cNvPr id="42" name="image26.png"/>
                    <pic:cNvPicPr/>
                  </pic:nvPicPr>
                  <pic:blipFill>
                    <a:blip r:embed="rId37" cstate="print"/>
                    <a:stretch>
                      <a:fillRect/>
                    </a:stretch>
                  </pic:blipFill>
                  <pic:spPr>
                    <a:xfrm>
                      <a:off x="0" y="0"/>
                      <a:ext cx="3757635" cy="1344168"/>
                    </a:xfrm>
                    <a:prstGeom prst="rect">
                      <a:avLst/>
                    </a:prstGeom>
                  </pic:spPr>
                </pic:pic>
              </a:graphicData>
            </a:graphic>
          </wp:inline>
        </w:drawing>
      </w:r>
      <w:r>
        <w:rPr>
          <w:rFonts w:ascii="宋体" w:hAnsi="宋体" w:cs="宋体" w:eastAsia="宋体" w:hint="default"/>
          <w:position w:val="-41"/>
          <w:sz w:val="20"/>
          <w:szCs w:val="20"/>
        </w:rPr>
      </w:r>
    </w:p>
    <w:p>
      <w:pPr>
        <w:pStyle w:val="BodyText"/>
        <w:tabs>
          <w:tab w:pos="6086" w:val="left" w:leader="none"/>
        </w:tabs>
        <w:spacing w:line="316" w:lineRule="auto" w:before="53"/>
        <w:ind w:left="513" w:right="1131" w:firstLine="2603"/>
        <w:jc w:val="left"/>
      </w:pPr>
      <w:r>
        <w:rPr>
          <w:spacing w:val="-1"/>
        </w:rPr>
        <w:t>广州白云机场项目</w:t>
        <w:tab/>
      </w:r>
      <w:r>
        <w:rPr/>
        <w:t>重庆江北机场项目</w:t>
      </w:r>
      <w:r>
        <w:rPr/>
        <w:t> 报告期内，</w:t>
      </w:r>
      <w:r>
        <w:rPr>
          <w:rFonts w:ascii="宋体" w:hAnsi="宋体" w:cs="宋体" w:eastAsia="宋体" w:hint="default"/>
        </w:rPr>
        <w:t>LED</w:t>
      </w:r>
      <w:r>
        <w:rPr/>
        <w:t>景观照明迎来行业井喷期，各地政府纷纷加速建设城市景观照明，城市室外夜景照明已经从以前的房地</w:t>
      </w:r>
    </w:p>
    <w:p>
      <w:pPr>
        <w:pStyle w:val="BodyText"/>
        <w:spacing w:line="316" w:lineRule="auto" w:before="19"/>
        <w:ind w:right="1129"/>
        <w:jc w:val="both"/>
      </w:pPr>
      <w:r>
        <w:rPr>
          <w:spacing w:val="-2"/>
        </w:rPr>
        <w:t>产楼体亮化逐渐拓展到城市景观照明，城市景观照明市场空间巨大。公司全资子公司千百辉完成了厦门金砖五国会议国际会</w:t>
      </w:r>
      <w:r>
        <w:rPr>
          <w:spacing w:val="-63"/>
        </w:rPr>
        <w:t> </w:t>
      </w:r>
      <w:r>
        <w:rPr>
          <w:spacing w:val="-63"/>
        </w:rPr>
      </w:r>
      <w:r>
        <w:rPr/>
        <w:t>议中心、东莞华阳湖、赣州中心城区、宁波中山路、重庆鱼子岗等重点项目的建设，提升了公司在</w:t>
      </w:r>
      <w:r>
        <w:rPr>
          <w:rFonts w:ascii="宋体" w:hAnsi="宋体" w:cs="宋体" w:eastAsia="宋体" w:hint="default"/>
        </w:rPr>
        <w:t>LED</w:t>
      </w:r>
      <w:r>
        <w:rPr/>
        <w:t>景观照明行业的规模</w:t>
      </w:r>
      <w:r>
        <w:rPr>
          <w:spacing w:val="-81"/>
        </w:rPr>
        <w:t> </w:t>
      </w:r>
      <w:r>
        <w:rPr>
          <w:spacing w:val="-81"/>
        </w:rPr>
      </w:r>
      <w:r>
        <w:rPr/>
        <w:t>及地位。同时，随着城镇化建设加速、智慧城市、夜游经济等概念崛起，</w:t>
      </w:r>
      <w:r>
        <w:rPr>
          <w:rFonts w:ascii="宋体" w:hAnsi="宋体" w:cs="宋体" w:eastAsia="宋体" w:hint="default"/>
        </w:rPr>
        <w:t>LED</w:t>
      </w:r>
      <w:r>
        <w:rPr/>
        <w:t>显示屏应用加速向市政工程方面渗透，需求明</w:t>
      </w:r>
      <w:r>
        <w:rPr>
          <w:spacing w:val="-82"/>
        </w:rPr>
        <w:t> </w:t>
      </w:r>
      <w:r>
        <w:rPr>
          <w:spacing w:val="-82"/>
        </w:rPr>
      </w:r>
      <w:r>
        <w:rPr/>
        <w:t>显较过去增多，千百辉与公司</w:t>
      </w:r>
      <w:r>
        <w:rPr>
          <w:rFonts w:ascii="宋体" w:hAnsi="宋体" w:cs="宋体" w:eastAsia="宋体" w:hint="default"/>
        </w:rPr>
        <w:t>LED</w:t>
      </w:r>
      <w:r>
        <w:rPr/>
        <w:t>应用其他业务单元的合作也更加紧密，通过下游渠道资源共享带动规模提升。</w:t>
      </w:r>
    </w:p>
    <w:p>
      <w:pPr>
        <w:spacing w:after="0" w:line="316" w:lineRule="auto"/>
        <w:jc w:val="both"/>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9"/>
          <w:szCs w:val="19"/>
        </w:rPr>
      </w:pPr>
    </w:p>
    <w:p>
      <w:pPr>
        <w:spacing w:line="4089" w:lineRule="exact"/>
        <w:ind w:left="1554" w:right="0" w:firstLine="0"/>
        <w:rPr>
          <w:rFonts w:ascii="宋体" w:hAnsi="宋体" w:cs="宋体" w:eastAsia="宋体" w:hint="default"/>
          <w:sz w:val="20"/>
          <w:szCs w:val="20"/>
        </w:rPr>
      </w:pPr>
      <w:r>
        <w:rPr>
          <w:rFonts w:ascii="宋体" w:hAnsi="宋体" w:cs="宋体" w:eastAsia="宋体" w:hint="default"/>
          <w:position w:val="-81"/>
          <w:sz w:val="20"/>
          <w:szCs w:val="20"/>
        </w:rPr>
        <w:drawing>
          <wp:inline distT="0" distB="0" distL="0" distR="0">
            <wp:extent cx="4615857" cy="2596896"/>
            <wp:effectExtent l="0" t="0" r="0" b="0"/>
            <wp:docPr id="43" name="image27.jpeg" descr=""/>
            <wp:cNvGraphicFramePr>
              <a:graphicFrameLocks noChangeAspect="1"/>
            </wp:cNvGraphicFramePr>
            <a:graphic>
              <a:graphicData uri="http://schemas.openxmlformats.org/drawingml/2006/picture">
                <pic:pic>
                  <pic:nvPicPr>
                    <pic:cNvPr id="44" name="image27.jpeg"/>
                    <pic:cNvPicPr/>
                  </pic:nvPicPr>
                  <pic:blipFill>
                    <a:blip r:embed="rId38" cstate="print"/>
                    <a:stretch>
                      <a:fillRect/>
                    </a:stretch>
                  </pic:blipFill>
                  <pic:spPr>
                    <a:xfrm>
                      <a:off x="0" y="0"/>
                      <a:ext cx="4615857" cy="2596896"/>
                    </a:xfrm>
                    <a:prstGeom prst="rect">
                      <a:avLst/>
                    </a:prstGeom>
                  </pic:spPr>
                </pic:pic>
              </a:graphicData>
            </a:graphic>
          </wp:inline>
        </w:drawing>
      </w:r>
      <w:r>
        <w:rPr>
          <w:rFonts w:ascii="宋体" w:hAnsi="宋体" w:cs="宋体" w:eastAsia="宋体" w:hint="default"/>
          <w:position w:val="-81"/>
          <w:sz w:val="20"/>
          <w:szCs w:val="20"/>
        </w:rPr>
      </w:r>
    </w:p>
    <w:p>
      <w:pPr>
        <w:spacing w:line="240" w:lineRule="auto" w:before="1"/>
        <w:rPr>
          <w:rFonts w:ascii="宋体" w:hAnsi="宋体" w:cs="宋体" w:eastAsia="宋体" w:hint="default"/>
          <w:sz w:val="8"/>
          <w:szCs w:val="8"/>
        </w:rPr>
      </w:pPr>
    </w:p>
    <w:p>
      <w:pPr>
        <w:pStyle w:val="BodyText"/>
        <w:spacing w:line="316" w:lineRule="auto" w:before="44"/>
        <w:ind w:left="513" w:right="0" w:firstLine="3234"/>
        <w:jc w:val="left"/>
      </w:pPr>
      <w:r>
        <w:rPr/>
        <w:t>厦门金砖五国会议国际会议中心项目 </w:t>
      </w:r>
      <w:r>
        <w:rPr>
          <w:spacing w:val="-2"/>
        </w:rPr>
        <w:t>报告期内，公司对核心产品进行更新迭代，将行业领先的新技术融入到产品的前期研发中，增强公司产品的核心竞争力</w:t>
      </w:r>
    </w:p>
    <w:p>
      <w:pPr>
        <w:pStyle w:val="BodyText"/>
        <w:spacing w:line="316" w:lineRule="auto" w:before="19"/>
        <w:ind w:right="1129"/>
        <w:jc w:val="both"/>
      </w:pPr>
      <w:r>
        <w:rPr>
          <w:spacing w:val="-2"/>
        </w:rPr>
        <w:t>及创新力，同时巩固了研发技术的领先地位。公司研发出第一款拥有自主知识产权的</w:t>
      </w:r>
      <w:r>
        <w:rPr>
          <w:rFonts w:ascii="宋体" w:hAnsi="宋体" w:cs="宋体" w:eastAsia="宋体" w:hint="default"/>
          <w:spacing w:val="-2"/>
        </w:rPr>
        <w:t>COB</w:t>
      </w:r>
      <w:r>
        <w:rPr>
          <w:spacing w:val="-2"/>
        </w:rPr>
        <w:t>小间距</w:t>
      </w:r>
      <w:r>
        <w:rPr>
          <w:rFonts w:ascii="宋体" w:hAnsi="宋体" w:cs="宋体" w:eastAsia="宋体" w:hint="default"/>
          <w:spacing w:val="-2"/>
        </w:rPr>
        <w:t>LED</w:t>
      </w:r>
      <w:r>
        <w:rPr>
          <w:spacing w:val="-2"/>
        </w:rPr>
        <w:t>显示面板产品，并在</w:t>
      </w:r>
      <w:r>
        <w:rPr>
          <w:rFonts w:ascii="宋体" w:hAnsi="宋体" w:cs="宋体" w:eastAsia="宋体" w:hint="default"/>
          <w:spacing w:val="-2"/>
        </w:rPr>
        <w:t>2018</w:t>
      </w:r>
      <w:r>
        <w:rPr>
          <w:rFonts w:ascii="宋体" w:hAnsi="宋体" w:cs="宋体" w:eastAsia="宋体" w:hint="default"/>
          <w:spacing w:val="-56"/>
        </w:rPr>
        <w:t> </w:t>
      </w:r>
      <w:r>
        <w:rPr/>
        <w:t>年荷兰</w:t>
      </w:r>
      <w:r>
        <w:rPr>
          <w:rFonts w:ascii="宋体" w:hAnsi="宋体" w:cs="宋体" w:eastAsia="宋体" w:hint="default"/>
        </w:rPr>
        <w:t>ISE</w:t>
      </w:r>
      <w:r>
        <w:rPr/>
        <w:t>展会上展出；推出新一代智能型</w:t>
      </w:r>
      <w:r>
        <w:rPr>
          <w:rFonts w:ascii="宋体" w:hAnsi="宋体" w:cs="宋体" w:eastAsia="宋体" w:hint="default"/>
        </w:rPr>
        <w:t>LED</w:t>
      </w:r>
      <w:r>
        <w:rPr/>
        <w:t>显示系统，通过运用人工智能技术，增强</w:t>
      </w:r>
      <w:r>
        <w:rPr>
          <w:rFonts w:ascii="宋体" w:hAnsi="宋体" w:cs="宋体" w:eastAsia="宋体" w:hint="default"/>
        </w:rPr>
        <w:t>LED</w:t>
      </w:r>
      <w:r>
        <w:rPr/>
        <w:t>显示屏的人机交互能力，提升用</w:t>
      </w:r>
      <w:r>
        <w:rPr>
          <w:spacing w:val="-83"/>
        </w:rPr>
        <w:t> </w:t>
      </w:r>
      <w:r>
        <w:rPr>
          <w:spacing w:val="-83"/>
        </w:rPr>
      </w:r>
      <w:r>
        <w:rPr>
          <w:spacing w:val="-6"/>
        </w:rPr>
        <w:t>户的使用感受；研发出行业领先的</w:t>
      </w:r>
      <w:r>
        <w:rPr>
          <w:rFonts w:ascii="宋体" w:hAnsi="宋体" w:cs="宋体" w:eastAsia="宋体" w:hint="default"/>
          <w:spacing w:val="-6"/>
        </w:rPr>
        <w:t>ATLVC-8K</w:t>
      </w:r>
      <w:r>
        <w:rPr>
          <w:spacing w:val="-6"/>
        </w:rPr>
        <w:t>显示控制系统，主要针对租赁、舞台行业、监控室、演播室使用；</w:t>
      </w:r>
      <w:r>
        <w:rPr>
          <w:rFonts w:ascii="宋体" w:hAnsi="宋体" w:cs="宋体" w:eastAsia="宋体" w:hint="default"/>
          <w:spacing w:val="-6"/>
        </w:rPr>
        <w:t>CLD</w:t>
      </w:r>
      <w:r>
        <w:rPr>
          <w:rFonts w:ascii="宋体" w:hAnsi="宋体" w:cs="宋体" w:eastAsia="宋体" w:hint="default"/>
          <w:spacing w:val="-30"/>
        </w:rPr>
        <w:t> </w:t>
      </w:r>
      <w:r>
        <w:rPr>
          <w:rFonts w:ascii="宋体" w:hAnsi="宋体" w:cs="宋体" w:eastAsia="宋体" w:hint="default"/>
        </w:rPr>
        <w:t>(Commercial</w:t>
      </w:r>
      <w:r>
        <w:rPr>
          <w:rFonts w:ascii="宋体" w:hAnsi="宋体" w:cs="宋体" w:eastAsia="宋体" w:hint="default"/>
          <w:spacing w:val="-86"/>
        </w:rPr>
        <w:t> </w:t>
      </w:r>
      <w:r>
        <w:rPr>
          <w:rFonts w:ascii="宋体" w:hAnsi="宋体" w:cs="宋体" w:eastAsia="宋体" w:hint="default"/>
          <w:spacing w:val="-86"/>
        </w:rPr>
      </w:r>
      <w:r>
        <w:rPr>
          <w:rFonts w:ascii="宋体" w:hAnsi="宋体" w:cs="宋体" w:eastAsia="宋体" w:hint="default"/>
        </w:rPr>
        <w:t>LED</w:t>
      </w:r>
      <w:r>
        <w:rPr>
          <w:rFonts w:ascii="宋体" w:hAnsi="宋体" w:cs="宋体" w:eastAsia="宋体" w:hint="default"/>
          <w:spacing w:val="-36"/>
        </w:rPr>
        <w:t> </w:t>
      </w:r>
      <w:r>
        <w:rPr>
          <w:rFonts w:ascii="宋体" w:hAnsi="宋体" w:cs="宋体" w:eastAsia="宋体" w:hint="default"/>
          <w:spacing w:val="-1"/>
        </w:rPr>
        <w:t>Display)</w:t>
      </w:r>
      <w:r>
        <w:rPr>
          <w:spacing w:val="-1"/>
        </w:rPr>
        <w:t>是公司专为商业显示应用量身定制的高品质高扩展性显示产品，广泛应用于高端零售、交通信息（航空及轨道</w:t>
      </w:r>
      <w:r>
        <w:rPr>
          <w:spacing w:val="-87"/>
        </w:rPr>
        <w:t> </w:t>
      </w:r>
      <w:r>
        <w:rPr>
          <w:spacing w:val="-87"/>
        </w:rPr>
      </w:r>
      <w:r>
        <w:rPr/>
        <w:t>交通）、指挥中心、会议中心和演播中心等领域；面向户内外租赁客户，公司推出了碳纤维材料的</w:t>
      </w:r>
      <w:r>
        <w:rPr>
          <w:rFonts w:ascii="宋体" w:hAnsi="宋体" w:cs="宋体" w:eastAsia="宋体" w:hint="default"/>
        </w:rPr>
        <w:t>MXE</w:t>
      </w:r>
      <w:r>
        <w:rPr/>
        <w:t>系列产品；同时，为</w:t>
      </w:r>
      <w:r>
        <w:rPr>
          <w:spacing w:val="-81"/>
        </w:rPr>
        <w:t> </w:t>
      </w:r>
      <w:r>
        <w:rPr>
          <w:spacing w:val="-81"/>
        </w:rPr>
      </w:r>
      <w:r>
        <w:rPr/>
        <w:t>了解决政府和企业会议室无线一键投屏，自适应缩放等需求，公司为客户量身定制了专业的处理器。</w:t>
      </w:r>
    </w:p>
    <w:p>
      <w:pPr>
        <w:spacing w:line="240" w:lineRule="auto" w:before="2"/>
        <w:rPr>
          <w:rFonts w:ascii="宋体" w:hAnsi="宋体" w:cs="宋体" w:eastAsia="宋体" w:hint="default"/>
          <w:sz w:val="8"/>
          <w:szCs w:val="8"/>
        </w:rPr>
      </w:pPr>
    </w:p>
    <w:p>
      <w:pPr>
        <w:spacing w:line="2610" w:lineRule="exact"/>
        <w:ind w:left="1866" w:right="0" w:firstLine="0"/>
        <w:rPr>
          <w:rFonts w:ascii="宋体" w:hAnsi="宋体" w:cs="宋体" w:eastAsia="宋体" w:hint="default"/>
          <w:sz w:val="20"/>
          <w:szCs w:val="20"/>
        </w:rPr>
      </w:pPr>
      <w:r>
        <w:rPr>
          <w:rFonts w:ascii="宋体" w:hAnsi="宋体" w:cs="宋体" w:eastAsia="宋体" w:hint="default"/>
          <w:position w:val="-51"/>
          <w:sz w:val="20"/>
          <w:szCs w:val="20"/>
        </w:rPr>
        <w:pict>
          <v:group style="width:332.15pt;height:130.5pt;mso-position-horizontal-relative:char;mso-position-vertical-relative:line" coordorigin="0,0" coordsize="6643,2610">
            <v:shape style="position:absolute;left:0;top:0;width:2078;height:2608" type="#_x0000_t75" stroked="false">
              <v:imagedata r:id="rId39" o:title=""/>
            </v:shape>
            <v:shape style="position:absolute;left:2078;top:953;width:4565;height:1657" type="#_x0000_t75" stroked="false">
              <v:imagedata r:id="rId40" o:title=""/>
            </v:shape>
          </v:group>
        </w:pict>
      </w:r>
      <w:r>
        <w:rPr>
          <w:rFonts w:ascii="宋体" w:hAnsi="宋体" w:cs="宋体" w:eastAsia="宋体" w:hint="default"/>
          <w:position w:val="-51"/>
          <w:sz w:val="20"/>
          <w:szCs w:val="20"/>
        </w:rPr>
      </w:r>
    </w:p>
    <w:p>
      <w:pPr>
        <w:pStyle w:val="BodyText"/>
        <w:tabs>
          <w:tab w:pos="5824" w:val="left" w:leader="none"/>
        </w:tabs>
        <w:spacing w:line="240" w:lineRule="auto" w:before="110"/>
        <w:ind w:left="1954" w:right="0"/>
        <w:jc w:val="left"/>
      </w:pPr>
      <w:r>
        <w:rPr>
          <w:rFonts w:ascii="宋体" w:hAnsi="宋体" w:cs="宋体" w:eastAsia="宋体" w:hint="default"/>
        </w:rPr>
        <w:t>ATLVC-8K</w:t>
      </w:r>
      <w:r>
        <w:rPr/>
        <w:t>显示控制系统</w:t>
        <w:tab/>
        <w:t>奥拓会议处理器</w:t>
      </w:r>
    </w:p>
    <w:p>
      <w:pPr>
        <w:spacing w:line="240" w:lineRule="auto" w:before="11"/>
        <w:rPr>
          <w:rFonts w:ascii="宋体" w:hAnsi="宋体" w:cs="宋体" w:eastAsia="宋体" w:hint="default"/>
          <w:sz w:val="8"/>
          <w:szCs w:val="8"/>
        </w:rPr>
      </w:pPr>
    </w:p>
    <w:p>
      <w:pPr>
        <w:tabs>
          <w:tab w:pos="5570" w:val="left" w:leader="none"/>
        </w:tabs>
        <w:spacing w:line="3326" w:lineRule="exact"/>
        <w:ind w:left="1519" w:right="0" w:firstLine="0"/>
        <w:rPr>
          <w:rFonts w:ascii="宋体" w:hAnsi="宋体" w:cs="宋体" w:eastAsia="宋体" w:hint="default"/>
          <w:sz w:val="20"/>
          <w:szCs w:val="20"/>
        </w:rPr>
      </w:pPr>
      <w:r>
        <w:rPr>
          <w:rFonts w:ascii="宋体"/>
          <w:position w:val="-66"/>
          <w:sz w:val="20"/>
        </w:rPr>
        <w:drawing>
          <wp:inline distT="0" distB="0" distL="0" distR="0">
            <wp:extent cx="1636802" cy="1852422"/>
            <wp:effectExtent l="0" t="0" r="0" b="0"/>
            <wp:docPr id="45" name="image30.jpeg" descr=""/>
            <wp:cNvGraphicFramePr>
              <a:graphicFrameLocks noChangeAspect="1"/>
            </wp:cNvGraphicFramePr>
            <a:graphic>
              <a:graphicData uri="http://schemas.openxmlformats.org/drawingml/2006/picture">
                <pic:pic>
                  <pic:nvPicPr>
                    <pic:cNvPr id="46" name="image30.jpeg"/>
                    <pic:cNvPicPr/>
                  </pic:nvPicPr>
                  <pic:blipFill>
                    <a:blip r:embed="rId41" cstate="print"/>
                    <a:stretch>
                      <a:fillRect/>
                    </a:stretch>
                  </pic:blipFill>
                  <pic:spPr>
                    <a:xfrm>
                      <a:off x="0" y="0"/>
                      <a:ext cx="1636802" cy="1852422"/>
                    </a:xfrm>
                    <a:prstGeom prst="rect">
                      <a:avLst/>
                    </a:prstGeom>
                  </pic:spPr>
                </pic:pic>
              </a:graphicData>
            </a:graphic>
          </wp:inline>
        </w:drawing>
      </w:r>
      <w:r>
        <w:rPr>
          <w:rFonts w:ascii="宋体"/>
          <w:position w:val="-66"/>
          <w:sz w:val="20"/>
        </w:rPr>
      </w:r>
      <w:r>
        <w:rPr>
          <w:rFonts w:ascii="宋体"/>
          <w:position w:val="-66"/>
          <w:sz w:val="20"/>
        </w:rPr>
        <w:tab/>
      </w:r>
      <w:r>
        <w:rPr>
          <w:rFonts w:ascii="宋体"/>
          <w:position w:val="-65"/>
          <w:sz w:val="20"/>
        </w:rPr>
        <w:drawing>
          <wp:inline distT="0" distB="0" distL="0" distR="0">
            <wp:extent cx="1456536" cy="2111216"/>
            <wp:effectExtent l="0" t="0" r="0" b="0"/>
            <wp:docPr id="47" name="image31.jpeg" descr=""/>
            <wp:cNvGraphicFramePr>
              <a:graphicFrameLocks noChangeAspect="1"/>
            </wp:cNvGraphicFramePr>
            <a:graphic>
              <a:graphicData uri="http://schemas.openxmlformats.org/drawingml/2006/picture">
                <pic:pic>
                  <pic:nvPicPr>
                    <pic:cNvPr id="48" name="image31.jpeg"/>
                    <pic:cNvPicPr/>
                  </pic:nvPicPr>
                  <pic:blipFill>
                    <a:blip r:embed="rId42" cstate="print"/>
                    <a:stretch>
                      <a:fillRect/>
                    </a:stretch>
                  </pic:blipFill>
                  <pic:spPr>
                    <a:xfrm>
                      <a:off x="0" y="0"/>
                      <a:ext cx="1456536" cy="2111216"/>
                    </a:xfrm>
                    <a:prstGeom prst="rect">
                      <a:avLst/>
                    </a:prstGeom>
                  </pic:spPr>
                </pic:pic>
              </a:graphicData>
            </a:graphic>
          </wp:inline>
        </w:drawing>
      </w:r>
      <w:r>
        <w:rPr>
          <w:rFonts w:ascii="宋体"/>
          <w:position w:val="-65"/>
          <w:sz w:val="20"/>
        </w:rPr>
      </w:r>
    </w:p>
    <w:p>
      <w:pPr>
        <w:pStyle w:val="BodyText"/>
        <w:tabs>
          <w:tab w:pos="6284" w:val="left" w:leader="none"/>
        </w:tabs>
        <w:spacing w:line="240" w:lineRule="auto" w:before="67"/>
        <w:ind w:left="2414" w:right="0"/>
        <w:jc w:val="left"/>
      </w:pPr>
      <w:r>
        <w:rPr>
          <w:rFonts w:ascii="宋体" w:hAnsi="宋体" w:cs="宋体" w:eastAsia="宋体" w:hint="default"/>
        </w:rPr>
        <w:t>CLD</w:t>
      </w:r>
      <w:r>
        <w:rPr/>
        <w:t>系列</w:t>
        <w:tab/>
      </w:r>
      <w:r>
        <w:rPr>
          <w:rFonts w:ascii="宋体" w:hAnsi="宋体" w:cs="宋体" w:eastAsia="宋体" w:hint="default"/>
        </w:rPr>
        <w:t>MXE</w:t>
      </w:r>
      <w:r>
        <w:rPr/>
        <w:t>系列</w:t>
      </w:r>
    </w:p>
    <w:p>
      <w:pPr>
        <w:spacing w:after="0" w:line="240"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spacing w:line="316" w:lineRule="auto" w:before="44"/>
        <w:ind w:left="513" w:right="0" w:hanging="2"/>
        <w:jc w:val="left"/>
        <w:rPr>
          <w:rFonts w:ascii="宋体" w:hAnsi="宋体" w:cs="宋体" w:eastAsia="宋体" w:hint="default"/>
          <w:sz w:val="18"/>
          <w:szCs w:val="18"/>
        </w:rPr>
      </w:pPr>
      <w:r>
        <w:rPr>
          <w:rFonts w:ascii="宋体" w:hAnsi="宋体" w:cs="宋体" w:eastAsia="宋体" w:hint="default"/>
          <w:b/>
          <w:bCs/>
          <w:sz w:val="18"/>
          <w:szCs w:val="18"/>
        </w:rPr>
        <w:t>2</w:t>
      </w:r>
      <w:r>
        <w:rPr>
          <w:rFonts w:ascii="宋体" w:hAnsi="宋体" w:cs="宋体" w:eastAsia="宋体" w:hint="default"/>
          <w:b/>
          <w:bCs/>
          <w:sz w:val="18"/>
          <w:szCs w:val="18"/>
        </w:rPr>
        <w:t>、金融科技——销售规模再创新高，智慧银行逐渐落地</w:t>
      </w:r>
      <w:r>
        <w:rPr>
          <w:rFonts w:ascii="宋体" w:hAnsi="宋体" w:cs="宋体" w:eastAsia="宋体" w:hint="default"/>
          <w:b/>
          <w:bCs/>
          <w:w w:val="99"/>
          <w:sz w:val="18"/>
          <w:szCs w:val="18"/>
        </w:rPr>
        <w:t> </w:t>
      </w:r>
      <w:r>
        <w:rPr>
          <w:rFonts w:ascii="宋体" w:hAnsi="宋体" w:cs="宋体" w:eastAsia="宋体" w:hint="default"/>
          <w:spacing w:val="-2"/>
          <w:sz w:val="18"/>
          <w:szCs w:val="18"/>
        </w:rPr>
        <w:t>金融科技作为公司国内业务的核心业务板块，主要由全资子公司南京奥拓和控股子公司上海翰明运营。报告期内，金融</w:t>
      </w:r>
    </w:p>
    <w:p>
      <w:pPr>
        <w:pStyle w:val="BodyText"/>
        <w:spacing w:line="240" w:lineRule="auto" w:before="19"/>
        <w:ind w:right="0"/>
        <w:jc w:val="both"/>
      </w:pPr>
      <w:r>
        <w:rPr/>
        <w:t>科技业务合同额稳步增长，营业收入为</w:t>
      </w:r>
      <w:r>
        <w:rPr>
          <w:rFonts w:ascii="宋体" w:hAnsi="宋体" w:cs="宋体" w:eastAsia="宋体" w:hint="default"/>
        </w:rPr>
        <w:t>14,918.83</w:t>
      </w:r>
      <w:r>
        <w:rPr/>
        <w:t>万元，相比去年同期增长</w:t>
      </w:r>
      <w:r>
        <w:rPr>
          <w:rFonts w:ascii="宋体" w:hAnsi="宋体" w:cs="宋体" w:eastAsia="宋体" w:hint="default"/>
        </w:rPr>
        <w:t>69.69%</w:t>
      </w:r>
      <w:r>
        <w:rPr/>
        <w:t>。</w:t>
      </w:r>
    </w:p>
    <w:p>
      <w:pPr>
        <w:spacing w:line="240" w:lineRule="auto" w:before="11"/>
        <w:rPr>
          <w:rFonts w:ascii="宋体" w:hAnsi="宋体" w:cs="宋体" w:eastAsia="宋体" w:hint="default"/>
          <w:sz w:val="6"/>
          <w:szCs w:val="6"/>
        </w:rPr>
      </w:pPr>
    </w:p>
    <w:p>
      <w:pPr>
        <w:spacing w:line="4320" w:lineRule="exact"/>
        <w:ind w:left="1587" w:right="0" w:firstLine="0"/>
        <w:rPr>
          <w:rFonts w:ascii="宋体" w:hAnsi="宋体" w:cs="宋体" w:eastAsia="宋体" w:hint="default"/>
          <w:sz w:val="20"/>
          <w:szCs w:val="20"/>
        </w:rPr>
      </w:pPr>
      <w:r>
        <w:rPr>
          <w:rFonts w:ascii="宋体" w:hAnsi="宋体" w:cs="宋体" w:eastAsia="宋体" w:hint="default"/>
          <w:position w:val="-85"/>
          <w:sz w:val="20"/>
          <w:szCs w:val="20"/>
        </w:rPr>
        <w:drawing>
          <wp:inline distT="0" distB="0" distL="0" distR="0">
            <wp:extent cx="4572635" cy="2743200"/>
            <wp:effectExtent l="0" t="0" r="0" b="0"/>
            <wp:docPr id="49" name="image32.jpeg" descr=""/>
            <wp:cNvGraphicFramePr>
              <a:graphicFrameLocks noChangeAspect="1"/>
            </wp:cNvGraphicFramePr>
            <a:graphic>
              <a:graphicData uri="http://schemas.openxmlformats.org/drawingml/2006/picture">
                <pic:pic>
                  <pic:nvPicPr>
                    <pic:cNvPr id="50" name="image32.jpeg"/>
                    <pic:cNvPicPr/>
                  </pic:nvPicPr>
                  <pic:blipFill>
                    <a:blip r:embed="rId43" cstate="print"/>
                    <a:stretch>
                      <a:fillRect/>
                    </a:stretch>
                  </pic:blipFill>
                  <pic:spPr>
                    <a:xfrm>
                      <a:off x="0" y="0"/>
                      <a:ext cx="4572635" cy="2743200"/>
                    </a:xfrm>
                    <a:prstGeom prst="rect">
                      <a:avLst/>
                    </a:prstGeom>
                  </pic:spPr>
                </pic:pic>
              </a:graphicData>
            </a:graphic>
          </wp:inline>
        </w:drawing>
      </w:r>
      <w:r>
        <w:rPr>
          <w:rFonts w:ascii="宋体" w:hAnsi="宋体" w:cs="宋体" w:eastAsia="宋体" w:hint="default"/>
          <w:position w:val="-85"/>
          <w:sz w:val="20"/>
          <w:szCs w:val="20"/>
        </w:rPr>
      </w:r>
    </w:p>
    <w:p>
      <w:pPr>
        <w:pStyle w:val="BodyText"/>
        <w:spacing w:line="316" w:lineRule="auto" w:before="75"/>
        <w:ind w:left="154" w:right="1129" w:firstLine="429"/>
        <w:jc w:val="both"/>
      </w:pPr>
      <w:r>
        <w:rPr/>
        <w:t>报告期内，公司围绕智慧银行解决方案做了多方面的技术储备及市场布局，集中力量开发新的金融科技产品，初步实 现了银行智能服务型机器人的集成运用，目前</w:t>
      </w:r>
      <w:r>
        <w:rPr>
          <w:rFonts w:ascii="宋体" w:hAnsi="宋体" w:cs="宋体" w:eastAsia="宋体" w:hint="default"/>
          <w:b/>
          <w:bCs/>
        </w:rPr>
        <w:t>智能服务型机器人已获得产品认证证书，并进入第二代产品的试产阶段</w:t>
      </w:r>
      <w:r>
        <w:rPr/>
        <w:t>。同</w:t>
      </w:r>
      <w:r>
        <w:rPr>
          <w:spacing w:val="-24"/>
        </w:rPr>
        <w:t> </w:t>
      </w:r>
      <w:r>
        <w:rPr>
          <w:spacing w:val="-2"/>
        </w:rPr>
        <w:t>时，积极响应国内各大银行智慧网点改造的需求，公司对国内多个重点银行网点进行了智能化改造，逐步将公司智慧银行解</w:t>
      </w:r>
      <w:r>
        <w:rPr>
          <w:spacing w:val="-66"/>
        </w:rPr>
        <w:t> </w:t>
      </w:r>
      <w:r>
        <w:rPr>
          <w:spacing w:val="-66"/>
        </w:rPr>
      </w:r>
      <w:r>
        <w:rPr/>
        <w:t>决方案推向市场。</w:t>
      </w:r>
    </w:p>
    <w:p>
      <w:pPr>
        <w:pStyle w:val="BodyText"/>
        <w:spacing w:line="319" w:lineRule="auto" w:before="58"/>
        <w:ind w:left="154" w:right="1032" w:firstLine="360"/>
        <w:jc w:val="left"/>
      </w:pPr>
      <w:r>
        <w:rPr>
          <w:spacing w:val="-2"/>
        </w:rPr>
        <w:t>报告期内，除了主力产品综合信息发布和指示系统外，公司进一步提升了在银行和电信行业的市场份额，尤其是在智慧</w:t>
      </w:r>
      <w:r>
        <w:rPr/>
        <w:t> </w:t>
      </w:r>
      <w:r>
        <w:rPr>
          <w:spacing w:val="-2"/>
        </w:rPr>
        <w:t>银行解决方案领域有了重大的突破，中标入围了上海中心大厦中国银行与雄安新区中国银行智能化网点改造项目。另外，优</w:t>
      </w:r>
      <w:r>
        <w:rPr>
          <w:spacing w:val="-66"/>
        </w:rPr>
        <w:t> </w:t>
      </w:r>
      <w:r>
        <w:rPr>
          <w:spacing w:val="-66"/>
        </w:rPr>
      </w:r>
      <w:r>
        <w:rPr/>
        <w:t>势产品在税务和政务行业的市场开拓卓有成效。渠道建设方面，通过整合内部资源，进一步优化服务网络建设及营销体系，</w:t>
      </w:r>
      <w:r>
        <w:rPr>
          <w:spacing w:val="-85"/>
        </w:rPr>
        <w:t> </w:t>
      </w:r>
      <w:r>
        <w:rPr>
          <w:spacing w:val="-85"/>
        </w:rPr>
      </w:r>
      <w:r>
        <w:rPr/>
        <w:t>目前公司在国内拥有</w:t>
      </w:r>
      <w:r>
        <w:rPr>
          <w:rFonts w:ascii="宋体" w:hAnsi="宋体" w:cs="宋体" w:eastAsia="宋体" w:hint="default"/>
        </w:rPr>
        <w:t>88</w:t>
      </w:r>
      <w:r>
        <w:rPr/>
        <w:t>个销售办事处及售后服务网点。</w:t>
      </w:r>
    </w:p>
    <w:p>
      <w:pPr>
        <w:spacing w:line="240" w:lineRule="auto" w:before="6"/>
        <w:rPr>
          <w:rFonts w:ascii="宋体" w:hAnsi="宋体" w:cs="宋体" w:eastAsia="宋体" w:hint="default"/>
          <w:sz w:val="8"/>
          <w:szCs w:val="8"/>
        </w:rPr>
      </w:pPr>
    </w:p>
    <w:p>
      <w:pPr>
        <w:spacing w:line="3193" w:lineRule="exact"/>
        <w:ind w:left="1072" w:right="0" w:firstLine="0"/>
        <w:rPr>
          <w:rFonts w:ascii="宋体" w:hAnsi="宋体" w:cs="宋体" w:eastAsia="宋体" w:hint="default"/>
          <w:sz w:val="20"/>
          <w:szCs w:val="20"/>
        </w:rPr>
      </w:pPr>
      <w:r>
        <w:rPr>
          <w:rFonts w:ascii="宋体" w:hAnsi="宋体" w:cs="宋体" w:eastAsia="宋体" w:hint="default"/>
          <w:position w:val="-63"/>
          <w:sz w:val="20"/>
          <w:szCs w:val="20"/>
        </w:rPr>
        <w:drawing>
          <wp:inline distT="0" distB="0" distL="0" distR="0">
            <wp:extent cx="4911659" cy="2027967"/>
            <wp:effectExtent l="0" t="0" r="0" b="0"/>
            <wp:docPr id="51" name="image33.png" descr=""/>
            <wp:cNvGraphicFramePr>
              <a:graphicFrameLocks noChangeAspect="1"/>
            </wp:cNvGraphicFramePr>
            <a:graphic>
              <a:graphicData uri="http://schemas.openxmlformats.org/drawingml/2006/picture">
                <pic:pic>
                  <pic:nvPicPr>
                    <pic:cNvPr id="52" name="image33.png"/>
                    <pic:cNvPicPr/>
                  </pic:nvPicPr>
                  <pic:blipFill>
                    <a:blip r:embed="rId44" cstate="print"/>
                    <a:stretch>
                      <a:fillRect/>
                    </a:stretch>
                  </pic:blipFill>
                  <pic:spPr>
                    <a:xfrm>
                      <a:off x="0" y="0"/>
                      <a:ext cx="4911659" cy="2027967"/>
                    </a:xfrm>
                    <a:prstGeom prst="rect">
                      <a:avLst/>
                    </a:prstGeom>
                  </pic:spPr>
                </pic:pic>
              </a:graphicData>
            </a:graphic>
          </wp:inline>
        </w:drawing>
      </w:r>
      <w:r>
        <w:rPr>
          <w:rFonts w:ascii="宋体" w:hAnsi="宋体" w:cs="宋体" w:eastAsia="宋体" w:hint="default"/>
          <w:position w:val="-63"/>
          <w:sz w:val="20"/>
          <w:szCs w:val="20"/>
        </w:rPr>
      </w:r>
    </w:p>
    <w:p>
      <w:pPr>
        <w:pStyle w:val="BodyText"/>
        <w:tabs>
          <w:tab w:pos="6051" w:val="left" w:leader="none"/>
        </w:tabs>
        <w:spacing w:line="316" w:lineRule="auto" w:before="145"/>
        <w:ind w:left="514" w:right="1132" w:firstLine="1577"/>
        <w:jc w:val="left"/>
      </w:pPr>
      <w:r>
        <w:rPr/>
        <w:t>雄安新区中国银行项目</w:t>
        <w:tab/>
        <w:t>上海中心大厦中国银行项目 </w:t>
      </w:r>
      <w:r>
        <w:rPr>
          <w:spacing w:val="-2"/>
        </w:rPr>
        <w:t>除了市场拓展及营销网络建设之外，金融科技板块的主要目标是积极储备先进技术，与已有或新研发的产品进行有效的</w:t>
      </w:r>
    </w:p>
    <w:p>
      <w:pPr>
        <w:pStyle w:val="BodyText"/>
        <w:spacing w:line="316" w:lineRule="auto" w:before="19"/>
        <w:ind w:right="1130"/>
        <w:jc w:val="both"/>
      </w:pPr>
      <w:r>
        <w:rPr>
          <w:spacing w:val="-5"/>
          <w:w w:val="99"/>
        </w:rPr>
        <w:t>融合。报告期内，上海翰明已申请国家版权局</w:t>
      </w:r>
      <w:r>
        <w:rPr>
          <w:rFonts w:ascii="宋体" w:hAnsi="宋体" w:cs="宋体" w:eastAsia="宋体" w:hint="default"/>
          <w:b/>
          <w:bCs/>
          <w:spacing w:val="-5"/>
          <w:w w:val="99"/>
        </w:rPr>
        <w:t>《基于区块链技术的电子对账系统软件</w:t>
      </w:r>
      <w:r>
        <w:rPr>
          <w:rFonts w:ascii="宋体" w:hAnsi="宋体" w:cs="宋体" w:eastAsia="宋体" w:hint="default"/>
          <w:b/>
          <w:bCs/>
          <w:spacing w:val="-5"/>
          <w:w w:val="99"/>
        </w:rPr>
        <w:t>V1.0</w:t>
      </w:r>
      <w:r>
        <w:rPr>
          <w:rFonts w:ascii="宋体" w:hAnsi="宋体" w:cs="宋体" w:eastAsia="宋体" w:hint="default"/>
          <w:b/>
          <w:bCs/>
          <w:spacing w:val="-5"/>
          <w:w w:val="99"/>
        </w:rPr>
        <w:t>》</w:t>
      </w:r>
      <w:r>
        <w:rPr>
          <w:spacing w:val="-5"/>
          <w:w w:val="99"/>
        </w:rPr>
        <w:t>、《翰明自助发卡系统软件</w:t>
      </w:r>
      <w:r>
        <w:rPr>
          <w:rFonts w:ascii="宋体" w:hAnsi="宋体" w:cs="宋体" w:eastAsia="宋体" w:hint="default"/>
          <w:spacing w:val="-5"/>
          <w:w w:val="99"/>
        </w:rPr>
        <w:t>V1.0</w:t>
      </w:r>
      <w:r>
        <w:rPr>
          <w:spacing w:val="-5"/>
          <w:w w:val="99"/>
        </w:rPr>
        <w:t>》</w:t>
      </w:r>
      <w:r>
        <w:rPr>
          <w:spacing w:val="-60"/>
          <w:w w:val="99"/>
        </w:rPr>
        <w:t> </w:t>
      </w:r>
      <w:r>
        <w:rPr>
          <w:spacing w:val="-2"/>
        </w:rPr>
        <w:t>及《翰明资产保全管理系统软件</w:t>
      </w:r>
      <w:r>
        <w:rPr>
          <w:rFonts w:ascii="宋体" w:hAnsi="宋体" w:cs="宋体" w:eastAsia="宋体" w:hint="default"/>
          <w:spacing w:val="-2"/>
        </w:rPr>
        <w:t>V1.0</w:t>
      </w:r>
      <w:r>
        <w:rPr>
          <w:spacing w:val="-2"/>
        </w:rPr>
        <w:t>》著作权证书；此外，还与毕马威企业咨询（中国）有限公司积极推进区块链技术在传</w:t>
      </w:r>
      <w:r>
        <w:rPr>
          <w:spacing w:val="-64"/>
        </w:rPr>
        <w:t> </w:t>
      </w:r>
      <w:r>
        <w:rPr>
          <w:spacing w:val="-64"/>
        </w:rPr>
      </w:r>
      <w:r>
        <w:rPr>
          <w:spacing w:val="-2"/>
        </w:rPr>
        <w:t>统金融产品中应用探索和研究，共同与台州银行三方进行区块链技术研发，将区块链技术应用于银行和企业客户的账务核对</w:t>
      </w:r>
      <w:r>
        <w:rPr>
          <w:spacing w:val="-64"/>
        </w:rPr>
        <w:t> </w:t>
      </w:r>
      <w:r>
        <w:rPr>
          <w:spacing w:val="-64"/>
        </w:rPr>
      </w:r>
      <w:r>
        <w:rPr>
          <w:spacing w:val="-2"/>
        </w:rPr>
        <w:t>业务中，并探索在其他业务场景的应用可行性；南京奥拓申报的《基于大数据的智慧银行系统研发及产业化》项目通过政府</w:t>
      </w:r>
      <w:r>
        <w:rPr>
          <w:spacing w:val="-66"/>
        </w:rPr>
        <w:t> </w:t>
      </w:r>
      <w:r>
        <w:rPr>
          <w:spacing w:val="-66"/>
        </w:rPr>
      </w:r>
      <w:r>
        <w:rPr>
          <w:spacing w:val="-2"/>
        </w:rPr>
        <w:t>认定，该产品已应用于国内相关银行客户，将实现银行产品、业务流程再造，打造网点一体化协同服务，有助于解决银行大</w:t>
      </w:r>
      <w:r>
        <w:rPr>
          <w:spacing w:val="-66"/>
        </w:rPr>
        <w:t> </w:t>
      </w:r>
      <w:r>
        <w:rPr>
          <w:spacing w:val="-66"/>
        </w:rPr>
      </w:r>
      <w:r>
        <w:rPr>
          <w:spacing w:val="-5"/>
        </w:rPr>
        <w:t>数据处理能力的瓶颈，充分挖掘大数据的价值，推动传统的“服务型”网点向“营销型”网点的转型，提高银行智能化水平。</w:t>
      </w:r>
    </w:p>
    <w:p>
      <w:pPr>
        <w:spacing w:after="0" w:line="316" w:lineRule="auto"/>
        <w:jc w:val="both"/>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spacing w:line="340" w:lineRule="auto" w:before="44"/>
        <w:ind w:left="514" w:right="1124" w:firstLine="1"/>
        <w:jc w:val="left"/>
        <w:rPr>
          <w:rFonts w:ascii="宋体" w:hAnsi="宋体" w:cs="宋体" w:eastAsia="宋体" w:hint="default"/>
          <w:sz w:val="18"/>
          <w:szCs w:val="18"/>
        </w:rPr>
      </w:pPr>
      <w:r>
        <w:rPr>
          <w:rFonts w:ascii="宋体" w:hAnsi="宋体" w:cs="宋体" w:eastAsia="宋体" w:hint="default"/>
          <w:b/>
          <w:bCs/>
          <w:sz w:val="18"/>
          <w:szCs w:val="18"/>
        </w:rPr>
        <w:t>3</w:t>
      </w:r>
      <w:r>
        <w:rPr>
          <w:rFonts w:ascii="宋体" w:hAnsi="宋体" w:cs="宋体" w:eastAsia="宋体" w:hint="default"/>
          <w:b/>
          <w:bCs/>
          <w:sz w:val="18"/>
          <w:szCs w:val="18"/>
        </w:rPr>
        <w:t>、体育新业务</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场馆改造持续发力，创新平台应用落地</w:t>
      </w:r>
      <w:r>
        <w:rPr>
          <w:rFonts w:ascii="宋体" w:hAnsi="宋体" w:cs="宋体" w:eastAsia="宋体" w:hint="default"/>
          <w:b/>
          <w:bCs/>
          <w:w w:val="99"/>
          <w:sz w:val="18"/>
          <w:szCs w:val="18"/>
        </w:rPr>
        <w:t> </w:t>
      </w:r>
      <w:r>
        <w:rPr>
          <w:rFonts w:ascii="宋体" w:hAnsi="宋体" w:cs="宋体" w:eastAsia="宋体" w:hint="default"/>
          <w:sz w:val="18"/>
          <w:szCs w:val="18"/>
        </w:rPr>
        <w:t>报告期内，体育新业务的销售收入和利润同比下降，主要是</w:t>
      </w:r>
      <w:r>
        <w:rPr>
          <w:rFonts w:ascii="宋体" w:hAnsi="宋体" w:cs="宋体" w:eastAsia="宋体" w:hint="default"/>
          <w:spacing w:val="-40"/>
          <w:sz w:val="18"/>
          <w:szCs w:val="18"/>
        </w:rPr>
        <w:t> </w:t>
      </w:r>
      <w:r>
        <w:rPr>
          <w:rFonts w:ascii="宋体" w:hAnsi="宋体" w:cs="宋体" w:eastAsia="宋体" w:hint="default"/>
          <w:sz w:val="18"/>
          <w:szCs w:val="18"/>
        </w:rPr>
        <w:t>2017</w:t>
      </w:r>
      <w:r>
        <w:rPr>
          <w:rFonts w:ascii="宋体" w:hAnsi="宋体" w:cs="宋体" w:eastAsia="宋体" w:hint="default"/>
          <w:spacing w:val="-41"/>
          <w:sz w:val="18"/>
          <w:szCs w:val="18"/>
        </w:rPr>
        <w:t> </w:t>
      </w:r>
      <w:r>
        <w:rPr>
          <w:rFonts w:ascii="宋体" w:hAnsi="宋体" w:cs="宋体" w:eastAsia="宋体" w:hint="default"/>
          <w:sz w:val="18"/>
          <w:szCs w:val="18"/>
        </w:rPr>
        <w:t>年国内体育市场进入调整期，业务开展相对困难，新</w:t>
      </w:r>
    </w:p>
    <w:p>
      <w:pPr>
        <w:pStyle w:val="BodyText"/>
        <w:spacing w:line="319" w:lineRule="auto"/>
        <w:ind w:left="154" w:right="1130"/>
        <w:jc w:val="both"/>
      </w:pPr>
      <w:r>
        <w:rPr>
          <w:spacing w:val="-2"/>
        </w:rPr>
        <w:t>业务还在培育发展期。国内体育行业与欧美发达国家存在一定的差距，市场培育仍将持续一段时期。但在国家政策的支持及</w:t>
      </w:r>
      <w:r>
        <w:rPr>
          <w:spacing w:val="-66"/>
        </w:rPr>
        <w:t> </w:t>
      </w:r>
      <w:r>
        <w:rPr>
          <w:spacing w:val="-66"/>
        </w:rPr>
      </w:r>
      <w:r>
        <w:rPr/>
        <w:t>驱动下，万亿市场即将打开。公司结合自身优势，抢跑道，树品牌，借助专业“技术</w:t>
      </w:r>
      <w:r>
        <w:rPr>
          <w:rFonts w:ascii="宋体" w:hAnsi="宋体" w:cs="宋体" w:eastAsia="宋体" w:hint="default"/>
        </w:rPr>
        <w:t>+</w:t>
      </w:r>
      <w:r>
        <w:rPr/>
        <w:t>服务”团队，打造一流的科技体育专</w:t>
      </w:r>
      <w:r>
        <w:rPr>
          <w:spacing w:val="-82"/>
        </w:rPr>
        <w:t> </w:t>
      </w:r>
      <w:r>
        <w:rPr>
          <w:spacing w:val="-82"/>
        </w:rPr>
      </w:r>
      <w:r>
        <w:rPr/>
        <w:t>业服务商。在设备租赁、场馆改造、体育营销及赛事运营等相关业务领域进行布局和拓展。</w:t>
      </w:r>
    </w:p>
    <w:p>
      <w:pPr>
        <w:pStyle w:val="BodyText"/>
        <w:spacing w:line="319" w:lineRule="auto" w:before="56"/>
        <w:ind w:left="154" w:right="1032" w:firstLine="360"/>
        <w:jc w:val="left"/>
      </w:pPr>
      <w:r>
        <w:rPr>
          <w:spacing w:val="-4"/>
        </w:rPr>
        <w:t>报告期内，公司为多个国内外顶级赛事提供了专业的赛事呈现服务，包括中国足协超级杯、德甲沙尔克</w:t>
      </w:r>
      <w:r>
        <w:rPr>
          <w:spacing w:val="-44"/>
        </w:rPr>
        <w:t> </w:t>
      </w:r>
      <w:r>
        <w:rPr>
          <w:rFonts w:ascii="宋体" w:hAnsi="宋体" w:cs="宋体" w:eastAsia="宋体" w:hint="default"/>
        </w:rPr>
        <w:t>04</w:t>
      </w:r>
      <w:r>
        <w:rPr>
          <w:rFonts w:ascii="宋体" w:hAnsi="宋体" w:cs="宋体" w:eastAsia="宋体" w:hint="default"/>
          <w:spacing w:val="-45"/>
        </w:rPr>
        <w:t> </w:t>
      </w:r>
      <w:r>
        <w:rPr/>
        <w:t>足球俱乐部、 俄罗斯联合会杯、中国马拉松年会、中国杯等多个顶级赛事、俱乐部及体育盛宴，提升了公司在体育领域的地位及影响力。</w:t>
      </w:r>
    </w:p>
    <w:p>
      <w:pPr>
        <w:pStyle w:val="BodyText"/>
        <w:spacing w:line="316" w:lineRule="auto" w:before="55"/>
        <w:ind w:right="0" w:firstLine="360"/>
        <w:jc w:val="left"/>
      </w:pPr>
      <w:r>
        <w:rPr>
          <w:spacing w:val="-4"/>
        </w:rPr>
        <w:t>报告期内，公司体育新业务重点放在体育场馆改造领域，基于对我国人均拥有体育场馆面积与欧美存在巨大差距的了解，</w:t>
      </w:r>
      <w:r>
        <w:rPr/>
        <w:t> </w:t>
      </w:r>
      <w:r>
        <w:rPr>
          <w:spacing w:val="-2"/>
        </w:rPr>
        <w:t>以及国家一系列体育相关扶持政策的解读，未来体育场馆改造将拥有巨大的市场空间。</w:t>
      </w:r>
      <w:r>
        <w:rPr>
          <w:rFonts w:ascii="宋体" w:hAnsi="宋体" w:cs="宋体" w:eastAsia="宋体" w:hint="default"/>
          <w:spacing w:val="-2"/>
        </w:rPr>
        <w:t>2017</w:t>
      </w:r>
      <w:r>
        <w:rPr>
          <w:spacing w:val="-2"/>
        </w:rPr>
        <w:t>年，公司努力探索及研究体育场</w:t>
      </w:r>
      <w:r>
        <w:rPr>
          <w:spacing w:val="-61"/>
        </w:rPr>
        <w:t> </w:t>
      </w:r>
      <w:r>
        <w:rPr>
          <w:spacing w:val="-61"/>
        </w:rPr>
      </w:r>
      <w:r>
        <w:rPr>
          <w:spacing w:val="-2"/>
        </w:rPr>
        <w:t>馆改造的应用及技术，已经成功对河北崇礼冬奥会滑雪场、长春奥林匹克中心等场馆进行了亮化改造，积累了丰富的场馆改</w:t>
      </w:r>
      <w:r>
        <w:rPr>
          <w:spacing w:val="-66"/>
        </w:rPr>
        <w:t> </w:t>
      </w:r>
      <w:r>
        <w:rPr>
          <w:spacing w:val="-66"/>
        </w:rPr>
      </w:r>
      <w:r>
        <w:rPr/>
        <w:t>造经验；同时，公司新研发的大众体育场馆</w:t>
      </w:r>
      <w:r>
        <w:rPr>
          <w:rFonts w:ascii="宋体" w:hAnsi="宋体" w:cs="宋体" w:eastAsia="宋体" w:hint="default"/>
        </w:rPr>
        <w:t>O2O</w:t>
      </w:r>
      <w:r>
        <w:rPr/>
        <w:t>运营平台正式在深圳、广州、上海等城市落地，截至报告期末，已签约场地</w:t>
      </w:r>
      <w:r>
        <w:rPr>
          <w:spacing w:val="-83"/>
        </w:rPr>
        <w:t> </w:t>
      </w:r>
      <w:r>
        <w:rPr>
          <w:spacing w:val="-83"/>
        </w:rPr>
      </w:r>
      <w:r>
        <w:rPr/>
        <w:t>数量突破</w:t>
      </w:r>
      <w:r>
        <w:rPr>
          <w:rFonts w:ascii="宋体" w:hAnsi="宋体" w:cs="宋体" w:eastAsia="宋体" w:hint="default"/>
        </w:rPr>
        <w:t>1000</w:t>
      </w:r>
      <w:r>
        <w:rPr/>
        <w:t>片，投放设备数量超过</w:t>
      </w:r>
      <w:r>
        <w:rPr>
          <w:rFonts w:ascii="宋体" w:hAnsi="宋体" w:cs="宋体" w:eastAsia="宋体" w:hint="default"/>
        </w:rPr>
        <w:t>800</w:t>
      </w:r>
      <w:r>
        <w:rPr/>
        <w:t>台，用户总交互量超过</w:t>
      </w:r>
      <w:r>
        <w:rPr>
          <w:rFonts w:ascii="宋体" w:hAnsi="宋体" w:cs="宋体" w:eastAsia="宋体" w:hint="default"/>
        </w:rPr>
        <w:t>230</w:t>
      </w:r>
      <w:r>
        <w:rPr/>
        <w:t>万次，用户体验不断提升。公司作为国内体育场馆</w:t>
      </w:r>
      <w:r>
        <w:rPr>
          <w:rFonts w:ascii="宋体" w:hAnsi="宋体" w:cs="宋体" w:eastAsia="宋体" w:hint="default"/>
        </w:rPr>
        <w:t>O2O</w:t>
      </w:r>
      <w:r>
        <w:rPr/>
        <w:t>互</w:t>
      </w:r>
      <w:r>
        <w:rPr>
          <w:spacing w:val="-83"/>
        </w:rPr>
        <w:t> </w:t>
      </w:r>
      <w:r>
        <w:rPr/>
        <w:t>动平台的先行者，将同时具有先发优势及未来成长的商业价值。</w:t>
      </w:r>
    </w:p>
    <w:p>
      <w:pPr>
        <w:pStyle w:val="Heading4"/>
        <w:spacing w:line="240" w:lineRule="auto" w:before="19"/>
        <w:ind w:right="0"/>
        <w:jc w:val="left"/>
        <w:rPr>
          <w:b w:val="0"/>
          <w:bCs w:val="0"/>
        </w:rPr>
      </w:pPr>
      <w:r>
        <w:rPr>
          <w:rFonts w:ascii="宋体" w:hAnsi="宋体" w:cs="宋体" w:eastAsia="宋体" w:hint="default"/>
        </w:rPr>
        <w:t>4</w:t>
      </w:r>
      <w:r>
        <w:rPr/>
        <w:t>、投资并购——内生外延双轮驱动，产业整合资源共享</w:t>
      </w:r>
      <w:r>
        <w:rPr>
          <w:b w:val="0"/>
          <w:bCs w:val="0"/>
        </w:rPr>
      </w:r>
    </w:p>
    <w:p>
      <w:pPr>
        <w:pStyle w:val="BodyText"/>
        <w:spacing w:line="316" w:lineRule="auto" w:before="117"/>
        <w:ind w:left="154" w:right="1122" w:firstLine="360"/>
        <w:jc w:val="left"/>
      </w:pPr>
      <w:r>
        <w:rPr>
          <w:spacing w:val="-2"/>
        </w:rPr>
        <w:t>报告期内，公司围绕</w:t>
      </w:r>
      <w:r>
        <w:rPr>
          <w:spacing w:val="-40"/>
        </w:rPr>
        <w:t> </w:t>
      </w:r>
      <w:r>
        <w:rPr>
          <w:rFonts w:ascii="宋体" w:hAnsi="宋体" w:cs="宋体" w:eastAsia="宋体" w:hint="default"/>
        </w:rPr>
        <w:t>LED</w:t>
      </w:r>
      <w:r>
        <w:rPr>
          <w:rFonts w:ascii="宋体" w:hAnsi="宋体" w:cs="宋体" w:eastAsia="宋体" w:hint="default"/>
          <w:spacing w:val="-40"/>
        </w:rPr>
        <w:t> </w:t>
      </w:r>
      <w:r>
        <w:rPr>
          <w:spacing w:val="-2"/>
        </w:rPr>
        <w:t>应用、金融科技、体育新业务三大板块，寻找能够深度资源互补，战略协同的标的，从而实现</w:t>
      </w:r>
      <w:r>
        <w:rPr/>
        <w:t> 公司跨越式发展的战略目标。</w:t>
      </w:r>
    </w:p>
    <w:p>
      <w:pPr>
        <w:pStyle w:val="BodyText"/>
        <w:spacing w:line="319" w:lineRule="auto" w:before="58"/>
        <w:ind w:left="154" w:right="1131" w:firstLine="360"/>
        <w:jc w:val="both"/>
      </w:pPr>
      <w:r>
        <w:rPr/>
        <w:pict>
          <v:shape style="position:absolute;margin-left:125.029999pt;margin-top:70.911705pt;width:366.240006pt;height:209.580002pt;mso-position-horizontal-relative:page;mso-position-vertical-relative:paragraph;z-index:-1254376" type="#_x0000_t75" stroked="false">
            <v:imagedata r:id="rId45" o:title=""/>
          </v:shape>
        </w:pict>
      </w:r>
      <w:r>
        <w:rPr>
          <w:rFonts w:ascii="宋体" w:hAnsi="宋体" w:cs="宋体" w:eastAsia="宋体" w:hint="default"/>
        </w:rPr>
        <w:t>2017</w:t>
      </w:r>
      <w:r>
        <w:rPr>
          <w:rFonts w:ascii="宋体" w:hAnsi="宋体" w:cs="宋体" w:eastAsia="宋体" w:hint="default"/>
          <w:spacing w:val="-35"/>
        </w:rPr>
        <w:t> </w:t>
      </w:r>
      <w:r>
        <w:rPr/>
        <w:t>年，公司为了扩大</w:t>
      </w:r>
      <w:r>
        <w:rPr>
          <w:spacing w:val="-35"/>
        </w:rPr>
        <w:t> </w:t>
      </w:r>
      <w:r>
        <w:rPr>
          <w:rFonts w:ascii="宋体" w:hAnsi="宋体" w:cs="宋体" w:eastAsia="宋体" w:hint="default"/>
        </w:rPr>
        <w:t>LED</w:t>
      </w:r>
      <w:r>
        <w:rPr>
          <w:rFonts w:ascii="宋体" w:hAnsi="宋体" w:cs="宋体" w:eastAsia="宋体" w:hint="default"/>
          <w:spacing w:val="-34"/>
        </w:rPr>
        <w:t> </w:t>
      </w:r>
      <w:r>
        <w:rPr/>
        <w:t>应用板块的规模，同时强化公司在</w:t>
      </w:r>
      <w:r>
        <w:rPr>
          <w:spacing w:val="-35"/>
        </w:rPr>
        <w:t> </w:t>
      </w:r>
      <w:r>
        <w:rPr>
          <w:rFonts w:ascii="宋体" w:hAnsi="宋体" w:cs="宋体" w:eastAsia="宋体" w:hint="default"/>
        </w:rPr>
        <w:t>LED</w:t>
      </w:r>
      <w:r>
        <w:rPr>
          <w:rFonts w:ascii="宋体" w:hAnsi="宋体" w:cs="宋体" w:eastAsia="宋体" w:hint="default"/>
          <w:spacing w:val="-35"/>
        </w:rPr>
        <w:t> </w:t>
      </w:r>
      <w:r>
        <w:rPr/>
        <w:t>创意显示领域的竞争力，与深圳市立翔慧科光电科 技有限公司共同投资设立了深圳市奥拓立翔光电科技有限公司，其中公司以自有资金投入人民币</w:t>
      </w:r>
      <w:r>
        <w:rPr>
          <w:spacing w:val="-65"/>
        </w:rPr>
        <w:t> </w:t>
      </w:r>
      <w:r>
        <w:rPr>
          <w:rFonts w:ascii="宋体" w:hAnsi="宋体" w:cs="宋体" w:eastAsia="宋体" w:hint="default"/>
        </w:rPr>
        <w:t>2250</w:t>
      </w:r>
      <w:r>
        <w:rPr>
          <w:rFonts w:ascii="宋体" w:hAnsi="宋体" w:cs="宋体" w:eastAsia="宋体" w:hint="default"/>
          <w:spacing w:val="-66"/>
        </w:rPr>
        <w:t> </w:t>
      </w:r>
      <w:r>
        <w:rPr>
          <w:spacing w:val="-8"/>
        </w:rPr>
        <w:t>万元，占奥拓立翔</w:t>
      </w:r>
      <w:r>
        <w:rPr>
          <w:spacing w:val="-66"/>
        </w:rPr>
        <w:t> </w:t>
      </w:r>
      <w:r>
        <w:rPr>
          <w:rFonts w:ascii="宋体" w:hAnsi="宋体" w:cs="宋体" w:eastAsia="宋体" w:hint="default"/>
        </w:rPr>
        <w:t>60% </w:t>
      </w:r>
      <w:r>
        <w:rPr/>
        <w:t>股权。奥拓立翔是国内顶级的</w:t>
      </w:r>
      <w:r>
        <w:rPr>
          <w:spacing w:val="-52"/>
        </w:rPr>
        <w:t> </w:t>
      </w:r>
      <w:r>
        <w:rPr>
          <w:rFonts w:ascii="宋体" w:hAnsi="宋体" w:cs="宋体" w:eastAsia="宋体" w:hint="default"/>
        </w:rPr>
        <w:t>LED</w:t>
      </w:r>
      <w:r>
        <w:rPr>
          <w:rFonts w:ascii="宋体" w:hAnsi="宋体" w:cs="宋体" w:eastAsia="宋体" w:hint="default"/>
          <w:spacing w:val="-52"/>
        </w:rPr>
        <w:t> </w:t>
      </w:r>
      <w:r>
        <w:rPr/>
        <w:t>创意工程专业定制服务的企业，立志成为</w:t>
      </w:r>
      <w:r>
        <w:rPr>
          <w:spacing w:val="-52"/>
        </w:rPr>
        <w:t> </w:t>
      </w:r>
      <w:r>
        <w:rPr>
          <w:rFonts w:ascii="宋体" w:hAnsi="宋体" w:cs="宋体" w:eastAsia="宋体" w:hint="default"/>
        </w:rPr>
        <w:t>LED</w:t>
      </w:r>
      <w:r>
        <w:rPr>
          <w:rFonts w:ascii="宋体" w:hAnsi="宋体" w:cs="宋体" w:eastAsia="宋体" w:hint="default"/>
          <w:spacing w:val="-52"/>
        </w:rPr>
        <w:t> </w:t>
      </w:r>
      <w:r>
        <w:rPr>
          <w:spacing w:val="-3"/>
        </w:rPr>
        <w:t>创意显示国际领导品牌。成立奥拓立翔，可</w:t>
      </w:r>
      <w:r>
        <w:rPr/>
        <w:t> 以实现公司</w:t>
      </w:r>
      <w:r>
        <w:rPr>
          <w:spacing w:val="-46"/>
        </w:rPr>
        <w:t> </w:t>
      </w:r>
      <w:r>
        <w:rPr>
          <w:rFonts w:ascii="宋体" w:hAnsi="宋体" w:cs="宋体" w:eastAsia="宋体" w:hint="default"/>
        </w:rPr>
        <w:t>LED</w:t>
      </w:r>
      <w:r>
        <w:rPr>
          <w:rFonts w:ascii="宋体" w:hAnsi="宋体" w:cs="宋体" w:eastAsia="宋体" w:hint="default"/>
          <w:spacing w:val="-46"/>
        </w:rPr>
        <w:t> </w:t>
      </w:r>
      <w:r>
        <w:rPr/>
        <w:t>应用板块的资源互补及业务协同，提升市场份额，为公司</w:t>
      </w:r>
      <w:r>
        <w:rPr>
          <w:spacing w:val="-46"/>
        </w:rPr>
        <w:t> </w:t>
      </w:r>
      <w:r>
        <w:rPr>
          <w:rFonts w:ascii="宋体" w:hAnsi="宋体" w:cs="宋体" w:eastAsia="宋体" w:hint="default"/>
        </w:rPr>
        <w:t>LED</w:t>
      </w:r>
      <w:r>
        <w:rPr>
          <w:rFonts w:ascii="宋体" w:hAnsi="宋体" w:cs="宋体" w:eastAsia="宋体" w:hint="default"/>
          <w:spacing w:val="-46"/>
        </w:rPr>
        <w:t> </w:t>
      </w:r>
      <w:r>
        <w:rPr/>
        <w:t>应用板块规模做出较大的贡献。</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9"/>
          <w:szCs w:val="19"/>
        </w:rPr>
      </w:pPr>
    </w:p>
    <w:p>
      <w:pPr>
        <w:pStyle w:val="BodyText"/>
        <w:spacing w:line="630" w:lineRule="atLeast"/>
        <w:ind w:left="513" w:right="0" w:firstLine="3500"/>
        <w:jc w:val="left"/>
      </w:pPr>
      <w:r>
        <w:rPr/>
        <w:t>遵义高铁新城天幕项目效果图 </w:t>
      </w:r>
      <w:r>
        <w:rPr>
          <w:spacing w:val="-2"/>
        </w:rPr>
        <w:t>为了响应国家体育发展政策的号召，提前抢占体育产业制高点，进一步加强公司体育场馆改造业务的布局，</w:t>
      </w:r>
      <w:r>
        <w:rPr>
          <w:rFonts w:ascii="Times New Roman" w:hAnsi="Times New Roman" w:cs="Times New Roman" w:eastAsia="Times New Roman" w:hint="default"/>
          <w:spacing w:val="-2"/>
        </w:rPr>
        <w:t>2017</w:t>
      </w:r>
      <w:r>
        <w:rPr>
          <w:spacing w:val="-2"/>
        </w:rPr>
        <w:t>年，公</w:t>
      </w:r>
    </w:p>
    <w:p>
      <w:pPr>
        <w:pStyle w:val="BodyText"/>
        <w:spacing w:line="300" w:lineRule="auto" w:before="63"/>
        <w:ind w:right="1139"/>
        <w:jc w:val="both"/>
      </w:pPr>
      <w:r>
        <w:rPr/>
        <w:t>司全资孙公司深圳前海奥拓体育文化投资有限公司以现金出资人民币</w:t>
      </w:r>
      <w:r>
        <w:rPr>
          <w:rFonts w:ascii="Times New Roman" w:hAnsi="Times New Roman" w:cs="Times New Roman" w:eastAsia="Times New Roman" w:hint="default"/>
        </w:rPr>
        <w:t>300</w:t>
      </w:r>
      <w:r>
        <w:rPr/>
        <w:t>万元参股深圳市热炼控股有限责任公司，占热炼控 股增资后的</w:t>
      </w:r>
      <w:r>
        <w:rPr>
          <w:rFonts w:ascii="Times New Roman" w:hAnsi="Times New Roman" w:cs="Times New Roman" w:eastAsia="Times New Roman" w:hint="default"/>
        </w:rPr>
        <w:t>6%</w:t>
      </w:r>
      <w:r>
        <w:rPr/>
        <w:t>股权。热炼控股为国内高端健身服务提供商，未来将作为公司体育场馆改造的重点示范单位，推动公司体育 场馆改造业务的发展。</w:t>
      </w:r>
    </w:p>
    <w:p>
      <w:pPr>
        <w:spacing w:after="0" w:line="300" w:lineRule="auto"/>
        <w:jc w:val="both"/>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9"/>
          <w:szCs w:val="19"/>
        </w:rPr>
      </w:pPr>
    </w:p>
    <w:p>
      <w:pPr>
        <w:spacing w:line="4093" w:lineRule="exact"/>
        <w:ind w:left="1520" w:right="0" w:firstLine="0"/>
        <w:rPr>
          <w:rFonts w:ascii="宋体" w:hAnsi="宋体" w:cs="宋体" w:eastAsia="宋体" w:hint="default"/>
          <w:sz w:val="20"/>
          <w:szCs w:val="20"/>
        </w:rPr>
      </w:pPr>
      <w:r>
        <w:rPr>
          <w:rFonts w:ascii="宋体" w:hAnsi="宋体" w:cs="宋体" w:eastAsia="宋体" w:hint="default"/>
          <w:position w:val="-81"/>
          <w:sz w:val="20"/>
          <w:szCs w:val="20"/>
        </w:rPr>
        <w:drawing>
          <wp:inline distT="0" distB="0" distL="0" distR="0">
            <wp:extent cx="4660982" cy="2599658"/>
            <wp:effectExtent l="0" t="0" r="0" b="0"/>
            <wp:docPr id="53" name="image35.jpeg" descr=""/>
            <wp:cNvGraphicFramePr>
              <a:graphicFrameLocks noChangeAspect="1"/>
            </wp:cNvGraphicFramePr>
            <a:graphic>
              <a:graphicData uri="http://schemas.openxmlformats.org/drawingml/2006/picture">
                <pic:pic>
                  <pic:nvPicPr>
                    <pic:cNvPr id="54" name="image35.jpeg"/>
                    <pic:cNvPicPr/>
                  </pic:nvPicPr>
                  <pic:blipFill>
                    <a:blip r:embed="rId46" cstate="print"/>
                    <a:stretch>
                      <a:fillRect/>
                    </a:stretch>
                  </pic:blipFill>
                  <pic:spPr>
                    <a:xfrm>
                      <a:off x="0" y="0"/>
                      <a:ext cx="4660982" cy="2599658"/>
                    </a:xfrm>
                    <a:prstGeom prst="rect">
                      <a:avLst/>
                    </a:prstGeom>
                  </pic:spPr>
                </pic:pic>
              </a:graphicData>
            </a:graphic>
          </wp:inline>
        </w:drawing>
      </w:r>
      <w:r>
        <w:rPr>
          <w:rFonts w:ascii="宋体" w:hAnsi="宋体" w:cs="宋体" w:eastAsia="宋体" w:hint="default"/>
          <w:position w:val="-81"/>
          <w:sz w:val="20"/>
          <w:szCs w:val="20"/>
        </w:rPr>
      </w:r>
    </w:p>
    <w:p>
      <w:pPr>
        <w:spacing w:line="240" w:lineRule="auto" w:before="9"/>
        <w:rPr>
          <w:rFonts w:ascii="宋体" w:hAnsi="宋体" w:cs="宋体" w:eastAsia="宋体" w:hint="default"/>
          <w:sz w:val="7"/>
          <w:szCs w:val="7"/>
        </w:rPr>
      </w:pPr>
    </w:p>
    <w:p>
      <w:pPr>
        <w:spacing w:line="338" w:lineRule="auto" w:before="44"/>
        <w:ind w:left="513" w:right="1122" w:firstLine="3680"/>
        <w:jc w:val="left"/>
        <w:rPr>
          <w:rFonts w:ascii="宋体" w:hAnsi="宋体" w:cs="宋体" w:eastAsia="宋体" w:hint="default"/>
          <w:sz w:val="18"/>
          <w:szCs w:val="18"/>
        </w:rPr>
      </w:pPr>
      <w:r>
        <w:rPr>
          <w:rFonts w:ascii="宋体" w:hAnsi="宋体" w:cs="宋体" w:eastAsia="宋体" w:hint="default"/>
          <w:sz w:val="18"/>
          <w:szCs w:val="18"/>
        </w:rPr>
        <w:t>热炼控股万象天地旗舰店 </w:t>
      </w:r>
      <w:r>
        <w:rPr>
          <w:rFonts w:ascii="宋体" w:hAnsi="宋体" w:cs="宋体" w:eastAsia="宋体" w:hint="default"/>
          <w:b/>
          <w:bCs/>
          <w:sz w:val="18"/>
          <w:szCs w:val="18"/>
        </w:rPr>
        <w:t>5</w:t>
      </w:r>
      <w:r>
        <w:rPr>
          <w:rFonts w:ascii="宋体" w:hAnsi="宋体" w:cs="宋体" w:eastAsia="宋体" w:hint="default"/>
          <w:b/>
          <w:bCs/>
          <w:sz w:val="18"/>
          <w:szCs w:val="18"/>
        </w:rPr>
        <w:t>、运营管理——信息化平台提高运营管理效率，人才高地战略加速梯队建设</w:t>
      </w:r>
      <w:r>
        <w:rPr>
          <w:rFonts w:ascii="宋体" w:hAnsi="宋体" w:cs="宋体" w:eastAsia="宋体" w:hint="default"/>
          <w:b/>
          <w:bCs/>
          <w:w w:val="99"/>
          <w:sz w:val="18"/>
          <w:szCs w:val="18"/>
        </w:rPr>
        <w:t> </w:t>
      </w:r>
      <w:r>
        <w:rPr>
          <w:rFonts w:ascii="宋体" w:hAnsi="宋体" w:cs="宋体" w:eastAsia="宋体" w:hint="default"/>
          <w:sz w:val="18"/>
          <w:szCs w:val="18"/>
        </w:rPr>
        <w:t>报告期内，公司努力加强集团化管理与资源整合。通过建设</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ERP</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系统、</w:t>
      </w:r>
      <w:r>
        <w:rPr>
          <w:rFonts w:ascii="Times New Roman" w:hAnsi="Times New Roman" w:cs="Times New Roman" w:eastAsia="Times New Roman" w:hint="default"/>
          <w:sz w:val="18"/>
          <w:szCs w:val="18"/>
        </w:rPr>
        <w:t>CRM</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系统、移动通讯技术等信息化平台，构建</w:t>
      </w:r>
    </w:p>
    <w:p>
      <w:pPr>
        <w:pStyle w:val="BodyText"/>
        <w:spacing w:line="215" w:lineRule="exact"/>
        <w:ind w:right="0"/>
        <w:jc w:val="left"/>
      </w:pPr>
      <w:r>
        <w:rPr/>
        <w:t>集团化战略管控的信息化平台，完善集团化战略管控的制度建设和文化宣贯，各业务板块和经营单位实现战略协同，提高公</w:t>
      </w:r>
    </w:p>
    <w:p>
      <w:pPr>
        <w:pStyle w:val="BodyText"/>
        <w:spacing w:line="357" w:lineRule="auto" w:before="77"/>
        <w:ind w:left="513" w:right="0" w:hanging="360"/>
        <w:jc w:val="left"/>
      </w:pPr>
      <w:r>
        <w:rPr/>
        <w:t>司运营效率，控制经营风险。 </w:t>
      </w:r>
      <w:r>
        <w:rPr>
          <w:spacing w:val="-2"/>
        </w:rPr>
        <w:t>报告期内，公司积极开展人才高地战略，加强人才梯队建设，网罗海内外优秀营销服务人才，积极培养优质毕业生作为</w:t>
      </w:r>
    </w:p>
    <w:p>
      <w:pPr>
        <w:pStyle w:val="BodyText"/>
        <w:spacing w:line="224" w:lineRule="exact"/>
        <w:ind w:right="0"/>
        <w:jc w:val="left"/>
      </w:pPr>
      <w:r>
        <w:rPr/>
        <w:t>公司核心后备力量，通过一系列的技术、产品、管理、销售等方面的培训，提升每个员工的工作能力及素养。同时，通过全</w:t>
      </w:r>
    </w:p>
    <w:p>
      <w:pPr>
        <w:pStyle w:val="BodyText"/>
        <w:spacing w:line="357" w:lineRule="auto" w:before="77"/>
        <w:ind w:left="513" w:right="0" w:hanging="360"/>
        <w:jc w:val="left"/>
      </w:pPr>
      <w:r>
        <w:rPr/>
        <w:t>年的探索及讨论，制定新的薪酬制度及激励制度，提升公司员工的平均待遇及福利，有效地增强员工工作积极性。 </w:t>
      </w:r>
      <w:r>
        <w:rPr>
          <w:spacing w:val="-2"/>
        </w:rPr>
        <w:t>报告期内，公司实施了</w:t>
      </w:r>
      <w:r>
        <w:rPr>
          <w:rFonts w:ascii="Times New Roman" w:hAnsi="Times New Roman" w:cs="Times New Roman" w:eastAsia="Times New Roman" w:hint="default"/>
          <w:spacing w:val="-2"/>
        </w:rPr>
        <w:t>2017</w:t>
      </w:r>
      <w:r>
        <w:rPr>
          <w:spacing w:val="-2"/>
        </w:rPr>
        <w:t>年股票期权激励计划，向</w:t>
      </w:r>
      <w:r>
        <w:rPr>
          <w:rFonts w:ascii="Times New Roman" w:hAnsi="Times New Roman" w:cs="Times New Roman" w:eastAsia="Times New Roman" w:hint="default"/>
          <w:spacing w:val="-2"/>
        </w:rPr>
        <w:t>172</w:t>
      </w:r>
      <w:r>
        <w:rPr>
          <w:spacing w:val="-2"/>
        </w:rPr>
        <w:t>名员工授予</w:t>
      </w:r>
      <w:r>
        <w:rPr>
          <w:rFonts w:ascii="Times New Roman" w:hAnsi="Times New Roman" w:cs="Times New Roman" w:eastAsia="Times New Roman" w:hint="default"/>
          <w:spacing w:val="-2"/>
        </w:rPr>
        <w:t>500</w:t>
      </w:r>
      <w:r>
        <w:rPr>
          <w:spacing w:val="-2"/>
        </w:rPr>
        <w:t>万份股票期权，有效增强员工与公司的粘性，为</w:t>
      </w:r>
    </w:p>
    <w:p>
      <w:pPr>
        <w:pStyle w:val="BodyText"/>
        <w:spacing w:line="201" w:lineRule="exact"/>
        <w:ind w:right="0"/>
        <w:jc w:val="left"/>
      </w:pPr>
      <w:r>
        <w:rPr/>
        <w:t>未来发展打下良好基础。</w:t>
      </w:r>
    </w:p>
    <w:p>
      <w:pPr>
        <w:spacing w:line="360" w:lineRule="auto" w:before="76"/>
        <w:ind w:left="513" w:right="1114" w:firstLine="1"/>
        <w:jc w:val="left"/>
        <w:rPr>
          <w:rFonts w:ascii="宋体" w:hAnsi="宋体" w:cs="宋体" w:eastAsia="宋体" w:hint="default"/>
          <w:sz w:val="18"/>
          <w:szCs w:val="18"/>
        </w:rPr>
      </w:pPr>
      <w:r>
        <w:rPr>
          <w:rFonts w:ascii="宋体" w:hAnsi="宋体" w:cs="宋体" w:eastAsia="宋体" w:hint="default"/>
          <w:b/>
          <w:bCs/>
          <w:sz w:val="18"/>
          <w:szCs w:val="18"/>
        </w:rPr>
        <w:t>6</w:t>
      </w:r>
      <w:r>
        <w:rPr>
          <w:rFonts w:ascii="宋体" w:hAnsi="宋体" w:cs="宋体" w:eastAsia="宋体" w:hint="default"/>
          <w:b/>
          <w:bCs/>
          <w:sz w:val="18"/>
          <w:szCs w:val="18"/>
        </w:rPr>
        <w:t>、股东回报——稳健经营健康发展，股东回报稳定</w:t>
      </w:r>
      <w:r>
        <w:rPr>
          <w:rFonts w:ascii="宋体" w:hAnsi="宋体" w:cs="宋体" w:eastAsia="宋体" w:hint="default"/>
          <w:b/>
          <w:bCs/>
          <w:w w:val="99"/>
          <w:sz w:val="18"/>
          <w:szCs w:val="18"/>
        </w:rPr>
        <w:t> </w:t>
      </w:r>
      <w:r>
        <w:rPr>
          <w:rFonts w:ascii="宋体" w:hAnsi="宋体" w:cs="宋体" w:eastAsia="宋体" w:hint="default"/>
          <w:sz w:val="18"/>
          <w:szCs w:val="18"/>
        </w:rPr>
        <w:t>公司秉承稳健的经营风格，健康的发展态势，用心经营回馈投资者。报告期内，公司完成</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年度权益分派事宜，以</w:t>
      </w:r>
    </w:p>
    <w:p>
      <w:pPr>
        <w:pStyle w:val="BodyText"/>
        <w:spacing w:line="211" w:lineRule="exact"/>
        <w:ind w:right="0"/>
        <w:jc w:val="left"/>
      </w:pPr>
      <w:r>
        <w:rPr/>
        <w:t>公司总股本</w:t>
      </w:r>
      <w:r>
        <w:rPr>
          <w:spacing w:val="-46"/>
        </w:rPr>
        <w:t> </w:t>
      </w:r>
      <w:r>
        <w:rPr>
          <w:rFonts w:ascii="Times New Roman" w:hAnsi="Times New Roman" w:cs="Times New Roman" w:eastAsia="Times New Roman" w:hint="default"/>
        </w:rPr>
        <w:t>4.08</w:t>
      </w:r>
      <w:r>
        <w:rPr>
          <w:rFonts w:ascii="Times New Roman" w:hAnsi="Times New Roman" w:cs="Times New Roman" w:eastAsia="Times New Roman" w:hint="default"/>
          <w:spacing w:val="-1"/>
        </w:rPr>
        <w:t> </w:t>
      </w:r>
      <w:r>
        <w:rPr/>
        <w:t>亿股为基数</w:t>
      </w:r>
      <w:r>
        <w:rPr>
          <w:spacing w:val="-87"/>
        </w:rPr>
        <w:t>，</w:t>
      </w:r>
      <w:r>
        <w:rPr/>
        <w:t>以资本公积金向全体股东每</w:t>
      </w:r>
      <w:r>
        <w:rPr>
          <w:spacing w:val="-46"/>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股转增</w:t>
      </w:r>
      <w:r>
        <w:rPr>
          <w:spacing w:val="-46"/>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spacing w:val="1"/>
        </w:rPr>
        <w:t>股</w:t>
      </w:r>
      <w:r>
        <w:rPr>
          <w:spacing w:val="-87"/>
        </w:rPr>
        <w:t>；</w:t>
      </w:r>
      <w:r>
        <w:rPr/>
        <w:t>向全体股东每</w:t>
      </w:r>
      <w:r>
        <w:rPr>
          <w:spacing w:val="-46"/>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股派发现金红利</w:t>
      </w:r>
      <w:r>
        <w:rPr>
          <w:spacing w:val="-46"/>
        </w:rPr>
        <w:t> </w:t>
      </w:r>
      <w:r>
        <w:rPr>
          <w:rFonts w:ascii="Times New Roman" w:hAnsi="Times New Roman" w:cs="Times New Roman" w:eastAsia="Times New Roman" w:hint="default"/>
        </w:rPr>
        <w:t>1.00</w:t>
      </w:r>
      <w:r>
        <w:rPr>
          <w:rFonts w:ascii="Times New Roman" w:hAnsi="Times New Roman" w:cs="Times New Roman" w:eastAsia="Times New Roman" w:hint="default"/>
          <w:spacing w:val="-1"/>
        </w:rPr>
        <w:t> </w:t>
      </w:r>
      <w:r>
        <w:rPr>
          <w:spacing w:val="-88"/>
        </w:rPr>
        <w:t>元</w:t>
      </w:r>
      <w:r>
        <w:rPr/>
        <w:t>（含</w:t>
      </w:r>
      <w:r>
        <w:rPr>
          <w:spacing w:val="1"/>
        </w:rPr>
        <w:t>税</w:t>
      </w:r>
      <w:r>
        <w:rPr>
          <w:spacing w:val="-90"/>
        </w:rPr>
        <w:t>）</w:t>
      </w:r>
      <w:r>
        <w:rPr/>
        <w:t>，</w:t>
      </w:r>
    </w:p>
    <w:p>
      <w:pPr>
        <w:pStyle w:val="BodyText"/>
        <w:spacing w:line="240" w:lineRule="auto" w:before="64"/>
        <w:ind w:right="0"/>
        <w:jc w:val="left"/>
      </w:pPr>
      <w:r>
        <w:rPr/>
        <w:t>合计派发现金红利总额为</w:t>
      </w:r>
      <w:r>
        <w:rPr>
          <w:spacing w:val="-46"/>
        </w:rPr>
        <w:t> </w:t>
      </w:r>
      <w:r>
        <w:rPr>
          <w:rFonts w:ascii="Times New Roman" w:hAnsi="Times New Roman" w:cs="Times New Roman" w:eastAsia="Times New Roman" w:hint="default"/>
        </w:rPr>
        <w:t>4,075.91</w:t>
      </w:r>
      <w:r>
        <w:rPr>
          <w:rFonts w:ascii="Times New Roman" w:hAnsi="Times New Roman" w:cs="Times New Roman" w:eastAsia="Times New Roman" w:hint="default"/>
          <w:spacing w:val="-1"/>
        </w:rPr>
        <w:t> </w:t>
      </w:r>
      <w:r>
        <w:rPr/>
        <w:t>万元。</w:t>
      </w:r>
    </w:p>
    <w:p>
      <w:pPr>
        <w:pStyle w:val="BodyText"/>
        <w:spacing w:line="240" w:lineRule="auto" w:before="102"/>
        <w:ind w:left="513" w:right="0"/>
        <w:jc w:val="left"/>
      </w:pP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年公司拟以未来实施分配方案时股权登记日的总股本为基数</w:t>
      </w:r>
      <w:r>
        <w:rPr>
          <w:rFonts w:ascii="Times New Roman" w:hAnsi="Times New Roman" w:cs="Times New Roman" w:eastAsia="Times New Roman" w:hint="default"/>
        </w:rPr>
        <w:t>,</w:t>
      </w:r>
      <w:r>
        <w:rPr/>
        <w:t>向全体股东每</w:t>
      </w:r>
      <w:r>
        <w:rPr>
          <w:spacing w:val="-46"/>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股</w:t>
      </w:r>
      <w:r>
        <w:rPr>
          <w:spacing w:val="1"/>
        </w:rPr>
        <w:t> </w:t>
      </w:r>
      <w:r>
        <w:rPr/>
        <w:t>派发现金股利人民币</w:t>
      </w:r>
      <w:r>
        <w:rPr>
          <w:spacing w:val="-46"/>
        </w:rPr>
        <w:t> </w:t>
      </w:r>
      <w:r>
        <w:rPr>
          <w:rFonts w:ascii="Times New Roman" w:hAnsi="Times New Roman" w:cs="Times New Roman" w:eastAsia="Times New Roman" w:hint="default"/>
        </w:rPr>
        <w:t>1.00</w:t>
      </w:r>
      <w:r>
        <w:rPr>
          <w:rFonts w:ascii="Times New Roman" w:hAnsi="Times New Roman" w:cs="Times New Roman" w:eastAsia="Times New Roman" w:hint="default"/>
          <w:spacing w:val="-1"/>
        </w:rPr>
        <w:t> </w:t>
      </w:r>
      <w:r>
        <w:rPr>
          <w:spacing w:val="-13"/>
        </w:rPr>
        <w:t>元（含</w:t>
      </w:r>
    </w:p>
    <w:p>
      <w:pPr>
        <w:pStyle w:val="BodyText"/>
        <w:spacing w:line="240" w:lineRule="auto" w:before="64"/>
        <w:ind w:right="0"/>
        <w:jc w:val="left"/>
      </w:pPr>
      <w:r>
        <w:rPr/>
        <w:t>税</w:t>
      </w:r>
      <w:r>
        <w:rPr>
          <w:spacing w:val="-90"/>
        </w:rPr>
        <w:t>）</w:t>
      </w:r>
      <w:r>
        <w:rPr/>
        <w:t>，分红金额为</w:t>
      </w:r>
      <w:r>
        <w:rPr>
          <w:spacing w:val="-46"/>
        </w:rPr>
        <w:t> </w:t>
      </w:r>
      <w:r>
        <w:rPr>
          <w:rFonts w:ascii="Times New Roman" w:hAnsi="Times New Roman" w:cs="Times New Roman" w:eastAsia="Times New Roman" w:hint="default"/>
        </w:rPr>
        <w:t>6,</w:t>
      </w:r>
      <w:r>
        <w:rPr>
          <w:rFonts w:ascii="Times New Roman" w:hAnsi="Times New Roman" w:cs="Times New Roman" w:eastAsia="Times New Roman" w:hint="default"/>
          <w:spacing w:val="-8"/>
        </w:rPr>
        <w:t>1</w:t>
      </w:r>
      <w:r>
        <w:rPr>
          <w:rFonts w:ascii="Times New Roman" w:hAnsi="Times New Roman" w:cs="Times New Roman" w:eastAsia="Times New Roman" w:hint="default"/>
        </w:rPr>
        <w:t>12.15</w:t>
      </w:r>
      <w:r>
        <w:rPr>
          <w:rFonts w:ascii="Times New Roman" w:hAnsi="Times New Roman" w:cs="Times New Roman" w:eastAsia="Times New Roman" w:hint="default"/>
          <w:spacing w:val="-1"/>
        </w:rPr>
        <w:t> </w:t>
      </w:r>
      <w:r>
        <w:rPr/>
        <w:t>万元。</w:t>
      </w:r>
    </w:p>
    <w:p>
      <w:pPr>
        <w:spacing w:before="102"/>
        <w:ind w:left="515" w:right="0" w:firstLine="0"/>
        <w:jc w:val="left"/>
        <w:rPr>
          <w:rFonts w:ascii="宋体" w:hAnsi="宋体" w:cs="宋体" w:eastAsia="宋体" w:hint="default"/>
          <w:sz w:val="18"/>
          <w:szCs w:val="18"/>
        </w:rPr>
      </w:pPr>
      <w:r>
        <w:rPr>
          <w:rFonts w:ascii="宋体" w:hAnsi="宋体" w:cs="宋体" w:eastAsia="宋体" w:hint="default"/>
          <w:b/>
          <w:bCs/>
          <w:spacing w:val="1"/>
          <w:w w:val="99"/>
          <w:sz w:val="18"/>
          <w:szCs w:val="18"/>
        </w:rPr>
        <w:t>公司</w:t>
      </w:r>
      <w:r>
        <w:rPr>
          <w:rFonts w:ascii="宋体" w:hAnsi="宋体" w:cs="宋体" w:eastAsia="宋体" w:hint="default"/>
          <w:b/>
          <w:bCs/>
          <w:w w:val="99"/>
          <w:sz w:val="18"/>
          <w:szCs w:val="18"/>
        </w:rPr>
        <w:t>连续</w:t>
      </w:r>
      <w:r>
        <w:rPr>
          <w:rFonts w:ascii="宋体" w:hAnsi="宋体" w:cs="宋体" w:eastAsia="宋体" w:hint="default"/>
          <w:b/>
          <w:bCs/>
          <w:spacing w:val="-44"/>
          <w:sz w:val="18"/>
          <w:szCs w:val="18"/>
        </w:rPr>
        <w:t> </w:t>
      </w:r>
      <w:r>
        <w:rPr>
          <w:rFonts w:ascii="Times New Roman" w:hAnsi="Times New Roman" w:cs="Times New Roman" w:eastAsia="Times New Roman" w:hint="default"/>
          <w:b/>
          <w:bCs/>
          <w:sz w:val="18"/>
          <w:szCs w:val="18"/>
        </w:rPr>
        <w:t>7</w:t>
      </w:r>
      <w:r>
        <w:rPr>
          <w:rFonts w:ascii="Times New Roman" w:hAnsi="Times New Roman" w:cs="Times New Roman" w:eastAsia="Times New Roman" w:hint="default"/>
          <w:b/>
          <w:bCs/>
          <w:spacing w:val="-1"/>
          <w:sz w:val="18"/>
          <w:szCs w:val="18"/>
        </w:rPr>
        <w:t> </w:t>
      </w:r>
      <w:r>
        <w:rPr>
          <w:rFonts w:ascii="宋体" w:hAnsi="宋体" w:cs="宋体" w:eastAsia="宋体" w:hint="default"/>
          <w:b/>
          <w:bCs/>
          <w:w w:val="99"/>
          <w:sz w:val="18"/>
          <w:szCs w:val="18"/>
        </w:rPr>
        <w:t>年</w:t>
      </w:r>
      <w:r>
        <w:rPr>
          <w:rFonts w:ascii="宋体" w:hAnsi="宋体" w:cs="宋体" w:eastAsia="宋体" w:hint="default"/>
          <w:b/>
          <w:bCs/>
          <w:spacing w:val="1"/>
          <w:w w:val="99"/>
          <w:sz w:val="18"/>
          <w:szCs w:val="18"/>
        </w:rPr>
        <w:t>现金</w:t>
      </w:r>
      <w:r>
        <w:rPr>
          <w:rFonts w:ascii="宋体" w:hAnsi="宋体" w:cs="宋体" w:eastAsia="宋体" w:hint="default"/>
          <w:b/>
          <w:bCs/>
          <w:w w:val="99"/>
          <w:sz w:val="18"/>
          <w:szCs w:val="18"/>
        </w:rPr>
        <w:t>分</w:t>
      </w:r>
      <w:r>
        <w:rPr>
          <w:rFonts w:ascii="宋体" w:hAnsi="宋体" w:cs="宋体" w:eastAsia="宋体" w:hint="default"/>
          <w:b/>
          <w:bCs/>
          <w:spacing w:val="1"/>
          <w:w w:val="99"/>
          <w:sz w:val="18"/>
          <w:szCs w:val="18"/>
        </w:rPr>
        <w:t>红</w:t>
      </w:r>
      <w:r>
        <w:rPr>
          <w:rFonts w:ascii="宋体" w:hAnsi="宋体" w:cs="宋体" w:eastAsia="宋体" w:hint="default"/>
          <w:b/>
          <w:bCs/>
          <w:w w:val="99"/>
          <w:sz w:val="18"/>
          <w:szCs w:val="18"/>
        </w:rPr>
        <w:t>，累</w:t>
      </w:r>
      <w:r>
        <w:rPr>
          <w:rFonts w:ascii="宋体" w:hAnsi="宋体" w:cs="宋体" w:eastAsia="宋体" w:hint="default"/>
          <w:b/>
          <w:bCs/>
          <w:spacing w:val="1"/>
          <w:w w:val="99"/>
          <w:sz w:val="18"/>
          <w:szCs w:val="18"/>
        </w:rPr>
        <w:t>计现</w:t>
      </w:r>
      <w:r>
        <w:rPr>
          <w:rFonts w:ascii="宋体" w:hAnsi="宋体" w:cs="宋体" w:eastAsia="宋体" w:hint="default"/>
          <w:b/>
          <w:bCs/>
          <w:w w:val="99"/>
          <w:sz w:val="18"/>
          <w:szCs w:val="18"/>
        </w:rPr>
        <w:t>金</w:t>
      </w:r>
      <w:r>
        <w:rPr>
          <w:rFonts w:ascii="宋体" w:hAnsi="宋体" w:cs="宋体" w:eastAsia="宋体" w:hint="default"/>
          <w:b/>
          <w:bCs/>
          <w:spacing w:val="1"/>
          <w:w w:val="99"/>
          <w:sz w:val="18"/>
          <w:szCs w:val="18"/>
        </w:rPr>
        <w:t>分</w:t>
      </w:r>
      <w:r>
        <w:rPr>
          <w:rFonts w:ascii="宋体" w:hAnsi="宋体" w:cs="宋体" w:eastAsia="宋体" w:hint="default"/>
          <w:b/>
          <w:bCs/>
          <w:w w:val="99"/>
          <w:sz w:val="18"/>
          <w:szCs w:val="18"/>
        </w:rPr>
        <w:t>红</w:t>
      </w:r>
      <w:r>
        <w:rPr>
          <w:rFonts w:ascii="宋体" w:hAnsi="宋体" w:cs="宋体" w:eastAsia="宋体" w:hint="default"/>
          <w:b/>
          <w:bCs/>
          <w:spacing w:val="-44"/>
          <w:sz w:val="18"/>
          <w:szCs w:val="18"/>
        </w:rPr>
        <w:t> </w:t>
      </w:r>
      <w:r>
        <w:rPr>
          <w:rFonts w:ascii="Times New Roman" w:hAnsi="Times New Roman" w:cs="Times New Roman" w:eastAsia="Times New Roman" w:hint="default"/>
          <w:b/>
          <w:bCs/>
          <w:sz w:val="18"/>
          <w:szCs w:val="18"/>
        </w:rPr>
        <w:t>2</w:t>
      </w:r>
      <w:r>
        <w:rPr>
          <w:rFonts w:ascii="Times New Roman" w:hAnsi="Times New Roman" w:cs="Times New Roman" w:eastAsia="Times New Roman" w:hint="default"/>
          <w:b/>
          <w:bCs/>
          <w:spacing w:val="-2"/>
          <w:sz w:val="18"/>
          <w:szCs w:val="18"/>
        </w:rPr>
        <w:t>1</w:t>
      </w:r>
      <w:r>
        <w:rPr>
          <w:rFonts w:ascii="Times New Roman" w:hAnsi="Times New Roman" w:cs="Times New Roman" w:eastAsia="Times New Roman" w:hint="default"/>
          <w:b/>
          <w:bCs/>
          <w:spacing w:val="-1"/>
          <w:sz w:val="18"/>
          <w:szCs w:val="18"/>
        </w:rPr>
        <w:t>,</w:t>
      </w:r>
      <w:r>
        <w:rPr>
          <w:rFonts w:ascii="Times New Roman" w:hAnsi="Times New Roman" w:cs="Times New Roman" w:eastAsia="Times New Roman" w:hint="default"/>
          <w:b/>
          <w:bCs/>
          <w:sz w:val="18"/>
          <w:szCs w:val="18"/>
        </w:rPr>
        <w:t>526.23</w:t>
      </w:r>
      <w:r>
        <w:rPr>
          <w:rFonts w:ascii="Times New Roman" w:hAnsi="Times New Roman" w:cs="Times New Roman" w:eastAsia="Times New Roman" w:hint="default"/>
          <w:b/>
          <w:bCs/>
          <w:spacing w:val="1"/>
          <w:sz w:val="18"/>
          <w:szCs w:val="18"/>
        </w:rPr>
        <w:t> </w:t>
      </w:r>
      <w:r>
        <w:rPr>
          <w:rFonts w:ascii="宋体" w:hAnsi="宋体" w:cs="宋体" w:eastAsia="宋体" w:hint="default"/>
          <w:b/>
          <w:bCs/>
          <w:w w:val="99"/>
          <w:sz w:val="18"/>
          <w:szCs w:val="18"/>
        </w:rPr>
        <w:t>万</w:t>
      </w:r>
      <w:r>
        <w:rPr>
          <w:rFonts w:ascii="宋体" w:hAnsi="宋体" w:cs="宋体" w:eastAsia="宋体" w:hint="default"/>
          <w:b/>
          <w:bCs/>
          <w:spacing w:val="1"/>
          <w:w w:val="99"/>
          <w:sz w:val="18"/>
          <w:szCs w:val="18"/>
        </w:rPr>
        <w:t>元</w:t>
      </w:r>
      <w:r>
        <w:rPr>
          <w:rFonts w:ascii="宋体" w:hAnsi="宋体" w:cs="宋体" w:eastAsia="宋体" w:hint="default"/>
          <w:spacing w:val="-2"/>
          <w:sz w:val="18"/>
          <w:szCs w:val="18"/>
        </w:rPr>
        <w:t>（</w:t>
      </w:r>
      <w:r>
        <w:rPr>
          <w:rFonts w:ascii="宋体" w:hAnsi="宋体" w:cs="宋体" w:eastAsia="宋体" w:hint="default"/>
          <w:sz w:val="18"/>
          <w:szCs w:val="18"/>
        </w:rPr>
        <w:t>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r>
        <w:rPr>
          <w:rFonts w:ascii="宋体" w:hAnsi="宋体" w:cs="宋体" w:eastAsia="宋体" w:hint="default"/>
          <w:spacing w:val="1"/>
          <w:sz w:val="18"/>
          <w:szCs w:val="18"/>
        </w:rPr>
        <w:t>拟</w:t>
      </w:r>
      <w:r>
        <w:rPr>
          <w:rFonts w:ascii="宋体" w:hAnsi="宋体" w:cs="宋体" w:eastAsia="宋体" w:hint="default"/>
          <w:sz w:val="18"/>
          <w:szCs w:val="18"/>
        </w:rPr>
        <w:t>分配红利</w:t>
      </w:r>
      <w:r>
        <w:rPr>
          <w:rFonts w:ascii="宋体" w:hAnsi="宋体" w:cs="宋体" w:eastAsia="宋体" w:hint="default"/>
          <w:spacing w:val="-90"/>
          <w:sz w:val="18"/>
          <w:szCs w:val="18"/>
        </w:rPr>
        <w:t>）</w:t>
      </w:r>
      <w:r>
        <w:rPr>
          <w:rFonts w:ascii="宋体" w:hAnsi="宋体" w:cs="宋体" w:eastAsia="宋体" w:hint="default"/>
          <w:sz w:val="18"/>
          <w:szCs w:val="18"/>
        </w:rPr>
        <w:t>。</w:t>
      </w:r>
    </w:p>
    <w:p>
      <w:pPr>
        <w:spacing w:line="240" w:lineRule="auto" w:before="12"/>
        <w:rPr>
          <w:rFonts w:ascii="宋体" w:hAnsi="宋体" w:cs="宋体" w:eastAsia="宋体" w:hint="default"/>
          <w:sz w:val="14"/>
          <w:szCs w:val="14"/>
        </w:rPr>
      </w:pPr>
    </w:p>
    <w:p>
      <w:pPr>
        <w:spacing w:line="3843" w:lineRule="exact"/>
        <w:ind w:left="1325" w:right="0" w:firstLine="0"/>
        <w:rPr>
          <w:rFonts w:ascii="宋体" w:hAnsi="宋体" w:cs="宋体" w:eastAsia="宋体" w:hint="default"/>
          <w:sz w:val="20"/>
          <w:szCs w:val="20"/>
        </w:rPr>
      </w:pPr>
      <w:r>
        <w:rPr>
          <w:rFonts w:ascii="宋体" w:hAnsi="宋体" w:cs="宋体" w:eastAsia="宋体" w:hint="default"/>
          <w:position w:val="-76"/>
          <w:sz w:val="20"/>
          <w:szCs w:val="20"/>
        </w:rPr>
        <w:drawing>
          <wp:inline distT="0" distB="0" distL="0" distR="0">
            <wp:extent cx="4629915" cy="2440305"/>
            <wp:effectExtent l="0" t="0" r="0" b="0"/>
            <wp:docPr id="55" name="image36.jpeg" descr=""/>
            <wp:cNvGraphicFramePr>
              <a:graphicFrameLocks noChangeAspect="1"/>
            </wp:cNvGraphicFramePr>
            <a:graphic>
              <a:graphicData uri="http://schemas.openxmlformats.org/drawingml/2006/picture">
                <pic:pic>
                  <pic:nvPicPr>
                    <pic:cNvPr id="56" name="image36.jpeg"/>
                    <pic:cNvPicPr/>
                  </pic:nvPicPr>
                  <pic:blipFill>
                    <a:blip r:embed="rId47" cstate="print"/>
                    <a:stretch>
                      <a:fillRect/>
                    </a:stretch>
                  </pic:blipFill>
                  <pic:spPr>
                    <a:xfrm>
                      <a:off x="0" y="0"/>
                      <a:ext cx="4629915" cy="2440305"/>
                    </a:xfrm>
                    <a:prstGeom prst="rect">
                      <a:avLst/>
                    </a:prstGeom>
                  </pic:spPr>
                </pic:pic>
              </a:graphicData>
            </a:graphic>
          </wp:inline>
        </w:drawing>
      </w:r>
      <w:r>
        <w:rPr>
          <w:rFonts w:ascii="宋体" w:hAnsi="宋体" w:cs="宋体" w:eastAsia="宋体" w:hint="default"/>
          <w:position w:val="-76"/>
          <w:sz w:val="20"/>
          <w:szCs w:val="20"/>
        </w:rPr>
      </w:r>
    </w:p>
    <w:p>
      <w:pPr>
        <w:spacing w:after="0" w:line="3843" w:lineRule="exact"/>
        <w:rPr>
          <w:rFonts w:ascii="宋体" w:hAnsi="宋体" w:cs="宋体" w:eastAsia="宋体" w:hint="default"/>
          <w:sz w:val="20"/>
          <w:szCs w:val="20"/>
        </w:rPr>
        <w:sectPr>
          <w:pgSz w:w="11910" w:h="16840"/>
          <w:pgMar w:header="747" w:footer="979" w:top="1060" w:bottom="1160" w:left="980" w:right="0"/>
        </w:sectPr>
      </w:pPr>
    </w:p>
    <w:p>
      <w:pPr>
        <w:spacing w:line="240" w:lineRule="auto" w:before="9"/>
        <w:rPr>
          <w:rFonts w:ascii="宋体" w:hAnsi="宋体" w:cs="宋体" w:eastAsia="宋体" w:hint="default"/>
          <w:sz w:val="23"/>
          <w:szCs w:val="23"/>
        </w:rPr>
      </w:pPr>
    </w:p>
    <w:p>
      <w:pPr>
        <w:pStyle w:val="Heading2"/>
        <w:spacing w:line="240" w:lineRule="auto" w:before="26"/>
        <w:ind w:right="0"/>
        <w:jc w:val="left"/>
        <w:rPr>
          <w:b w:val="0"/>
          <w:bCs w:val="0"/>
        </w:rPr>
      </w:pPr>
      <w:bookmarkStart w:name="二、主营业务分析" w:id="25"/>
      <w:bookmarkEnd w:id="25"/>
      <w:r>
        <w:rPr>
          <w:b w:val="0"/>
          <w:bCs w:val="0"/>
        </w:rPr>
      </w:r>
      <w:r>
        <w:rPr/>
        <w:t>二、主营业务分析</w:t>
      </w:r>
      <w:r>
        <w:rPr>
          <w:b w:val="0"/>
          <w:bCs w:val="0"/>
        </w:rPr>
      </w:r>
    </w:p>
    <w:p>
      <w:pPr>
        <w:spacing w:line="240" w:lineRule="auto" w:before="8"/>
        <w:rPr>
          <w:rFonts w:ascii="宋体" w:hAnsi="宋体" w:cs="宋体" w:eastAsia="宋体" w:hint="default"/>
          <w:b/>
          <w:bCs/>
          <w:sz w:val="24"/>
          <w:szCs w:val="24"/>
        </w:rPr>
      </w:pPr>
    </w:p>
    <w:p>
      <w:pPr>
        <w:spacing w:line="544" w:lineRule="auto" w:before="0"/>
        <w:ind w:left="153" w:right="6473" w:firstLine="0"/>
        <w:jc w:val="left"/>
        <w:rPr>
          <w:rFonts w:ascii="宋体" w:hAnsi="宋体" w:cs="宋体" w:eastAsia="宋体" w:hint="default"/>
          <w:sz w:val="21"/>
          <w:szCs w:val="21"/>
        </w:rPr>
      </w:pPr>
      <w:bookmarkStart w:name="1、概述" w:id="26"/>
      <w:bookmarkEnd w:id="26"/>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、概述</w:t>
      </w:r>
      <w:r>
        <w:rPr>
          <w:rFonts w:ascii="宋体" w:hAnsi="宋体" w:cs="宋体" w:eastAsia="宋体" w:hint="default"/>
          <w:b/>
          <w:bCs/>
          <w:spacing w:val="1"/>
          <w:w w:val="99"/>
          <w:sz w:val="21"/>
          <w:szCs w:val="21"/>
        </w:rPr>
        <w:t> </w:t>
      </w:r>
      <w:r>
        <w:rPr>
          <w:rFonts w:ascii="宋体" w:hAnsi="宋体" w:cs="宋体" w:eastAsia="宋体" w:hint="default"/>
          <w:sz w:val="18"/>
          <w:szCs w:val="18"/>
        </w:rPr>
        <w:t>参见</w:t>
      </w:r>
      <w:r>
        <w:rPr>
          <w:rFonts w:ascii="Times New Roman" w:hAnsi="Times New Roman" w:cs="Times New Roman" w:eastAsia="Times New Roman" w:hint="default"/>
          <w:sz w:val="18"/>
          <w:szCs w:val="18"/>
        </w:rPr>
        <w:t>“</w:t>
      </w:r>
      <w:r>
        <w:rPr>
          <w:rFonts w:ascii="宋体" w:hAnsi="宋体" w:cs="宋体" w:eastAsia="宋体" w:hint="default"/>
          <w:sz w:val="18"/>
          <w:szCs w:val="18"/>
        </w:rPr>
        <w:t>经营情况讨论与分析</w:t>
      </w:r>
      <w:r>
        <w:rPr>
          <w:rFonts w:ascii="Times New Roman" w:hAnsi="Times New Roman" w:cs="Times New Roman" w:eastAsia="Times New Roman" w:hint="default"/>
          <w:sz w:val="18"/>
          <w:szCs w:val="18"/>
        </w:rPr>
        <w:t>”</w:t>
      </w:r>
      <w:r>
        <w:rPr>
          <w:rFonts w:ascii="宋体" w:hAnsi="宋体" w:cs="宋体" w:eastAsia="宋体" w:hint="default"/>
          <w:sz w:val="18"/>
          <w:szCs w:val="18"/>
        </w:rPr>
        <w:t>中的</w:t>
      </w:r>
      <w:r>
        <w:rPr>
          <w:rFonts w:ascii="Times New Roman" w:hAnsi="Times New Roman" w:cs="Times New Roman" w:eastAsia="Times New Roman" w:hint="default"/>
          <w:sz w:val="18"/>
          <w:szCs w:val="18"/>
        </w:rPr>
        <w:t>“</w:t>
      </w:r>
      <w:r>
        <w:rPr>
          <w:rFonts w:ascii="宋体" w:hAnsi="宋体" w:cs="宋体" w:eastAsia="宋体" w:hint="default"/>
          <w:sz w:val="18"/>
          <w:szCs w:val="18"/>
        </w:rPr>
        <w:t>一、概述</w:t>
      </w:r>
      <w:r>
        <w:rPr>
          <w:rFonts w:ascii="Times New Roman" w:hAnsi="Times New Roman" w:cs="Times New Roman" w:eastAsia="Times New Roman" w:hint="default"/>
          <w:sz w:val="18"/>
          <w:szCs w:val="18"/>
        </w:rPr>
        <w:t>”</w:t>
      </w:r>
      <w:r>
        <w:rPr>
          <w:rFonts w:ascii="宋体" w:hAnsi="宋体" w:cs="宋体" w:eastAsia="宋体" w:hint="default"/>
          <w:sz w:val="18"/>
          <w:szCs w:val="18"/>
        </w:rPr>
        <w:t>相关内容。 </w:t>
      </w:r>
      <w:bookmarkStart w:name="2、收入与成本" w:id="27"/>
      <w:bookmarkEnd w:id="27"/>
      <w:r>
        <w:rPr>
          <w:rFonts w:ascii="宋体" w:hAnsi="宋体" w:cs="宋体" w:eastAsia="宋体" w:hint="default"/>
          <w:sz w:val="18"/>
          <w:szCs w:val="18"/>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、收入与成本</w:t>
      </w:r>
      <w:r>
        <w:rPr>
          <w:rFonts w:ascii="宋体" w:hAnsi="宋体" w:cs="宋体" w:eastAsia="宋体" w:hint="default"/>
          <w:sz w:val="21"/>
          <w:szCs w:val="21"/>
        </w:rPr>
      </w:r>
    </w:p>
    <w:p>
      <w:pPr>
        <w:pStyle w:val="Heading3"/>
        <w:spacing w:line="240" w:lineRule="auto" w:before="28"/>
        <w:ind w:left="153" w:right="0"/>
        <w:jc w:val="left"/>
        <w:rPr>
          <w:b w:val="0"/>
          <w:bCs w:val="0"/>
        </w:rPr>
      </w:pPr>
      <w:bookmarkStart w:name="（1）营业收入构成" w:id="28"/>
      <w:bookmarkEnd w:id="28"/>
      <w:r>
        <w:rPr>
          <w:b w:val="0"/>
          <w:bCs w:val="0"/>
        </w:rPr>
      </w:r>
      <w:r>
        <w:rPr/>
        <w:t>（</w:t>
      </w:r>
      <w:r>
        <w:rPr>
          <w:rFonts w:ascii="Times New Roman" w:hAnsi="Times New Roman" w:cs="Times New Roman" w:eastAsia="Times New Roman" w:hint="default"/>
        </w:rPr>
        <w:t>1</w:t>
      </w:r>
      <w:r>
        <w:rPr/>
        <w:t>）营业收入构成</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99"/>
        <w:gridCol w:w="1594"/>
        <w:gridCol w:w="1592"/>
        <w:gridCol w:w="1597"/>
        <w:gridCol w:w="1588"/>
        <w:gridCol w:w="1598"/>
      </w:tblGrid>
      <w:tr>
        <w:trPr>
          <w:trHeight w:val="205" w:hRule="exact"/>
        </w:trPr>
        <w:tc>
          <w:tcPr>
            <w:tcW w:w="1599" w:type="dxa"/>
            <w:tcBorders>
              <w:top w:val="single" w:sz="4" w:space="0" w:color="000000"/>
              <w:left w:val="single" w:sz="4" w:space="0" w:color="000000"/>
              <w:bottom w:val="nil" w:sz="6" w:space="0" w:color="auto"/>
              <w:right w:val="single" w:sz="4" w:space="0" w:color="000000"/>
            </w:tcBorders>
            <w:shd w:val="clear" w:color="auto" w:fill="D2D2D2"/>
          </w:tcPr>
          <w:p>
            <w:pPr/>
          </w:p>
        </w:tc>
        <w:tc>
          <w:tcPr>
            <w:tcW w:w="318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18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8"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2" w:hRule="exact"/>
        </w:trPr>
        <w:tc>
          <w:tcPr>
            <w:tcW w:w="1599" w:type="dxa"/>
            <w:vMerge w:val="restart"/>
            <w:tcBorders>
              <w:top w:val="nil" w:sz="6" w:space="0" w:color="auto"/>
              <w:left w:val="single" w:sz="4" w:space="0" w:color="000000"/>
              <w:right w:val="single" w:sz="4" w:space="0" w:color="000000"/>
            </w:tcBorders>
            <w:shd w:val="clear" w:color="auto" w:fill="D2D2D2"/>
          </w:tcPr>
          <w:p>
            <w:pPr/>
          </w:p>
        </w:tc>
        <w:tc>
          <w:tcPr>
            <w:tcW w:w="3186" w:type="dxa"/>
            <w:gridSpan w:val="2"/>
            <w:vMerge/>
            <w:tcBorders>
              <w:left w:val="single" w:sz="4" w:space="0" w:color="000000"/>
              <w:bottom w:val="single" w:sz="4" w:space="0" w:color="000000"/>
              <w:right w:val="single" w:sz="4" w:space="0" w:color="000000"/>
            </w:tcBorders>
            <w:shd w:val="clear" w:color="auto" w:fill="D2D2D2"/>
          </w:tcPr>
          <w:p>
            <w:pPr/>
          </w:p>
        </w:tc>
        <w:tc>
          <w:tcPr>
            <w:tcW w:w="3185" w:type="dxa"/>
            <w:gridSpan w:val="2"/>
            <w:vMerge/>
            <w:tcBorders>
              <w:left w:val="single" w:sz="4" w:space="0" w:color="000000"/>
              <w:bottom w:val="single" w:sz="4" w:space="0" w:color="000000"/>
              <w:right w:val="single" w:sz="4" w:space="0" w:color="000000"/>
            </w:tcBorders>
            <w:shd w:val="clear" w:color="auto" w:fill="D2D2D2"/>
          </w:tcPr>
          <w:p>
            <w:pPr/>
          </w:p>
        </w:tc>
        <w:tc>
          <w:tcPr>
            <w:tcW w:w="159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436"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200" w:hRule="exact"/>
        </w:trPr>
        <w:tc>
          <w:tcPr>
            <w:tcW w:w="1599" w:type="dxa"/>
            <w:vMerge/>
            <w:tcBorders>
              <w:left w:val="single" w:sz="4" w:space="0" w:color="000000"/>
              <w:bottom w:val="nil" w:sz="6" w:space="0" w:color="auto"/>
              <w:right w:val="single" w:sz="4" w:space="0" w:color="000000"/>
            </w:tcBorders>
            <w:shd w:val="clear" w:color="auto" w:fill="D2D2D2"/>
          </w:tcPr>
          <w:p>
            <w:pP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3"/>
              <w:jc w:val="center"/>
              <w:rPr>
                <w:rFonts w:ascii="宋体" w:hAnsi="宋体" w:cs="宋体" w:eastAsia="宋体" w:hint="default"/>
                <w:sz w:val="18"/>
                <w:szCs w:val="18"/>
              </w:rPr>
            </w:pPr>
            <w:r>
              <w:rPr>
                <w:rFonts w:ascii="宋体" w:hAnsi="宋体" w:cs="宋体" w:eastAsia="宋体" w:hint="default"/>
                <w:sz w:val="18"/>
                <w:szCs w:val="18"/>
              </w:rPr>
              <w:t>金额</w:t>
            </w:r>
          </w:p>
        </w:tc>
        <w:tc>
          <w:tcPr>
            <w:tcW w:w="15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160"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c>
          <w:tcPr>
            <w:tcW w:w="15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8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159"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c>
          <w:tcPr>
            <w:tcW w:w="1598" w:type="dxa"/>
            <w:vMerge/>
            <w:tcBorders>
              <w:left w:val="single" w:sz="4" w:space="0" w:color="000000"/>
              <w:bottom w:val="nil" w:sz="6" w:space="0" w:color="auto"/>
              <w:right w:val="single" w:sz="4" w:space="0" w:color="000000"/>
            </w:tcBorders>
            <w:shd w:val="clear" w:color="auto" w:fill="D2D2D2"/>
          </w:tcPr>
          <w:p>
            <w:pPr/>
          </w:p>
        </w:tc>
      </w:tr>
      <w:tr>
        <w:trPr>
          <w:trHeight w:val="206" w:hRule="exact"/>
        </w:trPr>
        <w:tc>
          <w:tcPr>
            <w:tcW w:w="1599" w:type="dxa"/>
            <w:tcBorders>
              <w:top w:val="nil" w:sz="6" w:space="0" w:color="auto"/>
              <w:left w:val="single" w:sz="4" w:space="0" w:color="000000"/>
              <w:bottom w:val="single" w:sz="4" w:space="0" w:color="000000"/>
              <w:right w:val="single" w:sz="4" w:space="0" w:color="000000"/>
            </w:tcBorders>
            <w:shd w:val="clear" w:color="auto" w:fill="D2D2D2"/>
          </w:tcPr>
          <w:p>
            <w:pPr/>
          </w:p>
        </w:tc>
        <w:tc>
          <w:tcPr>
            <w:tcW w:w="1594" w:type="dxa"/>
            <w:vMerge/>
            <w:tcBorders>
              <w:left w:val="single" w:sz="4" w:space="0" w:color="000000"/>
              <w:bottom w:val="single" w:sz="4" w:space="0" w:color="000000"/>
              <w:right w:val="single" w:sz="4" w:space="0" w:color="000000"/>
            </w:tcBorders>
            <w:shd w:val="clear" w:color="auto" w:fill="D2D2D2"/>
          </w:tcPr>
          <w:p>
            <w:pPr/>
          </w:p>
        </w:tc>
        <w:tc>
          <w:tcPr>
            <w:tcW w:w="1592" w:type="dxa"/>
            <w:vMerge/>
            <w:tcBorders>
              <w:left w:val="single" w:sz="4" w:space="0" w:color="000000"/>
              <w:bottom w:val="single" w:sz="4" w:space="0" w:color="000000"/>
              <w:right w:val="single" w:sz="4" w:space="0" w:color="000000"/>
            </w:tcBorders>
            <w:shd w:val="clear" w:color="auto" w:fill="D2D2D2"/>
          </w:tcPr>
          <w:p>
            <w:pPr/>
          </w:p>
        </w:tc>
        <w:tc>
          <w:tcPr>
            <w:tcW w:w="1597" w:type="dxa"/>
            <w:vMerge/>
            <w:tcBorders>
              <w:left w:val="single" w:sz="4" w:space="0" w:color="000000"/>
              <w:bottom w:val="single" w:sz="4" w:space="0" w:color="000000"/>
              <w:right w:val="single" w:sz="4" w:space="0" w:color="000000"/>
            </w:tcBorders>
            <w:shd w:val="clear" w:color="auto" w:fill="D2D2D2"/>
          </w:tcPr>
          <w:p>
            <w:pPr/>
          </w:p>
        </w:tc>
        <w:tc>
          <w:tcPr>
            <w:tcW w:w="1588" w:type="dxa"/>
            <w:vMerge/>
            <w:tcBorders>
              <w:left w:val="single" w:sz="4" w:space="0" w:color="000000"/>
              <w:bottom w:val="single" w:sz="4" w:space="0" w:color="000000"/>
              <w:right w:val="single" w:sz="4" w:space="0" w:color="000000"/>
            </w:tcBorders>
            <w:shd w:val="clear" w:color="auto" w:fill="D2D2D2"/>
          </w:tcPr>
          <w:p>
            <w:pPr/>
          </w:p>
        </w:tc>
        <w:tc>
          <w:tcPr>
            <w:tcW w:w="1598"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7" w:hRule="exact"/>
        </w:trPr>
        <w:tc>
          <w:tcPr>
            <w:tcW w:w="1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营业收入合计</w:t>
            </w:r>
          </w:p>
        </w:tc>
        <w:tc>
          <w:tcPr>
            <w:tcW w:w="1594" w:type="dxa"/>
            <w:tcBorders>
              <w:top w:val="single" w:sz="4" w:space="0" w:color="000000"/>
              <w:left w:val="single" w:sz="13" w:space="0" w:color="D2D2D2"/>
              <w:bottom w:val="single" w:sz="4" w:space="0" w:color="000000"/>
              <w:right w:val="single" w:sz="13" w:space="0" w:color="D2D2D2"/>
            </w:tcBorders>
          </w:tcPr>
          <w:p>
            <w:pPr>
              <w:pStyle w:val="TableParagraph"/>
              <w:spacing w:line="240" w:lineRule="auto" w:before="91"/>
              <w:ind w:right="12"/>
              <w:jc w:val="right"/>
              <w:rPr>
                <w:rFonts w:ascii="Times New Roman" w:hAnsi="Times New Roman" w:cs="Times New Roman" w:eastAsia="Times New Roman" w:hint="default"/>
                <w:sz w:val="18"/>
                <w:szCs w:val="18"/>
              </w:rPr>
            </w:pPr>
            <w:r>
              <w:rPr>
                <w:rFonts w:ascii="Times New Roman"/>
                <w:spacing w:val="-1"/>
                <w:sz w:val="18"/>
              </w:rPr>
              <w:t>1,041,124,027.40</w:t>
            </w:r>
          </w:p>
        </w:tc>
        <w:tc>
          <w:tcPr>
            <w:tcW w:w="15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1597" w:type="dxa"/>
            <w:tcBorders>
              <w:top w:val="single" w:sz="4" w:space="0" w:color="000000"/>
              <w:left w:val="single" w:sz="13" w:space="0" w:color="D2D2D2"/>
              <w:bottom w:val="single" w:sz="4" w:space="0" w:color="000000"/>
              <w:right w:val="single" w:sz="13" w:space="0" w:color="D2D2D2"/>
            </w:tcBorders>
          </w:tcPr>
          <w:p>
            <w:pPr>
              <w:pStyle w:val="TableParagraph"/>
              <w:spacing w:line="240" w:lineRule="auto" w:before="91"/>
              <w:ind w:right="11"/>
              <w:jc w:val="right"/>
              <w:rPr>
                <w:rFonts w:ascii="Times New Roman" w:hAnsi="Times New Roman" w:cs="Times New Roman" w:eastAsia="Times New Roman" w:hint="default"/>
                <w:sz w:val="18"/>
                <w:szCs w:val="18"/>
              </w:rPr>
            </w:pPr>
            <w:r>
              <w:rPr>
                <w:rFonts w:ascii="Times New Roman"/>
                <w:spacing w:val="-1"/>
                <w:sz w:val="18"/>
              </w:rPr>
              <w:t>457,079,739.05</w:t>
            </w:r>
          </w:p>
        </w:tc>
        <w:tc>
          <w:tcPr>
            <w:tcW w:w="15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159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127.78%</w:t>
            </w:r>
          </w:p>
        </w:tc>
      </w:tr>
      <w:tr>
        <w:trPr>
          <w:trHeight w:val="397"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402"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应用</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888,724,205.38</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85.36%</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4"/>
              <w:jc w:val="right"/>
              <w:rPr>
                <w:rFonts w:ascii="Times New Roman" w:hAnsi="Times New Roman" w:cs="Times New Roman" w:eastAsia="Times New Roman" w:hint="default"/>
                <w:sz w:val="18"/>
                <w:szCs w:val="18"/>
              </w:rPr>
            </w:pPr>
            <w:r>
              <w:rPr>
                <w:rFonts w:ascii="Times New Roman"/>
                <w:spacing w:val="-1"/>
                <w:sz w:val="18"/>
              </w:rPr>
              <w:t>358,087,217.11</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78.35%</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148.19%</w:t>
            </w:r>
          </w:p>
        </w:tc>
      </w:tr>
      <w:tr>
        <w:trPr>
          <w:trHeight w:val="402"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金融科技</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4"/>
              <w:jc w:val="right"/>
              <w:rPr>
                <w:rFonts w:ascii="Times New Roman" w:hAnsi="Times New Roman" w:cs="Times New Roman" w:eastAsia="Times New Roman" w:hint="default"/>
                <w:sz w:val="18"/>
                <w:szCs w:val="18"/>
              </w:rPr>
            </w:pPr>
            <w:r>
              <w:rPr>
                <w:rFonts w:ascii="Times New Roman"/>
                <w:spacing w:val="-1"/>
                <w:sz w:val="18"/>
              </w:rPr>
              <w:t>149,188,278.11</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14.33%</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87,917,440.63</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19.23%</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69.69%</w:t>
            </w:r>
          </w:p>
        </w:tc>
      </w:tr>
      <w:tr>
        <w:trPr>
          <w:trHeight w:val="402"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体育新业务</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3,211,543.91</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0.31%</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11,075,081.31</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2.42%</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-71.00%</w:t>
            </w:r>
          </w:p>
        </w:tc>
      </w:tr>
      <w:tr>
        <w:trPr>
          <w:trHeight w:val="402"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402"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视频显示系统</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296,838,258.77</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28.51%</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259,978,188.23</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56.88%</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14.18%</w:t>
            </w:r>
          </w:p>
        </w:tc>
      </w:tr>
      <w:tr>
        <w:trPr>
          <w:trHeight w:val="402"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信息发布系统</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43,655,557.02</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4.19%</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28,753,682.71</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6.29%</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51.83%</w:t>
            </w:r>
          </w:p>
        </w:tc>
      </w:tr>
      <w:tr>
        <w:trPr>
          <w:trHeight w:val="402"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智能景观亮化工程</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519,071,944.60</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49.86%</w:t>
            </w:r>
          </w:p>
        </w:tc>
        <w:tc>
          <w:tcPr>
            <w:tcW w:w="1597" w:type="dxa"/>
            <w:tcBorders>
              <w:top w:val="single" w:sz="4" w:space="0" w:color="000000"/>
              <w:left w:val="single" w:sz="4" w:space="0" w:color="000000"/>
              <w:bottom w:val="single" w:sz="4" w:space="0" w:color="000000"/>
              <w:right w:val="single" w:sz="4" w:space="0" w:color="000000"/>
            </w:tcBorders>
          </w:tcPr>
          <w:p>
            <w:pPr/>
          </w:p>
        </w:tc>
        <w:tc>
          <w:tcPr>
            <w:tcW w:w="1588" w:type="dxa"/>
            <w:tcBorders>
              <w:top w:val="single" w:sz="4" w:space="0" w:color="000000"/>
              <w:left w:val="single" w:sz="4" w:space="0" w:color="000000"/>
              <w:bottom w:val="single" w:sz="4" w:space="0" w:color="000000"/>
              <w:right w:val="single" w:sz="4" w:space="0" w:color="000000"/>
            </w:tcBorders>
          </w:tcPr>
          <w:p>
            <w:pPr/>
          </w:p>
        </w:tc>
        <w:tc>
          <w:tcPr>
            <w:tcW w:w="159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24"/>
              <w:jc w:val="left"/>
              <w:rPr>
                <w:rFonts w:ascii="宋体" w:hAnsi="宋体" w:cs="宋体" w:eastAsia="宋体" w:hint="default"/>
                <w:sz w:val="18"/>
                <w:szCs w:val="18"/>
              </w:rPr>
            </w:pPr>
            <w:r>
              <w:rPr>
                <w:rFonts w:ascii="宋体" w:hAnsi="宋体" w:cs="宋体" w:eastAsia="宋体" w:hint="default"/>
                <w:sz w:val="18"/>
                <w:szCs w:val="18"/>
              </w:rPr>
              <w:t>网点智能化集成与 设备</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110,219,640.19</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10.59%</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101,837,720.89</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22.28%</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8.23%</w:t>
            </w:r>
          </w:p>
        </w:tc>
      </w:tr>
      <w:tr>
        <w:trPr>
          <w:trHeight w:val="402"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服务、软件集成</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50,067,292.12</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4.81%</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58,073,640.39</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12.71%</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-13.79%</w:t>
            </w:r>
          </w:p>
        </w:tc>
      </w:tr>
      <w:tr>
        <w:trPr>
          <w:trHeight w:val="402"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其它</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21,271,334.70</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2.04%</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8,436,506.83</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1.85%</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152.13%</w:t>
            </w:r>
          </w:p>
        </w:tc>
      </w:tr>
      <w:tr>
        <w:trPr>
          <w:trHeight w:val="402"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2"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海外销售</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181,286,017.93</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17.41%</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213,254,663.82</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46.66%</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-14.99%</w:t>
            </w:r>
          </w:p>
        </w:tc>
      </w:tr>
      <w:tr>
        <w:trPr>
          <w:trHeight w:val="402"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国内销售</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859,838,009.47</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82.59%</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243,825,075.23</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53.34%</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252.65%</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占公司营业收入或营业利润10%以上的行业、产品或地区情况" w:id="29"/>
      <w:bookmarkEnd w:id="29"/>
      <w:r>
        <w:rPr>
          <w:b w:val="0"/>
          <w:bCs w:val="0"/>
        </w:rPr>
      </w:r>
      <w:r>
        <w:rPr/>
        <w:t>（</w:t>
      </w:r>
      <w:r>
        <w:rPr>
          <w:rFonts w:ascii="Times New Roman" w:hAnsi="Times New Roman" w:cs="Times New Roman" w:eastAsia="Times New Roman" w:hint="default"/>
        </w:rPr>
        <w:t>2</w:t>
      </w:r>
      <w:r>
        <w:rPr/>
        <w:t>）占公司营业收入或营业利润</w:t>
      </w:r>
      <w:r>
        <w:rPr>
          <w:spacing w:val="-59"/>
        </w:rPr>
        <w:t> </w:t>
      </w:r>
      <w:r>
        <w:rPr>
          <w:rFonts w:ascii="Times New Roman" w:hAnsi="Times New Roman" w:cs="Times New Roman" w:eastAsia="Times New Roman" w:hint="default"/>
        </w:rPr>
        <w:t>10%</w:t>
      </w:r>
      <w:r>
        <w:rPr/>
        <w:t>以上的行业、产品或地区情况</w:t>
      </w:r>
      <w:r>
        <w:rPr>
          <w:b w:val="0"/>
          <w:bCs w:val="0"/>
        </w:rPr>
      </w:r>
    </w:p>
    <w:p>
      <w:pPr>
        <w:spacing w:line="240" w:lineRule="auto" w:before="3"/>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747" w:footer="979" w:top="1060" w:bottom="1160" w:left="980" w:right="0"/>
        </w:sectPr>
      </w:pPr>
    </w:p>
    <w:p>
      <w:pPr>
        <w:pStyle w:val="BodyText"/>
        <w:spacing w:line="348" w:lineRule="auto" w:before="44"/>
        <w:ind w:right="-19"/>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公司是否需要遵守特殊行业的披露要求 否</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BodyText"/>
        <w:spacing w:line="240" w:lineRule="auto" w:before="158"/>
        <w:ind w:right="0"/>
        <w:jc w:val="left"/>
      </w:pPr>
      <w:r>
        <w:rPr/>
        <w:t>单位：元</w:t>
      </w:r>
    </w:p>
    <w:p>
      <w:pPr>
        <w:spacing w:after="0" w:line="240" w:lineRule="auto"/>
        <w:jc w:val="left"/>
        <w:sectPr>
          <w:type w:val="continuous"/>
          <w:pgSz w:w="11910" w:h="16840"/>
          <w:pgMar w:top="1060" w:bottom="1160" w:left="980" w:right="0"/>
          <w:cols w:num="2" w:equalWidth="0">
            <w:col w:w="3215" w:space="5705"/>
            <w:col w:w="2010"/>
          </w:cols>
        </w:sectPr>
      </w:pP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7"/>
        <w:gridCol w:w="1367"/>
        <w:gridCol w:w="1366"/>
        <w:gridCol w:w="1367"/>
        <w:gridCol w:w="1367"/>
        <w:gridCol w:w="1367"/>
        <w:gridCol w:w="1374"/>
      </w:tblGrid>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18"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07" w:right="0"/>
              <w:jc w:val="left"/>
              <w:rPr>
                <w:rFonts w:ascii="宋体" w:hAnsi="宋体" w:cs="宋体" w:eastAsia="宋体" w:hint="default"/>
                <w:sz w:val="18"/>
                <w:szCs w:val="18"/>
              </w:rPr>
            </w:pPr>
            <w:r>
              <w:rPr>
                <w:rFonts w:ascii="宋体" w:hAnsi="宋体" w:cs="宋体" w:eastAsia="宋体" w:hint="default"/>
                <w:sz w:val="18"/>
                <w:szCs w:val="18"/>
              </w:rPr>
              <w:t>毛利率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317" w:right="47" w:hanging="270"/>
              <w:jc w:val="left"/>
              <w:rPr>
                <w:rFonts w:ascii="宋体" w:hAnsi="宋体" w:cs="宋体" w:eastAsia="宋体" w:hint="default"/>
                <w:sz w:val="18"/>
                <w:szCs w:val="18"/>
              </w:rPr>
            </w:pPr>
            <w:r>
              <w:rPr>
                <w:rFonts w:ascii="宋体" w:hAnsi="宋体" w:cs="宋体" w:eastAsia="宋体" w:hint="default"/>
                <w:sz w:val="18"/>
                <w:szCs w:val="18"/>
              </w:rPr>
              <w:t>营业收入比上年 同期增减</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318" w:right="47" w:hanging="271"/>
              <w:jc w:val="left"/>
              <w:rPr>
                <w:rFonts w:ascii="宋体" w:hAnsi="宋体" w:cs="宋体" w:eastAsia="宋体" w:hint="default"/>
                <w:sz w:val="18"/>
                <w:szCs w:val="18"/>
              </w:rPr>
            </w:pPr>
            <w:r>
              <w:rPr>
                <w:rFonts w:ascii="宋体" w:hAnsi="宋体" w:cs="宋体" w:eastAsia="宋体" w:hint="default"/>
                <w:sz w:val="18"/>
                <w:szCs w:val="18"/>
              </w:rPr>
              <w:t>营业成本比上年 同期增减</w:t>
            </w:r>
          </w:p>
        </w:tc>
        <w:tc>
          <w:tcPr>
            <w:tcW w:w="13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411" w:right="50" w:hanging="360"/>
              <w:jc w:val="left"/>
              <w:rPr>
                <w:rFonts w:ascii="宋体" w:hAnsi="宋体" w:cs="宋体" w:eastAsia="宋体" w:hint="default"/>
                <w:sz w:val="18"/>
                <w:szCs w:val="18"/>
              </w:rPr>
            </w:pPr>
            <w:r>
              <w:rPr>
                <w:rFonts w:ascii="宋体" w:hAnsi="宋体" w:cs="宋体" w:eastAsia="宋体" w:hint="default"/>
                <w:sz w:val="18"/>
                <w:szCs w:val="18"/>
              </w:rPr>
              <w:t>毛利率比上年同 期增减</w:t>
            </w:r>
          </w:p>
        </w:tc>
      </w:tr>
    </w:tbl>
    <w:p>
      <w:pPr>
        <w:spacing w:after="0" w:line="316" w:lineRule="auto"/>
        <w:jc w:val="left"/>
        <w:rPr>
          <w:rFonts w:ascii="宋体" w:hAnsi="宋体" w:cs="宋体" w:eastAsia="宋体" w:hint="default"/>
          <w:sz w:val="18"/>
          <w:szCs w:val="18"/>
        </w:rPr>
        <w:sectPr>
          <w:type w:val="continuous"/>
          <w:pgSz w:w="11910" w:h="16840"/>
          <w:pgMar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367"/>
        <w:gridCol w:w="1367"/>
        <w:gridCol w:w="1366"/>
        <w:gridCol w:w="1367"/>
        <w:gridCol w:w="1367"/>
        <w:gridCol w:w="1367"/>
        <w:gridCol w:w="1372"/>
      </w:tblGrid>
      <w:tr>
        <w:trPr>
          <w:trHeight w:val="402" w:hRule="exact"/>
        </w:trPr>
        <w:tc>
          <w:tcPr>
            <w:tcW w:w="9572"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应用</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888,724,205.38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550,159,281.10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38.10%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148.19%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259.30%</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-19.14%</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金融科技</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149,188,278.11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76,469,441.31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48.74%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69.69%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70.63%</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-0.29%</w:t>
            </w:r>
          </w:p>
        </w:tc>
      </w:tr>
      <w:tr>
        <w:trPr>
          <w:trHeight w:val="402" w:hRule="exact"/>
        </w:trPr>
        <w:tc>
          <w:tcPr>
            <w:tcW w:w="9572"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51"/>
              <w:ind w:left="22" w:right="39"/>
              <w:jc w:val="left"/>
              <w:rPr>
                <w:rFonts w:ascii="宋体" w:hAnsi="宋体" w:cs="宋体" w:eastAsia="宋体" w:hint="default"/>
                <w:sz w:val="18"/>
                <w:szCs w:val="18"/>
              </w:rPr>
            </w:pP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视频显示系</w:t>
            </w:r>
            <w:r>
              <w:rPr>
                <w:rFonts w:ascii="宋体" w:hAnsi="宋体" w:cs="宋体" w:eastAsia="宋体" w:hint="default"/>
                <w:w w:val="99"/>
                <w:sz w:val="18"/>
                <w:szCs w:val="18"/>
              </w:rPr>
              <w:t> </w:t>
            </w:r>
            <w:r>
              <w:rPr>
                <w:rFonts w:ascii="宋体" w:hAnsi="宋体" w:cs="宋体" w:eastAsia="宋体" w:hint="default"/>
                <w:sz w:val="18"/>
                <w:szCs w:val="18"/>
              </w:rPr>
              <w:t>统</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296,838,258.77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142,289,401.83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52.07%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14.18%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35.56%</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-7.56%</w:t>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智能景观亮化工 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519,071,944.60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360,699,985.71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30.51%</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72"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网点智能化集成 与设备</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110,219,640.19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63,589,848.70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42.31%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8.23%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2"/>
                <w:sz w:val="18"/>
              </w:rPr>
              <w:t>11.66%</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-1.77%</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服务、软件集成</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50,067,292.12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15,605,942.37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68.83%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-13.79%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-33.00%</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8.94%</w:t>
            </w:r>
          </w:p>
        </w:tc>
      </w:tr>
      <w:tr>
        <w:trPr>
          <w:trHeight w:val="402" w:hRule="exact"/>
        </w:trPr>
        <w:tc>
          <w:tcPr>
            <w:tcW w:w="9572"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海外销售</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181,286,017.93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78,520,125.30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56.69%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-14.99%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-9.02%</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-2.84%</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国内销售</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859,838,009.47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548,650,001.89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36.19%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252.65%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366.13%</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-15.53%</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pStyle w:val="BodyText"/>
        <w:spacing w:line="240" w:lineRule="auto" w:before="51"/>
        <w:ind w:left="154" w:right="-20"/>
        <w:jc w:val="left"/>
      </w:pPr>
      <w:r>
        <w:rPr/>
        <w:t>公司主营业务数据统计口径在报告期发生调整的情况下，公司最近</w:t>
      </w:r>
      <w:r>
        <w:rPr>
          <w:spacing w:val="-45"/>
        </w:rPr>
        <w:t> </w:t>
      </w:r>
      <w:r>
        <w:rPr>
          <w:rFonts w:ascii="Times New Roman" w:hAnsi="Times New Roman" w:cs="Times New Roman" w:eastAsia="Times New Roman" w:hint="default"/>
        </w:rPr>
        <w:t>1 </w:t>
      </w:r>
      <w:r>
        <w:rPr/>
        <w:t>年按报告期末口径调整后的主营业务数据</w:t>
      </w:r>
    </w:p>
    <w:p>
      <w:pPr>
        <w:pStyle w:val="BodyText"/>
        <w:spacing w:line="240" w:lineRule="auto" w:before="103"/>
        <w:ind w:right="-2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21"/>
          <w:szCs w:val="21"/>
        </w:rPr>
      </w:pPr>
    </w:p>
    <w:p>
      <w:pPr>
        <w:pStyle w:val="BodyText"/>
        <w:spacing w:line="240" w:lineRule="auto"/>
        <w:ind w:right="0"/>
        <w:jc w:val="left"/>
      </w:pPr>
      <w:r>
        <w:rPr/>
        <w:t>单位：元</w:t>
      </w:r>
    </w:p>
    <w:p>
      <w:pPr>
        <w:spacing w:after="0" w:line="240" w:lineRule="auto"/>
        <w:jc w:val="left"/>
        <w:sectPr>
          <w:type w:val="continuous"/>
          <w:pgSz w:w="11910" w:h="16840"/>
          <w:pgMar w:top="1060" w:bottom="1160" w:left="980" w:right="0"/>
          <w:cols w:num="2" w:equalWidth="0">
            <w:col w:w="8795" w:space="124"/>
            <w:col w:w="2011"/>
          </w:cols>
        </w:sectPr>
      </w:pP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7"/>
        <w:gridCol w:w="1367"/>
        <w:gridCol w:w="1366"/>
        <w:gridCol w:w="1367"/>
        <w:gridCol w:w="1367"/>
        <w:gridCol w:w="1367"/>
        <w:gridCol w:w="1372"/>
      </w:tblGrid>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18"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07" w:right="0"/>
              <w:jc w:val="left"/>
              <w:rPr>
                <w:rFonts w:ascii="宋体" w:hAnsi="宋体" w:cs="宋体" w:eastAsia="宋体" w:hint="default"/>
                <w:sz w:val="18"/>
                <w:szCs w:val="18"/>
              </w:rPr>
            </w:pPr>
            <w:r>
              <w:rPr>
                <w:rFonts w:ascii="宋体" w:hAnsi="宋体" w:cs="宋体" w:eastAsia="宋体" w:hint="default"/>
                <w:sz w:val="18"/>
                <w:szCs w:val="18"/>
              </w:rPr>
              <w:t>毛利率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317" w:right="47" w:hanging="270"/>
              <w:jc w:val="left"/>
              <w:rPr>
                <w:rFonts w:ascii="宋体" w:hAnsi="宋体" w:cs="宋体" w:eastAsia="宋体" w:hint="default"/>
                <w:sz w:val="18"/>
                <w:szCs w:val="18"/>
              </w:rPr>
            </w:pPr>
            <w:r>
              <w:rPr>
                <w:rFonts w:ascii="宋体" w:hAnsi="宋体" w:cs="宋体" w:eastAsia="宋体" w:hint="default"/>
                <w:sz w:val="18"/>
                <w:szCs w:val="18"/>
              </w:rPr>
              <w:t>营业收入比上年 同期增减</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318" w:right="47" w:hanging="271"/>
              <w:jc w:val="left"/>
              <w:rPr>
                <w:rFonts w:ascii="宋体" w:hAnsi="宋体" w:cs="宋体" w:eastAsia="宋体" w:hint="default"/>
                <w:sz w:val="18"/>
                <w:szCs w:val="18"/>
              </w:rPr>
            </w:pPr>
            <w:r>
              <w:rPr>
                <w:rFonts w:ascii="宋体" w:hAnsi="宋体" w:cs="宋体" w:eastAsia="宋体" w:hint="default"/>
                <w:sz w:val="18"/>
                <w:szCs w:val="18"/>
              </w:rPr>
              <w:t>营业成本比上年 同期增减</w:t>
            </w:r>
          </w:p>
        </w:tc>
        <w:tc>
          <w:tcPr>
            <w:tcW w:w="13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411" w:right="48" w:hanging="360"/>
              <w:jc w:val="left"/>
              <w:rPr>
                <w:rFonts w:ascii="宋体" w:hAnsi="宋体" w:cs="宋体" w:eastAsia="宋体" w:hint="default"/>
                <w:sz w:val="18"/>
                <w:szCs w:val="18"/>
              </w:rPr>
            </w:pPr>
            <w:r>
              <w:rPr>
                <w:rFonts w:ascii="宋体" w:hAnsi="宋体" w:cs="宋体" w:eastAsia="宋体" w:hint="default"/>
                <w:sz w:val="18"/>
                <w:szCs w:val="18"/>
              </w:rPr>
              <w:t>毛利率比上年同 期增减</w:t>
            </w:r>
          </w:p>
        </w:tc>
      </w:tr>
      <w:tr>
        <w:trPr>
          <w:trHeight w:val="402" w:hRule="exact"/>
        </w:trPr>
        <w:tc>
          <w:tcPr>
            <w:tcW w:w="9572"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应用</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888,724,205.38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550,159,281.10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38.10%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148.19%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259.30%</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-19.14%</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金融科技</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149,188,278.11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76,469,441.31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48.74%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69.69%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70.63%</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-0.29%</w:t>
            </w:r>
          </w:p>
        </w:tc>
      </w:tr>
      <w:tr>
        <w:trPr>
          <w:trHeight w:val="402" w:hRule="exact"/>
        </w:trPr>
        <w:tc>
          <w:tcPr>
            <w:tcW w:w="9572"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22" w:right="39"/>
              <w:jc w:val="left"/>
              <w:rPr>
                <w:rFonts w:ascii="宋体" w:hAnsi="宋体" w:cs="宋体" w:eastAsia="宋体" w:hint="default"/>
                <w:sz w:val="18"/>
                <w:szCs w:val="18"/>
              </w:rPr>
            </w:pP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视频显示系</w:t>
            </w:r>
            <w:r>
              <w:rPr>
                <w:rFonts w:ascii="宋体" w:hAnsi="宋体" w:cs="宋体" w:eastAsia="宋体" w:hint="default"/>
                <w:w w:val="99"/>
                <w:sz w:val="18"/>
                <w:szCs w:val="18"/>
              </w:rPr>
              <w:t> </w:t>
            </w:r>
            <w:r>
              <w:rPr>
                <w:rFonts w:ascii="宋体" w:hAnsi="宋体" w:cs="宋体" w:eastAsia="宋体" w:hint="default"/>
                <w:sz w:val="18"/>
                <w:szCs w:val="18"/>
              </w:rPr>
              <w:t>统</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296,838,258.77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142,289,401.83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52.07%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14.18%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35.56%</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-7.56%</w:t>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智能景观亮化工 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519,071,944.60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360,699,985.71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30.51%</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72"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网点智能化集成 与设备</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110,219,640.19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63,589,848.70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42.31%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8.23%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2"/>
                <w:sz w:val="18"/>
              </w:rPr>
              <w:t>11.66%</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-1.77%</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服务、软件集成</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50,067,292.12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15,605,942.37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68.83%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-13.79%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-33.00%</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8.94%</w:t>
            </w:r>
          </w:p>
        </w:tc>
      </w:tr>
      <w:tr>
        <w:trPr>
          <w:trHeight w:val="402" w:hRule="exact"/>
        </w:trPr>
        <w:tc>
          <w:tcPr>
            <w:tcW w:w="9572"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海外销售</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181,286,017.93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78,520,125.30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56.69%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-14.99%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-9.02%</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-2.84%</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国内销售</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859,838,009.47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548,650,001.89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36.19%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252.65%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366.13%</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-15.53%</w:t>
            </w:r>
          </w:p>
        </w:tc>
      </w:tr>
    </w:tbl>
    <w:p>
      <w:pPr>
        <w:pStyle w:val="BodyText"/>
        <w:spacing w:line="240" w:lineRule="auto" w:before="51"/>
        <w:ind w:left="154" w:right="0"/>
        <w:jc w:val="both"/>
      </w:pPr>
      <w:r>
        <w:rPr/>
        <w:t>变更口径的理由</w:t>
      </w:r>
    </w:p>
    <w:p>
      <w:pPr>
        <w:pStyle w:val="BodyText"/>
        <w:spacing w:line="300" w:lineRule="auto" w:before="116"/>
        <w:ind w:left="154" w:right="1130"/>
        <w:jc w:val="both"/>
      </w:pPr>
      <w:r>
        <w:rPr>
          <w:spacing w:val="-3"/>
        </w:rPr>
        <w:t>为更好地反映各业务板块的实际经营情况，全面体现各产品线的收入、成本状况。报告期内，公司将</w:t>
      </w:r>
      <w:r>
        <w:rPr>
          <w:rFonts w:ascii="Times New Roman" w:hAnsi="Times New Roman" w:cs="Times New Roman" w:eastAsia="Times New Roman" w:hint="default"/>
          <w:spacing w:val="-3"/>
        </w:rPr>
        <w:t>“LED</w:t>
      </w:r>
      <w:r>
        <w:rPr>
          <w:spacing w:val="-3"/>
        </w:rPr>
        <w:t>指示系统</w:t>
      </w:r>
      <w:r>
        <w:rPr>
          <w:rFonts w:ascii="Times New Roman" w:hAnsi="Times New Roman" w:cs="Times New Roman" w:eastAsia="Times New Roman" w:hint="default"/>
          <w:spacing w:val="-3"/>
        </w:rPr>
        <w:t>”</w:t>
      </w:r>
      <w:r>
        <w:rPr>
          <w:spacing w:val="-3"/>
        </w:rPr>
        <w:t>由</w:t>
      </w:r>
      <w:r>
        <w:rPr>
          <w:rFonts w:ascii="Times New Roman" w:hAnsi="Times New Roman" w:cs="Times New Roman" w:eastAsia="Times New Roman" w:hint="default"/>
          <w:spacing w:val="-3"/>
        </w:rPr>
        <w:t>“LED</w:t>
      </w:r>
      <w:r>
        <w:rPr>
          <w:rFonts w:ascii="Times New Roman" w:hAnsi="Times New Roman" w:cs="Times New Roman" w:eastAsia="Times New Roman" w:hint="default"/>
          <w:spacing w:val="1"/>
        </w:rPr>
        <w:t> </w:t>
      </w:r>
      <w:r>
        <w:rPr>
          <w:rFonts w:ascii="Times New Roman" w:hAnsi="Times New Roman" w:cs="Times New Roman" w:eastAsia="Times New Roman" w:hint="default"/>
          <w:spacing w:val="1"/>
        </w:rPr>
      </w:r>
      <w:r>
        <w:rPr>
          <w:spacing w:val="-5"/>
          <w:w w:val="100"/>
        </w:rPr>
        <w:t>应用</w:t>
      </w:r>
      <w:r>
        <w:rPr>
          <w:rFonts w:ascii="Times New Roman" w:hAnsi="Times New Roman" w:cs="Times New Roman" w:eastAsia="Times New Roman" w:hint="default"/>
          <w:spacing w:val="-5"/>
          <w:w w:val="100"/>
        </w:rPr>
        <w:t>”</w:t>
      </w:r>
      <w:r>
        <w:rPr>
          <w:spacing w:val="-5"/>
          <w:w w:val="100"/>
        </w:rPr>
        <w:t>归类至</w:t>
      </w:r>
      <w:r>
        <w:rPr>
          <w:rFonts w:ascii="Times New Roman" w:hAnsi="Times New Roman" w:cs="Times New Roman" w:eastAsia="Times New Roman" w:hint="default"/>
          <w:spacing w:val="-5"/>
          <w:w w:val="100"/>
        </w:rPr>
        <w:t>“</w:t>
      </w:r>
      <w:r>
        <w:rPr>
          <w:spacing w:val="-5"/>
          <w:w w:val="100"/>
        </w:rPr>
        <w:t>金融科技</w:t>
      </w:r>
      <w:r>
        <w:rPr>
          <w:rFonts w:ascii="Times New Roman" w:hAnsi="Times New Roman" w:cs="Times New Roman" w:eastAsia="Times New Roman" w:hint="default"/>
          <w:spacing w:val="-5"/>
          <w:w w:val="100"/>
        </w:rPr>
        <w:t>”</w:t>
      </w:r>
      <w:r>
        <w:rPr>
          <w:spacing w:val="-5"/>
          <w:w w:val="100"/>
        </w:rPr>
        <w:t>；新增</w:t>
      </w:r>
      <w:r>
        <w:rPr>
          <w:rFonts w:ascii="Times New Roman" w:hAnsi="Times New Roman" w:cs="Times New Roman" w:eastAsia="Times New Roman" w:hint="default"/>
          <w:spacing w:val="-5"/>
          <w:w w:val="100"/>
        </w:rPr>
        <w:t>“</w:t>
      </w:r>
      <w:r>
        <w:rPr>
          <w:spacing w:val="-5"/>
          <w:w w:val="100"/>
        </w:rPr>
        <w:t>智能景观亮化工程</w:t>
      </w:r>
      <w:r>
        <w:rPr>
          <w:rFonts w:ascii="Times New Roman" w:hAnsi="Times New Roman" w:cs="Times New Roman" w:eastAsia="Times New Roman" w:hint="default"/>
          <w:spacing w:val="-5"/>
          <w:w w:val="100"/>
        </w:rPr>
        <w:t>”</w:t>
      </w:r>
      <w:r>
        <w:rPr>
          <w:spacing w:val="-5"/>
          <w:w w:val="100"/>
        </w:rPr>
        <w:t>产品类别，将原</w:t>
      </w:r>
      <w:r>
        <w:rPr>
          <w:rFonts w:ascii="Times New Roman" w:hAnsi="Times New Roman" w:cs="Times New Roman" w:eastAsia="Times New Roman" w:hint="default"/>
          <w:spacing w:val="-5"/>
          <w:w w:val="100"/>
        </w:rPr>
        <w:t>“LCD</w:t>
      </w:r>
      <w:r>
        <w:rPr>
          <w:spacing w:val="-5"/>
          <w:w w:val="100"/>
        </w:rPr>
        <w:t>广告机</w:t>
      </w:r>
      <w:r>
        <w:rPr>
          <w:rFonts w:ascii="Times New Roman" w:hAnsi="Times New Roman" w:cs="Times New Roman" w:eastAsia="Times New Roman" w:hint="default"/>
          <w:spacing w:val="-5"/>
          <w:w w:val="100"/>
        </w:rPr>
        <w:t>”</w:t>
      </w:r>
      <w:r>
        <w:rPr>
          <w:spacing w:val="-5"/>
          <w:w w:val="100"/>
        </w:rPr>
        <w:t>、</w:t>
      </w:r>
      <w:r>
        <w:rPr>
          <w:rFonts w:ascii="Times New Roman" w:hAnsi="Times New Roman" w:cs="Times New Roman" w:eastAsia="Times New Roman" w:hint="default"/>
          <w:spacing w:val="-5"/>
          <w:w w:val="100"/>
        </w:rPr>
        <w:t>“</w:t>
      </w:r>
      <w:r>
        <w:rPr>
          <w:spacing w:val="-5"/>
          <w:w w:val="100"/>
        </w:rPr>
        <w:t>电子回单箱系统</w:t>
      </w:r>
      <w:r>
        <w:rPr>
          <w:rFonts w:ascii="Times New Roman" w:hAnsi="Times New Roman" w:cs="Times New Roman" w:eastAsia="Times New Roman" w:hint="default"/>
          <w:spacing w:val="-5"/>
          <w:w w:val="100"/>
        </w:rPr>
        <w:t>”</w:t>
      </w:r>
      <w:r>
        <w:rPr>
          <w:spacing w:val="-5"/>
          <w:w w:val="100"/>
        </w:rPr>
        <w:t>、</w:t>
      </w:r>
      <w:r>
        <w:rPr>
          <w:rFonts w:ascii="Times New Roman" w:hAnsi="Times New Roman" w:cs="Times New Roman" w:eastAsia="Times New Roman" w:hint="default"/>
          <w:spacing w:val="-5"/>
          <w:w w:val="100"/>
        </w:rPr>
        <w:t>“</w:t>
      </w:r>
      <w:r>
        <w:rPr>
          <w:spacing w:val="-5"/>
          <w:w w:val="100"/>
        </w:rPr>
        <w:t>智慧银行项目</w:t>
      </w:r>
      <w:r>
        <w:rPr>
          <w:rFonts w:ascii="Times New Roman" w:hAnsi="Times New Roman" w:cs="Times New Roman" w:eastAsia="Times New Roman" w:hint="default"/>
          <w:spacing w:val="-5"/>
          <w:w w:val="100"/>
        </w:rPr>
        <w:t>”</w:t>
      </w:r>
      <w:r>
        <w:rPr>
          <w:spacing w:val="-5"/>
          <w:w w:val="100"/>
        </w:rPr>
        <w:t>及</w:t>
      </w:r>
      <w:r>
        <w:rPr>
          <w:rFonts w:ascii="Times New Roman" w:hAnsi="Times New Roman" w:cs="Times New Roman" w:eastAsia="Times New Roman" w:hint="default"/>
          <w:spacing w:val="-5"/>
          <w:w w:val="100"/>
        </w:rPr>
        <w:t>“LED</w:t>
      </w:r>
      <w:r>
        <w:rPr>
          <w:rFonts w:ascii="Times New Roman" w:hAnsi="Times New Roman" w:cs="Times New Roman" w:eastAsia="Times New Roman" w:hint="default"/>
          <w:spacing w:val="-42"/>
          <w:w w:val="100"/>
        </w:rPr>
        <w:t> </w:t>
      </w:r>
      <w:r>
        <w:rPr>
          <w:rFonts w:ascii="Times New Roman" w:hAnsi="Times New Roman" w:cs="Times New Roman" w:eastAsia="Times New Roman" w:hint="default"/>
          <w:spacing w:val="-42"/>
          <w:w w:val="100"/>
        </w:rPr>
      </w:r>
      <w:r>
        <w:rPr/>
        <w:t>信息指示系统</w:t>
      </w:r>
      <w:r>
        <w:rPr>
          <w:rFonts w:ascii="Times New Roman" w:hAnsi="Times New Roman" w:cs="Times New Roman" w:eastAsia="Times New Roman" w:hint="default"/>
        </w:rPr>
        <w:t>”</w:t>
      </w:r>
      <w:r>
        <w:rPr/>
        <w:t>重分类为</w:t>
      </w:r>
      <w:r>
        <w:rPr>
          <w:rFonts w:ascii="Times New Roman" w:hAnsi="Times New Roman" w:cs="Times New Roman" w:eastAsia="Times New Roman" w:hint="default"/>
        </w:rPr>
        <w:t>“</w:t>
      </w:r>
      <w:r>
        <w:rPr/>
        <w:t>网点智能化集成与设备</w:t>
      </w:r>
      <w:r>
        <w:rPr>
          <w:rFonts w:ascii="Times New Roman" w:hAnsi="Times New Roman" w:cs="Times New Roman" w:eastAsia="Times New Roman" w:hint="default"/>
        </w:rPr>
        <w:t>”</w:t>
      </w:r>
      <w:r>
        <w:rPr/>
        <w:t>，取消</w:t>
      </w:r>
      <w:r>
        <w:rPr>
          <w:rFonts w:ascii="Times New Roman" w:hAnsi="Times New Roman" w:cs="Times New Roman" w:eastAsia="Times New Roman" w:hint="default"/>
        </w:rPr>
        <w:t>“LED</w:t>
      </w:r>
      <w:r>
        <w:rPr/>
        <w:t>照明产品</w:t>
      </w:r>
      <w:r>
        <w:rPr>
          <w:rFonts w:ascii="Times New Roman" w:hAnsi="Times New Roman" w:cs="Times New Roman" w:eastAsia="Times New Roman" w:hint="default"/>
        </w:rPr>
        <w:t>”</w:t>
      </w:r>
      <w:r>
        <w:rPr/>
        <w:t>分类，重分类到</w:t>
      </w:r>
      <w:r>
        <w:rPr>
          <w:rFonts w:ascii="Times New Roman" w:hAnsi="Times New Roman" w:cs="Times New Roman" w:eastAsia="Times New Roman" w:hint="default"/>
        </w:rPr>
        <w:t>“</w:t>
      </w:r>
      <w:r>
        <w:rPr/>
        <w:t>其它</w:t>
      </w:r>
      <w:r>
        <w:rPr>
          <w:rFonts w:ascii="Times New Roman" w:hAnsi="Times New Roman" w:cs="Times New Roman" w:eastAsia="Times New Roman" w:hint="default"/>
        </w:rPr>
        <w:t>”</w:t>
      </w:r>
      <w:r>
        <w:rPr/>
        <w:t>，变更后的统计口径，能更</w:t>
      </w:r>
    </w:p>
    <w:p>
      <w:pPr>
        <w:spacing w:after="0" w:line="300" w:lineRule="auto"/>
        <w:jc w:val="both"/>
        <w:sectPr>
          <w:type w:val="continuous"/>
          <w:pgSz w:w="11910" w:h="16840"/>
          <w:pgMar w:top="1060" w:bottom="1160" w:left="980" w:right="0"/>
        </w:sectPr>
      </w:pPr>
    </w:p>
    <w:p>
      <w:pPr>
        <w:spacing w:line="240" w:lineRule="auto" w:before="12"/>
        <w:rPr>
          <w:rFonts w:ascii="宋体" w:hAnsi="宋体" w:cs="宋体" w:eastAsia="宋体" w:hint="default"/>
          <w:sz w:val="25"/>
          <w:szCs w:val="25"/>
        </w:rPr>
      </w:pPr>
    </w:p>
    <w:p>
      <w:pPr>
        <w:pStyle w:val="BodyText"/>
        <w:spacing w:line="240" w:lineRule="auto" w:before="44"/>
        <w:ind w:right="0"/>
        <w:jc w:val="left"/>
      </w:pPr>
      <w:r>
        <w:rPr/>
        <w:t>贴合目前公司的产品应用特点。</w:t>
      </w:r>
    </w:p>
    <w:p>
      <w:pPr>
        <w:spacing w:line="240" w:lineRule="auto" w:before="12"/>
        <w:rPr>
          <w:rFonts w:ascii="宋体" w:hAnsi="宋体" w:cs="宋体" w:eastAsia="宋体" w:hint="default"/>
          <w:sz w:val="26"/>
          <w:szCs w:val="26"/>
        </w:rPr>
      </w:pPr>
    </w:p>
    <w:p>
      <w:pPr>
        <w:pStyle w:val="Heading3"/>
        <w:spacing w:line="240" w:lineRule="auto"/>
        <w:ind w:left="153" w:right="0"/>
        <w:jc w:val="left"/>
        <w:rPr>
          <w:b w:val="0"/>
          <w:bCs w:val="0"/>
        </w:rPr>
      </w:pPr>
      <w:bookmarkStart w:name="（3）公司实物销售收入是否大于劳务收入" w:id="30"/>
      <w:bookmarkEnd w:id="30"/>
      <w:r>
        <w:rPr>
          <w:b w:val="0"/>
          <w:bCs w:val="0"/>
        </w:rPr>
      </w:r>
      <w:r>
        <w:rPr/>
        <w:t>（</w:t>
      </w:r>
      <w:r>
        <w:rPr>
          <w:rFonts w:ascii="Times New Roman" w:hAnsi="Times New Roman" w:cs="Times New Roman" w:eastAsia="Times New Roman" w:hint="default"/>
        </w:rPr>
        <w:t>3</w:t>
      </w:r>
      <w:r>
        <w:rPr/>
        <w:t>）公司实物销售收入是否大于劳务收入</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否</w:t>
      </w:r>
    </w:p>
    <w:p>
      <w:pPr>
        <w:spacing w:line="240" w:lineRule="auto" w:before="12"/>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1608"/>
        <w:gridCol w:w="1571"/>
        <w:gridCol w:w="1607"/>
        <w:gridCol w:w="1594"/>
        <w:gridCol w:w="1594"/>
        <w:gridCol w:w="1595"/>
      </w:tblGrid>
      <w:tr>
        <w:trPr>
          <w:trHeight w:val="402" w:hRule="exact"/>
        </w:trPr>
        <w:tc>
          <w:tcPr>
            <w:tcW w:w="16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2" w:right="0"/>
              <w:jc w:val="left"/>
              <w:rPr>
                <w:rFonts w:ascii="宋体" w:hAnsi="宋体" w:cs="宋体" w:eastAsia="宋体" w:hint="default"/>
                <w:sz w:val="18"/>
                <w:szCs w:val="18"/>
              </w:rPr>
            </w:pPr>
            <w:r>
              <w:rPr>
                <w:rFonts w:ascii="宋体" w:hAnsi="宋体" w:cs="宋体" w:eastAsia="宋体" w:hint="default"/>
                <w:sz w:val="18"/>
                <w:szCs w:val="18"/>
              </w:rPr>
              <w:t>行业分类</w:t>
            </w:r>
          </w:p>
        </w:tc>
        <w:tc>
          <w:tcPr>
            <w:tcW w:w="15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6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3" w:right="0"/>
              <w:jc w:val="center"/>
              <w:rPr>
                <w:rFonts w:ascii="宋体" w:hAnsi="宋体" w:cs="宋体" w:eastAsia="宋体" w:hint="default"/>
                <w:sz w:val="18"/>
                <w:szCs w:val="18"/>
              </w:rPr>
            </w:pPr>
            <w:r>
              <w:rPr>
                <w:rFonts w:ascii="宋体" w:hAnsi="宋体" w:cs="宋体" w:eastAsia="宋体" w:hint="default"/>
                <w:sz w:val="18"/>
                <w:szCs w:val="18"/>
              </w:rPr>
              <w:t>单位</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9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9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3"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2" w:hRule="exact"/>
        </w:trPr>
        <w:tc>
          <w:tcPr>
            <w:tcW w:w="1608" w:type="dxa"/>
            <w:vMerge w:val="restart"/>
            <w:tcBorders>
              <w:top w:val="single" w:sz="4" w:space="0" w:color="000000"/>
              <w:left w:val="single" w:sz="4" w:space="0" w:color="000000"/>
              <w:right w:val="single" w:sz="13"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视频显示系统</w:t>
            </w:r>
          </w:p>
        </w:tc>
        <w:tc>
          <w:tcPr>
            <w:tcW w:w="15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销售量</w:t>
            </w:r>
          </w:p>
        </w:tc>
        <w:tc>
          <w:tcPr>
            <w:tcW w:w="16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点</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612,764,836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305,976,908</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100.27%</w:t>
            </w:r>
          </w:p>
        </w:tc>
      </w:tr>
      <w:tr>
        <w:trPr>
          <w:trHeight w:val="402" w:hRule="exact"/>
        </w:trPr>
        <w:tc>
          <w:tcPr>
            <w:tcW w:w="1608" w:type="dxa"/>
            <w:vMerge/>
            <w:tcBorders>
              <w:left w:val="single" w:sz="4" w:space="0" w:color="000000"/>
              <w:right w:val="single" w:sz="13" w:space="0" w:color="D2D2D2"/>
            </w:tcBorders>
          </w:tcPr>
          <w:p>
            <w:pPr/>
          </w:p>
        </w:tc>
        <w:tc>
          <w:tcPr>
            <w:tcW w:w="15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生产量</w:t>
            </w:r>
          </w:p>
        </w:tc>
        <w:tc>
          <w:tcPr>
            <w:tcW w:w="16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点</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680,060,452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317,494,903</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2"/>
                <w:sz w:val="18"/>
              </w:rPr>
              <w:t>114.20%</w:t>
            </w:r>
          </w:p>
        </w:tc>
      </w:tr>
      <w:tr>
        <w:trPr>
          <w:trHeight w:val="402" w:hRule="exact"/>
        </w:trPr>
        <w:tc>
          <w:tcPr>
            <w:tcW w:w="1608" w:type="dxa"/>
            <w:vMerge/>
            <w:tcBorders>
              <w:left w:val="single" w:sz="4" w:space="0" w:color="000000"/>
              <w:bottom w:val="single" w:sz="4" w:space="0" w:color="000000"/>
              <w:right w:val="single" w:sz="13" w:space="0" w:color="D2D2D2"/>
            </w:tcBorders>
          </w:tcPr>
          <w:p>
            <w:pPr/>
          </w:p>
        </w:tc>
        <w:tc>
          <w:tcPr>
            <w:tcW w:w="15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库存量</w:t>
            </w:r>
          </w:p>
        </w:tc>
        <w:tc>
          <w:tcPr>
            <w:tcW w:w="16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点</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162,605,146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95,309,530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70.61%</w:t>
            </w:r>
          </w:p>
        </w:tc>
      </w:tr>
      <w:tr>
        <w:trPr>
          <w:trHeight w:val="402" w:hRule="exact"/>
        </w:trPr>
        <w:tc>
          <w:tcPr>
            <w:tcW w:w="1608" w:type="dxa"/>
            <w:vMerge w:val="restart"/>
            <w:tcBorders>
              <w:top w:val="single" w:sz="4" w:space="0" w:color="000000"/>
              <w:left w:val="single" w:sz="4" w:space="0" w:color="000000"/>
              <w:right w:val="single" w:sz="13"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信息发布系统</w:t>
            </w:r>
          </w:p>
        </w:tc>
        <w:tc>
          <w:tcPr>
            <w:tcW w:w="15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销售量</w:t>
            </w:r>
          </w:p>
        </w:tc>
        <w:tc>
          <w:tcPr>
            <w:tcW w:w="16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台</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2,756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2,010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2"/>
                <w:sz w:val="18"/>
              </w:rPr>
              <w:t>37.11%</w:t>
            </w:r>
          </w:p>
        </w:tc>
      </w:tr>
      <w:tr>
        <w:trPr>
          <w:trHeight w:val="402" w:hRule="exact"/>
        </w:trPr>
        <w:tc>
          <w:tcPr>
            <w:tcW w:w="1608" w:type="dxa"/>
            <w:vMerge/>
            <w:tcBorders>
              <w:left w:val="single" w:sz="4" w:space="0" w:color="000000"/>
              <w:right w:val="single" w:sz="13" w:space="0" w:color="D2D2D2"/>
            </w:tcBorders>
          </w:tcPr>
          <w:p>
            <w:pPr/>
          </w:p>
        </w:tc>
        <w:tc>
          <w:tcPr>
            <w:tcW w:w="15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生产量</w:t>
            </w:r>
          </w:p>
        </w:tc>
        <w:tc>
          <w:tcPr>
            <w:tcW w:w="16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台</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2,775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1,982</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40.01%</w:t>
            </w:r>
          </w:p>
        </w:tc>
      </w:tr>
      <w:tr>
        <w:trPr>
          <w:trHeight w:val="402" w:hRule="exact"/>
        </w:trPr>
        <w:tc>
          <w:tcPr>
            <w:tcW w:w="1608" w:type="dxa"/>
            <w:vMerge/>
            <w:tcBorders>
              <w:left w:val="single" w:sz="4" w:space="0" w:color="000000"/>
              <w:bottom w:val="single" w:sz="4" w:space="0" w:color="000000"/>
              <w:right w:val="single" w:sz="13" w:space="0" w:color="D2D2D2"/>
            </w:tcBorders>
          </w:tcPr>
          <w:p>
            <w:pPr/>
          </w:p>
        </w:tc>
        <w:tc>
          <w:tcPr>
            <w:tcW w:w="15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库存量</w:t>
            </w:r>
          </w:p>
        </w:tc>
        <w:tc>
          <w:tcPr>
            <w:tcW w:w="16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台</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75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56</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33.93%</w:t>
            </w:r>
          </w:p>
        </w:tc>
      </w:tr>
      <w:tr>
        <w:trPr>
          <w:trHeight w:val="402" w:hRule="exact"/>
        </w:trPr>
        <w:tc>
          <w:tcPr>
            <w:tcW w:w="1608" w:type="dxa"/>
            <w:vMerge w:val="restart"/>
            <w:tcBorders>
              <w:top w:val="single" w:sz="4" w:space="0" w:color="000000"/>
              <w:left w:val="single" w:sz="4" w:space="0" w:color="000000"/>
              <w:right w:val="single" w:sz="13" w:space="0" w:color="D2D2D2"/>
            </w:tcBorders>
          </w:tcPr>
          <w:p>
            <w:pPr>
              <w:pStyle w:val="TableParagraph"/>
              <w:spacing w:line="240" w:lineRule="auto" w:before="11"/>
              <w:ind w:right="0"/>
              <w:jc w:val="left"/>
              <w:rPr>
                <w:rFonts w:ascii="宋体" w:hAnsi="宋体" w:cs="宋体" w:eastAsia="宋体" w:hint="default"/>
                <w:sz w:val="22"/>
                <w:szCs w:val="22"/>
              </w:rPr>
            </w:pPr>
          </w:p>
          <w:p>
            <w:pPr>
              <w:pStyle w:val="TableParagraph"/>
              <w:spacing w:line="316" w:lineRule="auto"/>
              <w:ind w:left="22" w:right="123"/>
              <w:jc w:val="left"/>
              <w:rPr>
                <w:rFonts w:ascii="宋体" w:hAnsi="宋体" w:cs="宋体" w:eastAsia="宋体" w:hint="default"/>
                <w:sz w:val="18"/>
                <w:szCs w:val="18"/>
              </w:rPr>
            </w:pPr>
            <w:r>
              <w:rPr>
                <w:rFonts w:ascii="宋体" w:hAnsi="宋体" w:cs="宋体" w:eastAsia="宋体" w:hint="default"/>
                <w:sz w:val="18"/>
                <w:szCs w:val="18"/>
              </w:rPr>
              <w:t>网点智能化集成及 设备</w:t>
            </w:r>
          </w:p>
        </w:tc>
        <w:tc>
          <w:tcPr>
            <w:tcW w:w="15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销售量</w:t>
            </w:r>
          </w:p>
        </w:tc>
        <w:tc>
          <w:tcPr>
            <w:tcW w:w="16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套</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13,931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9,210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51.26%</w:t>
            </w:r>
          </w:p>
        </w:tc>
      </w:tr>
      <w:tr>
        <w:trPr>
          <w:trHeight w:val="402" w:hRule="exact"/>
        </w:trPr>
        <w:tc>
          <w:tcPr>
            <w:tcW w:w="1608" w:type="dxa"/>
            <w:vMerge/>
            <w:tcBorders>
              <w:left w:val="single" w:sz="4" w:space="0" w:color="000000"/>
              <w:right w:val="single" w:sz="13" w:space="0" w:color="D2D2D2"/>
            </w:tcBorders>
          </w:tcPr>
          <w:p>
            <w:pPr/>
          </w:p>
        </w:tc>
        <w:tc>
          <w:tcPr>
            <w:tcW w:w="15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生产量</w:t>
            </w:r>
          </w:p>
        </w:tc>
        <w:tc>
          <w:tcPr>
            <w:tcW w:w="16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套</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12,860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9,048</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42.13%</w:t>
            </w:r>
          </w:p>
        </w:tc>
      </w:tr>
      <w:tr>
        <w:trPr>
          <w:trHeight w:val="403" w:hRule="exact"/>
        </w:trPr>
        <w:tc>
          <w:tcPr>
            <w:tcW w:w="1608" w:type="dxa"/>
            <w:vMerge/>
            <w:tcBorders>
              <w:left w:val="single" w:sz="4" w:space="0" w:color="000000"/>
              <w:bottom w:val="single" w:sz="4" w:space="0" w:color="000000"/>
              <w:right w:val="single" w:sz="13" w:space="0" w:color="D2D2D2"/>
            </w:tcBorders>
          </w:tcPr>
          <w:p>
            <w:pPr/>
          </w:p>
        </w:tc>
        <w:tc>
          <w:tcPr>
            <w:tcW w:w="15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库存量</w:t>
            </w:r>
          </w:p>
        </w:tc>
        <w:tc>
          <w:tcPr>
            <w:tcW w:w="16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套</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1,917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2,988</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-35.84%</w:t>
            </w:r>
          </w:p>
        </w:tc>
      </w:tr>
    </w:tbl>
    <w:p>
      <w:pPr>
        <w:pStyle w:val="BodyText"/>
        <w:spacing w:line="240" w:lineRule="auto" w:before="51"/>
        <w:ind w:left="154" w:right="0"/>
        <w:jc w:val="left"/>
      </w:pPr>
      <w:r>
        <w:rPr/>
        <w:t>相关数据同比发生变动</w:t>
      </w:r>
      <w:r>
        <w:rPr>
          <w:spacing w:val="-46"/>
        </w:rPr>
        <w:t> </w:t>
      </w:r>
      <w:r>
        <w:rPr>
          <w:rFonts w:ascii="Times New Roman" w:hAnsi="Times New Roman" w:cs="Times New Roman" w:eastAsia="Times New Roman" w:hint="default"/>
        </w:rPr>
        <w:t>30%</w:t>
      </w:r>
      <w:r>
        <w:rPr/>
        <w:t>以上的原因说明</w:t>
      </w:r>
    </w:p>
    <w:p>
      <w:pPr>
        <w:pStyle w:val="BodyText"/>
        <w:spacing w:line="321" w:lineRule="auto" w:before="102"/>
        <w:ind w:right="112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报告期，</w:t>
      </w:r>
      <w:r>
        <w:rPr>
          <w:rFonts w:ascii="宋体" w:hAnsi="宋体" w:cs="宋体" w:eastAsia="宋体" w:hint="default"/>
        </w:rPr>
        <w:t>LED</w:t>
      </w:r>
      <w:r>
        <w:rPr/>
        <w:t>视频显示系统出货量同比上升</w:t>
      </w:r>
      <w:r>
        <w:rPr>
          <w:rFonts w:ascii="宋体" w:hAnsi="宋体" w:cs="宋体" w:eastAsia="宋体" w:hint="default"/>
        </w:rPr>
        <w:t>100.27%</w:t>
      </w:r>
      <w:r>
        <w:rPr/>
        <w:t>，生产量同比上升</w:t>
      </w:r>
      <w:r>
        <w:rPr>
          <w:rFonts w:ascii="宋体" w:hAnsi="宋体" w:cs="宋体" w:eastAsia="宋体" w:hint="default"/>
        </w:rPr>
        <w:t>114.20%,</w:t>
      </w:r>
      <w:r>
        <w:rPr/>
        <w:t>库存量同比上升</w:t>
      </w:r>
      <w:r>
        <w:rPr>
          <w:rFonts w:ascii="宋体" w:hAnsi="宋体" w:cs="宋体" w:eastAsia="宋体" w:hint="default"/>
        </w:rPr>
        <w:t>70.61%</w:t>
      </w:r>
      <w:r>
        <w:rPr/>
        <w:t>，主要是</w:t>
      </w:r>
      <w:r>
        <w:rPr>
          <w:rFonts w:ascii="宋体" w:hAnsi="宋体" w:cs="宋体" w:eastAsia="宋体" w:hint="default"/>
        </w:rPr>
        <w:t>LED</w:t>
      </w:r>
      <w:r>
        <w:rPr/>
        <w:t>视频显示 系统主要原材料国产化，相近销售规模情况下，出货量增加所致。 报告期，</w:t>
      </w:r>
      <w:r>
        <w:rPr>
          <w:rFonts w:ascii="宋体" w:hAnsi="宋体" w:cs="宋体" w:eastAsia="宋体" w:hint="default"/>
        </w:rPr>
        <w:t>LED</w:t>
      </w:r>
      <w:r>
        <w:rPr/>
        <w:t>信息发布系统出货量同比上升</w:t>
      </w:r>
      <w:r>
        <w:rPr>
          <w:rFonts w:ascii="宋体" w:hAnsi="宋体" w:cs="宋体" w:eastAsia="宋体" w:hint="default"/>
        </w:rPr>
        <w:t>37.11%</w:t>
      </w:r>
      <w:r>
        <w:rPr/>
        <w:t>，生产量同比上升</w:t>
      </w:r>
      <w:r>
        <w:rPr>
          <w:rFonts w:ascii="宋体" w:hAnsi="宋体" w:cs="宋体" w:eastAsia="宋体" w:hint="default"/>
        </w:rPr>
        <w:t>40.01%</w:t>
      </w:r>
      <w:r>
        <w:rPr/>
        <w:t>，主要是</w:t>
      </w:r>
      <w:r>
        <w:rPr>
          <w:rFonts w:ascii="宋体" w:hAnsi="宋体" w:cs="宋体" w:eastAsia="宋体" w:hint="default"/>
        </w:rPr>
        <w:t>LED</w:t>
      </w:r>
      <w:r>
        <w:rPr/>
        <w:t>信息发布系统销售订单增加所致。 </w:t>
      </w:r>
      <w:r>
        <w:rPr>
          <w:spacing w:val="-2"/>
        </w:rPr>
        <w:t>报告期，网点智能化集成及设备出货量同比上升</w:t>
      </w:r>
      <w:r>
        <w:rPr>
          <w:rFonts w:ascii="宋体" w:hAnsi="宋体" w:cs="宋体" w:eastAsia="宋体" w:hint="default"/>
          <w:spacing w:val="-2"/>
        </w:rPr>
        <w:t>51.26%</w:t>
      </w:r>
      <w:r>
        <w:rPr>
          <w:spacing w:val="-2"/>
        </w:rPr>
        <w:t>，生产量同比上升</w:t>
      </w:r>
      <w:r>
        <w:rPr>
          <w:rFonts w:ascii="宋体" w:hAnsi="宋体" w:cs="宋体" w:eastAsia="宋体" w:hint="default"/>
          <w:spacing w:val="-2"/>
        </w:rPr>
        <w:t>42.13%</w:t>
      </w:r>
      <w:r>
        <w:rPr>
          <w:spacing w:val="-2"/>
        </w:rPr>
        <w:t>，主要是网点智能化集成及设备销售订单增</w:t>
      </w:r>
      <w:r>
        <w:rPr>
          <w:spacing w:val="-55"/>
        </w:rPr>
        <w:t> </w:t>
      </w:r>
      <w:r>
        <w:rPr>
          <w:spacing w:val="-55"/>
        </w:rPr>
      </w:r>
      <w:r>
        <w:rPr/>
        <w:t>加，出货需求增加所致。</w:t>
      </w:r>
    </w:p>
    <w:p>
      <w:pPr>
        <w:spacing w:line="240" w:lineRule="auto" w:before="3"/>
        <w:rPr>
          <w:rFonts w:ascii="宋体" w:hAnsi="宋体" w:cs="宋体" w:eastAsia="宋体" w:hint="default"/>
          <w:sz w:val="22"/>
          <w:szCs w:val="22"/>
        </w:rPr>
      </w:pPr>
    </w:p>
    <w:p>
      <w:pPr>
        <w:pStyle w:val="Heading3"/>
        <w:spacing w:line="240" w:lineRule="auto"/>
        <w:ind w:right="0"/>
        <w:jc w:val="left"/>
        <w:rPr>
          <w:b w:val="0"/>
          <w:bCs w:val="0"/>
        </w:rPr>
      </w:pPr>
      <w:bookmarkStart w:name="（4）公司已签订的重大销售合同截至本报告期的履行情况" w:id="31"/>
      <w:bookmarkEnd w:id="31"/>
      <w:r>
        <w:rPr>
          <w:b w:val="0"/>
          <w:bCs w:val="0"/>
        </w:rPr>
      </w:r>
      <w:r>
        <w:rPr/>
        <w:t>（</w:t>
      </w:r>
      <w:r>
        <w:rPr>
          <w:rFonts w:ascii="Times New Roman" w:hAnsi="Times New Roman" w:cs="Times New Roman" w:eastAsia="Times New Roman" w:hint="default"/>
        </w:rPr>
        <w:t>4</w:t>
      </w:r>
      <w:r>
        <w:rPr/>
        <w:t>）公司已签订的重大销售合同截至本报告期的履行情况</w:t>
      </w:r>
      <w:r>
        <w:rPr>
          <w:b w:val="0"/>
          <w:bCs w:val="0"/>
        </w:rPr>
      </w:r>
    </w:p>
    <w:p>
      <w:pPr>
        <w:spacing w:line="240" w:lineRule="auto" w:before="8"/>
        <w:rPr>
          <w:rFonts w:ascii="宋体" w:hAnsi="宋体" w:cs="宋体" w:eastAsia="宋体" w:hint="default"/>
          <w:b/>
          <w:bCs/>
          <w:sz w:val="26"/>
          <w:szCs w:val="26"/>
        </w:rPr>
      </w:pPr>
    </w:p>
    <w:p>
      <w:pPr>
        <w:pStyle w:val="BodyText"/>
        <w:spacing w:line="338" w:lineRule="auto"/>
        <w:ind w:right="9281"/>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否</w:t>
      </w:r>
    </w:p>
    <w:p>
      <w:pPr>
        <w:pStyle w:val="BodyText"/>
        <w:spacing w:line="302" w:lineRule="auto" w:before="41"/>
        <w:ind w:right="1130"/>
        <w:jc w:val="left"/>
      </w:pPr>
      <w:r>
        <w:rPr>
          <w:rFonts w:ascii="Times New Roman" w:hAnsi="Times New Roman" w:cs="Times New Roman" w:eastAsia="Times New Roman" w:hint="default"/>
          <w:spacing w:val="-2"/>
        </w:rPr>
        <w:t>1</w:t>
      </w:r>
      <w:r>
        <w:rPr>
          <w:spacing w:val="-2"/>
        </w:rPr>
        <w:t>、《深圳市奥拓电子股份有限公司关于签订</w:t>
      </w:r>
      <w:r>
        <w:rPr>
          <w:rFonts w:ascii="Times New Roman" w:hAnsi="Times New Roman" w:cs="Times New Roman" w:eastAsia="Times New Roman" w:hint="default"/>
          <w:spacing w:val="-2"/>
        </w:rPr>
        <w:t>LED</w:t>
      </w:r>
      <w:r>
        <w:rPr>
          <w:spacing w:val="-2"/>
        </w:rPr>
        <w:t>电视墙及相关系统重大合同的公告》于</w:t>
      </w:r>
      <w:r>
        <w:rPr>
          <w:rFonts w:ascii="Times New Roman" w:hAnsi="Times New Roman" w:cs="Times New Roman" w:eastAsia="Times New Roman" w:hint="default"/>
          <w:spacing w:val="-2"/>
        </w:rPr>
        <w:t>2013</w:t>
      </w:r>
      <w:r>
        <w:rPr>
          <w:spacing w:val="-2"/>
        </w:rPr>
        <w:t>年</w:t>
      </w:r>
      <w:r>
        <w:rPr>
          <w:rFonts w:ascii="Times New Roman" w:hAnsi="Times New Roman" w:cs="Times New Roman" w:eastAsia="Times New Roman" w:hint="default"/>
          <w:spacing w:val="-2"/>
        </w:rPr>
        <w:t>8</w:t>
      </w:r>
      <w:r>
        <w:rPr>
          <w:spacing w:val="-2"/>
        </w:rPr>
        <w:t>月</w:t>
      </w:r>
      <w:r>
        <w:rPr>
          <w:rFonts w:ascii="Times New Roman" w:hAnsi="Times New Roman" w:cs="Times New Roman" w:eastAsia="Times New Roman" w:hint="default"/>
          <w:spacing w:val="-2"/>
        </w:rPr>
        <w:t>13</w:t>
      </w:r>
      <w:r>
        <w:rPr>
          <w:spacing w:val="-2"/>
        </w:rPr>
        <w:t>日刊登在指定信息披露</w:t>
      </w:r>
      <w:r>
        <w:rPr>
          <w:spacing w:val="-45"/>
        </w:rPr>
        <w:t> </w:t>
      </w:r>
      <w:r>
        <w:rPr>
          <w:spacing w:val="-1"/>
        </w:rPr>
        <w:t>网站巨潮资讯网（</w:t>
      </w:r>
      <w:hyperlink r:id="rId13">
        <w:r>
          <w:rPr>
            <w:rFonts w:ascii="Times New Roman" w:hAnsi="Times New Roman" w:cs="Times New Roman" w:eastAsia="Times New Roman" w:hint="default"/>
            <w:spacing w:val="-1"/>
          </w:rPr>
          <w:t>www.cninfo.com.cn</w:t>
        </w:r>
      </w:hyperlink>
      <w:r>
        <w:rPr>
          <w:spacing w:val="-1"/>
        </w:rPr>
        <w:t>）。公司（分包商）与新世界</w:t>
      </w:r>
      <w:r>
        <w:rPr>
          <w:rFonts w:ascii="Times New Roman" w:hAnsi="Times New Roman" w:cs="Times New Roman" w:eastAsia="Times New Roman" w:hint="default"/>
          <w:spacing w:val="-1"/>
        </w:rPr>
        <w:t>(</w:t>
      </w:r>
      <w:r>
        <w:rPr>
          <w:spacing w:val="-1"/>
        </w:rPr>
        <w:t>沈阳</w:t>
      </w:r>
      <w:r>
        <w:rPr>
          <w:rFonts w:ascii="Times New Roman" w:hAnsi="Times New Roman" w:cs="Times New Roman" w:eastAsia="Times New Roman" w:hint="default"/>
          <w:spacing w:val="-1"/>
        </w:rPr>
        <w:t>)</w:t>
      </w:r>
      <w:r>
        <w:rPr>
          <w:spacing w:val="-1"/>
        </w:rPr>
        <w:t>房地产开发有限公司（雇主）、中建三局集团有限</w:t>
      </w:r>
      <w:r>
        <w:rPr>
          <w:spacing w:val="-78"/>
        </w:rPr>
        <w:t> </w:t>
      </w:r>
      <w:r>
        <w:rPr>
          <w:spacing w:val="-78"/>
        </w:rPr>
      </w:r>
      <w:r>
        <w:rPr>
          <w:spacing w:val="-2"/>
        </w:rPr>
        <w:t>公司（总承包商）于</w:t>
      </w:r>
      <w:r>
        <w:rPr>
          <w:rFonts w:ascii="Times New Roman" w:hAnsi="Times New Roman" w:cs="Times New Roman" w:eastAsia="Times New Roman" w:hint="default"/>
          <w:spacing w:val="-2"/>
        </w:rPr>
        <w:t>2016</w:t>
      </w:r>
      <w:r>
        <w:rPr>
          <w:spacing w:val="-2"/>
        </w:rPr>
        <w:t>年</w:t>
      </w:r>
      <w:r>
        <w:rPr>
          <w:rFonts w:ascii="Times New Roman" w:hAnsi="Times New Roman" w:cs="Times New Roman" w:eastAsia="Times New Roman" w:hint="default"/>
          <w:spacing w:val="-2"/>
        </w:rPr>
        <w:t>8</w:t>
      </w:r>
      <w:r>
        <w:rPr>
          <w:spacing w:val="-2"/>
        </w:rPr>
        <w:t>月</w:t>
      </w:r>
      <w:r>
        <w:rPr>
          <w:rFonts w:ascii="Times New Roman" w:hAnsi="Times New Roman" w:cs="Times New Roman" w:eastAsia="Times New Roman" w:hint="default"/>
          <w:spacing w:val="-2"/>
        </w:rPr>
        <w:t>8</w:t>
      </w:r>
      <w:r>
        <w:rPr>
          <w:spacing w:val="-2"/>
        </w:rPr>
        <w:t>日签署《沈阳新世界中心项目第一期电视墙及相关系统深化设计、供应及安装分包工程合同</w:t>
      </w:r>
      <w:r>
        <w:rPr>
          <w:spacing w:val="-61"/>
        </w:rPr>
        <w:t> </w:t>
      </w:r>
      <w:r>
        <w:rPr>
          <w:spacing w:val="-61"/>
        </w:rPr>
      </w:r>
      <w:r>
        <w:rPr/>
        <w:t>文件补充协议》，因工程范围变更，原合同金额由人民币</w:t>
      </w:r>
      <w:r>
        <w:rPr>
          <w:rFonts w:ascii="Times New Roman" w:hAnsi="Times New Roman" w:cs="Times New Roman" w:eastAsia="Times New Roman" w:hint="default"/>
        </w:rPr>
        <w:t>29,288,650.00</w:t>
      </w:r>
      <w:r>
        <w:rPr/>
        <w:t>元，调整至人民币</w:t>
      </w:r>
      <w:r>
        <w:rPr>
          <w:rFonts w:ascii="Times New Roman" w:hAnsi="Times New Roman" w:cs="Times New Roman" w:eastAsia="Times New Roman" w:hint="default"/>
        </w:rPr>
        <w:t>29,249,955.00</w:t>
      </w:r>
      <w:r>
        <w:rPr/>
        <w:t>元；另外，雇主及总</w:t>
      </w:r>
      <w:r>
        <w:rPr>
          <w:w w:val="99"/>
        </w:rPr>
        <w:t> </w:t>
      </w:r>
      <w:r>
        <w:rPr/>
        <w:t>承包商同意对于分包商在延长竣工时间内所产生的费用额外补偿分包商人民币</w:t>
      </w:r>
      <w:r>
        <w:rPr>
          <w:rFonts w:ascii="Times New Roman" w:hAnsi="Times New Roman" w:cs="Times New Roman" w:eastAsia="Times New Roman" w:hint="default"/>
        </w:rPr>
        <w:t>1,508,000.00</w:t>
      </w:r>
      <w:r>
        <w:rPr/>
        <w:t>元。截至</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日，公司</w:t>
      </w:r>
      <w:r>
        <w:rPr>
          <w:w w:val="99"/>
        </w:rPr>
        <w:t> </w:t>
      </w:r>
      <w:r>
        <w:rPr/>
        <w:t>已发货金额</w:t>
      </w:r>
      <w:r>
        <w:rPr>
          <w:rFonts w:ascii="Times New Roman" w:hAnsi="Times New Roman" w:cs="Times New Roman" w:eastAsia="Times New Roman" w:hint="default"/>
        </w:rPr>
        <w:t>26,323,315.00</w:t>
      </w:r>
      <w:r>
        <w:rPr/>
        <w:t>元。</w:t>
      </w:r>
      <w:r>
        <w:rPr>
          <w:w w:val="99"/>
        </w:rPr>
        <w:t> </w:t>
      </w:r>
      <w:r>
        <w:rPr>
          <w:rFonts w:ascii="Times New Roman" w:hAnsi="Times New Roman" w:cs="Times New Roman" w:eastAsia="Times New Roman" w:hint="default"/>
        </w:rPr>
        <w:t>2</w:t>
      </w:r>
      <w:r>
        <w:rPr/>
        <w:t>、《深圳市奥拓电子股份有限公司关于签署</w:t>
      </w:r>
      <w:r>
        <w:rPr>
          <w:rFonts w:ascii="Times New Roman" w:hAnsi="Times New Roman" w:cs="Times New Roman" w:eastAsia="Times New Roman" w:hint="default"/>
        </w:rPr>
        <w:t>&lt;</w:t>
      </w:r>
      <w:r>
        <w:rPr/>
        <w:t>中国足协中国之队</w:t>
      </w:r>
      <w:r>
        <w:rPr>
          <w:rFonts w:ascii="Times New Roman" w:hAnsi="Times New Roman" w:cs="Times New Roman" w:eastAsia="Times New Roman" w:hint="default"/>
        </w:rPr>
        <w:t>LED</w:t>
      </w:r>
      <w:r>
        <w:rPr/>
        <w:t>服务商合作协议</w:t>
      </w:r>
      <w:r>
        <w:rPr>
          <w:rFonts w:ascii="Times New Roman" w:hAnsi="Times New Roman" w:cs="Times New Roman" w:eastAsia="Times New Roman" w:hint="default"/>
        </w:rPr>
        <w:t>&gt;</w:t>
      </w:r>
      <w:r>
        <w:rPr/>
        <w:t>的公告》于</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17</w:t>
      </w:r>
      <w:r>
        <w:rPr/>
        <w:t>日刊登在指</w:t>
      </w:r>
      <w:r>
        <w:rPr>
          <w:w w:val="99"/>
        </w:rPr>
        <w:t> </w:t>
      </w:r>
      <w:r>
        <w:rPr>
          <w:spacing w:val="-1"/>
        </w:rPr>
        <w:t>定信息披露网站巨潮资讯网（</w:t>
      </w:r>
      <w:hyperlink r:id="rId13">
        <w:r>
          <w:rPr>
            <w:rFonts w:ascii="Times New Roman" w:hAnsi="Times New Roman" w:cs="Times New Roman" w:eastAsia="Times New Roman" w:hint="default"/>
            <w:spacing w:val="-1"/>
          </w:rPr>
          <w:t>www.cninfo.com.cn</w:t>
        </w:r>
      </w:hyperlink>
      <w:r>
        <w:rPr>
          <w:spacing w:val="-1"/>
        </w:rPr>
        <w:t>）。截至</w:t>
      </w:r>
      <w:r>
        <w:rPr>
          <w:rFonts w:ascii="Times New Roman" w:hAnsi="Times New Roman" w:cs="Times New Roman" w:eastAsia="Times New Roman" w:hint="default"/>
          <w:spacing w:val="-1"/>
        </w:rPr>
        <w:t>2017</w:t>
      </w:r>
      <w:r>
        <w:rPr>
          <w:spacing w:val="-1"/>
        </w:rPr>
        <w:t>年</w:t>
      </w:r>
      <w:r>
        <w:rPr>
          <w:rFonts w:ascii="Times New Roman" w:hAnsi="Times New Roman" w:cs="Times New Roman" w:eastAsia="Times New Roman" w:hint="default"/>
          <w:spacing w:val="-1"/>
        </w:rPr>
        <w:t>12</w:t>
      </w:r>
      <w:r>
        <w:rPr>
          <w:spacing w:val="-1"/>
        </w:rPr>
        <w:t>月</w:t>
      </w:r>
      <w:r>
        <w:rPr>
          <w:rFonts w:ascii="Times New Roman" w:hAnsi="Times New Roman" w:cs="Times New Roman" w:eastAsia="Times New Roman" w:hint="default"/>
          <w:spacing w:val="-1"/>
        </w:rPr>
        <w:t>31</w:t>
      </w:r>
      <w:r>
        <w:rPr>
          <w:spacing w:val="-1"/>
        </w:rPr>
        <w:t>日，公司为中国足协中国之队</w:t>
      </w:r>
      <w:r>
        <w:rPr>
          <w:rFonts w:ascii="Times New Roman" w:hAnsi="Times New Roman" w:cs="Times New Roman" w:eastAsia="Times New Roman" w:hint="default"/>
          <w:spacing w:val="-1"/>
        </w:rPr>
        <w:t>107</w:t>
      </w:r>
      <w:r>
        <w:rPr>
          <w:spacing w:val="-1"/>
        </w:rPr>
        <w:t>场赛事提供了</w:t>
      </w:r>
      <w:r>
        <w:rPr>
          <w:rFonts w:ascii="Times New Roman" w:hAnsi="Times New Roman" w:cs="Times New Roman" w:eastAsia="Times New Roman" w:hint="default"/>
          <w:spacing w:val="-1"/>
        </w:rPr>
        <w:t>LED</w:t>
      </w:r>
      <w:r>
        <w:rPr>
          <w:rFonts w:ascii="Times New Roman" w:hAnsi="Times New Roman" w:cs="Times New Roman" w:eastAsia="Times New Roman" w:hint="default"/>
          <w:spacing w:val="11"/>
        </w:rPr>
        <w:t> </w:t>
      </w:r>
      <w:r>
        <w:rPr/>
        <w:t>显示设备和比赛期间的相关服务。</w:t>
      </w:r>
      <w:r>
        <w:rPr>
          <w:w w:val="99"/>
        </w:rPr>
        <w:t> </w:t>
      </w:r>
      <w:r>
        <w:rPr>
          <w:rFonts w:ascii="Times New Roman" w:hAnsi="Times New Roman" w:cs="Times New Roman" w:eastAsia="Times New Roman" w:hint="default"/>
          <w:spacing w:val="-2"/>
        </w:rPr>
        <w:t>3</w:t>
      </w:r>
      <w:r>
        <w:rPr>
          <w:spacing w:val="-2"/>
        </w:rPr>
        <w:t>、《深圳市奥拓电子股份有限公司关于与中国工商银行股份有限公司签署</w:t>
      </w:r>
      <w:r>
        <w:rPr>
          <w:rFonts w:ascii="Times New Roman" w:hAnsi="Times New Roman" w:cs="Times New Roman" w:eastAsia="Times New Roman" w:hint="default"/>
          <w:spacing w:val="-2"/>
        </w:rPr>
        <w:t>&lt;</w:t>
      </w:r>
      <w:r>
        <w:rPr>
          <w:spacing w:val="-2"/>
        </w:rPr>
        <w:t>集中采购协议</w:t>
      </w:r>
      <w:r>
        <w:rPr>
          <w:rFonts w:ascii="Times New Roman" w:hAnsi="Times New Roman" w:cs="Times New Roman" w:eastAsia="Times New Roman" w:hint="default"/>
          <w:spacing w:val="-2"/>
        </w:rPr>
        <w:t>-</w:t>
      </w:r>
      <w:r>
        <w:rPr>
          <w:spacing w:val="-2"/>
        </w:rPr>
        <w:t>设备类</w:t>
      </w:r>
      <w:r>
        <w:rPr>
          <w:rFonts w:ascii="Times New Roman" w:hAnsi="Times New Roman" w:cs="Times New Roman" w:eastAsia="Times New Roman" w:hint="default"/>
          <w:spacing w:val="-2"/>
        </w:rPr>
        <w:t>&gt;</w:t>
      </w:r>
      <w:r>
        <w:rPr>
          <w:spacing w:val="-2"/>
        </w:rPr>
        <w:t>的公告》于</w:t>
      </w:r>
      <w:r>
        <w:rPr>
          <w:rFonts w:ascii="Times New Roman" w:hAnsi="Times New Roman" w:cs="Times New Roman" w:eastAsia="Times New Roman" w:hint="default"/>
          <w:spacing w:val="-2"/>
        </w:rPr>
        <w:t>2016</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15</w:t>
      </w:r>
      <w:r>
        <w:rPr>
          <w:rFonts w:ascii="Times New Roman" w:hAnsi="Times New Roman" w:cs="Times New Roman" w:eastAsia="Times New Roman" w:hint="default"/>
          <w:spacing w:val="-3"/>
        </w:rPr>
        <w:t> </w:t>
      </w:r>
      <w:r>
        <w:rPr/>
        <w:t>日刊登在指定信息披露网站巨潮资讯网（</w:t>
      </w:r>
      <w:hyperlink r:id="rId13">
        <w:r>
          <w:rPr>
            <w:rFonts w:ascii="Times New Roman" w:hAnsi="Times New Roman" w:cs="Times New Roman" w:eastAsia="Times New Roman" w:hint="default"/>
          </w:rPr>
          <w:t>www.cninfo.com.cn</w:t>
        </w:r>
      </w:hyperlink>
      <w:r>
        <w:rPr/>
        <w:t>）。截至</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日，公司已发货金额</w:t>
      </w:r>
      <w:r>
        <w:rPr>
          <w:rFonts w:ascii="Times New Roman" w:hAnsi="Times New Roman" w:cs="Times New Roman" w:eastAsia="Times New Roman" w:hint="default"/>
        </w:rPr>
        <w:t>25,588,580.00</w:t>
      </w:r>
      <w:r>
        <w:rPr/>
        <w:t>元。</w:t>
      </w:r>
      <w:r>
        <w:rPr>
          <w:w w:val="99"/>
        </w:rPr>
        <w:t> </w:t>
      </w:r>
      <w:r>
        <w:rPr>
          <w:rFonts w:ascii="Times New Roman" w:hAnsi="Times New Roman" w:cs="Times New Roman" w:eastAsia="Times New Roman" w:hint="default"/>
          <w:spacing w:val="-1"/>
        </w:rPr>
        <w:t>4</w:t>
      </w:r>
      <w:r>
        <w:rPr>
          <w:spacing w:val="-1"/>
        </w:rPr>
        <w:t>、《深圳市奥拓电子股份有限公司关于</w:t>
      </w:r>
      <w:r>
        <w:rPr>
          <w:rFonts w:ascii="Times New Roman" w:hAnsi="Times New Roman" w:cs="Times New Roman" w:eastAsia="Times New Roman" w:hint="default"/>
          <w:spacing w:val="-1"/>
        </w:rPr>
        <w:t>&lt;</w:t>
      </w:r>
      <w:r>
        <w:rPr>
          <w:spacing w:val="-1"/>
        </w:rPr>
        <w:t>全资子公司签署</w:t>
      </w:r>
      <w:r>
        <w:rPr>
          <w:rFonts w:ascii="Times New Roman" w:hAnsi="Times New Roman" w:cs="Times New Roman" w:eastAsia="Times New Roman" w:hint="default"/>
          <w:spacing w:val="-1"/>
        </w:rPr>
        <w:t>PPP</w:t>
      </w:r>
      <w:r>
        <w:rPr>
          <w:spacing w:val="-1"/>
        </w:rPr>
        <w:t>项目框架协议</w:t>
      </w:r>
      <w:r>
        <w:rPr>
          <w:rFonts w:ascii="Times New Roman" w:hAnsi="Times New Roman" w:cs="Times New Roman" w:eastAsia="Times New Roman" w:hint="default"/>
          <w:spacing w:val="-1"/>
        </w:rPr>
        <w:t>&gt;</w:t>
      </w:r>
      <w:r>
        <w:rPr>
          <w:spacing w:val="-1"/>
        </w:rPr>
        <w:t>的公告》于</w:t>
      </w:r>
      <w:r>
        <w:rPr>
          <w:rFonts w:ascii="Times New Roman" w:hAnsi="Times New Roman" w:cs="Times New Roman" w:eastAsia="Times New Roman" w:hint="default"/>
          <w:spacing w:val="-1"/>
        </w:rPr>
        <w:t>2017</w:t>
      </w:r>
      <w:r>
        <w:rPr>
          <w:spacing w:val="-1"/>
        </w:rPr>
        <w:t>年</w:t>
      </w:r>
      <w:r>
        <w:rPr>
          <w:rFonts w:ascii="Times New Roman" w:hAnsi="Times New Roman" w:cs="Times New Roman" w:eastAsia="Times New Roman" w:hint="default"/>
          <w:spacing w:val="-1"/>
        </w:rPr>
        <w:t>1</w:t>
      </w:r>
      <w:r>
        <w:rPr>
          <w:spacing w:val="-1"/>
        </w:rPr>
        <w:t>月</w:t>
      </w:r>
      <w:r>
        <w:rPr>
          <w:rFonts w:ascii="Times New Roman" w:hAnsi="Times New Roman" w:cs="Times New Roman" w:eastAsia="Times New Roman" w:hint="default"/>
          <w:spacing w:val="-1"/>
        </w:rPr>
        <w:t>26</w:t>
      </w:r>
      <w:r>
        <w:rPr>
          <w:spacing w:val="-1"/>
        </w:rPr>
        <w:t>日刊登在指定信息披露</w:t>
      </w:r>
      <w:r>
        <w:rPr>
          <w:spacing w:val="-80"/>
        </w:rPr>
        <w:t> </w:t>
      </w:r>
      <w:r>
        <w:rPr>
          <w:spacing w:val="-2"/>
        </w:rPr>
        <w:t>网站巨潮资讯网（</w:t>
      </w:r>
      <w:hyperlink r:id="rId13">
        <w:r>
          <w:rPr>
            <w:rFonts w:ascii="Times New Roman" w:hAnsi="Times New Roman" w:cs="Times New Roman" w:eastAsia="Times New Roman" w:hint="default"/>
            <w:spacing w:val="-2"/>
          </w:rPr>
          <w:t>www.cninfo.com.cn</w:t>
        </w:r>
      </w:hyperlink>
      <w:r>
        <w:rPr>
          <w:spacing w:val="-2"/>
        </w:rPr>
        <w:t>）。公司全资子公司深圳市千百辉照明工程有限公司（以下简称</w:t>
      </w:r>
      <w:r>
        <w:rPr>
          <w:rFonts w:ascii="Times New Roman" w:hAnsi="Times New Roman" w:cs="Times New Roman" w:eastAsia="Times New Roman" w:hint="default"/>
          <w:spacing w:val="-2"/>
        </w:rPr>
        <w:t>“</w:t>
      </w:r>
      <w:r>
        <w:rPr>
          <w:spacing w:val="-2"/>
        </w:rPr>
        <w:t>千百辉</w:t>
      </w:r>
      <w:r>
        <w:rPr>
          <w:rFonts w:ascii="Times New Roman" w:hAnsi="Times New Roman" w:cs="Times New Roman" w:eastAsia="Times New Roman" w:hint="default"/>
          <w:spacing w:val="-2"/>
        </w:rPr>
        <w:t>”</w:t>
      </w:r>
      <w:r>
        <w:rPr>
          <w:spacing w:val="-2"/>
        </w:rPr>
        <w:t>）已与上海亚</w:t>
      </w:r>
      <w:r>
        <w:rPr>
          <w:spacing w:val="-54"/>
        </w:rPr>
        <w:t> </w:t>
      </w:r>
      <w:r>
        <w:rPr>
          <w:spacing w:val="-54"/>
        </w:rPr>
      </w:r>
      <w:r>
        <w:rPr>
          <w:spacing w:val="-1"/>
        </w:rPr>
        <w:t>明照明有限公司、内蒙古黄河明珠文化旅游产业投资有限责任公司签署股东协议书，合资设立</w:t>
      </w:r>
      <w:r>
        <w:rPr>
          <w:rFonts w:ascii="Times New Roman" w:hAnsi="Times New Roman" w:cs="Times New Roman" w:eastAsia="Times New Roman" w:hint="default"/>
          <w:spacing w:val="-1"/>
        </w:rPr>
        <w:t>PPP</w:t>
      </w:r>
      <w:r>
        <w:rPr>
          <w:spacing w:val="-1"/>
        </w:rPr>
        <w:t>项目公司</w:t>
      </w:r>
      <w:r>
        <w:rPr>
          <w:rFonts w:ascii="Times New Roman" w:hAnsi="Times New Roman" w:cs="Times New Roman" w:eastAsia="Times New Roman" w:hint="default"/>
          <w:spacing w:val="-1"/>
        </w:rPr>
        <w:t>—</w:t>
      </w:r>
      <w:r>
        <w:rPr>
          <w:spacing w:val="-1"/>
        </w:rPr>
        <w:t>内蒙古中基智</w:t>
      </w:r>
    </w:p>
    <w:p>
      <w:pPr>
        <w:spacing w:after="0" w:line="302"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00" w:lineRule="auto" w:before="44"/>
        <w:ind w:right="0"/>
        <w:jc w:val="left"/>
      </w:pPr>
      <w:r>
        <w:rPr/>
        <w:t>慧城市建设有限公司，《关于全资子公司合资组建</w:t>
      </w:r>
      <w:r>
        <w:rPr>
          <w:rFonts w:ascii="Times New Roman" w:hAnsi="Times New Roman" w:cs="Times New Roman" w:eastAsia="Times New Roman" w:hint="default"/>
        </w:rPr>
        <w:t>PPP</w:t>
      </w:r>
      <w:r>
        <w:rPr/>
        <w:t>项目公司的公告》已于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4</w:t>
      </w:r>
      <w:r>
        <w:rPr/>
        <w:t>日刊登在指定信息披露网站巨潮资 讯网（</w:t>
      </w:r>
      <w:hyperlink r:id="rId13">
        <w:r>
          <w:rPr>
            <w:rFonts w:ascii="Times New Roman" w:hAnsi="Times New Roman" w:cs="Times New Roman" w:eastAsia="Times New Roman" w:hint="default"/>
          </w:rPr>
          <w:t>www.cninfo.com.cn</w:t>
        </w:r>
      </w:hyperlink>
      <w:r>
        <w:rPr/>
        <w:t>），《关于全资子公司之参股项目公司签署</w:t>
      </w:r>
      <w:r>
        <w:rPr>
          <w:rFonts w:ascii="Times New Roman" w:hAnsi="Times New Roman" w:cs="Times New Roman" w:eastAsia="Times New Roman" w:hint="default"/>
        </w:rPr>
        <w:t>PPP</w:t>
      </w:r>
      <w:r>
        <w:rPr/>
        <w:t>项目合同的公告》已于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7</w:t>
      </w:r>
      <w:r>
        <w:rPr/>
        <w:t>日刊登在指定 信息披露网站巨潮资讯网（</w:t>
      </w:r>
      <w:hyperlink r:id="rId13">
        <w:r>
          <w:rPr>
            <w:rFonts w:ascii="Times New Roman" w:hAnsi="Times New Roman" w:cs="Times New Roman" w:eastAsia="Times New Roman" w:hint="default"/>
          </w:rPr>
          <w:t>www.cninfo.com.cn</w:t>
        </w:r>
      </w:hyperlink>
      <w:r>
        <w:rPr/>
        <w:t>），内蒙古中基智慧城市建设有限公司与乌海市综合行政执法局针对本项目</w:t>
      </w:r>
      <w:r>
        <w:rPr>
          <w:w w:val="99"/>
        </w:rPr>
        <w:t> </w:t>
      </w:r>
      <w:r>
        <w:rPr/>
        <w:t>共同签署了《</w:t>
      </w:r>
      <w:r>
        <w:rPr>
          <w:rFonts w:ascii="Times New Roman" w:hAnsi="Times New Roman" w:cs="Times New Roman" w:eastAsia="Times New Roman" w:hint="default"/>
        </w:rPr>
        <w:t>PPP</w:t>
      </w:r>
      <w:r>
        <w:rPr/>
        <w:t>项目合同》。</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14</w:t>
      </w:r>
      <w:r>
        <w:rPr/>
        <w:t>日，乌海市八届人大常委会召开第四十五次会议，表决通过了《乌海市人大常 委会关于批准将乌海市城市灯光基础建设及灯光旅游</w:t>
      </w:r>
      <w:r>
        <w:rPr>
          <w:rFonts w:ascii="Times New Roman" w:hAnsi="Times New Roman" w:cs="Times New Roman" w:eastAsia="Times New Roman" w:hint="default"/>
        </w:rPr>
        <w:t>PPP</w:t>
      </w:r>
      <w:r>
        <w:rPr/>
        <w:t>项目财政支出责任纳入市级财政预算及中长期财政规划的决定》。</w:t>
      </w:r>
      <w:r>
        <w:rPr>
          <w:spacing w:val="-37"/>
        </w:rPr>
        <w:t> </w:t>
      </w:r>
      <w:r>
        <w:rPr>
          <w:spacing w:val="-37"/>
        </w:rPr>
      </w:r>
      <w:r>
        <w:rPr/>
        <w:t>截至</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日，项目正在推进之中。</w:t>
      </w:r>
    </w:p>
    <w:p>
      <w:pPr>
        <w:spacing w:line="240" w:lineRule="auto" w:before="1"/>
        <w:rPr>
          <w:rFonts w:ascii="宋体" w:hAnsi="宋体" w:cs="宋体" w:eastAsia="宋体" w:hint="default"/>
          <w:sz w:val="22"/>
          <w:szCs w:val="22"/>
        </w:rPr>
      </w:pPr>
    </w:p>
    <w:p>
      <w:pPr>
        <w:pStyle w:val="Heading3"/>
        <w:spacing w:line="240" w:lineRule="auto"/>
        <w:ind w:left="153" w:right="0"/>
        <w:jc w:val="left"/>
        <w:rPr>
          <w:b w:val="0"/>
          <w:bCs w:val="0"/>
        </w:rPr>
      </w:pPr>
      <w:bookmarkStart w:name="（5）营业成本构成" w:id="32"/>
      <w:bookmarkEnd w:id="32"/>
      <w:r>
        <w:rPr>
          <w:b w:val="0"/>
          <w:bCs w:val="0"/>
        </w:rPr>
      </w:r>
      <w:r>
        <w:rPr/>
        <w:t>（</w:t>
      </w:r>
      <w:r>
        <w:rPr>
          <w:rFonts w:ascii="Times New Roman" w:hAnsi="Times New Roman" w:cs="Times New Roman" w:eastAsia="Times New Roman" w:hint="default"/>
        </w:rPr>
        <w:t>5</w:t>
      </w:r>
      <w:r>
        <w:rPr/>
        <w:t>）营业成本构成</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154" w:right="0"/>
        <w:jc w:val="left"/>
      </w:pPr>
      <w:r>
        <w:rPr/>
        <w:t>行业分类</w:t>
      </w:r>
    </w:p>
    <w:p>
      <w:pPr>
        <w:pStyle w:val="BodyText"/>
        <w:spacing w:line="240" w:lineRule="auto" w:before="116"/>
        <w:ind w:left="0" w:right="1130"/>
        <w:jc w:val="right"/>
      </w:pPr>
      <w:r>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70"/>
        <w:gridCol w:w="1367"/>
        <w:gridCol w:w="1367"/>
        <w:gridCol w:w="1367"/>
        <w:gridCol w:w="1368"/>
        <w:gridCol w:w="1367"/>
        <w:gridCol w:w="1367"/>
      </w:tblGrid>
      <w:tr>
        <w:trPr>
          <w:trHeight w:val="402" w:hRule="exact"/>
        </w:trPr>
        <w:tc>
          <w:tcPr>
            <w:tcW w:w="137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行业分类</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73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2" w:hRule="exact"/>
        </w:trPr>
        <w:tc>
          <w:tcPr>
            <w:tcW w:w="1370"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7"/>
              <w:jc w:val="right"/>
              <w:rPr>
                <w:rFonts w:ascii="宋体" w:hAnsi="宋体" w:cs="宋体" w:eastAsia="宋体" w:hint="default"/>
                <w:sz w:val="18"/>
                <w:szCs w:val="18"/>
              </w:rPr>
            </w:pPr>
            <w:r>
              <w:rPr>
                <w:rFonts w:ascii="宋体" w:hAnsi="宋体" w:cs="宋体" w:eastAsia="宋体" w:hint="default"/>
                <w:sz w:val="18"/>
                <w:szCs w:val="18"/>
              </w:rPr>
              <w:t>占营业成本比重</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7"/>
              <w:jc w:val="right"/>
              <w:rPr>
                <w:rFonts w:ascii="宋体" w:hAnsi="宋体" w:cs="宋体" w:eastAsia="宋体" w:hint="default"/>
                <w:sz w:val="18"/>
                <w:szCs w:val="18"/>
              </w:rPr>
            </w:pPr>
            <w:r>
              <w:rPr>
                <w:rFonts w:ascii="宋体" w:hAnsi="宋体" w:cs="宋体" w:eastAsia="宋体" w:hint="default"/>
                <w:sz w:val="18"/>
                <w:szCs w:val="18"/>
              </w:rPr>
              <w:t>占营业成本比重</w:t>
            </w:r>
          </w:p>
        </w:tc>
        <w:tc>
          <w:tcPr>
            <w:tcW w:w="1367"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应用</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直接材料</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405,718,482.33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64.69%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121,417,033.34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59.51%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5.18%</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应用</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直接人工</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107,774,832.92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17.18%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9,435,809.46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4.63%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12.55%</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应用</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制造费用</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24,160,719.39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3.85%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22,265,837.95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10.91%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-7.06%</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应用</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12,505,246.46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1.99%</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金融科技</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直接材料</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58,981,215.97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9.40%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40,599,559.11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19.90%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-10.50%</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金融科技</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直接人工</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14,242,712.34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2.27%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1,182,592.54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0.58%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1.69%</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金融科技</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制造费用</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3,245,513.00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0.52%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3,033,302.88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1.49%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-0.97%</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体育新业务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541,404.78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6,070,754.73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2.98%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-2.89%</w:t>
            </w:r>
          </w:p>
        </w:tc>
      </w:tr>
    </w:tbl>
    <w:p>
      <w:pPr>
        <w:pStyle w:val="BodyText"/>
        <w:spacing w:line="357" w:lineRule="auto" w:before="51"/>
        <w:ind w:left="154" w:right="10392"/>
        <w:jc w:val="left"/>
      </w:pPr>
      <w:r>
        <w:rPr/>
        <w:t>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6）报告期内合并范围是否发生变动" w:id="33"/>
      <w:bookmarkEnd w:id="33"/>
      <w:r>
        <w:rPr>
          <w:b w:val="0"/>
          <w:bCs w:val="0"/>
        </w:rPr>
      </w:r>
      <w:r>
        <w:rPr/>
        <w:t>（</w:t>
      </w:r>
      <w:r>
        <w:rPr>
          <w:rFonts w:ascii="Times New Roman" w:hAnsi="Times New Roman" w:cs="Times New Roman" w:eastAsia="Times New Roman" w:hint="default"/>
        </w:rPr>
        <w:t>6</w:t>
      </w:r>
      <w:r>
        <w:rPr/>
        <w:t>）报告期内合并范围是否发生变动</w:t>
      </w:r>
      <w:r>
        <w:rPr>
          <w:b w:val="0"/>
          <w:bCs w:val="0"/>
        </w:rPr>
      </w:r>
    </w:p>
    <w:p>
      <w:pPr>
        <w:spacing w:line="240" w:lineRule="auto" w:before="8"/>
        <w:rPr>
          <w:rFonts w:ascii="宋体" w:hAnsi="宋体" w:cs="宋体" w:eastAsia="宋体" w:hint="default"/>
          <w:b/>
          <w:bCs/>
          <w:sz w:val="26"/>
          <w:szCs w:val="26"/>
        </w:rPr>
      </w:pPr>
    </w:p>
    <w:p>
      <w:pPr>
        <w:pStyle w:val="BodyText"/>
        <w:spacing w:line="338" w:lineRule="auto"/>
        <w:ind w:right="5353"/>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否 报告期内，合并范围新增子公司深圳市奥拓立翔光电科技有限公司。</w:t>
      </w:r>
    </w:p>
    <w:p>
      <w:pPr>
        <w:spacing w:line="240" w:lineRule="auto" w:before="4"/>
        <w:rPr>
          <w:rFonts w:ascii="宋体" w:hAnsi="宋体" w:cs="宋体" w:eastAsia="宋体" w:hint="default"/>
          <w:sz w:val="21"/>
          <w:szCs w:val="21"/>
        </w:rPr>
      </w:pPr>
    </w:p>
    <w:p>
      <w:pPr>
        <w:pStyle w:val="Heading3"/>
        <w:spacing w:line="240" w:lineRule="auto"/>
        <w:ind w:left="153" w:right="0"/>
        <w:jc w:val="left"/>
        <w:rPr>
          <w:b w:val="0"/>
          <w:bCs w:val="0"/>
        </w:rPr>
      </w:pPr>
      <w:bookmarkStart w:name="（7）公司报告期内业务、产品或服务发生重大变化或调整有关情况" w:id="34"/>
      <w:bookmarkEnd w:id="34"/>
      <w:r>
        <w:rPr>
          <w:b w:val="0"/>
          <w:bCs w:val="0"/>
        </w:rPr>
      </w:r>
      <w:r>
        <w:rPr/>
        <w:t>（</w:t>
      </w:r>
      <w:r>
        <w:rPr>
          <w:rFonts w:ascii="Times New Roman" w:hAnsi="Times New Roman" w:cs="Times New Roman" w:eastAsia="Times New Roman" w:hint="default"/>
        </w:rPr>
        <w:t>7</w:t>
      </w:r>
      <w:r>
        <w:rPr/>
        <w:t>）公司报告期内业务、产品或服务发生重大变化或调整有关情况</w:t>
      </w:r>
      <w:r>
        <w:rPr>
          <w:b w:val="0"/>
          <w:bCs w:val="0"/>
        </w:rPr>
      </w:r>
    </w:p>
    <w:p>
      <w:pPr>
        <w:spacing w:line="240" w:lineRule="auto" w:before="8"/>
        <w:rPr>
          <w:rFonts w:ascii="宋体" w:hAnsi="宋体" w:cs="宋体" w:eastAsia="宋体" w:hint="default"/>
          <w:b/>
          <w:bCs/>
          <w:sz w:val="26"/>
          <w:szCs w:val="26"/>
        </w:rPr>
      </w:pPr>
    </w:p>
    <w:p>
      <w:pPr>
        <w:pStyle w:val="BodyText"/>
        <w:spacing w:line="338" w:lineRule="auto"/>
        <w:ind w:right="157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报告期内，公司并购千百辉，进军智能景观亮化工程。报告期内，智能景观亮化工程业务占公司营业收入的</w:t>
      </w:r>
      <w:r>
        <w:rPr>
          <w:rFonts w:ascii="宋体" w:hAnsi="宋体" w:cs="宋体" w:eastAsia="宋体" w:hint="default"/>
        </w:rPr>
        <w:t>49.86%</w:t>
      </w:r>
      <w:r>
        <w:rPr/>
        <w:t>。</w:t>
      </w:r>
    </w:p>
    <w:p>
      <w:pPr>
        <w:spacing w:line="240" w:lineRule="auto" w:before="4"/>
        <w:rPr>
          <w:rFonts w:ascii="宋体" w:hAnsi="宋体" w:cs="宋体" w:eastAsia="宋体" w:hint="default"/>
          <w:sz w:val="21"/>
          <w:szCs w:val="21"/>
        </w:rPr>
      </w:pPr>
    </w:p>
    <w:p>
      <w:pPr>
        <w:pStyle w:val="Heading3"/>
        <w:spacing w:line="240" w:lineRule="auto"/>
        <w:ind w:left="153" w:right="0"/>
        <w:jc w:val="left"/>
        <w:rPr>
          <w:b w:val="0"/>
          <w:bCs w:val="0"/>
        </w:rPr>
      </w:pPr>
      <w:bookmarkStart w:name="（8）主要销售客户和主要供应商情况" w:id="35"/>
      <w:bookmarkEnd w:id="35"/>
      <w:r>
        <w:rPr>
          <w:b w:val="0"/>
          <w:bCs w:val="0"/>
        </w:rPr>
      </w:r>
      <w:r>
        <w:rPr/>
        <w:t>（</w:t>
      </w:r>
      <w:r>
        <w:rPr>
          <w:rFonts w:ascii="Times New Roman" w:hAnsi="Times New Roman" w:cs="Times New Roman" w:eastAsia="Times New Roman" w:hint="default"/>
        </w:rPr>
        <w:t>8</w:t>
      </w:r>
      <w:r>
        <w:rPr/>
        <w:t>）主要销售客户和主要供应商情况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公司主要销售客户情况</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4258"/>
        <w:gridCol w:w="5311"/>
      </w:tblGrid>
      <w:tr>
        <w:trPr>
          <w:trHeight w:val="402" w:hRule="exact"/>
        </w:trPr>
        <w:tc>
          <w:tcPr>
            <w:tcW w:w="4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前五名客户合计销售金额（元）</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282,071,164.59</w:t>
            </w:r>
          </w:p>
        </w:tc>
      </w:tr>
      <w:tr>
        <w:trPr>
          <w:trHeight w:val="402" w:hRule="exact"/>
        </w:trPr>
        <w:tc>
          <w:tcPr>
            <w:tcW w:w="4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前五名客户合计销售金额占年度销售总额比例</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27.09%</w:t>
            </w:r>
          </w:p>
        </w:tc>
      </w:tr>
      <w:tr>
        <w:trPr>
          <w:trHeight w:val="402" w:hRule="exact"/>
        </w:trPr>
        <w:tc>
          <w:tcPr>
            <w:tcW w:w="4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前五名客户销售额中关联方销售额占年度销售总额比</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2"/>
        <w:rPr>
          <w:rFonts w:ascii="宋体" w:hAnsi="宋体" w:cs="宋体" w:eastAsia="宋体" w:hint="default"/>
          <w:sz w:val="28"/>
          <w:szCs w:val="28"/>
        </w:rPr>
      </w:pPr>
    </w:p>
    <w:p>
      <w:pPr>
        <w:spacing w:line="381" w:lineRule="exact"/>
        <w:ind w:left="149"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8.95pt;height:19.1pt;mso-position-horizontal-relative:char;mso-position-vertical-relative:line" coordorigin="0,0" coordsize="9579,382">
            <v:group style="position:absolute;left:21;top:14;width:2;height:353" coordorigin="21,14" coordsize="2,353">
              <v:shape style="position:absolute;left:21;top:14;width:2;height:353" coordorigin="21,14" coordsize="0,353" path="m21,14l21,367e" filled="false" stroked="true" strokeweight="1.140pt" strokecolor="#d2d2d2">
                <v:path arrowok="t"/>
              </v:shape>
            </v:group>
            <v:group style="position:absolute;left:4246;top:14;width:2;height:353" coordorigin="4246,14" coordsize="2,353">
              <v:shape style="position:absolute;left:4246;top:14;width:2;height:353" coordorigin="4246,14" coordsize="0,353" path="m4246,14l4246,367e" filled="false" stroked="true" strokeweight="1.140pt" strokecolor="#d2d2d2">
                <v:path arrowok="t"/>
              </v:shape>
            </v:group>
            <v:group style="position:absolute;left:32;top:14;width:4202;height:353" coordorigin="32,14" coordsize="4202,353">
              <v:shape style="position:absolute;left:32;top:14;width:4202;height:353" coordorigin="32,14" coordsize="4202,353" path="m32,367l4234,367,4234,14,32,14,32,367xe" filled="true" fillcolor="#d2d2d2" stroked="false">
                <v:path arrowok="t"/>
                <v:fill type="solid"/>
              </v:shape>
            </v:group>
            <v:group style="position:absolute;left:10;top:10;width:4249;height:2" coordorigin="10,10" coordsize="4249,2">
              <v:shape style="position:absolute;left:10;top:10;width:4249;height:2" coordorigin="10,10" coordsize="4249,0" path="m10,10l4258,10e" filled="false" stroked="true" strokeweight=".48pt" strokecolor="#000000">
                <v:path arrowok="t"/>
              </v:shape>
            </v:group>
            <v:group style="position:absolute;left:4268;top:10;width:5301;height:2" coordorigin="4268,10" coordsize="5301,2">
              <v:shape style="position:absolute;left:4268;top:10;width:5301;height:2" coordorigin="4268,10" coordsize="5301,0" path="m4268,10l9569,10e" filled="false" stroked="true" strokeweight=".48pt" strokecolor="#000000">
                <v:path arrowok="t"/>
              </v:shape>
            </v:group>
            <v:group style="position:absolute;left:5;top:5;width:2;height:372" coordorigin="5,5" coordsize="2,372">
              <v:shape style="position:absolute;left:5;top:5;width:2;height:372" coordorigin="5,5" coordsize="0,372" path="m5,5l5,377e" filled="false" stroked="true" strokeweight=".48pt" strokecolor="#000000">
                <v:path arrowok="t"/>
              </v:shape>
            </v:group>
            <v:group style="position:absolute;left:10;top:372;width:4249;height:2" coordorigin="10,372" coordsize="4249,2">
              <v:shape style="position:absolute;left:10;top:372;width:4249;height:2" coordorigin="10,372" coordsize="4249,0" path="m10,372l4258,372e" filled="false" stroked="true" strokeweight=".48pt" strokecolor="#000000">
                <v:path arrowok="t"/>
              </v:shape>
            </v:group>
            <v:group style="position:absolute;left:4263;top:5;width:2;height:372" coordorigin="4263,5" coordsize="2,372">
              <v:shape style="position:absolute;left:4263;top:5;width:2;height:372" coordorigin="4263,5" coordsize="0,372" path="m4263,5l4263,377e" filled="false" stroked="true" strokeweight=".48pt" strokecolor="#000000">
                <v:path arrowok="t"/>
              </v:shape>
            </v:group>
            <v:group style="position:absolute;left:4268;top:372;width:5301;height:2" coordorigin="4268,372" coordsize="5301,2">
              <v:shape style="position:absolute;left:4268;top:372;width:5301;height:2" coordorigin="4268,372" coordsize="5301,0" path="m4268,372l9569,372e" filled="false" stroked="true" strokeweight=".48pt" strokecolor="#000000">
                <v:path arrowok="t"/>
              </v:shape>
            </v:group>
            <v:group style="position:absolute;left:9574;top:5;width:2;height:372" coordorigin="9574,5" coordsize="2,372">
              <v:shape style="position:absolute;left:9574;top:5;width:2;height:372" coordorigin="9574,5" coordsize="0,372" path="m9574,5l9574,377e" filled="false" stroked="true" strokeweight=".48pt" strokecolor="#000000">
                <v:path arrowok="t"/>
              </v:shape>
              <v:shape style="position:absolute;left:32;top:8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例</w:t>
                      </w:r>
                    </w:p>
                  </w:txbxContent>
                </v:textbox>
                <w10:wrap type="none"/>
              </v:shape>
            </v:group>
          </v:group>
        </w:pict>
      </w:r>
      <w:r>
        <w:rPr>
          <w:rFonts w:ascii="宋体" w:hAnsi="宋体" w:cs="宋体" w:eastAsia="宋体" w:hint="default"/>
          <w:position w:val="-7"/>
          <w:sz w:val="20"/>
          <w:szCs w:val="20"/>
        </w:rPr>
      </w:r>
    </w:p>
    <w:p>
      <w:pPr>
        <w:pStyle w:val="BodyText"/>
        <w:spacing w:line="240" w:lineRule="auto" w:before="47"/>
        <w:ind w:left="154" w:right="0"/>
        <w:jc w:val="left"/>
      </w:pPr>
      <w:r>
        <w:rPr/>
        <w:t>公司前</w:t>
      </w:r>
      <w:r>
        <w:rPr>
          <w:spacing w:val="-46"/>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大客户资料</w:t>
      </w:r>
    </w:p>
    <w:p>
      <w:pPr>
        <w:spacing w:line="240" w:lineRule="auto" w:before="0"/>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791"/>
        <w:gridCol w:w="3313"/>
        <w:gridCol w:w="2322"/>
        <w:gridCol w:w="3143"/>
      </w:tblGrid>
      <w:tr>
        <w:trPr>
          <w:trHeight w:val="402"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15"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33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23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15" w:right="0"/>
              <w:jc w:val="left"/>
              <w:rPr>
                <w:rFonts w:ascii="宋体" w:hAnsi="宋体" w:cs="宋体" w:eastAsia="宋体" w:hint="default"/>
                <w:sz w:val="18"/>
                <w:szCs w:val="18"/>
              </w:rPr>
            </w:pPr>
            <w:r>
              <w:rPr>
                <w:rFonts w:ascii="宋体" w:hAnsi="宋体" w:cs="宋体" w:eastAsia="宋体" w:hint="default"/>
                <w:sz w:val="18"/>
                <w:szCs w:val="18"/>
              </w:rPr>
              <w:t>销售额（元）</w:t>
            </w:r>
          </w:p>
        </w:tc>
        <w:tc>
          <w:tcPr>
            <w:tcW w:w="31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56" w:right="0"/>
              <w:jc w:val="left"/>
              <w:rPr>
                <w:rFonts w:ascii="宋体" w:hAnsi="宋体" w:cs="宋体" w:eastAsia="宋体" w:hint="default"/>
                <w:sz w:val="18"/>
                <w:szCs w:val="18"/>
              </w:rPr>
            </w:pPr>
            <w:r>
              <w:rPr>
                <w:rFonts w:ascii="宋体" w:hAnsi="宋体" w:cs="宋体" w:eastAsia="宋体" w:hint="default"/>
                <w:sz w:val="18"/>
                <w:szCs w:val="18"/>
              </w:rPr>
              <w:t>占年度销售总额比例</w:t>
            </w:r>
          </w:p>
        </w:tc>
      </w:tr>
      <w:tr>
        <w:trPr>
          <w:trHeight w:val="402"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w:t>
            </w:r>
          </w:p>
        </w:tc>
        <w:tc>
          <w:tcPr>
            <w:tcW w:w="331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67,055,855.84</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6.44%</w:t>
            </w:r>
          </w:p>
        </w:tc>
      </w:tr>
      <w:tr>
        <w:trPr>
          <w:trHeight w:val="402"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w:t>
            </w:r>
          </w:p>
        </w:tc>
        <w:tc>
          <w:tcPr>
            <w:tcW w:w="331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62,545,342.93</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6.01%</w:t>
            </w:r>
          </w:p>
        </w:tc>
      </w:tr>
      <w:tr>
        <w:trPr>
          <w:trHeight w:val="402"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3</w:t>
            </w:r>
          </w:p>
        </w:tc>
        <w:tc>
          <w:tcPr>
            <w:tcW w:w="331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56,435,245.66</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5.42%</w:t>
            </w:r>
          </w:p>
        </w:tc>
      </w:tr>
      <w:tr>
        <w:trPr>
          <w:trHeight w:val="402"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4</w:t>
            </w:r>
          </w:p>
        </w:tc>
        <w:tc>
          <w:tcPr>
            <w:tcW w:w="331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50,989,675.14</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4.90%</w:t>
            </w:r>
          </w:p>
        </w:tc>
      </w:tr>
      <w:tr>
        <w:trPr>
          <w:trHeight w:val="402"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5</w:t>
            </w:r>
          </w:p>
        </w:tc>
        <w:tc>
          <w:tcPr>
            <w:tcW w:w="331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45,045,045.02</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4.33%</w:t>
            </w:r>
          </w:p>
        </w:tc>
      </w:tr>
      <w:tr>
        <w:trPr>
          <w:trHeight w:val="402"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3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2" w:right="0"/>
              <w:jc w:val="center"/>
              <w:rPr>
                <w:rFonts w:ascii="Times New Roman" w:hAnsi="Times New Roman" w:cs="Times New Roman" w:eastAsia="Times New Roman" w:hint="default"/>
                <w:sz w:val="18"/>
                <w:szCs w:val="18"/>
              </w:rPr>
            </w:pPr>
            <w:r>
              <w:rPr>
                <w:rFonts w:ascii="Times New Roman"/>
                <w:sz w:val="18"/>
              </w:rPr>
              <w:t>--</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282,071,164.59</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27.09%</w:t>
            </w:r>
          </w:p>
        </w:tc>
      </w:tr>
    </w:tbl>
    <w:p>
      <w:pPr>
        <w:pStyle w:val="BodyText"/>
        <w:spacing w:line="240" w:lineRule="auto" w:before="51"/>
        <w:ind w:left="154" w:right="0"/>
        <w:jc w:val="left"/>
      </w:pPr>
      <w:r>
        <w:rPr/>
        <w:t>主要客户其他情况说明</w:t>
      </w:r>
    </w:p>
    <w:p>
      <w:pPr>
        <w:pStyle w:val="BodyText"/>
        <w:spacing w:line="338" w:lineRule="auto" w:before="117"/>
        <w:ind w:right="9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公司主要供应商情况</w:t>
      </w:r>
    </w:p>
    <w:p>
      <w:pPr>
        <w:spacing w:line="240" w:lineRule="auto" w:before="4"/>
        <w:rPr>
          <w:rFonts w:ascii="宋体" w:hAnsi="宋体" w:cs="宋体" w:eastAsia="宋体" w:hint="default"/>
          <w:sz w:val="2"/>
          <w:szCs w:val="2"/>
        </w:rPr>
      </w:pPr>
    </w:p>
    <w:tbl>
      <w:tblPr>
        <w:tblW w:w="0" w:type="auto"/>
        <w:jc w:val="left"/>
        <w:tblInd w:w="149" w:type="dxa"/>
        <w:tblLayout w:type="fixed"/>
        <w:tblCellMar>
          <w:top w:w="0" w:type="dxa"/>
          <w:left w:w="0" w:type="dxa"/>
          <w:bottom w:w="0" w:type="dxa"/>
          <w:right w:w="0" w:type="dxa"/>
        </w:tblCellMar>
        <w:tblLook w:val="01E0"/>
      </w:tblPr>
      <w:tblGrid>
        <w:gridCol w:w="4258"/>
        <w:gridCol w:w="5311"/>
      </w:tblGrid>
      <w:tr>
        <w:trPr>
          <w:trHeight w:val="403" w:hRule="exact"/>
        </w:trPr>
        <w:tc>
          <w:tcPr>
            <w:tcW w:w="4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前五名供应商合计采购金额（元）</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134,022,971.78</w:t>
            </w:r>
          </w:p>
        </w:tc>
      </w:tr>
      <w:tr>
        <w:trPr>
          <w:trHeight w:val="402" w:hRule="exact"/>
        </w:trPr>
        <w:tc>
          <w:tcPr>
            <w:tcW w:w="4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前五名供应商合计采购金额占年度采购总额比例</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17.77%</w:t>
            </w:r>
          </w:p>
        </w:tc>
      </w:tr>
      <w:tr>
        <w:trPr>
          <w:trHeight w:val="715" w:hRule="exact"/>
        </w:trPr>
        <w:tc>
          <w:tcPr>
            <w:tcW w:w="4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 w:right="83"/>
              <w:jc w:val="left"/>
              <w:rPr>
                <w:rFonts w:ascii="宋体" w:hAnsi="宋体" w:cs="宋体" w:eastAsia="宋体" w:hint="default"/>
                <w:sz w:val="18"/>
                <w:szCs w:val="18"/>
              </w:rPr>
            </w:pPr>
            <w:r>
              <w:rPr>
                <w:rFonts w:ascii="宋体" w:hAnsi="宋体" w:cs="宋体" w:eastAsia="宋体" w:hint="default"/>
                <w:sz w:val="18"/>
                <w:szCs w:val="18"/>
              </w:rPr>
              <w:t>前五名供应商采购额中关联方采购额占年度采购总额 比例</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r>
    </w:tbl>
    <w:p>
      <w:pPr>
        <w:pStyle w:val="BodyText"/>
        <w:spacing w:line="240" w:lineRule="auto" w:before="51"/>
        <w:ind w:left="154" w:right="0"/>
        <w:jc w:val="left"/>
      </w:pPr>
      <w:r>
        <w:rPr/>
        <w:t>公司前</w:t>
      </w:r>
      <w:r>
        <w:rPr>
          <w:spacing w:val="-46"/>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名供应商资料</w:t>
      </w:r>
    </w:p>
    <w:p>
      <w:pPr>
        <w:spacing w:line="240" w:lineRule="auto" w:before="12"/>
        <w:rPr>
          <w:rFonts w:ascii="宋体" w:hAnsi="宋体" w:cs="宋体" w:eastAsia="宋体" w:hint="default"/>
          <w:sz w:val="6"/>
          <w:szCs w:val="6"/>
        </w:rPr>
      </w:pPr>
    </w:p>
    <w:tbl>
      <w:tblPr>
        <w:tblW w:w="0" w:type="auto"/>
        <w:jc w:val="left"/>
        <w:tblInd w:w="160" w:type="dxa"/>
        <w:tblLayout w:type="fixed"/>
        <w:tblCellMar>
          <w:top w:w="0" w:type="dxa"/>
          <w:left w:w="0" w:type="dxa"/>
          <w:bottom w:w="0" w:type="dxa"/>
          <w:right w:w="0" w:type="dxa"/>
        </w:tblCellMar>
        <w:tblLook w:val="01E0"/>
      </w:tblPr>
      <w:tblGrid>
        <w:gridCol w:w="912"/>
        <w:gridCol w:w="3180"/>
        <w:gridCol w:w="2322"/>
        <w:gridCol w:w="3143"/>
      </w:tblGrid>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70"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31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8" w:right="0"/>
              <w:jc w:val="center"/>
              <w:rPr>
                <w:rFonts w:ascii="宋体" w:hAnsi="宋体" w:cs="宋体" w:eastAsia="宋体" w:hint="default"/>
                <w:sz w:val="18"/>
                <w:szCs w:val="18"/>
              </w:rPr>
            </w:pPr>
            <w:r>
              <w:rPr>
                <w:rFonts w:ascii="宋体" w:hAnsi="宋体" w:cs="宋体" w:eastAsia="宋体" w:hint="default"/>
                <w:sz w:val="18"/>
                <w:szCs w:val="18"/>
              </w:rPr>
              <w:t>供应商名称</w:t>
            </w:r>
          </w:p>
        </w:tc>
        <w:tc>
          <w:tcPr>
            <w:tcW w:w="23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15" w:right="0"/>
              <w:jc w:val="left"/>
              <w:rPr>
                <w:rFonts w:ascii="宋体" w:hAnsi="宋体" w:cs="宋体" w:eastAsia="宋体" w:hint="default"/>
                <w:sz w:val="18"/>
                <w:szCs w:val="18"/>
              </w:rPr>
            </w:pPr>
            <w:r>
              <w:rPr>
                <w:rFonts w:ascii="宋体" w:hAnsi="宋体" w:cs="宋体" w:eastAsia="宋体" w:hint="default"/>
                <w:sz w:val="18"/>
                <w:szCs w:val="18"/>
              </w:rPr>
              <w:t>采购额（元）</w:t>
            </w:r>
          </w:p>
        </w:tc>
        <w:tc>
          <w:tcPr>
            <w:tcW w:w="31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56" w:right="0"/>
              <w:jc w:val="left"/>
              <w:rPr>
                <w:rFonts w:ascii="宋体" w:hAnsi="宋体" w:cs="宋体" w:eastAsia="宋体" w:hint="default"/>
                <w:sz w:val="18"/>
                <w:szCs w:val="18"/>
              </w:rPr>
            </w:pPr>
            <w:r>
              <w:rPr>
                <w:rFonts w:ascii="宋体" w:hAnsi="宋体" w:cs="宋体" w:eastAsia="宋体" w:hint="default"/>
                <w:sz w:val="18"/>
                <w:szCs w:val="18"/>
              </w:rPr>
              <w:t>占年度采购总额比例</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11" w:right="0"/>
              <w:jc w:val="left"/>
              <w:rPr>
                <w:rFonts w:ascii="Times New Roman" w:hAnsi="Times New Roman" w:cs="Times New Roman" w:eastAsia="Times New Roman" w:hint="default"/>
                <w:sz w:val="18"/>
                <w:szCs w:val="18"/>
              </w:rPr>
            </w:pPr>
            <w:r>
              <w:rPr>
                <w:rFonts w:ascii="Times New Roman"/>
                <w:sz w:val="18"/>
              </w:rPr>
              <w:t>1</w:t>
            </w:r>
          </w:p>
        </w:tc>
        <w:tc>
          <w:tcPr>
            <w:tcW w:w="31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35,937,566.53</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4.77%</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11" w:right="0"/>
              <w:jc w:val="left"/>
              <w:rPr>
                <w:rFonts w:ascii="Times New Roman" w:hAnsi="Times New Roman" w:cs="Times New Roman" w:eastAsia="Times New Roman" w:hint="default"/>
                <w:sz w:val="18"/>
                <w:szCs w:val="18"/>
              </w:rPr>
            </w:pPr>
            <w:r>
              <w:rPr>
                <w:rFonts w:ascii="Times New Roman"/>
                <w:sz w:val="18"/>
              </w:rPr>
              <w:t>2</w:t>
            </w:r>
          </w:p>
        </w:tc>
        <w:tc>
          <w:tcPr>
            <w:tcW w:w="31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34,004,014.10</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4.51%</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11" w:right="0"/>
              <w:jc w:val="left"/>
              <w:rPr>
                <w:rFonts w:ascii="Times New Roman" w:hAnsi="Times New Roman" w:cs="Times New Roman" w:eastAsia="Times New Roman" w:hint="default"/>
                <w:sz w:val="18"/>
                <w:szCs w:val="18"/>
              </w:rPr>
            </w:pPr>
            <w:r>
              <w:rPr>
                <w:rFonts w:ascii="Times New Roman"/>
                <w:sz w:val="18"/>
              </w:rPr>
              <w:t>3</w:t>
            </w:r>
          </w:p>
        </w:tc>
        <w:tc>
          <w:tcPr>
            <w:tcW w:w="31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23,471,375.00</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2"/>
                <w:sz w:val="18"/>
              </w:rPr>
              <w:t>3.11%</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11" w:right="0"/>
              <w:jc w:val="left"/>
              <w:rPr>
                <w:rFonts w:ascii="Times New Roman" w:hAnsi="Times New Roman" w:cs="Times New Roman" w:eastAsia="Times New Roman" w:hint="default"/>
                <w:sz w:val="18"/>
                <w:szCs w:val="18"/>
              </w:rPr>
            </w:pPr>
            <w:r>
              <w:rPr>
                <w:rFonts w:ascii="Times New Roman"/>
                <w:sz w:val="18"/>
              </w:rPr>
              <w:t>4</w:t>
            </w:r>
          </w:p>
        </w:tc>
        <w:tc>
          <w:tcPr>
            <w:tcW w:w="31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20,923,311.15</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2.77%</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11" w:right="0"/>
              <w:jc w:val="left"/>
              <w:rPr>
                <w:rFonts w:ascii="Times New Roman" w:hAnsi="Times New Roman" w:cs="Times New Roman" w:eastAsia="Times New Roman" w:hint="default"/>
                <w:sz w:val="18"/>
                <w:szCs w:val="18"/>
              </w:rPr>
            </w:pPr>
            <w:r>
              <w:rPr>
                <w:rFonts w:ascii="Times New Roman"/>
                <w:sz w:val="18"/>
              </w:rPr>
              <w:t>5</w:t>
            </w:r>
          </w:p>
        </w:tc>
        <w:tc>
          <w:tcPr>
            <w:tcW w:w="31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19,686,705.00</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2.61%</w:t>
            </w:r>
          </w:p>
        </w:tc>
      </w:tr>
      <w:tr>
        <w:trPr>
          <w:trHeight w:val="403"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8" w:right="0"/>
              <w:jc w:val="center"/>
              <w:rPr>
                <w:rFonts w:ascii="Times New Roman" w:hAnsi="Times New Roman" w:cs="Times New Roman" w:eastAsia="Times New Roman" w:hint="default"/>
                <w:sz w:val="18"/>
                <w:szCs w:val="18"/>
              </w:rPr>
            </w:pPr>
            <w:r>
              <w:rPr>
                <w:rFonts w:ascii="Times New Roman"/>
                <w:sz w:val="18"/>
              </w:rPr>
              <w:t>--</w:t>
            </w:r>
          </w:p>
        </w:tc>
        <w:tc>
          <w:tcPr>
            <w:tcW w:w="23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134,022,971.78</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17.77%</w:t>
            </w:r>
          </w:p>
        </w:tc>
      </w:tr>
    </w:tbl>
    <w:p>
      <w:pPr>
        <w:pStyle w:val="BodyText"/>
        <w:spacing w:line="240" w:lineRule="auto" w:before="51"/>
        <w:ind w:left="154" w:right="0"/>
        <w:jc w:val="left"/>
      </w:pPr>
      <w:r>
        <w:rPr/>
        <w:t>主要供应商其他情况说明</w:t>
      </w:r>
    </w:p>
    <w:p>
      <w:pPr>
        <w:pStyle w:val="BodyText"/>
        <w:spacing w:line="240" w:lineRule="auto" w:before="116"/>
        <w:ind w:left="154"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0"/>
        <w:rPr>
          <w:rFonts w:ascii="宋体" w:hAnsi="宋体" w:cs="宋体" w:eastAsia="宋体" w:hint="default"/>
          <w:sz w:val="25"/>
          <w:szCs w:val="25"/>
        </w:rPr>
      </w:pPr>
    </w:p>
    <w:p>
      <w:pPr>
        <w:pStyle w:val="Heading3"/>
        <w:spacing w:line="240" w:lineRule="auto"/>
        <w:ind w:left="153" w:right="0"/>
        <w:jc w:val="left"/>
        <w:rPr>
          <w:b w:val="0"/>
          <w:bCs w:val="0"/>
        </w:rPr>
      </w:pPr>
      <w:bookmarkStart w:name="3、费用" w:id="36"/>
      <w:bookmarkEnd w:id="36"/>
      <w:r>
        <w:rPr>
          <w:b w:val="0"/>
          <w:bCs w:val="0"/>
        </w:rPr>
      </w:r>
      <w:r>
        <w:rPr>
          <w:rFonts w:ascii="Times New Roman" w:hAnsi="Times New Roman" w:cs="Times New Roman" w:eastAsia="Times New Roman" w:hint="default"/>
        </w:rPr>
        <w:t>3</w:t>
      </w:r>
      <w:r>
        <w:rPr/>
        <w:t>、费用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6"/>
        <w:gridCol w:w="1637"/>
        <w:gridCol w:w="1637"/>
        <w:gridCol w:w="1462"/>
        <w:gridCol w:w="2918"/>
      </w:tblGrid>
      <w:tr>
        <w:trPr>
          <w:trHeight w:val="402"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4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64" w:right="0"/>
              <w:jc w:val="left"/>
              <w:rPr>
                <w:rFonts w:ascii="宋体" w:hAnsi="宋体" w:cs="宋体" w:eastAsia="宋体" w:hint="default"/>
                <w:sz w:val="18"/>
                <w:szCs w:val="18"/>
              </w:rPr>
            </w:pPr>
            <w:r>
              <w:rPr>
                <w:rFonts w:ascii="宋体" w:hAnsi="宋体" w:cs="宋体" w:eastAsia="宋体" w:hint="default"/>
                <w:sz w:val="18"/>
                <w:szCs w:val="18"/>
              </w:rPr>
              <w:t>同比增减</w:t>
            </w:r>
          </w:p>
        </w:tc>
        <w:tc>
          <w:tcPr>
            <w:tcW w:w="29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3" w:right="0"/>
              <w:jc w:val="left"/>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317" w:hRule="exact"/>
        </w:trPr>
        <w:tc>
          <w:tcPr>
            <w:tcW w:w="1916" w:type="dxa"/>
            <w:tcBorders>
              <w:top w:val="single" w:sz="4" w:space="0" w:color="000000"/>
              <w:left w:val="single" w:sz="4" w:space="0" w:color="000000"/>
              <w:bottom w:val="nil" w:sz="6" w:space="0" w:color="auto"/>
              <w:right w:val="single" w:sz="4" w:space="0" w:color="000000"/>
            </w:tcBorders>
            <w:shd w:val="clear" w:color="auto" w:fill="D2D2D2"/>
          </w:tcPr>
          <w:p>
            <w:pPr/>
          </w:p>
        </w:tc>
        <w:tc>
          <w:tcPr>
            <w:tcW w:w="1637" w:type="dxa"/>
            <w:vMerge w:val="restart"/>
            <w:tcBorders>
              <w:top w:val="single" w:sz="4" w:space="0" w:color="000000"/>
              <w:left w:val="single" w:sz="10"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85" w:right="0"/>
              <w:jc w:val="left"/>
              <w:rPr>
                <w:rFonts w:ascii="Times New Roman" w:hAnsi="Times New Roman" w:cs="Times New Roman" w:eastAsia="Times New Roman" w:hint="default"/>
                <w:sz w:val="18"/>
                <w:szCs w:val="18"/>
              </w:rPr>
            </w:pPr>
            <w:r>
              <w:rPr>
                <w:rFonts w:ascii="Times New Roman"/>
                <w:sz w:val="18"/>
              </w:rPr>
              <w:t>111,409,964.58</w:t>
            </w:r>
          </w:p>
        </w:tc>
        <w:tc>
          <w:tcPr>
            <w:tcW w:w="163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570" w:right="0"/>
              <w:jc w:val="left"/>
              <w:rPr>
                <w:rFonts w:ascii="Times New Roman" w:hAnsi="Times New Roman" w:cs="Times New Roman" w:eastAsia="Times New Roman" w:hint="default"/>
                <w:sz w:val="18"/>
                <w:szCs w:val="18"/>
              </w:rPr>
            </w:pPr>
            <w:r>
              <w:rPr>
                <w:rFonts w:ascii="Times New Roman"/>
                <w:sz w:val="18"/>
              </w:rPr>
              <w:t>78,979,088.57</w:t>
            </w:r>
          </w:p>
        </w:tc>
        <w:tc>
          <w:tcPr>
            <w:tcW w:w="146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73" w:right="0"/>
              <w:jc w:val="left"/>
              <w:rPr>
                <w:rFonts w:ascii="Times New Roman" w:hAnsi="Times New Roman" w:cs="Times New Roman" w:eastAsia="Times New Roman" w:hint="default"/>
                <w:sz w:val="18"/>
                <w:szCs w:val="18"/>
              </w:rPr>
            </w:pPr>
            <w:r>
              <w:rPr>
                <w:rFonts w:ascii="Times New Roman"/>
                <w:sz w:val="18"/>
              </w:rPr>
              <w:t>41.06%</w:t>
            </w:r>
          </w:p>
        </w:tc>
        <w:tc>
          <w:tcPr>
            <w:tcW w:w="2918" w:type="dxa"/>
            <w:vMerge w:val="restart"/>
            <w:tcBorders>
              <w:top w:val="single" w:sz="4" w:space="0" w:color="000000"/>
              <w:left w:val="single" w:sz="4" w:space="0" w:color="000000"/>
              <w:right w:val="single" w:sz="4" w:space="0" w:color="000000"/>
            </w:tcBorders>
          </w:tcPr>
          <w:p>
            <w:pPr>
              <w:pStyle w:val="TableParagraph"/>
              <w:spacing w:line="309" w:lineRule="auto" w:before="51"/>
              <w:ind w:left="22" w:right="47"/>
              <w:jc w:val="left"/>
              <w:rPr>
                <w:rFonts w:ascii="宋体" w:hAnsi="宋体" w:cs="宋体" w:eastAsia="宋体" w:hint="default"/>
                <w:sz w:val="18"/>
                <w:szCs w:val="18"/>
              </w:rPr>
            </w:pPr>
            <w:r>
              <w:rPr>
                <w:rFonts w:ascii="宋体" w:hAnsi="宋体" w:cs="宋体" w:eastAsia="宋体" w:hint="default"/>
                <w:sz w:val="18"/>
                <w:szCs w:val="18"/>
              </w:rPr>
              <w:t>主要是本期增加两个合并子公司千 百辉、奥拓立翔的销售费用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2,831.18 </w:t>
            </w:r>
            <w:r>
              <w:rPr>
                <w:rFonts w:ascii="宋体" w:hAnsi="宋体" w:cs="宋体" w:eastAsia="宋体" w:hint="default"/>
                <w:sz w:val="18"/>
                <w:szCs w:val="18"/>
              </w:rPr>
              <w:t>万元所致。</w:t>
            </w:r>
          </w:p>
        </w:tc>
      </w:tr>
      <w:tr>
        <w:trPr>
          <w:trHeight w:val="392" w:hRule="exact"/>
        </w:trPr>
        <w:tc>
          <w:tcPr>
            <w:tcW w:w="191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637" w:type="dxa"/>
            <w:vMerge/>
            <w:tcBorders>
              <w:left w:val="single" w:sz="10" w:space="0" w:color="D2D2D2"/>
              <w:right w:val="single" w:sz="4" w:space="0" w:color="000000"/>
            </w:tcBorders>
          </w:tcPr>
          <w:p>
            <w:pPr/>
          </w:p>
        </w:tc>
        <w:tc>
          <w:tcPr>
            <w:tcW w:w="1637" w:type="dxa"/>
            <w:vMerge/>
            <w:tcBorders>
              <w:left w:val="single" w:sz="4" w:space="0" w:color="000000"/>
              <w:right w:val="single" w:sz="4" w:space="0" w:color="000000"/>
            </w:tcBorders>
          </w:tcPr>
          <w:p>
            <w:pPr/>
          </w:p>
        </w:tc>
        <w:tc>
          <w:tcPr>
            <w:tcW w:w="1462" w:type="dxa"/>
            <w:vMerge/>
            <w:tcBorders>
              <w:left w:val="single" w:sz="4" w:space="0" w:color="000000"/>
              <w:right w:val="single" w:sz="4" w:space="0" w:color="000000"/>
            </w:tcBorders>
          </w:tcPr>
          <w:p>
            <w:pPr/>
          </w:p>
        </w:tc>
        <w:tc>
          <w:tcPr>
            <w:tcW w:w="2918" w:type="dxa"/>
            <w:vMerge/>
            <w:tcBorders>
              <w:left w:val="single" w:sz="4" w:space="0" w:color="000000"/>
              <w:right w:val="single" w:sz="4" w:space="0" w:color="000000"/>
            </w:tcBorders>
          </w:tcPr>
          <w:p>
            <w:pPr/>
          </w:p>
        </w:tc>
      </w:tr>
      <w:tr>
        <w:trPr>
          <w:trHeight w:val="317" w:hRule="exact"/>
        </w:trPr>
        <w:tc>
          <w:tcPr>
            <w:tcW w:w="1916" w:type="dxa"/>
            <w:tcBorders>
              <w:top w:val="nil" w:sz="6" w:space="0" w:color="auto"/>
              <w:left w:val="single" w:sz="4" w:space="0" w:color="000000"/>
              <w:bottom w:val="single" w:sz="4" w:space="0" w:color="000000"/>
              <w:right w:val="single" w:sz="4" w:space="0" w:color="000000"/>
            </w:tcBorders>
            <w:shd w:val="clear" w:color="auto" w:fill="D2D2D2"/>
          </w:tcPr>
          <w:p>
            <w:pPr/>
          </w:p>
        </w:tc>
        <w:tc>
          <w:tcPr>
            <w:tcW w:w="1637" w:type="dxa"/>
            <w:vMerge/>
            <w:tcBorders>
              <w:left w:val="single" w:sz="10" w:space="0" w:color="D2D2D2"/>
              <w:bottom w:val="single" w:sz="4" w:space="0" w:color="000000"/>
              <w:right w:val="single" w:sz="4" w:space="0" w:color="000000"/>
            </w:tcBorders>
          </w:tcPr>
          <w:p>
            <w:pPr/>
          </w:p>
        </w:tc>
        <w:tc>
          <w:tcPr>
            <w:tcW w:w="1637" w:type="dxa"/>
            <w:vMerge/>
            <w:tcBorders>
              <w:left w:val="single" w:sz="4" w:space="0" w:color="000000"/>
              <w:bottom w:val="single" w:sz="4" w:space="0" w:color="000000"/>
              <w:right w:val="single" w:sz="4" w:space="0" w:color="000000"/>
            </w:tcBorders>
          </w:tcPr>
          <w:p>
            <w:pPr/>
          </w:p>
        </w:tc>
        <w:tc>
          <w:tcPr>
            <w:tcW w:w="1462" w:type="dxa"/>
            <w:vMerge/>
            <w:tcBorders>
              <w:left w:val="single" w:sz="4" w:space="0" w:color="000000"/>
              <w:bottom w:val="single" w:sz="4" w:space="0" w:color="000000"/>
              <w:right w:val="single" w:sz="4" w:space="0" w:color="000000"/>
            </w:tcBorders>
          </w:tcPr>
          <w:p>
            <w:pPr/>
          </w:p>
        </w:tc>
        <w:tc>
          <w:tcPr>
            <w:tcW w:w="2918" w:type="dxa"/>
            <w:vMerge/>
            <w:tcBorders>
              <w:left w:val="single" w:sz="4" w:space="0" w:color="000000"/>
              <w:bottom w:val="single" w:sz="4" w:space="0" w:color="000000"/>
              <w:right w:val="single" w:sz="4" w:space="0" w:color="000000"/>
            </w:tcBorders>
          </w:tcPr>
          <w:p>
            <w:pPr/>
          </w:p>
        </w:tc>
      </w:tr>
      <w:tr>
        <w:trPr>
          <w:trHeight w:val="317" w:hRule="exact"/>
        </w:trPr>
        <w:tc>
          <w:tcPr>
            <w:tcW w:w="1916" w:type="dxa"/>
            <w:tcBorders>
              <w:top w:val="single" w:sz="4" w:space="0" w:color="000000"/>
              <w:left w:val="single" w:sz="4" w:space="0" w:color="000000"/>
              <w:bottom w:val="nil" w:sz="6" w:space="0" w:color="auto"/>
              <w:right w:val="single" w:sz="4" w:space="0" w:color="000000"/>
            </w:tcBorders>
            <w:shd w:val="clear" w:color="auto" w:fill="D2D2D2"/>
          </w:tcPr>
          <w:p>
            <w:pPr/>
          </w:p>
        </w:tc>
        <w:tc>
          <w:tcPr>
            <w:tcW w:w="1637" w:type="dxa"/>
            <w:vMerge w:val="restart"/>
            <w:tcBorders>
              <w:top w:val="single" w:sz="4" w:space="0" w:color="000000"/>
              <w:left w:val="single" w:sz="10"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72" w:right="0"/>
              <w:jc w:val="left"/>
              <w:rPr>
                <w:rFonts w:ascii="Times New Roman" w:hAnsi="Times New Roman" w:cs="Times New Roman" w:eastAsia="Times New Roman" w:hint="default"/>
                <w:sz w:val="18"/>
                <w:szCs w:val="18"/>
              </w:rPr>
            </w:pPr>
            <w:r>
              <w:rPr>
                <w:rFonts w:ascii="Times New Roman"/>
                <w:sz w:val="18"/>
              </w:rPr>
              <w:t>129,100,009.14</w:t>
            </w:r>
          </w:p>
        </w:tc>
        <w:tc>
          <w:tcPr>
            <w:tcW w:w="163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570" w:right="0"/>
              <w:jc w:val="left"/>
              <w:rPr>
                <w:rFonts w:ascii="Times New Roman" w:hAnsi="Times New Roman" w:cs="Times New Roman" w:eastAsia="Times New Roman" w:hint="default"/>
                <w:sz w:val="18"/>
                <w:szCs w:val="18"/>
              </w:rPr>
            </w:pPr>
            <w:r>
              <w:rPr>
                <w:rFonts w:ascii="Times New Roman"/>
                <w:sz w:val="18"/>
              </w:rPr>
              <w:t>92,906,642.50</w:t>
            </w:r>
          </w:p>
        </w:tc>
        <w:tc>
          <w:tcPr>
            <w:tcW w:w="146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73" w:right="0"/>
              <w:jc w:val="left"/>
              <w:rPr>
                <w:rFonts w:ascii="Times New Roman" w:hAnsi="Times New Roman" w:cs="Times New Roman" w:eastAsia="Times New Roman" w:hint="default"/>
                <w:sz w:val="18"/>
                <w:szCs w:val="18"/>
              </w:rPr>
            </w:pPr>
            <w:r>
              <w:rPr>
                <w:rFonts w:ascii="Times New Roman"/>
                <w:sz w:val="18"/>
              </w:rPr>
              <w:t>38.96%</w:t>
            </w:r>
          </w:p>
        </w:tc>
        <w:tc>
          <w:tcPr>
            <w:tcW w:w="2918" w:type="dxa"/>
            <w:vMerge w:val="restart"/>
            <w:tcBorders>
              <w:top w:val="single" w:sz="4" w:space="0" w:color="000000"/>
              <w:left w:val="single" w:sz="4" w:space="0" w:color="000000"/>
              <w:right w:val="single" w:sz="4" w:space="0" w:color="000000"/>
            </w:tcBorders>
          </w:tcPr>
          <w:p>
            <w:pPr>
              <w:pStyle w:val="TableParagraph"/>
              <w:spacing w:line="309" w:lineRule="auto" w:before="51"/>
              <w:ind w:left="22" w:right="3"/>
              <w:jc w:val="both"/>
              <w:rPr>
                <w:rFonts w:ascii="宋体" w:hAnsi="宋体" w:cs="宋体" w:eastAsia="宋体" w:hint="default"/>
                <w:sz w:val="18"/>
                <w:szCs w:val="18"/>
              </w:rPr>
            </w:pPr>
            <w:r>
              <w:rPr>
                <w:rFonts w:ascii="宋体" w:hAnsi="宋体" w:cs="宋体" w:eastAsia="宋体" w:hint="default"/>
                <w:sz w:val="18"/>
                <w:szCs w:val="18"/>
              </w:rPr>
              <w:t>主要是本期增加合并子公司千百辉、 奥拓立翔的管理费用</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3,962.46</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万元所 致。</w:t>
            </w:r>
          </w:p>
        </w:tc>
      </w:tr>
      <w:tr>
        <w:trPr>
          <w:trHeight w:val="392" w:hRule="exact"/>
        </w:trPr>
        <w:tc>
          <w:tcPr>
            <w:tcW w:w="191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637" w:type="dxa"/>
            <w:vMerge/>
            <w:tcBorders>
              <w:left w:val="single" w:sz="10" w:space="0" w:color="D2D2D2"/>
              <w:right w:val="single" w:sz="4" w:space="0" w:color="000000"/>
            </w:tcBorders>
          </w:tcPr>
          <w:p>
            <w:pPr/>
          </w:p>
        </w:tc>
        <w:tc>
          <w:tcPr>
            <w:tcW w:w="1637" w:type="dxa"/>
            <w:vMerge/>
            <w:tcBorders>
              <w:left w:val="single" w:sz="4" w:space="0" w:color="000000"/>
              <w:right w:val="single" w:sz="4" w:space="0" w:color="000000"/>
            </w:tcBorders>
          </w:tcPr>
          <w:p>
            <w:pPr/>
          </w:p>
        </w:tc>
        <w:tc>
          <w:tcPr>
            <w:tcW w:w="1462" w:type="dxa"/>
            <w:vMerge/>
            <w:tcBorders>
              <w:left w:val="single" w:sz="4" w:space="0" w:color="000000"/>
              <w:right w:val="single" w:sz="4" w:space="0" w:color="000000"/>
            </w:tcBorders>
          </w:tcPr>
          <w:p>
            <w:pPr/>
          </w:p>
        </w:tc>
        <w:tc>
          <w:tcPr>
            <w:tcW w:w="2918" w:type="dxa"/>
            <w:vMerge/>
            <w:tcBorders>
              <w:left w:val="single" w:sz="4" w:space="0" w:color="000000"/>
              <w:right w:val="single" w:sz="4" w:space="0" w:color="000000"/>
            </w:tcBorders>
          </w:tcPr>
          <w:p>
            <w:pPr/>
          </w:p>
        </w:tc>
      </w:tr>
      <w:tr>
        <w:trPr>
          <w:trHeight w:val="317" w:hRule="exact"/>
        </w:trPr>
        <w:tc>
          <w:tcPr>
            <w:tcW w:w="1916" w:type="dxa"/>
            <w:tcBorders>
              <w:top w:val="nil" w:sz="6" w:space="0" w:color="auto"/>
              <w:left w:val="single" w:sz="4" w:space="0" w:color="000000"/>
              <w:bottom w:val="single" w:sz="4" w:space="0" w:color="000000"/>
              <w:right w:val="single" w:sz="4" w:space="0" w:color="000000"/>
            </w:tcBorders>
            <w:shd w:val="clear" w:color="auto" w:fill="D2D2D2"/>
          </w:tcPr>
          <w:p>
            <w:pPr/>
          </w:p>
        </w:tc>
        <w:tc>
          <w:tcPr>
            <w:tcW w:w="1637" w:type="dxa"/>
            <w:vMerge/>
            <w:tcBorders>
              <w:left w:val="single" w:sz="10" w:space="0" w:color="D2D2D2"/>
              <w:bottom w:val="single" w:sz="4" w:space="0" w:color="000000"/>
              <w:right w:val="single" w:sz="4" w:space="0" w:color="000000"/>
            </w:tcBorders>
          </w:tcPr>
          <w:p>
            <w:pPr/>
          </w:p>
        </w:tc>
        <w:tc>
          <w:tcPr>
            <w:tcW w:w="1637" w:type="dxa"/>
            <w:vMerge/>
            <w:tcBorders>
              <w:left w:val="single" w:sz="4" w:space="0" w:color="000000"/>
              <w:bottom w:val="single" w:sz="4" w:space="0" w:color="000000"/>
              <w:right w:val="single" w:sz="4" w:space="0" w:color="000000"/>
            </w:tcBorders>
          </w:tcPr>
          <w:p>
            <w:pPr/>
          </w:p>
        </w:tc>
        <w:tc>
          <w:tcPr>
            <w:tcW w:w="1462" w:type="dxa"/>
            <w:vMerge/>
            <w:tcBorders>
              <w:left w:val="single" w:sz="4" w:space="0" w:color="000000"/>
              <w:bottom w:val="single" w:sz="4" w:space="0" w:color="000000"/>
              <w:right w:val="single" w:sz="4" w:space="0" w:color="000000"/>
            </w:tcBorders>
          </w:tcPr>
          <w:p>
            <w:pPr/>
          </w:p>
        </w:tc>
        <w:tc>
          <w:tcPr>
            <w:tcW w:w="2918" w:type="dxa"/>
            <w:vMerge/>
            <w:tcBorders>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916"/>
        <w:gridCol w:w="1637"/>
        <w:gridCol w:w="1637"/>
        <w:gridCol w:w="1462"/>
        <w:gridCol w:w="2918"/>
      </w:tblGrid>
      <w:tr>
        <w:trPr>
          <w:trHeight w:val="1026"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569" w:right="0"/>
              <w:jc w:val="left"/>
              <w:rPr>
                <w:rFonts w:ascii="Times New Roman" w:hAnsi="Times New Roman" w:cs="Times New Roman" w:eastAsia="Times New Roman" w:hint="default"/>
                <w:sz w:val="18"/>
                <w:szCs w:val="18"/>
              </w:rPr>
            </w:pPr>
            <w:r>
              <w:rPr>
                <w:rFonts w:ascii="Times New Roman"/>
                <w:sz w:val="18"/>
              </w:rPr>
              <w:t>14,338,023.29</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510" w:right="0"/>
              <w:jc w:val="left"/>
              <w:rPr>
                <w:rFonts w:ascii="Times New Roman" w:hAnsi="Times New Roman" w:cs="Times New Roman" w:eastAsia="Times New Roman" w:hint="default"/>
                <w:sz w:val="18"/>
                <w:szCs w:val="18"/>
              </w:rPr>
            </w:pPr>
            <w:r>
              <w:rPr>
                <w:rFonts w:ascii="Times New Roman"/>
                <w:sz w:val="18"/>
              </w:rPr>
              <w:t>-15,228,789.03</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783" w:right="0"/>
              <w:jc w:val="left"/>
              <w:rPr>
                <w:rFonts w:ascii="Times New Roman" w:hAnsi="Times New Roman" w:cs="Times New Roman" w:eastAsia="Times New Roman" w:hint="default"/>
                <w:sz w:val="18"/>
                <w:szCs w:val="18"/>
              </w:rPr>
            </w:pPr>
            <w:r>
              <w:rPr>
                <w:rFonts w:ascii="Times New Roman"/>
                <w:sz w:val="18"/>
              </w:rPr>
              <w:t>194.15%</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2" w:right="20"/>
              <w:jc w:val="left"/>
              <w:rPr>
                <w:rFonts w:ascii="宋体" w:hAnsi="宋体" w:cs="宋体" w:eastAsia="宋体" w:hint="default"/>
                <w:sz w:val="18"/>
                <w:szCs w:val="18"/>
              </w:rPr>
            </w:pPr>
            <w:r>
              <w:rPr>
                <w:rFonts w:ascii="宋体" w:hAnsi="宋体" w:cs="宋体" w:eastAsia="宋体" w:hint="default"/>
                <w:sz w:val="18"/>
                <w:szCs w:val="18"/>
              </w:rPr>
              <w:t>主要是人民币升值致本期汇兑损失 增加</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2,762.66</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万元，本期增加合并子 公司千百辉的财务费用所致。</w:t>
            </w:r>
          </w:p>
        </w:tc>
      </w:tr>
    </w:tbl>
    <w:p>
      <w:pPr>
        <w:spacing w:line="240" w:lineRule="auto" w:before="3"/>
        <w:rPr>
          <w:rFonts w:ascii="宋体" w:hAnsi="宋体" w:cs="宋体" w:eastAsia="宋体" w:hint="default"/>
          <w:sz w:val="19"/>
          <w:szCs w:val="19"/>
        </w:rPr>
      </w:pPr>
    </w:p>
    <w:p>
      <w:pPr>
        <w:pStyle w:val="Heading3"/>
        <w:spacing w:line="240" w:lineRule="auto" w:before="35"/>
        <w:ind w:right="0"/>
        <w:jc w:val="left"/>
        <w:rPr>
          <w:b w:val="0"/>
          <w:bCs w:val="0"/>
        </w:rPr>
      </w:pPr>
      <w:bookmarkStart w:name="4、研发投入" w:id="37"/>
      <w:bookmarkEnd w:id="37"/>
      <w:r>
        <w:rPr>
          <w:b w:val="0"/>
          <w:bCs w:val="0"/>
        </w:rPr>
      </w:r>
      <w:r>
        <w:rPr>
          <w:rFonts w:ascii="Times New Roman" w:hAnsi="Times New Roman" w:cs="Times New Roman" w:eastAsia="Times New Roman" w:hint="default"/>
        </w:rPr>
        <w:t>4</w:t>
      </w:r>
      <w:r>
        <w:rPr/>
        <w:t>、研发投入</w:t>
      </w:r>
      <w:r>
        <w:rPr>
          <w:b w:val="0"/>
          <w:bCs w:val="0"/>
        </w:rPr>
      </w:r>
    </w:p>
    <w:p>
      <w:pPr>
        <w:spacing w:line="240" w:lineRule="auto" w:before="8"/>
        <w:rPr>
          <w:rFonts w:ascii="宋体" w:hAnsi="宋体" w:cs="宋体" w:eastAsia="宋体" w:hint="default"/>
          <w:b/>
          <w:bCs/>
          <w:sz w:val="26"/>
          <w:szCs w:val="26"/>
        </w:rPr>
      </w:pPr>
    </w:p>
    <w:p>
      <w:pPr>
        <w:pStyle w:val="BodyText"/>
        <w:spacing w:line="319"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w:t>
      </w:r>
      <w:r>
        <w:rPr>
          <w:spacing w:val="-2"/>
        </w:rPr>
        <w:t>公司坚持技术驱动型差异化竞争战略，重视产品和技术的研发，报告期内，公司在高密度</w:t>
      </w:r>
      <w:r>
        <w:rPr>
          <w:rFonts w:ascii="Times New Roman" w:hAnsi="Times New Roman" w:cs="Times New Roman" w:eastAsia="Times New Roman" w:hint="default"/>
          <w:spacing w:val="-2"/>
        </w:rPr>
        <w:t>LED</w:t>
      </w:r>
      <w:r>
        <w:rPr>
          <w:spacing w:val="-2"/>
        </w:rPr>
        <w:t>显示产品、</w:t>
      </w:r>
      <w:r>
        <w:rPr>
          <w:rFonts w:ascii="Times New Roman" w:hAnsi="Times New Roman" w:cs="Times New Roman" w:eastAsia="Times New Roman" w:hint="default"/>
          <w:spacing w:val="-2"/>
        </w:rPr>
        <w:t>CLD</w:t>
      </w:r>
      <w:r>
        <w:rPr>
          <w:spacing w:val="-2"/>
        </w:rPr>
        <w:t>商显、网点智</w:t>
      </w:r>
      <w:r>
        <w:rPr>
          <w:spacing w:val="-53"/>
        </w:rPr>
        <w:t> </w:t>
      </w:r>
      <w:r>
        <w:rPr>
          <w:spacing w:val="-53"/>
        </w:rPr>
      </w:r>
      <w:r>
        <w:rPr>
          <w:spacing w:val="-2"/>
        </w:rPr>
        <w:t>能化集成与设备方案以及相关软件等方面进行了重点研发。上述产品及技术的研发与公司目前的战略发展方向相符，有助于</w:t>
      </w:r>
      <w:r>
        <w:rPr>
          <w:spacing w:val="-64"/>
        </w:rPr>
        <w:t> </w:t>
      </w:r>
      <w:r>
        <w:rPr>
          <w:spacing w:val="-64"/>
        </w:rPr>
      </w:r>
      <w:r>
        <w:rPr/>
        <w:t>公司未来在相关领域的市场开拓。</w:t>
      </w:r>
    </w:p>
    <w:p>
      <w:pPr>
        <w:pStyle w:val="BodyText"/>
        <w:spacing w:line="240" w:lineRule="auto" w:before="58"/>
        <w:ind w:right="0"/>
        <w:jc w:val="left"/>
      </w:pPr>
      <w:r>
        <w:rPr/>
        <w:t>公司研发投入情况</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2369"/>
        <w:gridCol w:w="2405"/>
        <w:gridCol w:w="2392"/>
        <w:gridCol w:w="2392"/>
      </w:tblGrid>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变动比例</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研发人员数量（人）</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340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276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23.19%</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研发人员数量占比</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24.93%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24.23%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0.70%</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研发投入金额（元）</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67,494,849.69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47,775,122.47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41.28%</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研发投入占营业收入比例</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6.48%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10.45%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-3.97%</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研发投入资本化的金额（元）</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0.00%</w:t>
            </w:r>
          </w:p>
        </w:tc>
      </w:tr>
      <w:tr>
        <w:trPr>
          <w:trHeight w:val="715"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186"/>
              <w:jc w:val="left"/>
              <w:rPr>
                <w:rFonts w:ascii="宋体" w:hAnsi="宋体" w:cs="宋体" w:eastAsia="宋体" w:hint="default"/>
                <w:sz w:val="18"/>
                <w:szCs w:val="18"/>
              </w:rPr>
            </w:pPr>
            <w:r>
              <w:rPr>
                <w:rFonts w:ascii="宋体" w:hAnsi="宋体" w:cs="宋体" w:eastAsia="宋体" w:hint="default"/>
                <w:sz w:val="18"/>
                <w:szCs w:val="18"/>
              </w:rPr>
              <w:t>资本化研发投入占研发投入 的比例</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r>
    </w:tbl>
    <w:p>
      <w:pPr>
        <w:pStyle w:val="BodyText"/>
        <w:spacing w:line="240" w:lineRule="auto" w:before="51"/>
        <w:ind w:left="154" w:right="0"/>
        <w:jc w:val="left"/>
      </w:pPr>
      <w:r>
        <w:rPr/>
        <w:t>研发投入总额占营业收入的比重较上年发生显著变化的原因</w:t>
      </w:r>
    </w:p>
    <w:p>
      <w:pPr>
        <w:pStyle w:val="BodyText"/>
        <w:spacing w:line="340" w:lineRule="auto" w:before="116"/>
        <w:ind w:right="679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研发投入资本化率大幅变动的原因及其合理性说明</w:t>
      </w:r>
    </w:p>
    <w:p>
      <w:pPr>
        <w:pStyle w:val="BodyText"/>
        <w:spacing w:line="240" w:lineRule="auto" w:before="40"/>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9"/>
        <w:rPr>
          <w:rFonts w:ascii="宋体" w:hAnsi="宋体" w:cs="宋体" w:eastAsia="宋体" w:hint="default"/>
          <w:sz w:val="25"/>
          <w:szCs w:val="25"/>
        </w:rPr>
      </w:pPr>
    </w:p>
    <w:p>
      <w:pPr>
        <w:pStyle w:val="Heading3"/>
        <w:spacing w:line="240" w:lineRule="auto"/>
        <w:ind w:left="153" w:right="0"/>
        <w:jc w:val="left"/>
        <w:rPr>
          <w:b w:val="0"/>
          <w:bCs w:val="0"/>
        </w:rPr>
      </w:pPr>
      <w:bookmarkStart w:name="5、现金流" w:id="38"/>
      <w:bookmarkEnd w:id="38"/>
      <w:r>
        <w:rPr>
          <w:b w:val="0"/>
          <w:bCs w:val="0"/>
        </w:rPr>
      </w:r>
      <w:r>
        <w:rPr>
          <w:rFonts w:ascii="Times New Roman" w:hAnsi="Times New Roman" w:cs="Times New Roman" w:eastAsia="Times New Roman" w:hint="default"/>
        </w:rPr>
        <w:t>5</w:t>
      </w:r>
      <w:r>
        <w:rPr/>
        <w:t>、现金流</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2369"/>
        <w:gridCol w:w="2405"/>
        <w:gridCol w:w="2392"/>
        <w:gridCol w:w="2392"/>
      </w:tblGrid>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4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919,129,967.92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530,220,848.77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73.35%</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909,772,961.55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377,771,411.30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140.83%</w:t>
            </w:r>
          </w:p>
        </w:tc>
      </w:tr>
      <w:tr>
        <w:trPr>
          <w:trHeight w:val="714"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186"/>
              <w:jc w:val="left"/>
              <w:rPr>
                <w:rFonts w:ascii="宋体" w:hAnsi="宋体" w:cs="宋体" w:eastAsia="宋体" w:hint="default"/>
                <w:sz w:val="18"/>
                <w:szCs w:val="18"/>
              </w:rPr>
            </w:pPr>
            <w:r>
              <w:rPr>
                <w:rFonts w:ascii="宋体" w:hAnsi="宋体" w:cs="宋体" w:eastAsia="宋体" w:hint="default"/>
                <w:sz w:val="18"/>
                <w:szCs w:val="18"/>
              </w:rPr>
              <w:t>经营活动产生的现金流量净 额</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9,357,006.37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152,449,437.47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-93.86%</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50,226,230.23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37,030,793.57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35.63%</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266,131,064.53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19,699,040.00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1,250.98%</w:t>
            </w:r>
          </w:p>
        </w:tc>
      </w:tr>
      <w:tr>
        <w:trPr>
          <w:trHeight w:val="714"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2"/>
              <w:ind w:left="11" w:right="186"/>
              <w:jc w:val="left"/>
              <w:rPr>
                <w:rFonts w:ascii="宋体" w:hAnsi="宋体" w:cs="宋体" w:eastAsia="宋体" w:hint="default"/>
                <w:sz w:val="18"/>
                <w:szCs w:val="18"/>
              </w:rPr>
            </w:pPr>
            <w:r>
              <w:rPr>
                <w:rFonts w:ascii="宋体" w:hAnsi="宋体" w:cs="宋体" w:eastAsia="宋体" w:hint="default"/>
                <w:sz w:val="18"/>
                <w:szCs w:val="18"/>
              </w:rPr>
              <w:t>投资活动产生的现金流量净 额</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-215,904,834.30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17,331,753.57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-1,345.72%</w:t>
            </w:r>
            <w:r>
              <w:rPr>
                <w:rFonts w:ascii="Times New Roman"/>
                <w:sz w:val="18"/>
              </w:rPr>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242,540,299.38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28,429,757.34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753.12%</w:t>
            </w:r>
          </w:p>
        </w:tc>
      </w:tr>
      <w:tr>
        <w:trPr>
          <w:trHeight w:val="403"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68,488,286.14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21,199,823.92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223.06%</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97"/>
              <w:jc w:val="left"/>
              <w:rPr>
                <w:rFonts w:ascii="宋体" w:hAnsi="宋体" w:cs="宋体" w:eastAsia="宋体" w:hint="default"/>
                <w:sz w:val="18"/>
                <w:szCs w:val="18"/>
              </w:rPr>
            </w:pPr>
            <w:r>
              <w:rPr>
                <w:rFonts w:ascii="宋体" w:hAnsi="宋体" w:cs="宋体" w:eastAsia="宋体" w:hint="default"/>
                <w:sz w:val="18"/>
                <w:szCs w:val="18"/>
              </w:rPr>
              <w:t>筹资活动产生的现金流量净 额</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174,052,013.24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7,229,933.42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2,307.38%</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-44,214,387.62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184,382,618.40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-123.98%</w:t>
            </w:r>
            <w:r>
              <w:rPr>
                <w:rFonts w:ascii="Times New Roman"/>
                <w:sz w:val="18"/>
              </w:rPr>
            </w:r>
          </w:p>
        </w:tc>
      </w:tr>
    </w:tbl>
    <w:p>
      <w:pPr>
        <w:pStyle w:val="BodyText"/>
        <w:spacing w:line="240" w:lineRule="auto" w:before="51"/>
        <w:ind w:left="154" w:right="0"/>
        <w:jc w:val="left"/>
      </w:pPr>
      <w:r>
        <w:rPr/>
        <w:t>相关数据同比发生重大变动的主要影响因素说明</w:t>
      </w:r>
    </w:p>
    <w:p>
      <w:pPr>
        <w:pStyle w:val="BodyText"/>
        <w:spacing w:line="321" w:lineRule="auto" w:before="117"/>
        <w:ind w:right="113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报告期内，公司经营活动产生的现金流量净额为</w:t>
      </w:r>
      <w:r>
        <w:rPr>
          <w:rFonts w:ascii="宋体" w:hAnsi="宋体" w:cs="宋体" w:eastAsia="宋体" w:hint="default"/>
        </w:rPr>
        <w:t>935.70</w:t>
      </w:r>
      <w:r>
        <w:rPr/>
        <w:t>万元，同比减少</w:t>
      </w:r>
      <w:r>
        <w:rPr>
          <w:rFonts w:ascii="宋体" w:hAnsi="宋体" w:cs="宋体" w:eastAsia="宋体" w:hint="default"/>
        </w:rPr>
        <w:t>14,309.24</w:t>
      </w:r>
      <w:r>
        <w:rPr/>
        <w:t>万元，降幅</w:t>
      </w:r>
      <w:r>
        <w:rPr>
          <w:rFonts w:ascii="宋体" w:hAnsi="宋体" w:cs="宋体" w:eastAsia="宋体" w:hint="default"/>
        </w:rPr>
        <w:t>93.86%</w:t>
      </w:r>
      <w:r>
        <w:rPr/>
        <w:t>，主要是本期增加两个 合并子公司千百辉和奥拓立翔的经营活动现金流量净额为</w:t>
      </w:r>
      <w:r>
        <w:rPr>
          <w:rFonts w:ascii="宋体" w:hAnsi="宋体" w:cs="宋体" w:eastAsia="宋体" w:hint="default"/>
        </w:rPr>
        <w:t>-3,327.91</w:t>
      </w:r>
      <w:r>
        <w:rPr/>
        <w:t>万元所致。 </w:t>
      </w:r>
      <w:r>
        <w:rPr>
          <w:spacing w:val="-2"/>
        </w:rPr>
        <w:t>报告期内，公司投资活动产生的现金流量净额为</w:t>
      </w:r>
      <w:r>
        <w:rPr>
          <w:rFonts w:ascii="宋体" w:hAnsi="宋体" w:cs="宋体" w:eastAsia="宋体" w:hint="default"/>
          <w:spacing w:val="-2"/>
        </w:rPr>
        <w:t>-21,590.48</w:t>
      </w:r>
      <w:r>
        <w:rPr>
          <w:spacing w:val="-2"/>
        </w:rPr>
        <w:t>万元，同比减少</w:t>
      </w:r>
      <w:r>
        <w:rPr>
          <w:rFonts w:ascii="宋体" w:hAnsi="宋体" w:cs="宋体" w:eastAsia="宋体" w:hint="default"/>
          <w:spacing w:val="-2"/>
        </w:rPr>
        <w:t>23,323.66</w:t>
      </w:r>
      <w:r>
        <w:rPr>
          <w:spacing w:val="-2"/>
        </w:rPr>
        <w:t>万元，降幅</w:t>
      </w:r>
      <w:r>
        <w:rPr>
          <w:rFonts w:ascii="宋体" w:hAnsi="宋体" w:cs="宋体" w:eastAsia="宋体" w:hint="default"/>
          <w:spacing w:val="-2"/>
        </w:rPr>
        <w:t>1,345.72%</w:t>
      </w:r>
      <w:r>
        <w:rPr>
          <w:spacing w:val="-2"/>
        </w:rPr>
        <w:t>，主要是本期公</w:t>
      </w:r>
      <w:r>
        <w:rPr>
          <w:spacing w:val="-39"/>
        </w:rPr>
        <w:t> </w:t>
      </w:r>
      <w:r>
        <w:rPr>
          <w:spacing w:val="-39"/>
        </w:rPr>
      </w:r>
      <w:r>
        <w:rPr/>
        <w:t>司实施重大资产重组、向标的公司原股东支付</w:t>
      </w:r>
      <w:r>
        <w:rPr>
          <w:rFonts w:ascii="宋体" w:hAnsi="宋体" w:cs="宋体" w:eastAsia="宋体" w:hint="default"/>
        </w:rPr>
        <w:t>7,500.00</w:t>
      </w:r>
      <w:r>
        <w:rPr/>
        <w:t>万元对价，银行理财投资同比增加</w:t>
      </w:r>
      <w:r>
        <w:rPr>
          <w:rFonts w:ascii="宋体" w:hAnsi="宋体" w:cs="宋体" w:eastAsia="宋体" w:hint="default"/>
        </w:rPr>
        <w:t>16,188.00</w:t>
      </w:r>
      <w:r>
        <w:rPr/>
        <w:t>万元所致。 </w:t>
      </w:r>
      <w:r>
        <w:rPr>
          <w:spacing w:val="-2"/>
        </w:rPr>
        <w:t>报告期内，公司筹资活动产生的现金流量净额为</w:t>
      </w:r>
      <w:r>
        <w:rPr>
          <w:rFonts w:ascii="宋体" w:hAnsi="宋体" w:cs="宋体" w:eastAsia="宋体" w:hint="default"/>
          <w:spacing w:val="-2"/>
        </w:rPr>
        <w:t>17,405.20</w:t>
      </w:r>
      <w:r>
        <w:rPr>
          <w:spacing w:val="-2"/>
        </w:rPr>
        <w:t>万元，同比增加</w:t>
      </w:r>
      <w:r>
        <w:rPr>
          <w:rFonts w:ascii="宋体" w:hAnsi="宋体" w:cs="宋体" w:eastAsia="宋体" w:hint="default"/>
          <w:spacing w:val="-2"/>
        </w:rPr>
        <w:t>16,682.21</w:t>
      </w:r>
      <w:r>
        <w:rPr>
          <w:spacing w:val="-2"/>
        </w:rPr>
        <w:t>万元，增幅</w:t>
      </w:r>
      <w:r>
        <w:rPr>
          <w:rFonts w:ascii="宋体" w:hAnsi="宋体" w:cs="宋体" w:eastAsia="宋体" w:hint="default"/>
          <w:spacing w:val="-2"/>
        </w:rPr>
        <w:t>2307.38%</w:t>
      </w:r>
      <w:r>
        <w:rPr>
          <w:spacing w:val="-2"/>
        </w:rPr>
        <w:t>，主要是上年实施</w:t>
      </w:r>
      <w:r>
        <w:rPr>
          <w:spacing w:val="-41"/>
        </w:rPr>
        <w:t> </w:t>
      </w:r>
      <w:r>
        <w:rPr>
          <w:spacing w:val="-41"/>
        </w:rPr>
      </w:r>
      <w:r>
        <w:rPr>
          <w:spacing w:val="-2"/>
        </w:rPr>
        <w:t>重大资产重组经证监会核准非公开发行股份</w:t>
      </w:r>
      <w:r>
        <w:rPr>
          <w:rFonts w:ascii="宋体" w:hAnsi="宋体" w:cs="宋体" w:eastAsia="宋体" w:hint="default"/>
          <w:spacing w:val="-2"/>
        </w:rPr>
        <w:t>,</w:t>
      </w:r>
      <w:r>
        <w:rPr>
          <w:spacing w:val="-2"/>
        </w:rPr>
        <w:t>本期收到募集资金</w:t>
      </w:r>
      <w:r>
        <w:rPr>
          <w:rFonts w:ascii="宋体" w:hAnsi="宋体" w:cs="宋体" w:eastAsia="宋体" w:hint="default"/>
          <w:spacing w:val="-2"/>
        </w:rPr>
        <w:t>13,622.39</w:t>
      </w:r>
      <w:r>
        <w:rPr>
          <w:spacing w:val="-2"/>
        </w:rPr>
        <w:t>万元；新增银行贷款</w:t>
      </w:r>
      <w:r>
        <w:rPr>
          <w:rFonts w:ascii="宋体" w:hAnsi="宋体" w:cs="宋体" w:eastAsia="宋体" w:hint="default"/>
          <w:spacing w:val="-2"/>
        </w:rPr>
        <w:t>7,500.00</w:t>
      </w:r>
      <w:r>
        <w:rPr>
          <w:spacing w:val="-2"/>
        </w:rPr>
        <w:t>万元及分配上年股利</w:t>
      </w:r>
      <w:r>
        <w:rPr>
          <w:spacing w:val="-46"/>
        </w:rPr>
        <w:t> </w:t>
      </w:r>
      <w:r>
        <w:rPr>
          <w:rFonts w:ascii="宋体" w:hAnsi="宋体" w:cs="宋体" w:eastAsia="宋体" w:hint="default"/>
        </w:rPr>
        <w:t>4,041.96</w:t>
      </w:r>
      <w:r>
        <w:rPr/>
        <w:t>万元所致。</w:t>
      </w:r>
    </w:p>
    <w:p>
      <w:pPr>
        <w:pStyle w:val="BodyText"/>
        <w:spacing w:line="240" w:lineRule="auto" w:before="56"/>
        <w:ind w:left="154" w:right="0"/>
        <w:jc w:val="left"/>
      </w:pPr>
      <w:r>
        <w:rPr/>
        <w:t>报告期内公司经营活动产生的现金净流量与本年度净利润存在重大差异的原因说明</w:t>
      </w:r>
    </w:p>
    <w:p>
      <w:pPr>
        <w:pStyle w:val="BodyText"/>
        <w:spacing w:line="321" w:lineRule="auto" w:before="117"/>
        <w:ind w:right="113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报告期内公司经营活动产生的现金净流量为</w:t>
      </w:r>
      <w:r>
        <w:rPr>
          <w:rFonts w:ascii="宋体" w:hAnsi="宋体" w:cs="宋体" w:eastAsia="宋体" w:hint="default"/>
        </w:rPr>
        <w:t>935.70</w:t>
      </w:r>
      <w:r>
        <w:rPr/>
        <w:t>万元，与本年度净利润</w:t>
      </w:r>
      <w:r>
        <w:rPr>
          <w:rFonts w:ascii="宋体" w:hAnsi="宋体" w:cs="宋体" w:eastAsia="宋体" w:hint="default"/>
        </w:rPr>
        <w:t>13,137.91</w:t>
      </w:r>
      <w:r>
        <w:rPr/>
        <w:t>万元存在较大差异。主要有两个原因： </w:t>
      </w:r>
      <w:r>
        <w:rPr>
          <w:spacing w:val="-2"/>
        </w:rPr>
        <w:t>一是与上年同口径相比，在经营活动现金流入方面，应收帐款回笼减少</w:t>
      </w:r>
      <w:r>
        <w:rPr>
          <w:rFonts w:ascii="宋体" w:hAnsi="宋体" w:cs="宋体" w:eastAsia="宋体" w:hint="default"/>
          <w:spacing w:val="-2"/>
        </w:rPr>
        <w:t>2,153.80</w:t>
      </w:r>
      <w:r>
        <w:rPr>
          <w:spacing w:val="-2"/>
        </w:rPr>
        <w:t>万元、由于出口销售减少致收到的退税减少</w:t>
      </w:r>
      <w:r>
        <w:rPr>
          <w:spacing w:val="-58"/>
        </w:rPr>
        <w:t> </w:t>
      </w:r>
      <w:r>
        <w:rPr>
          <w:spacing w:val="-58"/>
        </w:rPr>
      </w:r>
      <w:r>
        <w:rPr>
          <w:rFonts w:ascii="宋体" w:hAnsi="宋体" w:cs="宋体" w:eastAsia="宋体" w:hint="default"/>
          <w:spacing w:val="-2"/>
        </w:rPr>
        <w:t>1,370.13</w:t>
      </w:r>
      <w:r>
        <w:rPr>
          <w:spacing w:val="-2"/>
        </w:rPr>
        <w:t>万元；在经营活动现金流出方面，采购商品支付的现金增加了</w:t>
      </w:r>
      <w:r>
        <w:rPr>
          <w:rFonts w:ascii="宋体" w:hAnsi="宋体" w:cs="宋体" w:eastAsia="宋体" w:hint="default"/>
          <w:spacing w:val="-2"/>
        </w:rPr>
        <w:t>2,545.24</w:t>
      </w:r>
      <w:r>
        <w:rPr>
          <w:spacing w:val="-2"/>
        </w:rPr>
        <w:t>万元、同时由于人员增加及人力成本上升致</w:t>
      </w:r>
      <w:r>
        <w:rPr>
          <w:spacing w:val="-50"/>
        </w:rPr>
        <w:t> </w:t>
      </w:r>
      <w:r>
        <w:rPr>
          <w:spacing w:val="-50"/>
        </w:rPr>
      </w:r>
      <w:r>
        <w:rPr/>
        <w:t>为员工支付的现金增加</w:t>
      </w:r>
      <w:r>
        <w:rPr>
          <w:rFonts w:ascii="宋体" w:hAnsi="宋体" w:cs="宋体" w:eastAsia="宋体" w:hint="default"/>
        </w:rPr>
        <w:t>2,130.18</w:t>
      </w:r>
      <w:r>
        <w:rPr/>
        <w:t>万元、内销增长致支付的税金增加</w:t>
      </w:r>
      <w:r>
        <w:rPr>
          <w:rFonts w:ascii="宋体" w:hAnsi="宋体" w:cs="宋体" w:eastAsia="宋体" w:hint="default"/>
        </w:rPr>
        <w:t>1,21.63</w:t>
      </w:r>
      <w:r>
        <w:rPr/>
        <w:t>万元、运营成本上升致为其它经营活动支付的现 金增加</w:t>
      </w:r>
      <w:r>
        <w:rPr>
          <w:rFonts w:ascii="宋体" w:hAnsi="宋体" w:cs="宋体" w:eastAsia="宋体" w:hint="default"/>
        </w:rPr>
        <w:t>2,794.60</w:t>
      </w:r>
      <w:r>
        <w:rPr/>
        <w:t>万元；同口径下本报告期经营活动现金净流量为</w:t>
      </w:r>
      <w:r>
        <w:rPr>
          <w:rFonts w:ascii="宋体" w:hAnsi="宋体" w:cs="宋体" w:eastAsia="宋体" w:hint="default"/>
        </w:rPr>
        <w:t>4,263.61</w:t>
      </w:r>
      <w:r>
        <w:rPr/>
        <w:t>万元，与净利润</w:t>
      </w:r>
      <w:r>
        <w:rPr>
          <w:rFonts w:ascii="宋体" w:hAnsi="宋体" w:cs="宋体" w:eastAsia="宋体" w:hint="default"/>
        </w:rPr>
        <w:t>6,525.48</w:t>
      </w:r>
      <w:r>
        <w:rPr/>
        <w:t>万元的差异为</w:t>
      </w:r>
      <w:r>
        <w:rPr>
          <w:rFonts w:ascii="宋体" w:hAnsi="宋体" w:cs="宋体" w:eastAsia="宋体" w:hint="default"/>
        </w:rPr>
        <w:t>2,2671.87 </w:t>
      </w:r>
      <w:r>
        <w:rPr/>
        <w:t>万元。二是本期增加两个合并子公司千百辉和奥拓立翔，其本期经营活动现金净流量合计为</w:t>
      </w:r>
      <w:r>
        <w:rPr>
          <w:rFonts w:ascii="宋体" w:hAnsi="宋体" w:cs="宋体" w:eastAsia="宋体" w:hint="default"/>
        </w:rPr>
        <w:t>-3,327.91</w:t>
      </w:r>
      <w:r>
        <w:rPr/>
        <w:t>万元，与其合计净利 润</w:t>
      </w:r>
      <w:r>
        <w:rPr>
          <w:rFonts w:ascii="宋体" w:hAnsi="宋体" w:cs="宋体" w:eastAsia="宋体" w:hint="default"/>
        </w:rPr>
        <w:t>6,612.43</w:t>
      </w:r>
      <w:r>
        <w:rPr/>
        <w:t>万元的差异为</w:t>
      </w:r>
      <w:r>
        <w:rPr>
          <w:rFonts w:ascii="宋体" w:hAnsi="宋体" w:cs="宋体" w:eastAsia="宋体" w:hint="default"/>
        </w:rPr>
        <w:t>9,940.34</w:t>
      </w:r>
      <w:r>
        <w:rPr/>
        <w:t>万元。</w:t>
      </w:r>
    </w:p>
    <w:p>
      <w:pPr>
        <w:spacing w:line="240" w:lineRule="auto" w:before="7"/>
        <w:rPr>
          <w:rFonts w:ascii="宋体" w:hAnsi="宋体" w:cs="宋体" w:eastAsia="宋体" w:hint="default"/>
          <w:sz w:val="20"/>
          <w:szCs w:val="20"/>
        </w:rPr>
      </w:pPr>
    </w:p>
    <w:p>
      <w:pPr>
        <w:pStyle w:val="Heading2"/>
        <w:spacing w:line="240" w:lineRule="auto"/>
        <w:ind w:right="0"/>
        <w:jc w:val="left"/>
        <w:rPr>
          <w:b w:val="0"/>
          <w:bCs w:val="0"/>
        </w:rPr>
      </w:pPr>
      <w:bookmarkStart w:name="三、非主营业务分析" w:id="39"/>
      <w:bookmarkEnd w:id="39"/>
      <w:r>
        <w:rPr>
          <w:b w:val="0"/>
          <w:bCs w:val="0"/>
        </w:rPr>
      </w:r>
      <w:r>
        <w:rPr/>
        <w:t>三、非主营业务分析</w:t>
      </w:r>
      <w:r>
        <w:rPr>
          <w:b w:val="0"/>
          <w:bCs w:val="0"/>
        </w:rPr>
      </w:r>
    </w:p>
    <w:p>
      <w:pPr>
        <w:spacing w:line="240" w:lineRule="auto" w:before="2"/>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240" w:lineRule="auto" w:before="103"/>
        <w:ind w:left="0" w:right="1130"/>
        <w:jc w:val="right"/>
      </w:pPr>
      <w:r>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500"/>
        <w:gridCol w:w="1928"/>
        <w:gridCol w:w="1623"/>
        <w:gridCol w:w="2254"/>
        <w:gridCol w:w="2254"/>
      </w:tblGrid>
      <w:tr>
        <w:trPr>
          <w:trHeight w:val="402" w:hRule="exact"/>
        </w:trPr>
        <w:tc>
          <w:tcPr>
            <w:tcW w:w="15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6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76" w:right="0"/>
              <w:jc w:val="left"/>
              <w:rPr>
                <w:rFonts w:ascii="宋体" w:hAnsi="宋体" w:cs="宋体" w:eastAsia="宋体" w:hint="default"/>
                <w:sz w:val="18"/>
                <w:szCs w:val="18"/>
              </w:rPr>
            </w:pPr>
            <w:r>
              <w:rPr>
                <w:rFonts w:ascii="宋体" w:hAnsi="宋体" w:cs="宋体" w:eastAsia="宋体" w:hint="default"/>
                <w:sz w:val="18"/>
                <w:szCs w:val="18"/>
              </w:rPr>
              <w:t>占利润总额比例</w:t>
            </w:r>
          </w:p>
        </w:tc>
        <w:tc>
          <w:tcPr>
            <w:tcW w:w="2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82" w:right="0"/>
              <w:jc w:val="left"/>
              <w:rPr>
                <w:rFonts w:ascii="宋体" w:hAnsi="宋体" w:cs="宋体" w:eastAsia="宋体" w:hint="default"/>
                <w:sz w:val="18"/>
                <w:szCs w:val="18"/>
              </w:rPr>
            </w:pPr>
            <w:r>
              <w:rPr>
                <w:rFonts w:ascii="宋体" w:hAnsi="宋体" w:cs="宋体" w:eastAsia="宋体" w:hint="default"/>
                <w:sz w:val="18"/>
                <w:szCs w:val="18"/>
              </w:rPr>
              <w:t>形成原因说明</w:t>
            </w:r>
          </w:p>
        </w:tc>
        <w:tc>
          <w:tcPr>
            <w:tcW w:w="2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02" w:right="0"/>
              <w:jc w:val="left"/>
              <w:rPr>
                <w:rFonts w:ascii="宋体" w:hAnsi="宋体" w:cs="宋体" w:eastAsia="宋体" w:hint="default"/>
                <w:sz w:val="18"/>
                <w:szCs w:val="18"/>
              </w:rPr>
            </w:pPr>
            <w:r>
              <w:rPr>
                <w:rFonts w:ascii="宋体" w:hAnsi="宋体" w:cs="宋体" w:eastAsia="宋体" w:hint="default"/>
                <w:sz w:val="18"/>
                <w:szCs w:val="18"/>
              </w:rPr>
              <w:t>是否具有可持续性</w:t>
            </w:r>
          </w:p>
        </w:tc>
      </w:tr>
      <w:tr>
        <w:trPr>
          <w:trHeight w:val="402" w:hRule="exact"/>
        </w:trPr>
        <w:tc>
          <w:tcPr>
            <w:tcW w:w="15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投资收益</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2,296,333.02</w:t>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1.63%</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理财收益所致</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可持续</w:t>
            </w:r>
          </w:p>
        </w:tc>
      </w:tr>
      <w:tr>
        <w:trPr>
          <w:trHeight w:val="402" w:hRule="exact"/>
        </w:trPr>
        <w:tc>
          <w:tcPr>
            <w:tcW w:w="15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公允价值变动损益</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2254" w:type="dxa"/>
            <w:tcBorders>
              <w:top w:val="single" w:sz="4" w:space="0" w:color="000000"/>
              <w:left w:val="single" w:sz="4" w:space="0" w:color="000000"/>
              <w:bottom w:val="single" w:sz="4" w:space="0" w:color="000000"/>
              <w:right w:val="single" w:sz="4" w:space="0" w:color="000000"/>
            </w:tcBorders>
          </w:tcPr>
          <w:p>
            <w:pP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161" w:hRule="exact"/>
        </w:trPr>
        <w:tc>
          <w:tcPr>
            <w:tcW w:w="1500" w:type="dxa"/>
            <w:tcBorders>
              <w:top w:val="single" w:sz="4" w:space="0" w:color="000000"/>
              <w:left w:val="single" w:sz="4" w:space="0" w:color="000000"/>
              <w:bottom w:val="nil" w:sz="6" w:space="0" w:color="auto"/>
              <w:right w:val="single" w:sz="4" w:space="0" w:color="000000"/>
            </w:tcBorders>
            <w:shd w:val="clear" w:color="auto" w:fill="D2D2D2"/>
          </w:tcPr>
          <w:p>
            <w:pPr/>
          </w:p>
        </w:tc>
        <w:tc>
          <w:tcPr>
            <w:tcW w:w="1928" w:type="dxa"/>
            <w:vMerge w:val="restart"/>
            <w:tcBorders>
              <w:top w:val="single" w:sz="4" w:space="0" w:color="000000"/>
              <w:left w:val="single" w:sz="9" w:space="0" w:color="D2D2D2"/>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53" w:right="0"/>
              <w:jc w:val="left"/>
              <w:rPr>
                <w:rFonts w:ascii="Times New Roman" w:hAnsi="Times New Roman" w:cs="Times New Roman" w:eastAsia="Times New Roman" w:hint="default"/>
                <w:sz w:val="18"/>
                <w:szCs w:val="18"/>
              </w:rPr>
            </w:pPr>
            <w:r>
              <w:rPr>
                <w:rFonts w:ascii="Times New Roman"/>
                <w:sz w:val="18"/>
              </w:rPr>
              <w:t>26,790,255.61</w:t>
            </w:r>
          </w:p>
        </w:tc>
        <w:tc>
          <w:tcPr>
            <w:tcW w:w="162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36" w:right="0"/>
              <w:jc w:val="left"/>
              <w:rPr>
                <w:rFonts w:ascii="Times New Roman" w:hAnsi="Times New Roman" w:cs="Times New Roman" w:eastAsia="Times New Roman" w:hint="default"/>
                <w:sz w:val="18"/>
                <w:szCs w:val="18"/>
              </w:rPr>
            </w:pPr>
            <w:r>
              <w:rPr>
                <w:rFonts w:ascii="Times New Roman"/>
                <w:sz w:val="18"/>
              </w:rPr>
              <w:t>18.98%</w:t>
            </w:r>
          </w:p>
        </w:tc>
        <w:tc>
          <w:tcPr>
            <w:tcW w:w="2254" w:type="dxa"/>
            <w:vMerge w:val="restart"/>
            <w:tcBorders>
              <w:top w:val="single" w:sz="4" w:space="0" w:color="000000"/>
              <w:left w:val="single" w:sz="4" w:space="0" w:color="000000"/>
              <w:right w:val="single" w:sz="4" w:space="0" w:color="000000"/>
            </w:tcBorders>
          </w:tcPr>
          <w:p>
            <w:pPr>
              <w:pStyle w:val="TableParagraph"/>
              <w:spacing w:line="319" w:lineRule="auto" w:before="51"/>
              <w:ind w:left="23" w:right="58"/>
              <w:jc w:val="left"/>
              <w:rPr>
                <w:rFonts w:ascii="宋体" w:hAnsi="宋体" w:cs="宋体" w:eastAsia="宋体" w:hint="default"/>
                <w:sz w:val="18"/>
                <w:szCs w:val="18"/>
              </w:rPr>
            </w:pPr>
            <w:r>
              <w:rPr>
                <w:rFonts w:ascii="宋体" w:hAnsi="宋体" w:cs="宋体" w:eastAsia="宋体" w:hint="default"/>
                <w:sz w:val="18"/>
                <w:szCs w:val="18"/>
              </w:rPr>
              <w:t>应收款项计提坏帐、存货计 提跌价所致</w:t>
            </w:r>
          </w:p>
        </w:tc>
        <w:tc>
          <w:tcPr>
            <w:tcW w:w="2254"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可持续</w:t>
            </w:r>
          </w:p>
        </w:tc>
      </w:tr>
      <w:tr>
        <w:trPr>
          <w:trHeight w:val="392" w:hRule="exact"/>
        </w:trPr>
        <w:tc>
          <w:tcPr>
            <w:tcW w:w="150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资产减值</w:t>
            </w:r>
          </w:p>
        </w:tc>
        <w:tc>
          <w:tcPr>
            <w:tcW w:w="1928" w:type="dxa"/>
            <w:vMerge/>
            <w:tcBorders>
              <w:left w:val="single" w:sz="9" w:space="0" w:color="D2D2D2"/>
              <w:right w:val="single" w:sz="4" w:space="0" w:color="000000"/>
            </w:tcBorders>
          </w:tcPr>
          <w:p>
            <w:pPr/>
          </w:p>
        </w:tc>
        <w:tc>
          <w:tcPr>
            <w:tcW w:w="1623" w:type="dxa"/>
            <w:vMerge/>
            <w:tcBorders>
              <w:left w:val="single" w:sz="4" w:space="0" w:color="000000"/>
              <w:right w:val="single" w:sz="4" w:space="0" w:color="000000"/>
            </w:tcBorders>
          </w:tcPr>
          <w:p>
            <w:pPr/>
          </w:p>
        </w:tc>
        <w:tc>
          <w:tcPr>
            <w:tcW w:w="2254" w:type="dxa"/>
            <w:vMerge/>
            <w:tcBorders>
              <w:left w:val="single" w:sz="4" w:space="0" w:color="000000"/>
              <w:right w:val="single" w:sz="4" w:space="0" w:color="000000"/>
            </w:tcBorders>
          </w:tcPr>
          <w:p>
            <w:pPr/>
          </w:p>
        </w:tc>
        <w:tc>
          <w:tcPr>
            <w:tcW w:w="2254" w:type="dxa"/>
            <w:vMerge/>
            <w:tcBorders>
              <w:left w:val="single" w:sz="4" w:space="0" w:color="000000"/>
              <w:right w:val="single" w:sz="4" w:space="0" w:color="000000"/>
            </w:tcBorders>
          </w:tcPr>
          <w:p>
            <w:pPr/>
          </w:p>
        </w:tc>
      </w:tr>
      <w:tr>
        <w:trPr>
          <w:trHeight w:val="161" w:hRule="exact"/>
        </w:trPr>
        <w:tc>
          <w:tcPr>
            <w:tcW w:w="1500" w:type="dxa"/>
            <w:tcBorders>
              <w:top w:val="nil" w:sz="6" w:space="0" w:color="auto"/>
              <w:left w:val="single" w:sz="4" w:space="0" w:color="000000"/>
              <w:bottom w:val="single" w:sz="4" w:space="0" w:color="000000"/>
              <w:right w:val="single" w:sz="4" w:space="0" w:color="000000"/>
            </w:tcBorders>
            <w:shd w:val="clear" w:color="auto" w:fill="D2D2D2"/>
          </w:tcPr>
          <w:p>
            <w:pPr/>
          </w:p>
        </w:tc>
        <w:tc>
          <w:tcPr>
            <w:tcW w:w="1928" w:type="dxa"/>
            <w:vMerge/>
            <w:tcBorders>
              <w:left w:val="single" w:sz="9" w:space="0" w:color="D2D2D2"/>
              <w:bottom w:val="single" w:sz="4" w:space="0" w:color="000000"/>
              <w:right w:val="single" w:sz="4" w:space="0" w:color="000000"/>
            </w:tcBorders>
          </w:tcPr>
          <w:p>
            <w:pPr/>
          </w:p>
        </w:tc>
        <w:tc>
          <w:tcPr>
            <w:tcW w:w="1623" w:type="dxa"/>
            <w:vMerge/>
            <w:tcBorders>
              <w:left w:val="single" w:sz="4" w:space="0" w:color="000000"/>
              <w:bottom w:val="single" w:sz="4" w:space="0" w:color="000000"/>
              <w:right w:val="single" w:sz="4" w:space="0" w:color="000000"/>
            </w:tcBorders>
          </w:tcPr>
          <w:p>
            <w:pPr/>
          </w:p>
        </w:tc>
        <w:tc>
          <w:tcPr>
            <w:tcW w:w="2254" w:type="dxa"/>
            <w:vMerge/>
            <w:tcBorders>
              <w:left w:val="single" w:sz="4" w:space="0" w:color="000000"/>
              <w:bottom w:val="single" w:sz="4" w:space="0" w:color="000000"/>
              <w:right w:val="single" w:sz="4" w:space="0" w:color="000000"/>
            </w:tcBorders>
          </w:tcPr>
          <w:p>
            <w:pPr/>
          </w:p>
        </w:tc>
        <w:tc>
          <w:tcPr>
            <w:tcW w:w="2254" w:type="dxa"/>
            <w:vMerge/>
            <w:tcBorders>
              <w:left w:val="single" w:sz="4" w:space="0" w:color="000000"/>
              <w:bottom w:val="single" w:sz="4" w:space="0" w:color="000000"/>
              <w:right w:val="single" w:sz="4" w:space="0" w:color="000000"/>
            </w:tcBorders>
          </w:tcPr>
          <w:p>
            <w:pPr/>
          </w:p>
        </w:tc>
      </w:tr>
      <w:tr>
        <w:trPr>
          <w:trHeight w:val="161" w:hRule="exact"/>
        </w:trPr>
        <w:tc>
          <w:tcPr>
            <w:tcW w:w="1500" w:type="dxa"/>
            <w:tcBorders>
              <w:top w:val="single" w:sz="4" w:space="0" w:color="000000"/>
              <w:left w:val="single" w:sz="4" w:space="0" w:color="000000"/>
              <w:bottom w:val="nil" w:sz="6" w:space="0" w:color="auto"/>
              <w:right w:val="single" w:sz="4" w:space="0" w:color="000000"/>
            </w:tcBorders>
            <w:shd w:val="clear" w:color="auto" w:fill="D2D2D2"/>
          </w:tcPr>
          <w:p>
            <w:pPr/>
          </w:p>
        </w:tc>
        <w:tc>
          <w:tcPr>
            <w:tcW w:w="1928" w:type="dxa"/>
            <w:vMerge w:val="restart"/>
            <w:tcBorders>
              <w:top w:val="single" w:sz="4" w:space="0" w:color="000000"/>
              <w:left w:val="single" w:sz="9" w:space="0" w:color="D2D2D2"/>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43" w:right="0"/>
              <w:jc w:val="left"/>
              <w:rPr>
                <w:rFonts w:ascii="Times New Roman" w:hAnsi="Times New Roman" w:cs="Times New Roman" w:eastAsia="Times New Roman" w:hint="default"/>
                <w:sz w:val="18"/>
                <w:szCs w:val="18"/>
              </w:rPr>
            </w:pPr>
            <w:r>
              <w:rPr>
                <w:rFonts w:ascii="Times New Roman"/>
                <w:sz w:val="18"/>
              </w:rPr>
              <w:t>1,492,221.40</w:t>
            </w:r>
          </w:p>
        </w:tc>
        <w:tc>
          <w:tcPr>
            <w:tcW w:w="162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1.06%</w:t>
            </w:r>
          </w:p>
        </w:tc>
        <w:tc>
          <w:tcPr>
            <w:tcW w:w="2254" w:type="dxa"/>
            <w:vMerge w:val="restart"/>
            <w:tcBorders>
              <w:top w:val="single" w:sz="4" w:space="0" w:color="000000"/>
              <w:left w:val="single" w:sz="4" w:space="0" w:color="000000"/>
              <w:right w:val="single" w:sz="4" w:space="0" w:color="000000"/>
            </w:tcBorders>
          </w:tcPr>
          <w:p>
            <w:pPr>
              <w:pStyle w:val="TableParagraph"/>
              <w:spacing w:line="319" w:lineRule="auto" w:before="51"/>
              <w:ind w:left="23" w:right="58"/>
              <w:jc w:val="left"/>
              <w:rPr>
                <w:rFonts w:ascii="宋体" w:hAnsi="宋体" w:cs="宋体" w:eastAsia="宋体" w:hint="default"/>
                <w:sz w:val="18"/>
                <w:szCs w:val="18"/>
              </w:rPr>
            </w:pPr>
            <w:r>
              <w:rPr>
                <w:rFonts w:ascii="宋体" w:hAnsi="宋体" w:cs="宋体" w:eastAsia="宋体" w:hint="default"/>
                <w:sz w:val="18"/>
                <w:szCs w:val="18"/>
              </w:rPr>
              <w:t>政府补助、处理固定资产收 益及其它</w:t>
            </w:r>
          </w:p>
        </w:tc>
        <w:tc>
          <w:tcPr>
            <w:tcW w:w="2254"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不可持续</w:t>
            </w:r>
          </w:p>
        </w:tc>
      </w:tr>
      <w:tr>
        <w:trPr>
          <w:trHeight w:val="392" w:hRule="exact"/>
        </w:trPr>
        <w:tc>
          <w:tcPr>
            <w:tcW w:w="150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1928" w:type="dxa"/>
            <w:vMerge/>
            <w:tcBorders>
              <w:left w:val="single" w:sz="9" w:space="0" w:color="D2D2D2"/>
              <w:right w:val="single" w:sz="4" w:space="0" w:color="000000"/>
            </w:tcBorders>
          </w:tcPr>
          <w:p>
            <w:pPr/>
          </w:p>
        </w:tc>
        <w:tc>
          <w:tcPr>
            <w:tcW w:w="1623" w:type="dxa"/>
            <w:vMerge/>
            <w:tcBorders>
              <w:left w:val="single" w:sz="4" w:space="0" w:color="000000"/>
              <w:right w:val="single" w:sz="4" w:space="0" w:color="000000"/>
            </w:tcBorders>
          </w:tcPr>
          <w:p>
            <w:pPr/>
          </w:p>
        </w:tc>
        <w:tc>
          <w:tcPr>
            <w:tcW w:w="2254" w:type="dxa"/>
            <w:vMerge/>
            <w:tcBorders>
              <w:left w:val="single" w:sz="4" w:space="0" w:color="000000"/>
              <w:right w:val="single" w:sz="4" w:space="0" w:color="000000"/>
            </w:tcBorders>
          </w:tcPr>
          <w:p>
            <w:pPr/>
          </w:p>
        </w:tc>
        <w:tc>
          <w:tcPr>
            <w:tcW w:w="2254" w:type="dxa"/>
            <w:vMerge/>
            <w:tcBorders>
              <w:left w:val="single" w:sz="4" w:space="0" w:color="000000"/>
              <w:right w:val="single" w:sz="4" w:space="0" w:color="000000"/>
            </w:tcBorders>
          </w:tcPr>
          <w:p>
            <w:pPr/>
          </w:p>
        </w:tc>
      </w:tr>
      <w:tr>
        <w:trPr>
          <w:trHeight w:val="161" w:hRule="exact"/>
        </w:trPr>
        <w:tc>
          <w:tcPr>
            <w:tcW w:w="1500" w:type="dxa"/>
            <w:tcBorders>
              <w:top w:val="nil" w:sz="6" w:space="0" w:color="auto"/>
              <w:left w:val="single" w:sz="4" w:space="0" w:color="000000"/>
              <w:bottom w:val="single" w:sz="4" w:space="0" w:color="000000"/>
              <w:right w:val="single" w:sz="4" w:space="0" w:color="000000"/>
            </w:tcBorders>
            <w:shd w:val="clear" w:color="auto" w:fill="D2D2D2"/>
          </w:tcPr>
          <w:p>
            <w:pPr/>
          </w:p>
        </w:tc>
        <w:tc>
          <w:tcPr>
            <w:tcW w:w="1928" w:type="dxa"/>
            <w:vMerge/>
            <w:tcBorders>
              <w:left w:val="single" w:sz="9" w:space="0" w:color="D2D2D2"/>
              <w:bottom w:val="single" w:sz="4" w:space="0" w:color="000000"/>
              <w:right w:val="single" w:sz="4" w:space="0" w:color="000000"/>
            </w:tcBorders>
          </w:tcPr>
          <w:p>
            <w:pPr/>
          </w:p>
        </w:tc>
        <w:tc>
          <w:tcPr>
            <w:tcW w:w="1623" w:type="dxa"/>
            <w:vMerge/>
            <w:tcBorders>
              <w:left w:val="single" w:sz="4" w:space="0" w:color="000000"/>
              <w:bottom w:val="single" w:sz="4" w:space="0" w:color="000000"/>
              <w:right w:val="single" w:sz="4" w:space="0" w:color="000000"/>
            </w:tcBorders>
          </w:tcPr>
          <w:p>
            <w:pPr/>
          </w:p>
        </w:tc>
        <w:tc>
          <w:tcPr>
            <w:tcW w:w="2254" w:type="dxa"/>
            <w:vMerge/>
            <w:tcBorders>
              <w:left w:val="single" w:sz="4" w:space="0" w:color="000000"/>
              <w:bottom w:val="single" w:sz="4" w:space="0" w:color="000000"/>
              <w:right w:val="single" w:sz="4" w:space="0" w:color="000000"/>
            </w:tcBorders>
          </w:tcPr>
          <w:p>
            <w:pPr/>
          </w:p>
        </w:tc>
        <w:tc>
          <w:tcPr>
            <w:tcW w:w="2254" w:type="dxa"/>
            <w:vMerge/>
            <w:tcBorders>
              <w:left w:val="single" w:sz="4" w:space="0" w:color="000000"/>
              <w:bottom w:val="single" w:sz="4" w:space="0" w:color="000000"/>
              <w:right w:val="single" w:sz="4" w:space="0" w:color="000000"/>
            </w:tcBorders>
          </w:tcPr>
          <w:p>
            <w:pPr/>
          </w:p>
        </w:tc>
      </w:tr>
      <w:tr>
        <w:trPr>
          <w:trHeight w:val="161" w:hRule="exact"/>
        </w:trPr>
        <w:tc>
          <w:tcPr>
            <w:tcW w:w="1500" w:type="dxa"/>
            <w:tcBorders>
              <w:top w:val="single" w:sz="4" w:space="0" w:color="000000"/>
              <w:left w:val="single" w:sz="4" w:space="0" w:color="000000"/>
              <w:bottom w:val="nil" w:sz="6" w:space="0" w:color="auto"/>
              <w:right w:val="single" w:sz="4" w:space="0" w:color="000000"/>
            </w:tcBorders>
            <w:shd w:val="clear" w:color="auto" w:fill="D2D2D2"/>
          </w:tcPr>
          <w:p>
            <w:pPr/>
          </w:p>
        </w:tc>
        <w:tc>
          <w:tcPr>
            <w:tcW w:w="1928" w:type="dxa"/>
            <w:vMerge w:val="restart"/>
            <w:tcBorders>
              <w:top w:val="single" w:sz="4" w:space="0" w:color="000000"/>
              <w:left w:val="single" w:sz="9" w:space="0" w:color="D2D2D2"/>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77" w:right="0"/>
              <w:jc w:val="left"/>
              <w:rPr>
                <w:rFonts w:ascii="Times New Roman" w:hAnsi="Times New Roman" w:cs="Times New Roman" w:eastAsia="Times New Roman" w:hint="default"/>
                <w:sz w:val="18"/>
                <w:szCs w:val="18"/>
              </w:rPr>
            </w:pPr>
            <w:r>
              <w:rPr>
                <w:rFonts w:ascii="Times New Roman"/>
                <w:sz w:val="18"/>
              </w:rPr>
              <w:t>440,379.91</w:t>
            </w:r>
          </w:p>
        </w:tc>
        <w:tc>
          <w:tcPr>
            <w:tcW w:w="162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0.31%</w:t>
            </w:r>
          </w:p>
        </w:tc>
        <w:tc>
          <w:tcPr>
            <w:tcW w:w="2254" w:type="dxa"/>
            <w:vMerge w:val="restart"/>
            <w:tcBorders>
              <w:top w:val="single" w:sz="4" w:space="0" w:color="000000"/>
              <w:left w:val="single" w:sz="4" w:space="0" w:color="000000"/>
              <w:right w:val="single" w:sz="4" w:space="0" w:color="000000"/>
            </w:tcBorders>
          </w:tcPr>
          <w:p>
            <w:pPr>
              <w:pStyle w:val="TableParagraph"/>
              <w:spacing w:line="319" w:lineRule="auto" w:before="51"/>
              <w:ind w:left="23" w:right="58"/>
              <w:jc w:val="left"/>
              <w:rPr>
                <w:rFonts w:ascii="宋体" w:hAnsi="宋体" w:cs="宋体" w:eastAsia="宋体" w:hint="default"/>
                <w:sz w:val="18"/>
                <w:szCs w:val="18"/>
              </w:rPr>
            </w:pPr>
            <w:r>
              <w:rPr>
                <w:rFonts w:ascii="宋体" w:hAnsi="宋体" w:cs="宋体" w:eastAsia="宋体" w:hint="default"/>
                <w:sz w:val="18"/>
                <w:szCs w:val="18"/>
              </w:rPr>
              <w:t>固定资产处置损失、违约滞 纳金及其它</w:t>
            </w:r>
          </w:p>
        </w:tc>
        <w:tc>
          <w:tcPr>
            <w:tcW w:w="2254"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不可持续</w:t>
            </w:r>
          </w:p>
        </w:tc>
      </w:tr>
      <w:tr>
        <w:trPr>
          <w:trHeight w:val="392" w:hRule="exact"/>
        </w:trPr>
        <w:tc>
          <w:tcPr>
            <w:tcW w:w="150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营业外支出</w:t>
            </w:r>
          </w:p>
        </w:tc>
        <w:tc>
          <w:tcPr>
            <w:tcW w:w="1928" w:type="dxa"/>
            <w:vMerge/>
            <w:tcBorders>
              <w:left w:val="single" w:sz="9" w:space="0" w:color="D2D2D2"/>
              <w:right w:val="single" w:sz="4" w:space="0" w:color="000000"/>
            </w:tcBorders>
          </w:tcPr>
          <w:p>
            <w:pPr/>
          </w:p>
        </w:tc>
        <w:tc>
          <w:tcPr>
            <w:tcW w:w="1623" w:type="dxa"/>
            <w:vMerge/>
            <w:tcBorders>
              <w:left w:val="single" w:sz="4" w:space="0" w:color="000000"/>
              <w:right w:val="single" w:sz="4" w:space="0" w:color="000000"/>
            </w:tcBorders>
          </w:tcPr>
          <w:p>
            <w:pPr/>
          </w:p>
        </w:tc>
        <w:tc>
          <w:tcPr>
            <w:tcW w:w="2254" w:type="dxa"/>
            <w:vMerge/>
            <w:tcBorders>
              <w:left w:val="single" w:sz="4" w:space="0" w:color="000000"/>
              <w:right w:val="single" w:sz="4" w:space="0" w:color="000000"/>
            </w:tcBorders>
          </w:tcPr>
          <w:p>
            <w:pPr/>
          </w:p>
        </w:tc>
        <w:tc>
          <w:tcPr>
            <w:tcW w:w="2254" w:type="dxa"/>
            <w:vMerge/>
            <w:tcBorders>
              <w:left w:val="single" w:sz="4" w:space="0" w:color="000000"/>
              <w:right w:val="single" w:sz="4" w:space="0" w:color="000000"/>
            </w:tcBorders>
          </w:tcPr>
          <w:p>
            <w:pPr/>
          </w:p>
        </w:tc>
      </w:tr>
      <w:tr>
        <w:trPr>
          <w:trHeight w:val="161" w:hRule="exact"/>
        </w:trPr>
        <w:tc>
          <w:tcPr>
            <w:tcW w:w="1500" w:type="dxa"/>
            <w:tcBorders>
              <w:top w:val="nil" w:sz="6" w:space="0" w:color="auto"/>
              <w:left w:val="single" w:sz="4" w:space="0" w:color="000000"/>
              <w:bottom w:val="single" w:sz="4" w:space="0" w:color="000000"/>
              <w:right w:val="single" w:sz="4" w:space="0" w:color="000000"/>
            </w:tcBorders>
            <w:shd w:val="clear" w:color="auto" w:fill="D2D2D2"/>
          </w:tcPr>
          <w:p>
            <w:pPr/>
          </w:p>
        </w:tc>
        <w:tc>
          <w:tcPr>
            <w:tcW w:w="1928" w:type="dxa"/>
            <w:vMerge/>
            <w:tcBorders>
              <w:left w:val="single" w:sz="9" w:space="0" w:color="D2D2D2"/>
              <w:bottom w:val="single" w:sz="4" w:space="0" w:color="000000"/>
              <w:right w:val="single" w:sz="4" w:space="0" w:color="000000"/>
            </w:tcBorders>
          </w:tcPr>
          <w:p>
            <w:pPr/>
          </w:p>
        </w:tc>
        <w:tc>
          <w:tcPr>
            <w:tcW w:w="1623" w:type="dxa"/>
            <w:vMerge/>
            <w:tcBorders>
              <w:left w:val="single" w:sz="4" w:space="0" w:color="000000"/>
              <w:bottom w:val="single" w:sz="4" w:space="0" w:color="000000"/>
              <w:right w:val="single" w:sz="4" w:space="0" w:color="000000"/>
            </w:tcBorders>
          </w:tcPr>
          <w:p>
            <w:pPr/>
          </w:p>
        </w:tc>
        <w:tc>
          <w:tcPr>
            <w:tcW w:w="2254" w:type="dxa"/>
            <w:vMerge/>
            <w:tcBorders>
              <w:left w:val="single" w:sz="4" w:space="0" w:color="000000"/>
              <w:bottom w:val="single" w:sz="4" w:space="0" w:color="000000"/>
              <w:right w:val="single" w:sz="4" w:space="0" w:color="000000"/>
            </w:tcBorders>
          </w:tcPr>
          <w:p>
            <w:pPr/>
          </w:p>
        </w:tc>
        <w:tc>
          <w:tcPr>
            <w:tcW w:w="2254" w:type="dxa"/>
            <w:vMerge/>
            <w:tcBorders>
              <w:left w:val="single" w:sz="4" w:space="0" w:color="000000"/>
              <w:bottom w:val="single" w:sz="4" w:space="0" w:color="000000"/>
              <w:right w:val="single" w:sz="4" w:space="0" w:color="000000"/>
            </w:tcBorders>
          </w:tcPr>
          <w:p>
            <w:pPr/>
          </w:p>
        </w:tc>
      </w:tr>
      <w:tr>
        <w:trPr>
          <w:trHeight w:val="402" w:hRule="exact"/>
        </w:trPr>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18,399,376.58</w:t>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13.04%</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政府补助、软件退税</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可持续</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9"/>
        <w:rPr>
          <w:rFonts w:ascii="宋体" w:hAnsi="宋体" w:cs="宋体" w:eastAsia="宋体" w:hint="default"/>
          <w:sz w:val="23"/>
          <w:szCs w:val="23"/>
        </w:rPr>
      </w:pPr>
    </w:p>
    <w:p>
      <w:pPr>
        <w:pStyle w:val="Heading2"/>
        <w:spacing w:line="240" w:lineRule="auto" w:before="26"/>
        <w:ind w:right="0"/>
        <w:jc w:val="left"/>
        <w:rPr>
          <w:b w:val="0"/>
          <w:bCs w:val="0"/>
        </w:rPr>
      </w:pPr>
      <w:bookmarkStart w:name="四、资产及负债状况分析" w:id="40"/>
      <w:bookmarkEnd w:id="40"/>
      <w:r>
        <w:rPr>
          <w:b w:val="0"/>
          <w:bCs w:val="0"/>
        </w:rPr>
      </w:r>
      <w:r>
        <w:rPr/>
        <w:t>四、资产及负债状况分析</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53" w:right="0"/>
        <w:jc w:val="left"/>
        <w:rPr>
          <w:b w:val="0"/>
          <w:bCs w:val="0"/>
        </w:rPr>
      </w:pPr>
      <w:bookmarkStart w:name="1、资产构成重大变动情况" w:id="41"/>
      <w:bookmarkEnd w:id="41"/>
      <w:r>
        <w:rPr>
          <w:b w:val="0"/>
          <w:bCs w:val="0"/>
        </w:rPr>
      </w:r>
      <w:r>
        <w:rPr>
          <w:rFonts w:ascii="Times New Roman" w:hAnsi="Times New Roman" w:cs="Times New Roman" w:eastAsia="Times New Roman" w:hint="default"/>
        </w:rPr>
        <w:t>1</w:t>
      </w:r>
      <w:r>
        <w:rPr/>
        <w:t>、资产构成重大变动情况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357"/>
        <w:gridCol w:w="1164"/>
        <w:gridCol w:w="1063"/>
        <w:gridCol w:w="1196"/>
        <w:gridCol w:w="1063"/>
        <w:gridCol w:w="798"/>
        <w:gridCol w:w="2918"/>
      </w:tblGrid>
      <w:tr>
        <w:trPr>
          <w:trHeight w:val="380" w:hRule="exact"/>
        </w:trPr>
        <w:tc>
          <w:tcPr>
            <w:tcW w:w="1357" w:type="dxa"/>
            <w:tcBorders>
              <w:top w:val="single" w:sz="4" w:space="0" w:color="000000"/>
              <w:left w:val="single" w:sz="4" w:space="0" w:color="000000"/>
              <w:bottom w:val="single" w:sz="14" w:space="0" w:color="FFFFFF"/>
              <w:right w:val="single" w:sz="4" w:space="0" w:color="000000"/>
            </w:tcBorders>
            <w:shd w:val="clear" w:color="auto" w:fill="D2D2D2"/>
          </w:tcPr>
          <w:p>
            <w:pPr/>
          </w:p>
        </w:tc>
        <w:tc>
          <w:tcPr>
            <w:tcW w:w="2227" w:type="dxa"/>
            <w:gridSpan w:val="2"/>
            <w:tcBorders>
              <w:top w:val="single" w:sz="4" w:space="0" w:color="000000"/>
              <w:left w:val="single" w:sz="4" w:space="0" w:color="000000"/>
              <w:bottom w:val="single" w:sz="14" w:space="0" w:color="FFFFFF"/>
              <w:right w:val="single" w:sz="4" w:space="0" w:color="000000"/>
            </w:tcBorders>
            <w:shd w:val="clear" w:color="auto" w:fill="D2D2D2"/>
          </w:tcPr>
          <w:p>
            <w:pPr>
              <w:pStyle w:val="TableParagraph"/>
              <w:spacing w:line="240" w:lineRule="auto" w:before="52"/>
              <w:ind w:left="72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2259" w:type="dxa"/>
            <w:gridSpan w:val="2"/>
            <w:tcBorders>
              <w:top w:val="single" w:sz="4" w:space="0" w:color="000000"/>
              <w:left w:val="single" w:sz="4" w:space="0" w:color="000000"/>
              <w:bottom w:val="single" w:sz="14" w:space="0" w:color="FFFFFF"/>
              <w:right w:val="single" w:sz="4" w:space="0" w:color="000000"/>
            </w:tcBorders>
            <w:shd w:val="clear" w:color="auto" w:fill="D2D2D2"/>
          </w:tcPr>
          <w:p>
            <w:pPr>
              <w:pStyle w:val="TableParagraph"/>
              <w:spacing w:line="240" w:lineRule="auto" w:before="52"/>
              <w:ind w:left="74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798" w:type="dxa"/>
            <w:tcBorders>
              <w:top w:val="single" w:sz="4" w:space="0" w:color="000000"/>
              <w:left w:val="single" w:sz="4" w:space="0" w:color="000000"/>
              <w:bottom w:val="single" w:sz="14" w:space="0" w:color="FFFFFF"/>
              <w:right w:val="single" w:sz="4" w:space="0" w:color="000000"/>
            </w:tcBorders>
            <w:shd w:val="clear" w:color="auto" w:fill="D2D2D2"/>
          </w:tcPr>
          <w:p>
            <w:pPr/>
          </w:p>
        </w:tc>
        <w:tc>
          <w:tcPr>
            <w:tcW w:w="2918" w:type="dxa"/>
            <w:tcBorders>
              <w:top w:val="single" w:sz="4" w:space="0" w:color="000000"/>
              <w:left w:val="single" w:sz="4" w:space="0" w:color="000000"/>
              <w:bottom w:val="single" w:sz="14" w:space="0" w:color="FFFFFF"/>
              <w:right w:val="single" w:sz="4" w:space="0" w:color="000000"/>
            </w:tcBorders>
            <w:shd w:val="clear" w:color="auto" w:fill="D2D2D2"/>
          </w:tcPr>
          <w:p>
            <w:pPr/>
          </w:p>
        </w:tc>
      </w:tr>
      <w:tr>
        <w:trPr>
          <w:trHeight w:val="184" w:hRule="exact"/>
        </w:trPr>
        <w:tc>
          <w:tcPr>
            <w:tcW w:w="1357" w:type="dxa"/>
            <w:vMerge w:val="restart"/>
            <w:tcBorders>
              <w:top w:val="single" w:sz="14" w:space="0" w:color="FFFFFF"/>
              <w:left w:val="single" w:sz="4" w:space="0" w:color="000000"/>
              <w:right w:val="single" w:sz="4" w:space="0" w:color="000000"/>
            </w:tcBorders>
            <w:shd w:val="clear" w:color="auto" w:fill="D2D2D2"/>
          </w:tcPr>
          <w:p>
            <w:pPr/>
          </w:p>
        </w:tc>
        <w:tc>
          <w:tcPr>
            <w:tcW w:w="1164" w:type="dxa"/>
            <w:tcBorders>
              <w:top w:val="single" w:sz="14" w:space="0" w:color="FFFFFF"/>
              <w:left w:val="single" w:sz="4" w:space="0" w:color="000000"/>
              <w:bottom w:val="nil" w:sz="6" w:space="0" w:color="auto"/>
              <w:right w:val="single" w:sz="4" w:space="0" w:color="000000"/>
            </w:tcBorders>
            <w:shd w:val="clear" w:color="auto" w:fill="D2D2D2"/>
          </w:tcPr>
          <w:p>
            <w:pPr/>
          </w:p>
        </w:tc>
        <w:tc>
          <w:tcPr>
            <w:tcW w:w="1063" w:type="dxa"/>
            <w:vMerge w:val="restart"/>
            <w:tcBorders>
              <w:top w:val="single" w:sz="14" w:space="0" w:color="FFFFFF"/>
              <w:left w:val="single" w:sz="4" w:space="0" w:color="000000"/>
              <w:right w:val="single" w:sz="4" w:space="0" w:color="000000"/>
            </w:tcBorders>
            <w:shd w:val="clear" w:color="auto" w:fill="D2D2D2"/>
          </w:tcPr>
          <w:p>
            <w:pPr>
              <w:pStyle w:val="TableParagraph"/>
              <w:spacing w:line="316" w:lineRule="auto" w:before="62"/>
              <w:ind w:left="435" w:right="77" w:hanging="360"/>
              <w:jc w:val="left"/>
              <w:rPr>
                <w:rFonts w:ascii="宋体" w:hAnsi="宋体" w:cs="宋体" w:eastAsia="宋体" w:hint="default"/>
                <w:sz w:val="18"/>
                <w:szCs w:val="18"/>
              </w:rPr>
            </w:pPr>
            <w:r>
              <w:rPr>
                <w:rFonts w:ascii="宋体" w:hAnsi="宋体" w:cs="宋体" w:eastAsia="宋体" w:hint="default"/>
                <w:sz w:val="18"/>
                <w:szCs w:val="18"/>
              </w:rPr>
              <w:t>占总资产比 例</w:t>
            </w:r>
          </w:p>
        </w:tc>
        <w:tc>
          <w:tcPr>
            <w:tcW w:w="1196" w:type="dxa"/>
            <w:tcBorders>
              <w:top w:val="single" w:sz="14" w:space="0" w:color="FFFFFF"/>
              <w:left w:val="single" w:sz="4" w:space="0" w:color="000000"/>
              <w:bottom w:val="nil" w:sz="6" w:space="0" w:color="auto"/>
              <w:right w:val="single" w:sz="4" w:space="0" w:color="000000"/>
            </w:tcBorders>
            <w:shd w:val="clear" w:color="auto" w:fill="D2D2D2"/>
          </w:tcPr>
          <w:p>
            <w:pPr/>
          </w:p>
        </w:tc>
        <w:tc>
          <w:tcPr>
            <w:tcW w:w="1063" w:type="dxa"/>
            <w:vMerge w:val="restart"/>
            <w:tcBorders>
              <w:top w:val="single" w:sz="14" w:space="0" w:color="FFFFFF"/>
              <w:left w:val="single" w:sz="4" w:space="0" w:color="000000"/>
              <w:right w:val="single" w:sz="4" w:space="0" w:color="000000"/>
            </w:tcBorders>
            <w:shd w:val="clear" w:color="auto" w:fill="D2D2D2"/>
          </w:tcPr>
          <w:p>
            <w:pPr>
              <w:pStyle w:val="TableParagraph"/>
              <w:spacing w:line="316" w:lineRule="auto" w:before="62"/>
              <w:ind w:left="435" w:right="77" w:hanging="360"/>
              <w:jc w:val="left"/>
              <w:rPr>
                <w:rFonts w:ascii="宋体" w:hAnsi="宋体" w:cs="宋体" w:eastAsia="宋体" w:hint="default"/>
                <w:sz w:val="18"/>
                <w:szCs w:val="18"/>
              </w:rPr>
            </w:pPr>
            <w:r>
              <w:rPr>
                <w:rFonts w:ascii="宋体" w:hAnsi="宋体" w:cs="宋体" w:eastAsia="宋体" w:hint="default"/>
                <w:sz w:val="18"/>
                <w:szCs w:val="18"/>
              </w:rPr>
              <w:t>占总资产比 例</w:t>
            </w:r>
          </w:p>
        </w:tc>
        <w:tc>
          <w:tcPr>
            <w:tcW w:w="798" w:type="dxa"/>
            <w:vMerge w:val="restart"/>
            <w:tcBorders>
              <w:top w:val="single" w:sz="14" w:space="0" w:color="FFFFFF"/>
              <w:left w:val="single" w:sz="4" w:space="0" w:color="000000"/>
              <w:right w:val="single" w:sz="4" w:space="0" w:color="000000"/>
            </w:tcBorders>
            <w:shd w:val="clear" w:color="auto" w:fill="D2D2D2"/>
          </w:tcPr>
          <w:p>
            <w:pPr>
              <w:pStyle w:val="TableParagraph"/>
              <w:spacing w:line="240" w:lineRule="auto" w:before="16"/>
              <w:ind w:left="33" w:right="0"/>
              <w:jc w:val="left"/>
              <w:rPr>
                <w:rFonts w:ascii="宋体" w:hAnsi="宋体" w:cs="宋体" w:eastAsia="宋体" w:hint="default"/>
                <w:sz w:val="18"/>
                <w:szCs w:val="18"/>
              </w:rPr>
            </w:pPr>
            <w:r>
              <w:rPr>
                <w:rFonts w:ascii="宋体" w:hAnsi="宋体" w:cs="宋体" w:eastAsia="宋体" w:hint="default"/>
                <w:sz w:val="18"/>
                <w:szCs w:val="18"/>
              </w:rPr>
              <w:t>比重增减</w:t>
            </w:r>
          </w:p>
        </w:tc>
        <w:tc>
          <w:tcPr>
            <w:tcW w:w="2918" w:type="dxa"/>
            <w:vMerge w:val="restart"/>
            <w:tcBorders>
              <w:top w:val="single" w:sz="14" w:space="0" w:color="FFFFFF"/>
              <w:left w:val="single" w:sz="4" w:space="0" w:color="000000"/>
              <w:right w:val="single" w:sz="4" w:space="0" w:color="000000"/>
            </w:tcBorders>
            <w:shd w:val="clear" w:color="auto" w:fill="D2D2D2"/>
          </w:tcPr>
          <w:p>
            <w:pPr>
              <w:pStyle w:val="TableParagraph"/>
              <w:spacing w:line="240" w:lineRule="auto" w:before="16"/>
              <w:ind w:left="913" w:right="0"/>
              <w:jc w:val="left"/>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191" w:hRule="exact"/>
        </w:trPr>
        <w:tc>
          <w:tcPr>
            <w:tcW w:w="1357" w:type="dxa"/>
            <w:vMerge/>
            <w:tcBorders>
              <w:left w:val="single" w:sz="4" w:space="0" w:color="000000"/>
              <w:bottom w:val="nil" w:sz="6" w:space="0" w:color="auto"/>
              <w:right w:val="single" w:sz="4" w:space="0" w:color="000000"/>
            </w:tcBorders>
            <w:shd w:val="clear" w:color="auto" w:fill="D2D2D2"/>
          </w:tcPr>
          <w:p>
            <w:pPr/>
          </w:p>
        </w:tc>
        <w:tc>
          <w:tcPr>
            <w:tcW w:w="116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063" w:type="dxa"/>
            <w:vMerge/>
            <w:tcBorders>
              <w:left w:val="single" w:sz="4" w:space="0" w:color="000000"/>
              <w:right w:val="single" w:sz="4" w:space="0" w:color="000000"/>
            </w:tcBorders>
            <w:shd w:val="clear" w:color="auto" w:fill="D2D2D2"/>
          </w:tcPr>
          <w:p>
            <w:pPr/>
          </w:p>
        </w:tc>
        <w:tc>
          <w:tcPr>
            <w:tcW w:w="119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063" w:type="dxa"/>
            <w:vMerge/>
            <w:tcBorders>
              <w:left w:val="single" w:sz="4" w:space="0" w:color="000000"/>
              <w:right w:val="single" w:sz="4" w:space="0" w:color="000000"/>
            </w:tcBorders>
            <w:shd w:val="clear" w:color="auto" w:fill="D2D2D2"/>
          </w:tcPr>
          <w:p>
            <w:pPr/>
          </w:p>
        </w:tc>
        <w:tc>
          <w:tcPr>
            <w:tcW w:w="798" w:type="dxa"/>
            <w:vMerge/>
            <w:tcBorders>
              <w:left w:val="single" w:sz="4" w:space="0" w:color="000000"/>
              <w:bottom w:val="nil" w:sz="6" w:space="0" w:color="auto"/>
              <w:right w:val="single" w:sz="4" w:space="0" w:color="000000"/>
            </w:tcBorders>
            <w:shd w:val="clear" w:color="auto" w:fill="D2D2D2"/>
          </w:tcPr>
          <w:p>
            <w:pPr/>
          </w:p>
        </w:tc>
        <w:tc>
          <w:tcPr>
            <w:tcW w:w="2918" w:type="dxa"/>
            <w:vMerge/>
            <w:tcBorders>
              <w:left w:val="single" w:sz="4" w:space="0" w:color="000000"/>
              <w:bottom w:val="nil" w:sz="6" w:space="0" w:color="auto"/>
              <w:right w:val="single" w:sz="4" w:space="0" w:color="000000"/>
            </w:tcBorders>
            <w:shd w:val="clear" w:color="auto" w:fill="D2D2D2"/>
          </w:tcPr>
          <w:p>
            <w:pPr/>
          </w:p>
        </w:tc>
      </w:tr>
      <w:tr>
        <w:trPr>
          <w:trHeight w:val="200" w:hRule="exact"/>
        </w:trPr>
        <w:tc>
          <w:tcPr>
            <w:tcW w:w="1357" w:type="dxa"/>
            <w:vMerge w:val="restart"/>
            <w:tcBorders>
              <w:top w:val="nil" w:sz="6" w:space="0" w:color="auto"/>
              <w:left w:val="single" w:sz="4" w:space="0" w:color="000000"/>
              <w:right w:val="single" w:sz="4" w:space="0" w:color="000000"/>
            </w:tcBorders>
            <w:shd w:val="clear" w:color="auto" w:fill="D2D2D2"/>
          </w:tcPr>
          <w:p>
            <w:pPr/>
          </w:p>
        </w:tc>
        <w:tc>
          <w:tcPr>
            <w:tcW w:w="1164" w:type="dxa"/>
            <w:vMerge/>
            <w:tcBorders>
              <w:left w:val="single" w:sz="4" w:space="0" w:color="000000"/>
              <w:bottom w:val="nil" w:sz="6" w:space="0" w:color="auto"/>
              <w:right w:val="single" w:sz="4" w:space="0" w:color="000000"/>
            </w:tcBorders>
            <w:shd w:val="clear" w:color="auto" w:fill="D2D2D2"/>
          </w:tcPr>
          <w:p>
            <w:pPr/>
          </w:p>
        </w:tc>
        <w:tc>
          <w:tcPr>
            <w:tcW w:w="1063" w:type="dxa"/>
            <w:vMerge/>
            <w:tcBorders>
              <w:left w:val="single" w:sz="4" w:space="0" w:color="000000"/>
              <w:right w:val="single" w:sz="4" w:space="0" w:color="000000"/>
            </w:tcBorders>
            <w:shd w:val="clear" w:color="auto" w:fill="D2D2D2"/>
          </w:tcPr>
          <w:p>
            <w:pPr/>
          </w:p>
        </w:tc>
        <w:tc>
          <w:tcPr>
            <w:tcW w:w="1196" w:type="dxa"/>
            <w:vMerge/>
            <w:tcBorders>
              <w:left w:val="single" w:sz="4" w:space="0" w:color="000000"/>
              <w:bottom w:val="nil" w:sz="6" w:space="0" w:color="auto"/>
              <w:right w:val="single" w:sz="4" w:space="0" w:color="000000"/>
            </w:tcBorders>
            <w:shd w:val="clear" w:color="auto" w:fill="D2D2D2"/>
          </w:tcPr>
          <w:p>
            <w:pPr/>
          </w:p>
        </w:tc>
        <w:tc>
          <w:tcPr>
            <w:tcW w:w="1063" w:type="dxa"/>
            <w:vMerge/>
            <w:tcBorders>
              <w:left w:val="single" w:sz="4" w:space="0" w:color="000000"/>
              <w:right w:val="single" w:sz="4" w:space="0" w:color="000000"/>
            </w:tcBorders>
            <w:shd w:val="clear" w:color="auto" w:fill="D2D2D2"/>
          </w:tcPr>
          <w:p>
            <w:pPr/>
          </w:p>
        </w:tc>
        <w:tc>
          <w:tcPr>
            <w:tcW w:w="798" w:type="dxa"/>
            <w:vMerge w:val="restart"/>
            <w:tcBorders>
              <w:top w:val="nil" w:sz="6" w:space="0" w:color="auto"/>
              <w:left w:val="single" w:sz="4" w:space="0" w:color="000000"/>
              <w:right w:val="single" w:sz="4" w:space="0" w:color="000000"/>
            </w:tcBorders>
            <w:shd w:val="clear" w:color="auto" w:fill="D2D2D2"/>
          </w:tcPr>
          <w:p>
            <w:pPr/>
          </w:p>
        </w:tc>
        <w:tc>
          <w:tcPr>
            <w:tcW w:w="2918"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357" w:type="dxa"/>
            <w:vMerge/>
            <w:tcBorders>
              <w:left w:val="single" w:sz="4" w:space="0" w:color="000000"/>
              <w:bottom w:val="single" w:sz="4" w:space="0" w:color="000000"/>
              <w:right w:val="single" w:sz="4" w:space="0" w:color="000000"/>
            </w:tcBorders>
            <w:shd w:val="clear" w:color="auto" w:fill="D2D2D2"/>
          </w:tcPr>
          <w:p>
            <w:pPr/>
          </w:p>
        </w:tc>
        <w:tc>
          <w:tcPr>
            <w:tcW w:w="1164" w:type="dxa"/>
            <w:tcBorders>
              <w:top w:val="nil" w:sz="6" w:space="0" w:color="auto"/>
              <w:left w:val="single" w:sz="4" w:space="0" w:color="000000"/>
              <w:bottom w:val="single" w:sz="4" w:space="0" w:color="000000"/>
              <w:right w:val="single" w:sz="4" w:space="0" w:color="000000"/>
            </w:tcBorders>
            <w:shd w:val="clear" w:color="auto" w:fill="D2D2D2"/>
          </w:tcPr>
          <w:p>
            <w:pPr/>
          </w:p>
        </w:tc>
        <w:tc>
          <w:tcPr>
            <w:tcW w:w="1063" w:type="dxa"/>
            <w:vMerge/>
            <w:tcBorders>
              <w:left w:val="single" w:sz="4" w:space="0" w:color="000000"/>
              <w:bottom w:val="single" w:sz="4" w:space="0" w:color="000000"/>
              <w:right w:val="single" w:sz="4" w:space="0" w:color="000000"/>
            </w:tcBorders>
            <w:shd w:val="clear" w:color="auto" w:fill="D2D2D2"/>
          </w:tcPr>
          <w:p>
            <w:pPr/>
          </w:p>
        </w:tc>
        <w:tc>
          <w:tcPr>
            <w:tcW w:w="1196" w:type="dxa"/>
            <w:tcBorders>
              <w:top w:val="nil" w:sz="6" w:space="0" w:color="auto"/>
              <w:left w:val="single" w:sz="4" w:space="0" w:color="000000"/>
              <w:bottom w:val="single" w:sz="4" w:space="0" w:color="000000"/>
              <w:right w:val="single" w:sz="4" w:space="0" w:color="000000"/>
            </w:tcBorders>
            <w:shd w:val="clear" w:color="auto" w:fill="D2D2D2"/>
          </w:tcPr>
          <w:p>
            <w:pPr/>
          </w:p>
        </w:tc>
        <w:tc>
          <w:tcPr>
            <w:tcW w:w="1063"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2918" w:type="dxa"/>
            <w:vMerge/>
            <w:tcBorders>
              <w:left w:val="single" w:sz="4" w:space="0" w:color="000000"/>
              <w:bottom w:val="single" w:sz="4" w:space="0" w:color="000000"/>
              <w:right w:val="single" w:sz="4" w:space="0" w:color="000000"/>
            </w:tcBorders>
            <w:shd w:val="clear" w:color="auto" w:fill="D2D2D2"/>
          </w:tcPr>
          <w:p>
            <w:pPr/>
          </w:p>
        </w:tc>
      </w:tr>
      <w:tr>
        <w:trPr>
          <w:trHeight w:val="162" w:hRule="exact"/>
        </w:trPr>
        <w:tc>
          <w:tcPr>
            <w:tcW w:w="1357" w:type="dxa"/>
            <w:tcBorders>
              <w:top w:val="single" w:sz="4" w:space="0" w:color="000000"/>
              <w:left w:val="single" w:sz="4" w:space="0" w:color="000000"/>
              <w:bottom w:val="nil" w:sz="6" w:space="0" w:color="auto"/>
              <w:right w:val="single" w:sz="4" w:space="0" w:color="000000"/>
            </w:tcBorders>
            <w:shd w:val="clear" w:color="auto" w:fill="D2D2D2"/>
          </w:tcPr>
          <w:p>
            <w:pPr/>
          </w:p>
        </w:tc>
        <w:tc>
          <w:tcPr>
            <w:tcW w:w="1164" w:type="dxa"/>
            <w:vMerge w:val="restart"/>
            <w:tcBorders>
              <w:top w:val="single" w:sz="4" w:space="0" w:color="000000"/>
              <w:left w:val="single" w:sz="9" w:space="0" w:color="D2D2D2"/>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328,155,120.7</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1</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75" w:right="0"/>
              <w:jc w:val="left"/>
              <w:rPr>
                <w:rFonts w:ascii="Times New Roman" w:hAnsi="Times New Roman" w:cs="Times New Roman" w:eastAsia="Times New Roman" w:hint="default"/>
                <w:sz w:val="18"/>
                <w:szCs w:val="18"/>
              </w:rPr>
            </w:pPr>
            <w:r>
              <w:rPr>
                <w:rFonts w:ascii="Times New Roman"/>
                <w:sz w:val="18"/>
              </w:rPr>
              <w:t>18.30%</w:t>
            </w:r>
          </w:p>
        </w:tc>
        <w:tc>
          <w:tcPr>
            <w:tcW w:w="1196"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37" w:right="0"/>
              <w:jc w:val="left"/>
              <w:rPr>
                <w:rFonts w:ascii="Times New Roman" w:hAnsi="Times New Roman" w:cs="Times New Roman" w:eastAsia="Times New Roman" w:hint="default"/>
                <w:sz w:val="18"/>
                <w:szCs w:val="18"/>
              </w:rPr>
            </w:pPr>
            <w:r>
              <w:rPr>
                <w:rFonts w:ascii="Times New Roman"/>
                <w:sz w:val="18"/>
              </w:rPr>
              <w:t>368,228,200.97</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75" w:right="0"/>
              <w:jc w:val="left"/>
              <w:rPr>
                <w:rFonts w:ascii="Times New Roman" w:hAnsi="Times New Roman" w:cs="Times New Roman" w:eastAsia="Times New Roman" w:hint="default"/>
                <w:sz w:val="18"/>
                <w:szCs w:val="18"/>
              </w:rPr>
            </w:pPr>
            <w:r>
              <w:rPr>
                <w:rFonts w:ascii="Times New Roman"/>
                <w:sz w:val="18"/>
              </w:rPr>
              <w:t>29.15%</w:t>
            </w:r>
          </w:p>
        </w:tc>
        <w:tc>
          <w:tcPr>
            <w:tcW w:w="798"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50" w:right="0"/>
              <w:jc w:val="left"/>
              <w:rPr>
                <w:rFonts w:ascii="Times New Roman" w:hAnsi="Times New Roman" w:cs="Times New Roman" w:eastAsia="Times New Roman" w:hint="default"/>
                <w:sz w:val="18"/>
                <w:szCs w:val="18"/>
              </w:rPr>
            </w:pPr>
            <w:r>
              <w:rPr>
                <w:rFonts w:ascii="Times New Roman"/>
                <w:sz w:val="18"/>
              </w:rPr>
              <w:t>-10.85%</w:t>
            </w:r>
          </w:p>
        </w:tc>
        <w:tc>
          <w:tcPr>
            <w:tcW w:w="2918" w:type="dxa"/>
            <w:vMerge w:val="restart"/>
            <w:tcBorders>
              <w:top w:val="single" w:sz="4" w:space="0" w:color="000000"/>
              <w:left w:val="single" w:sz="4" w:space="0" w:color="000000"/>
              <w:right w:val="single" w:sz="4" w:space="0" w:color="000000"/>
            </w:tcBorders>
          </w:tcPr>
          <w:p>
            <w:pPr/>
          </w:p>
        </w:tc>
      </w:tr>
      <w:tr>
        <w:trPr>
          <w:trHeight w:val="391" w:hRule="exact"/>
        </w:trPr>
        <w:tc>
          <w:tcPr>
            <w:tcW w:w="135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164" w:type="dxa"/>
            <w:vMerge/>
            <w:tcBorders>
              <w:left w:val="single" w:sz="9" w:space="0" w:color="D2D2D2"/>
              <w:right w:val="single" w:sz="4" w:space="0" w:color="000000"/>
            </w:tcBorders>
          </w:tcPr>
          <w:p>
            <w:pPr/>
          </w:p>
        </w:tc>
        <w:tc>
          <w:tcPr>
            <w:tcW w:w="1063" w:type="dxa"/>
            <w:vMerge/>
            <w:tcBorders>
              <w:left w:val="single" w:sz="4" w:space="0" w:color="000000"/>
              <w:right w:val="single" w:sz="4" w:space="0" w:color="000000"/>
            </w:tcBorders>
          </w:tcPr>
          <w:p>
            <w:pPr/>
          </w:p>
        </w:tc>
        <w:tc>
          <w:tcPr>
            <w:tcW w:w="1196"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2918" w:type="dxa"/>
            <w:vMerge/>
            <w:tcBorders>
              <w:left w:val="single" w:sz="4" w:space="0" w:color="000000"/>
              <w:right w:val="single" w:sz="4" w:space="0" w:color="000000"/>
            </w:tcBorders>
          </w:tcPr>
          <w:p>
            <w:pPr/>
          </w:p>
        </w:tc>
      </w:tr>
      <w:tr>
        <w:trPr>
          <w:trHeight w:val="161" w:hRule="exact"/>
        </w:trPr>
        <w:tc>
          <w:tcPr>
            <w:tcW w:w="1357" w:type="dxa"/>
            <w:tcBorders>
              <w:top w:val="nil" w:sz="6" w:space="0" w:color="auto"/>
              <w:left w:val="single" w:sz="4" w:space="0" w:color="000000"/>
              <w:bottom w:val="single" w:sz="4" w:space="0" w:color="000000"/>
              <w:right w:val="single" w:sz="4" w:space="0" w:color="000000"/>
            </w:tcBorders>
            <w:shd w:val="clear" w:color="auto" w:fill="D2D2D2"/>
          </w:tcPr>
          <w:p>
            <w:pPr/>
          </w:p>
        </w:tc>
        <w:tc>
          <w:tcPr>
            <w:tcW w:w="1164" w:type="dxa"/>
            <w:vMerge/>
            <w:tcBorders>
              <w:left w:val="single" w:sz="9" w:space="0" w:color="D2D2D2"/>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196"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2918" w:type="dxa"/>
            <w:vMerge/>
            <w:tcBorders>
              <w:left w:val="single" w:sz="4" w:space="0" w:color="000000"/>
              <w:bottom w:val="single" w:sz="4" w:space="0" w:color="000000"/>
              <w:right w:val="single" w:sz="4" w:space="0" w:color="000000"/>
            </w:tcBorders>
          </w:tcPr>
          <w:p>
            <w:pPr/>
          </w:p>
        </w:tc>
      </w:tr>
      <w:tr>
        <w:trPr>
          <w:trHeight w:val="162" w:hRule="exact"/>
        </w:trPr>
        <w:tc>
          <w:tcPr>
            <w:tcW w:w="1357" w:type="dxa"/>
            <w:tcBorders>
              <w:top w:val="single" w:sz="4" w:space="0" w:color="000000"/>
              <w:left w:val="single" w:sz="4" w:space="0" w:color="000000"/>
              <w:bottom w:val="nil" w:sz="6" w:space="0" w:color="auto"/>
              <w:right w:val="single" w:sz="4" w:space="0" w:color="000000"/>
            </w:tcBorders>
            <w:shd w:val="clear" w:color="auto" w:fill="D2D2D2"/>
          </w:tcPr>
          <w:p>
            <w:pPr/>
          </w:p>
        </w:tc>
        <w:tc>
          <w:tcPr>
            <w:tcW w:w="1164" w:type="dxa"/>
            <w:vMerge w:val="restart"/>
            <w:tcBorders>
              <w:top w:val="single" w:sz="4" w:space="0" w:color="000000"/>
              <w:left w:val="single" w:sz="9" w:space="0" w:color="D2D2D2"/>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506,285,252.3</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2</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75" w:right="0"/>
              <w:jc w:val="left"/>
              <w:rPr>
                <w:rFonts w:ascii="Times New Roman" w:hAnsi="Times New Roman" w:cs="Times New Roman" w:eastAsia="Times New Roman" w:hint="default"/>
                <w:sz w:val="18"/>
                <w:szCs w:val="18"/>
              </w:rPr>
            </w:pPr>
            <w:r>
              <w:rPr>
                <w:rFonts w:ascii="Times New Roman"/>
                <w:sz w:val="18"/>
              </w:rPr>
              <w:t>28.23%</w:t>
            </w:r>
          </w:p>
        </w:tc>
        <w:tc>
          <w:tcPr>
            <w:tcW w:w="1196"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37" w:right="0"/>
              <w:jc w:val="left"/>
              <w:rPr>
                <w:rFonts w:ascii="Times New Roman" w:hAnsi="Times New Roman" w:cs="Times New Roman" w:eastAsia="Times New Roman" w:hint="default"/>
                <w:sz w:val="18"/>
                <w:szCs w:val="18"/>
              </w:rPr>
            </w:pPr>
            <w:r>
              <w:rPr>
                <w:rFonts w:ascii="Times New Roman"/>
                <w:sz w:val="18"/>
              </w:rPr>
              <w:t>231,370,765.29</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75" w:right="0"/>
              <w:jc w:val="left"/>
              <w:rPr>
                <w:rFonts w:ascii="Times New Roman" w:hAnsi="Times New Roman" w:cs="Times New Roman" w:eastAsia="Times New Roman" w:hint="default"/>
                <w:sz w:val="18"/>
                <w:szCs w:val="18"/>
              </w:rPr>
            </w:pPr>
            <w:r>
              <w:rPr>
                <w:rFonts w:ascii="Times New Roman"/>
                <w:sz w:val="18"/>
              </w:rPr>
              <w:t>18.32%</w:t>
            </w:r>
          </w:p>
        </w:tc>
        <w:tc>
          <w:tcPr>
            <w:tcW w:w="798"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300" w:right="0"/>
              <w:jc w:val="left"/>
              <w:rPr>
                <w:rFonts w:ascii="Times New Roman" w:hAnsi="Times New Roman" w:cs="Times New Roman" w:eastAsia="Times New Roman" w:hint="default"/>
                <w:sz w:val="18"/>
                <w:szCs w:val="18"/>
              </w:rPr>
            </w:pPr>
            <w:r>
              <w:rPr>
                <w:rFonts w:ascii="Times New Roman"/>
                <w:sz w:val="18"/>
              </w:rPr>
              <w:t>9.91%</w:t>
            </w:r>
          </w:p>
        </w:tc>
        <w:tc>
          <w:tcPr>
            <w:tcW w:w="2918" w:type="dxa"/>
            <w:vMerge w:val="restart"/>
            <w:tcBorders>
              <w:top w:val="single" w:sz="4" w:space="0" w:color="000000"/>
              <w:left w:val="single" w:sz="4" w:space="0" w:color="000000"/>
              <w:right w:val="single" w:sz="4" w:space="0" w:color="000000"/>
            </w:tcBorders>
          </w:tcPr>
          <w:p>
            <w:pPr>
              <w:pStyle w:val="TableParagraph"/>
              <w:spacing w:line="316" w:lineRule="auto" w:before="52"/>
              <w:ind w:left="22" w:right="183"/>
              <w:jc w:val="left"/>
              <w:rPr>
                <w:rFonts w:ascii="宋体" w:hAnsi="宋体" w:cs="宋体" w:eastAsia="宋体" w:hint="default"/>
                <w:sz w:val="18"/>
                <w:szCs w:val="18"/>
              </w:rPr>
            </w:pPr>
            <w:r>
              <w:rPr>
                <w:rFonts w:ascii="宋体" w:hAnsi="宋体" w:cs="宋体" w:eastAsia="宋体" w:hint="default"/>
                <w:sz w:val="18"/>
                <w:szCs w:val="18"/>
              </w:rPr>
              <w:t>主要是子公司千百辉的营业收入增 长较快，应收工程款增加所致。</w:t>
            </w:r>
          </w:p>
        </w:tc>
      </w:tr>
      <w:tr>
        <w:trPr>
          <w:trHeight w:val="391" w:hRule="exact"/>
        </w:trPr>
        <w:tc>
          <w:tcPr>
            <w:tcW w:w="135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164" w:type="dxa"/>
            <w:vMerge/>
            <w:tcBorders>
              <w:left w:val="single" w:sz="9" w:space="0" w:color="D2D2D2"/>
              <w:right w:val="single" w:sz="4" w:space="0" w:color="000000"/>
            </w:tcBorders>
          </w:tcPr>
          <w:p>
            <w:pPr/>
          </w:p>
        </w:tc>
        <w:tc>
          <w:tcPr>
            <w:tcW w:w="1063" w:type="dxa"/>
            <w:vMerge/>
            <w:tcBorders>
              <w:left w:val="single" w:sz="4" w:space="0" w:color="000000"/>
              <w:right w:val="single" w:sz="4" w:space="0" w:color="000000"/>
            </w:tcBorders>
          </w:tcPr>
          <w:p>
            <w:pPr/>
          </w:p>
        </w:tc>
        <w:tc>
          <w:tcPr>
            <w:tcW w:w="1196"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2918" w:type="dxa"/>
            <w:vMerge/>
            <w:tcBorders>
              <w:left w:val="single" w:sz="4" w:space="0" w:color="000000"/>
              <w:right w:val="single" w:sz="4" w:space="0" w:color="000000"/>
            </w:tcBorders>
          </w:tcPr>
          <w:p>
            <w:pPr/>
          </w:p>
        </w:tc>
      </w:tr>
      <w:tr>
        <w:trPr>
          <w:trHeight w:val="161" w:hRule="exact"/>
        </w:trPr>
        <w:tc>
          <w:tcPr>
            <w:tcW w:w="1357" w:type="dxa"/>
            <w:tcBorders>
              <w:top w:val="nil" w:sz="6" w:space="0" w:color="auto"/>
              <w:left w:val="single" w:sz="4" w:space="0" w:color="000000"/>
              <w:bottom w:val="single" w:sz="4" w:space="0" w:color="000000"/>
              <w:right w:val="single" w:sz="4" w:space="0" w:color="000000"/>
            </w:tcBorders>
            <w:shd w:val="clear" w:color="auto" w:fill="D2D2D2"/>
          </w:tcPr>
          <w:p>
            <w:pPr/>
          </w:p>
        </w:tc>
        <w:tc>
          <w:tcPr>
            <w:tcW w:w="1164" w:type="dxa"/>
            <w:vMerge/>
            <w:tcBorders>
              <w:left w:val="single" w:sz="9" w:space="0" w:color="D2D2D2"/>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196"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2918" w:type="dxa"/>
            <w:vMerge/>
            <w:tcBorders>
              <w:left w:val="single" w:sz="4" w:space="0" w:color="000000"/>
              <w:bottom w:val="single" w:sz="4" w:space="0" w:color="000000"/>
              <w:right w:val="single" w:sz="4" w:space="0" w:color="000000"/>
            </w:tcBorders>
          </w:tcPr>
          <w:p>
            <w:pPr/>
          </w:p>
        </w:tc>
      </w:tr>
      <w:tr>
        <w:trPr>
          <w:trHeight w:val="162" w:hRule="exact"/>
        </w:trPr>
        <w:tc>
          <w:tcPr>
            <w:tcW w:w="1357" w:type="dxa"/>
            <w:tcBorders>
              <w:top w:val="single" w:sz="4" w:space="0" w:color="000000"/>
              <w:left w:val="single" w:sz="4" w:space="0" w:color="000000"/>
              <w:bottom w:val="nil" w:sz="6" w:space="0" w:color="auto"/>
              <w:right w:val="single" w:sz="4" w:space="0" w:color="000000"/>
            </w:tcBorders>
            <w:shd w:val="clear" w:color="auto" w:fill="D2D2D2"/>
          </w:tcPr>
          <w:p>
            <w:pPr/>
          </w:p>
        </w:tc>
        <w:tc>
          <w:tcPr>
            <w:tcW w:w="1164" w:type="dxa"/>
            <w:vMerge w:val="restart"/>
            <w:tcBorders>
              <w:top w:val="single" w:sz="4" w:space="0" w:color="000000"/>
              <w:left w:val="single" w:sz="9" w:space="0" w:color="D2D2D2"/>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231,557,258.6</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7</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75" w:right="0"/>
              <w:jc w:val="left"/>
              <w:rPr>
                <w:rFonts w:ascii="Times New Roman" w:hAnsi="Times New Roman" w:cs="Times New Roman" w:eastAsia="Times New Roman" w:hint="default"/>
                <w:sz w:val="18"/>
                <w:szCs w:val="18"/>
              </w:rPr>
            </w:pPr>
            <w:r>
              <w:rPr>
                <w:rFonts w:ascii="Times New Roman"/>
                <w:sz w:val="18"/>
              </w:rPr>
              <w:t>12.91%</w:t>
            </w:r>
          </w:p>
        </w:tc>
        <w:tc>
          <w:tcPr>
            <w:tcW w:w="1196"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37" w:right="0"/>
              <w:jc w:val="left"/>
              <w:rPr>
                <w:rFonts w:ascii="Times New Roman" w:hAnsi="Times New Roman" w:cs="Times New Roman" w:eastAsia="Times New Roman" w:hint="default"/>
                <w:sz w:val="18"/>
                <w:szCs w:val="18"/>
              </w:rPr>
            </w:pPr>
            <w:r>
              <w:rPr>
                <w:rFonts w:ascii="Times New Roman"/>
                <w:sz w:val="18"/>
              </w:rPr>
              <w:t>140,154,661.19</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81" w:right="0"/>
              <w:jc w:val="left"/>
              <w:rPr>
                <w:rFonts w:ascii="Times New Roman" w:hAnsi="Times New Roman" w:cs="Times New Roman" w:eastAsia="Times New Roman" w:hint="default"/>
                <w:sz w:val="18"/>
                <w:szCs w:val="18"/>
              </w:rPr>
            </w:pPr>
            <w:r>
              <w:rPr>
                <w:rFonts w:ascii="Times New Roman"/>
                <w:sz w:val="18"/>
              </w:rPr>
              <w:t>11.09%</w:t>
            </w:r>
          </w:p>
        </w:tc>
        <w:tc>
          <w:tcPr>
            <w:tcW w:w="798"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300" w:right="0"/>
              <w:jc w:val="left"/>
              <w:rPr>
                <w:rFonts w:ascii="Times New Roman" w:hAnsi="Times New Roman" w:cs="Times New Roman" w:eastAsia="Times New Roman" w:hint="default"/>
                <w:sz w:val="18"/>
                <w:szCs w:val="18"/>
              </w:rPr>
            </w:pPr>
            <w:r>
              <w:rPr>
                <w:rFonts w:ascii="Times New Roman"/>
                <w:sz w:val="18"/>
              </w:rPr>
              <w:t>1.82%</w:t>
            </w:r>
          </w:p>
        </w:tc>
        <w:tc>
          <w:tcPr>
            <w:tcW w:w="2918" w:type="dxa"/>
            <w:vMerge w:val="restart"/>
            <w:tcBorders>
              <w:top w:val="single" w:sz="4" w:space="0" w:color="000000"/>
              <w:left w:val="single" w:sz="4" w:space="0" w:color="000000"/>
              <w:right w:val="single" w:sz="4" w:space="0" w:color="000000"/>
            </w:tcBorders>
          </w:tcPr>
          <w:p>
            <w:pPr>
              <w:pStyle w:val="TableParagraph"/>
              <w:spacing w:line="316" w:lineRule="auto" w:before="52"/>
              <w:ind w:left="22" w:right="183"/>
              <w:jc w:val="left"/>
              <w:rPr>
                <w:rFonts w:ascii="宋体" w:hAnsi="宋体" w:cs="宋体" w:eastAsia="宋体" w:hint="default"/>
                <w:sz w:val="18"/>
                <w:szCs w:val="18"/>
              </w:rPr>
            </w:pPr>
            <w:r>
              <w:rPr>
                <w:rFonts w:ascii="宋体" w:hAnsi="宋体" w:cs="宋体" w:eastAsia="宋体" w:hint="default"/>
                <w:sz w:val="18"/>
                <w:szCs w:val="18"/>
              </w:rPr>
              <w:t>主要是为后期产品销售和子公司工 程备料所致。</w:t>
            </w:r>
          </w:p>
        </w:tc>
      </w:tr>
      <w:tr>
        <w:trPr>
          <w:trHeight w:val="391" w:hRule="exact"/>
        </w:trPr>
        <w:tc>
          <w:tcPr>
            <w:tcW w:w="135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164" w:type="dxa"/>
            <w:vMerge/>
            <w:tcBorders>
              <w:left w:val="single" w:sz="9" w:space="0" w:color="D2D2D2"/>
              <w:right w:val="single" w:sz="4" w:space="0" w:color="000000"/>
            </w:tcBorders>
          </w:tcPr>
          <w:p>
            <w:pPr/>
          </w:p>
        </w:tc>
        <w:tc>
          <w:tcPr>
            <w:tcW w:w="1063" w:type="dxa"/>
            <w:vMerge/>
            <w:tcBorders>
              <w:left w:val="single" w:sz="4" w:space="0" w:color="000000"/>
              <w:right w:val="single" w:sz="4" w:space="0" w:color="000000"/>
            </w:tcBorders>
          </w:tcPr>
          <w:p>
            <w:pPr/>
          </w:p>
        </w:tc>
        <w:tc>
          <w:tcPr>
            <w:tcW w:w="1196"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2918" w:type="dxa"/>
            <w:vMerge/>
            <w:tcBorders>
              <w:left w:val="single" w:sz="4" w:space="0" w:color="000000"/>
              <w:right w:val="single" w:sz="4" w:space="0" w:color="000000"/>
            </w:tcBorders>
          </w:tcPr>
          <w:p>
            <w:pPr/>
          </w:p>
        </w:tc>
      </w:tr>
      <w:tr>
        <w:trPr>
          <w:trHeight w:val="161" w:hRule="exact"/>
        </w:trPr>
        <w:tc>
          <w:tcPr>
            <w:tcW w:w="1357" w:type="dxa"/>
            <w:tcBorders>
              <w:top w:val="nil" w:sz="6" w:space="0" w:color="auto"/>
              <w:left w:val="single" w:sz="4" w:space="0" w:color="000000"/>
              <w:bottom w:val="single" w:sz="4" w:space="0" w:color="000000"/>
              <w:right w:val="single" w:sz="4" w:space="0" w:color="000000"/>
            </w:tcBorders>
            <w:shd w:val="clear" w:color="auto" w:fill="D2D2D2"/>
          </w:tcPr>
          <w:p>
            <w:pPr/>
          </w:p>
        </w:tc>
        <w:tc>
          <w:tcPr>
            <w:tcW w:w="1164" w:type="dxa"/>
            <w:vMerge/>
            <w:tcBorders>
              <w:left w:val="single" w:sz="9" w:space="0" w:color="D2D2D2"/>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196"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2918" w:type="dxa"/>
            <w:vMerge/>
            <w:tcBorders>
              <w:left w:val="single" w:sz="4" w:space="0" w:color="000000"/>
              <w:bottom w:val="single" w:sz="4" w:space="0" w:color="000000"/>
              <w:right w:val="single" w:sz="4" w:space="0" w:color="000000"/>
            </w:tcBorders>
          </w:tcPr>
          <w:p>
            <w:pPr/>
          </w:p>
        </w:tc>
      </w:tr>
      <w:tr>
        <w:trPr>
          <w:trHeight w:val="318" w:hRule="exact"/>
        </w:trPr>
        <w:tc>
          <w:tcPr>
            <w:tcW w:w="1357" w:type="dxa"/>
            <w:tcBorders>
              <w:top w:val="single" w:sz="4" w:space="0" w:color="000000"/>
              <w:left w:val="single" w:sz="4" w:space="0" w:color="000000"/>
              <w:bottom w:val="nil" w:sz="6" w:space="0" w:color="auto"/>
              <w:right w:val="single" w:sz="4" w:space="0" w:color="000000"/>
            </w:tcBorders>
            <w:shd w:val="clear" w:color="auto" w:fill="D2D2D2"/>
          </w:tcPr>
          <w:p>
            <w:pPr/>
          </w:p>
        </w:tc>
        <w:tc>
          <w:tcPr>
            <w:tcW w:w="1164" w:type="dxa"/>
            <w:vMerge w:val="restart"/>
            <w:tcBorders>
              <w:top w:val="single" w:sz="4" w:space="0" w:color="000000"/>
              <w:left w:val="single" w:sz="9"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89" w:right="0"/>
              <w:jc w:val="left"/>
              <w:rPr>
                <w:rFonts w:ascii="Times New Roman" w:hAnsi="Times New Roman" w:cs="Times New Roman" w:eastAsia="Times New Roman" w:hint="default"/>
                <w:sz w:val="18"/>
                <w:szCs w:val="18"/>
              </w:rPr>
            </w:pPr>
            <w:r>
              <w:rPr>
                <w:rFonts w:ascii="Times New Roman"/>
                <w:sz w:val="18"/>
              </w:rPr>
              <w:t>26,528,401.90</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565" w:right="0"/>
              <w:jc w:val="left"/>
              <w:rPr>
                <w:rFonts w:ascii="Times New Roman" w:hAnsi="Times New Roman" w:cs="Times New Roman" w:eastAsia="Times New Roman" w:hint="default"/>
                <w:sz w:val="18"/>
                <w:szCs w:val="18"/>
              </w:rPr>
            </w:pPr>
            <w:r>
              <w:rPr>
                <w:rFonts w:ascii="Times New Roman"/>
                <w:sz w:val="18"/>
              </w:rPr>
              <w:t>1.48%</w:t>
            </w:r>
          </w:p>
        </w:tc>
        <w:tc>
          <w:tcPr>
            <w:tcW w:w="1196" w:type="dxa"/>
            <w:vMerge w:val="restart"/>
            <w:tcBorders>
              <w:top w:val="single" w:sz="4" w:space="0" w:color="000000"/>
              <w:left w:val="single" w:sz="4" w:space="0" w:color="000000"/>
              <w:right w:val="single" w:sz="4" w:space="0" w:color="000000"/>
            </w:tcBorders>
          </w:tcPr>
          <w:p>
            <w:pPr/>
          </w:p>
        </w:tc>
        <w:tc>
          <w:tcPr>
            <w:tcW w:w="1063"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300" w:right="0"/>
              <w:jc w:val="left"/>
              <w:rPr>
                <w:rFonts w:ascii="Times New Roman" w:hAnsi="Times New Roman" w:cs="Times New Roman" w:eastAsia="Times New Roman" w:hint="default"/>
                <w:sz w:val="18"/>
                <w:szCs w:val="18"/>
              </w:rPr>
            </w:pPr>
            <w:r>
              <w:rPr>
                <w:rFonts w:ascii="Times New Roman"/>
                <w:sz w:val="18"/>
              </w:rPr>
              <w:t>1.48%</w:t>
            </w:r>
          </w:p>
        </w:tc>
        <w:tc>
          <w:tcPr>
            <w:tcW w:w="2918" w:type="dxa"/>
            <w:vMerge w:val="restart"/>
            <w:tcBorders>
              <w:top w:val="single" w:sz="4" w:space="0" w:color="000000"/>
              <w:left w:val="single" w:sz="4" w:space="0" w:color="000000"/>
              <w:right w:val="single" w:sz="4" w:space="0" w:color="000000"/>
            </w:tcBorders>
          </w:tcPr>
          <w:p>
            <w:pPr>
              <w:pStyle w:val="TableParagraph"/>
              <w:spacing w:line="316" w:lineRule="auto" w:before="52"/>
              <w:ind w:left="22" w:right="21"/>
              <w:jc w:val="left"/>
              <w:rPr>
                <w:rFonts w:ascii="宋体" w:hAnsi="宋体" w:cs="宋体" w:eastAsia="宋体" w:hint="default"/>
                <w:sz w:val="18"/>
                <w:szCs w:val="18"/>
              </w:rPr>
            </w:pPr>
            <w:r>
              <w:rPr>
                <w:rFonts w:ascii="宋体" w:hAnsi="宋体" w:cs="宋体" w:eastAsia="宋体" w:hint="default"/>
                <w:sz w:val="18"/>
                <w:szCs w:val="18"/>
              </w:rPr>
              <w:t>主要是报告期内期将自有房产用于 </w:t>
            </w:r>
            <w:r>
              <w:rPr>
                <w:rFonts w:ascii="宋体" w:hAnsi="宋体" w:cs="宋体" w:eastAsia="宋体" w:hint="default"/>
                <w:spacing w:val="-2"/>
                <w:sz w:val="18"/>
                <w:szCs w:val="18"/>
              </w:rPr>
              <w:t>出租、并将购入的房产转入投资性房</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地产核算所致。</w:t>
            </w:r>
          </w:p>
        </w:tc>
      </w:tr>
      <w:tr>
        <w:trPr>
          <w:trHeight w:val="391" w:hRule="exact"/>
        </w:trPr>
        <w:tc>
          <w:tcPr>
            <w:tcW w:w="135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164" w:type="dxa"/>
            <w:vMerge/>
            <w:tcBorders>
              <w:left w:val="single" w:sz="9" w:space="0" w:color="D2D2D2"/>
              <w:right w:val="single" w:sz="4" w:space="0" w:color="000000"/>
            </w:tcBorders>
          </w:tcPr>
          <w:p>
            <w:pPr/>
          </w:p>
        </w:tc>
        <w:tc>
          <w:tcPr>
            <w:tcW w:w="1063" w:type="dxa"/>
            <w:vMerge/>
            <w:tcBorders>
              <w:left w:val="single" w:sz="4" w:space="0" w:color="000000"/>
              <w:right w:val="single" w:sz="4" w:space="0" w:color="000000"/>
            </w:tcBorders>
          </w:tcPr>
          <w:p>
            <w:pPr/>
          </w:p>
        </w:tc>
        <w:tc>
          <w:tcPr>
            <w:tcW w:w="1196"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2918" w:type="dxa"/>
            <w:vMerge/>
            <w:tcBorders>
              <w:left w:val="single" w:sz="4" w:space="0" w:color="000000"/>
              <w:right w:val="single" w:sz="4" w:space="0" w:color="000000"/>
            </w:tcBorders>
          </w:tcPr>
          <w:p>
            <w:pPr/>
          </w:p>
        </w:tc>
      </w:tr>
      <w:tr>
        <w:trPr>
          <w:trHeight w:val="317" w:hRule="exact"/>
        </w:trPr>
        <w:tc>
          <w:tcPr>
            <w:tcW w:w="1357" w:type="dxa"/>
            <w:tcBorders>
              <w:top w:val="nil" w:sz="6" w:space="0" w:color="auto"/>
              <w:left w:val="single" w:sz="4" w:space="0" w:color="000000"/>
              <w:bottom w:val="single" w:sz="4" w:space="0" w:color="000000"/>
              <w:right w:val="single" w:sz="4" w:space="0" w:color="000000"/>
            </w:tcBorders>
            <w:shd w:val="clear" w:color="auto" w:fill="D2D2D2"/>
          </w:tcPr>
          <w:p>
            <w:pPr/>
          </w:p>
        </w:tc>
        <w:tc>
          <w:tcPr>
            <w:tcW w:w="1164" w:type="dxa"/>
            <w:vMerge/>
            <w:tcBorders>
              <w:left w:val="single" w:sz="9" w:space="0" w:color="D2D2D2"/>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196"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2918" w:type="dxa"/>
            <w:vMerge/>
            <w:tcBorders>
              <w:left w:val="single" w:sz="4" w:space="0" w:color="000000"/>
              <w:bottom w:val="single" w:sz="4" w:space="0" w:color="000000"/>
              <w:right w:val="single" w:sz="4" w:space="0" w:color="000000"/>
            </w:tcBorders>
          </w:tcPr>
          <w:p>
            <w:pPr/>
          </w:p>
        </w:tc>
      </w:tr>
      <w:tr>
        <w:trPr>
          <w:trHeight w:val="162" w:hRule="exact"/>
        </w:trPr>
        <w:tc>
          <w:tcPr>
            <w:tcW w:w="1357" w:type="dxa"/>
            <w:tcBorders>
              <w:top w:val="single" w:sz="4" w:space="0" w:color="000000"/>
              <w:left w:val="single" w:sz="4" w:space="0" w:color="000000"/>
              <w:bottom w:val="nil" w:sz="6" w:space="0" w:color="auto"/>
              <w:right w:val="single" w:sz="4" w:space="0" w:color="000000"/>
            </w:tcBorders>
            <w:shd w:val="clear" w:color="auto" w:fill="D2D2D2"/>
          </w:tcPr>
          <w:p>
            <w:pPr/>
          </w:p>
        </w:tc>
        <w:tc>
          <w:tcPr>
            <w:tcW w:w="1164" w:type="dxa"/>
            <w:vMerge w:val="restart"/>
            <w:tcBorders>
              <w:top w:val="single" w:sz="4" w:space="0" w:color="000000"/>
              <w:left w:val="single" w:sz="9" w:space="0" w:color="D2D2D2"/>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79" w:right="0"/>
              <w:jc w:val="left"/>
              <w:rPr>
                <w:rFonts w:ascii="Times New Roman" w:hAnsi="Times New Roman" w:cs="Times New Roman" w:eastAsia="Times New Roman" w:hint="default"/>
                <w:sz w:val="18"/>
                <w:szCs w:val="18"/>
              </w:rPr>
            </w:pPr>
            <w:r>
              <w:rPr>
                <w:rFonts w:ascii="Times New Roman"/>
                <w:sz w:val="18"/>
              </w:rPr>
              <w:t>1,177,449.00</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565" w:right="0"/>
              <w:jc w:val="left"/>
              <w:rPr>
                <w:rFonts w:ascii="Times New Roman" w:hAnsi="Times New Roman" w:cs="Times New Roman" w:eastAsia="Times New Roman" w:hint="default"/>
                <w:sz w:val="18"/>
                <w:szCs w:val="18"/>
              </w:rPr>
            </w:pPr>
            <w:r>
              <w:rPr>
                <w:rFonts w:ascii="Times New Roman"/>
                <w:sz w:val="18"/>
              </w:rPr>
              <w:t>0.07%</w:t>
            </w:r>
          </w:p>
        </w:tc>
        <w:tc>
          <w:tcPr>
            <w:tcW w:w="1196" w:type="dxa"/>
            <w:vMerge w:val="restart"/>
            <w:tcBorders>
              <w:top w:val="single" w:sz="4" w:space="0" w:color="000000"/>
              <w:left w:val="single" w:sz="4" w:space="0" w:color="000000"/>
              <w:right w:val="single" w:sz="4" w:space="0" w:color="000000"/>
            </w:tcBorders>
          </w:tcPr>
          <w:p>
            <w:pPr/>
          </w:p>
        </w:tc>
        <w:tc>
          <w:tcPr>
            <w:tcW w:w="1063"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300" w:right="0"/>
              <w:jc w:val="left"/>
              <w:rPr>
                <w:rFonts w:ascii="Times New Roman" w:hAnsi="Times New Roman" w:cs="Times New Roman" w:eastAsia="Times New Roman" w:hint="default"/>
                <w:sz w:val="18"/>
                <w:szCs w:val="18"/>
              </w:rPr>
            </w:pPr>
            <w:r>
              <w:rPr>
                <w:rFonts w:ascii="Times New Roman"/>
                <w:sz w:val="18"/>
              </w:rPr>
              <w:t>0.07%</w:t>
            </w:r>
          </w:p>
        </w:tc>
        <w:tc>
          <w:tcPr>
            <w:tcW w:w="2918" w:type="dxa"/>
            <w:vMerge w:val="restart"/>
            <w:tcBorders>
              <w:top w:val="single" w:sz="4" w:space="0" w:color="000000"/>
              <w:left w:val="single" w:sz="4" w:space="0" w:color="000000"/>
              <w:right w:val="single" w:sz="4" w:space="0" w:color="000000"/>
            </w:tcBorders>
          </w:tcPr>
          <w:p>
            <w:pPr>
              <w:pStyle w:val="TableParagraph"/>
              <w:spacing w:line="300" w:lineRule="auto" w:before="52"/>
              <w:ind w:left="22" w:right="102"/>
              <w:jc w:val="left"/>
              <w:rPr>
                <w:rFonts w:ascii="宋体" w:hAnsi="宋体" w:cs="宋体" w:eastAsia="宋体" w:hint="default"/>
                <w:sz w:val="18"/>
                <w:szCs w:val="18"/>
              </w:rPr>
            </w:pPr>
            <w:r>
              <w:rPr>
                <w:rFonts w:ascii="宋体" w:hAnsi="宋体" w:cs="宋体" w:eastAsia="宋体" w:hint="default"/>
                <w:sz w:val="18"/>
                <w:szCs w:val="18"/>
              </w:rPr>
              <w:t>主要是报告期内投资</w:t>
            </w:r>
            <w:r>
              <w:rPr>
                <w:rFonts w:ascii="Times New Roman" w:hAnsi="Times New Roman" w:cs="Times New Roman" w:eastAsia="Times New Roman" w:hint="default"/>
                <w:sz w:val="18"/>
                <w:szCs w:val="18"/>
              </w:rPr>
              <w:t>“</w:t>
            </w:r>
            <w:r>
              <w:rPr>
                <w:rFonts w:ascii="宋体" w:hAnsi="宋体" w:cs="宋体" w:eastAsia="宋体" w:hint="default"/>
                <w:sz w:val="18"/>
                <w:szCs w:val="18"/>
              </w:rPr>
              <w:t>内蒙古中基智 慧城市建设有限公司</w:t>
            </w:r>
            <w:r>
              <w:rPr>
                <w:rFonts w:ascii="Times New Roman" w:hAnsi="Times New Roman" w:cs="Times New Roman" w:eastAsia="Times New Roman" w:hint="default"/>
                <w:sz w:val="18"/>
                <w:szCs w:val="18"/>
              </w:rPr>
              <w:t>”</w:t>
            </w:r>
            <w:r>
              <w:rPr>
                <w:rFonts w:ascii="宋体" w:hAnsi="宋体" w:cs="宋体" w:eastAsia="宋体" w:hint="default"/>
                <w:sz w:val="18"/>
                <w:szCs w:val="18"/>
              </w:rPr>
              <w:t>所致。</w:t>
            </w:r>
          </w:p>
        </w:tc>
      </w:tr>
      <w:tr>
        <w:trPr>
          <w:trHeight w:val="391" w:hRule="exact"/>
        </w:trPr>
        <w:tc>
          <w:tcPr>
            <w:tcW w:w="135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164" w:type="dxa"/>
            <w:vMerge/>
            <w:tcBorders>
              <w:left w:val="single" w:sz="9" w:space="0" w:color="D2D2D2"/>
              <w:right w:val="single" w:sz="4" w:space="0" w:color="000000"/>
            </w:tcBorders>
          </w:tcPr>
          <w:p>
            <w:pPr/>
          </w:p>
        </w:tc>
        <w:tc>
          <w:tcPr>
            <w:tcW w:w="1063" w:type="dxa"/>
            <w:vMerge/>
            <w:tcBorders>
              <w:left w:val="single" w:sz="4" w:space="0" w:color="000000"/>
              <w:right w:val="single" w:sz="4" w:space="0" w:color="000000"/>
            </w:tcBorders>
          </w:tcPr>
          <w:p>
            <w:pPr/>
          </w:p>
        </w:tc>
        <w:tc>
          <w:tcPr>
            <w:tcW w:w="1196"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2918" w:type="dxa"/>
            <w:vMerge/>
            <w:tcBorders>
              <w:left w:val="single" w:sz="4" w:space="0" w:color="000000"/>
              <w:right w:val="single" w:sz="4" w:space="0" w:color="000000"/>
            </w:tcBorders>
          </w:tcPr>
          <w:p>
            <w:pPr/>
          </w:p>
        </w:tc>
      </w:tr>
      <w:tr>
        <w:trPr>
          <w:trHeight w:val="161" w:hRule="exact"/>
        </w:trPr>
        <w:tc>
          <w:tcPr>
            <w:tcW w:w="1357" w:type="dxa"/>
            <w:tcBorders>
              <w:top w:val="nil" w:sz="6" w:space="0" w:color="auto"/>
              <w:left w:val="single" w:sz="4" w:space="0" w:color="000000"/>
              <w:bottom w:val="single" w:sz="4" w:space="0" w:color="000000"/>
              <w:right w:val="single" w:sz="4" w:space="0" w:color="000000"/>
            </w:tcBorders>
            <w:shd w:val="clear" w:color="auto" w:fill="D2D2D2"/>
          </w:tcPr>
          <w:p>
            <w:pPr/>
          </w:p>
        </w:tc>
        <w:tc>
          <w:tcPr>
            <w:tcW w:w="1164" w:type="dxa"/>
            <w:vMerge/>
            <w:tcBorders>
              <w:left w:val="single" w:sz="9" w:space="0" w:color="D2D2D2"/>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196"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2918" w:type="dxa"/>
            <w:vMerge/>
            <w:tcBorders>
              <w:left w:val="single" w:sz="4" w:space="0" w:color="000000"/>
              <w:bottom w:val="single" w:sz="4" w:space="0" w:color="000000"/>
              <w:right w:val="single" w:sz="4" w:space="0" w:color="000000"/>
            </w:tcBorders>
          </w:tcPr>
          <w:p>
            <w:pPr/>
          </w:p>
        </w:tc>
      </w:tr>
      <w:tr>
        <w:trPr>
          <w:trHeight w:val="162" w:hRule="exact"/>
        </w:trPr>
        <w:tc>
          <w:tcPr>
            <w:tcW w:w="1357" w:type="dxa"/>
            <w:tcBorders>
              <w:top w:val="single" w:sz="4" w:space="0" w:color="000000"/>
              <w:left w:val="single" w:sz="4" w:space="0" w:color="000000"/>
              <w:bottom w:val="nil" w:sz="6" w:space="0" w:color="auto"/>
              <w:right w:val="single" w:sz="4" w:space="0" w:color="000000"/>
            </w:tcBorders>
            <w:shd w:val="clear" w:color="auto" w:fill="D2D2D2"/>
          </w:tcPr>
          <w:p>
            <w:pPr/>
          </w:p>
        </w:tc>
        <w:tc>
          <w:tcPr>
            <w:tcW w:w="1164" w:type="dxa"/>
            <w:vMerge w:val="restart"/>
            <w:tcBorders>
              <w:top w:val="single" w:sz="4" w:space="0" w:color="000000"/>
              <w:left w:val="single" w:sz="9" w:space="0" w:color="D2D2D2"/>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164,002,912.8</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1</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left="565" w:right="0"/>
              <w:jc w:val="left"/>
              <w:rPr>
                <w:rFonts w:ascii="Times New Roman" w:hAnsi="Times New Roman" w:cs="Times New Roman" w:eastAsia="Times New Roman" w:hint="default"/>
                <w:sz w:val="18"/>
                <w:szCs w:val="18"/>
              </w:rPr>
            </w:pPr>
            <w:r>
              <w:rPr>
                <w:rFonts w:ascii="Times New Roman"/>
                <w:sz w:val="18"/>
              </w:rPr>
              <w:t>9.14%</w:t>
            </w:r>
          </w:p>
        </w:tc>
        <w:tc>
          <w:tcPr>
            <w:tcW w:w="119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left="37" w:right="0"/>
              <w:jc w:val="left"/>
              <w:rPr>
                <w:rFonts w:ascii="Times New Roman" w:hAnsi="Times New Roman" w:cs="Times New Roman" w:eastAsia="Times New Roman" w:hint="default"/>
                <w:sz w:val="18"/>
                <w:szCs w:val="18"/>
              </w:rPr>
            </w:pPr>
            <w:r>
              <w:rPr>
                <w:rFonts w:ascii="Times New Roman"/>
                <w:sz w:val="18"/>
              </w:rPr>
              <w:t>156,966,468.04</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left="475" w:right="0"/>
              <w:jc w:val="left"/>
              <w:rPr>
                <w:rFonts w:ascii="Times New Roman" w:hAnsi="Times New Roman" w:cs="Times New Roman" w:eastAsia="Times New Roman" w:hint="default"/>
                <w:sz w:val="18"/>
                <w:szCs w:val="18"/>
              </w:rPr>
            </w:pPr>
            <w:r>
              <w:rPr>
                <w:rFonts w:ascii="Times New Roman"/>
                <w:sz w:val="18"/>
              </w:rPr>
              <w:t>12.43%</w:t>
            </w:r>
          </w:p>
        </w:tc>
        <w:tc>
          <w:tcPr>
            <w:tcW w:w="79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left="240" w:right="0"/>
              <w:jc w:val="left"/>
              <w:rPr>
                <w:rFonts w:ascii="Times New Roman" w:hAnsi="Times New Roman" w:cs="Times New Roman" w:eastAsia="Times New Roman" w:hint="default"/>
                <w:sz w:val="18"/>
                <w:szCs w:val="18"/>
              </w:rPr>
            </w:pPr>
            <w:r>
              <w:rPr>
                <w:rFonts w:ascii="Times New Roman"/>
                <w:sz w:val="18"/>
              </w:rPr>
              <w:t>-3.29%</w:t>
            </w:r>
          </w:p>
        </w:tc>
        <w:tc>
          <w:tcPr>
            <w:tcW w:w="2918" w:type="dxa"/>
            <w:vMerge w:val="restart"/>
            <w:tcBorders>
              <w:top w:val="single" w:sz="4" w:space="0" w:color="000000"/>
              <w:left w:val="single" w:sz="4" w:space="0" w:color="000000"/>
              <w:right w:val="single" w:sz="4" w:space="0" w:color="000000"/>
            </w:tcBorders>
          </w:tcPr>
          <w:p>
            <w:pPr/>
          </w:p>
        </w:tc>
      </w:tr>
      <w:tr>
        <w:trPr>
          <w:trHeight w:val="392" w:hRule="exact"/>
        </w:trPr>
        <w:tc>
          <w:tcPr>
            <w:tcW w:w="135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164" w:type="dxa"/>
            <w:vMerge/>
            <w:tcBorders>
              <w:left w:val="single" w:sz="9" w:space="0" w:color="D2D2D2"/>
              <w:right w:val="single" w:sz="4" w:space="0" w:color="000000"/>
            </w:tcBorders>
          </w:tcPr>
          <w:p>
            <w:pPr/>
          </w:p>
        </w:tc>
        <w:tc>
          <w:tcPr>
            <w:tcW w:w="1063" w:type="dxa"/>
            <w:vMerge/>
            <w:tcBorders>
              <w:left w:val="single" w:sz="4" w:space="0" w:color="000000"/>
              <w:right w:val="single" w:sz="4" w:space="0" w:color="000000"/>
            </w:tcBorders>
          </w:tcPr>
          <w:p>
            <w:pPr/>
          </w:p>
        </w:tc>
        <w:tc>
          <w:tcPr>
            <w:tcW w:w="1196"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2918" w:type="dxa"/>
            <w:vMerge/>
            <w:tcBorders>
              <w:left w:val="single" w:sz="4" w:space="0" w:color="000000"/>
              <w:right w:val="single" w:sz="4" w:space="0" w:color="000000"/>
            </w:tcBorders>
          </w:tcPr>
          <w:p>
            <w:pPr/>
          </w:p>
        </w:tc>
      </w:tr>
      <w:tr>
        <w:trPr>
          <w:trHeight w:val="161" w:hRule="exact"/>
        </w:trPr>
        <w:tc>
          <w:tcPr>
            <w:tcW w:w="1357" w:type="dxa"/>
            <w:tcBorders>
              <w:top w:val="nil" w:sz="6" w:space="0" w:color="auto"/>
              <w:left w:val="single" w:sz="4" w:space="0" w:color="000000"/>
              <w:bottom w:val="single" w:sz="4" w:space="0" w:color="000000"/>
              <w:right w:val="single" w:sz="4" w:space="0" w:color="000000"/>
            </w:tcBorders>
            <w:shd w:val="clear" w:color="auto" w:fill="D2D2D2"/>
          </w:tcPr>
          <w:p>
            <w:pPr/>
          </w:p>
        </w:tc>
        <w:tc>
          <w:tcPr>
            <w:tcW w:w="1164" w:type="dxa"/>
            <w:vMerge/>
            <w:tcBorders>
              <w:left w:val="single" w:sz="9" w:space="0" w:color="D2D2D2"/>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196"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2918" w:type="dxa"/>
            <w:vMerge/>
            <w:tcBorders>
              <w:left w:val="single" w:sz="4" w:space="0" w:color="000000"/>
              <w:bottom w:val="single" w:sz="4" w:space="0" w:color="000000"/>
              <w:right w:val="single" w:sz="4" w:space="0" w:color="000000"/>
            </w:tcBorders>
          </w:tcPr>
          <w:p>
            <w:pPr/>
          </w:p>
        </w:tc>
      </w:tr>
      <w:tr>
        <w:trPr>
          <w:trHeight w:val="162" w:hRule="exact"/>
        </w:trPr>
        <w:tc>
          <w:tcPr>
            <w:tcW w:w="1357" w:type="dxa"/>
            <w:tcBorders>
              <w:top w:val="single" w:sz="4" w:space="0" w:color="000000"/>
              <w:left w:val="single" w:sz="4" w:space="0" w:color="000000"/>
              <w:bottom w:val="nil" w:sz="6" w:space="0" w:color="auto"/>
              <w:right w:val="single" w:sz="4" w:space="0" w:color="000000"/>
            </w:tcBorders>
            <w:shd w:val="clear" w:color="auto" w:fill="D2D2D2"/>
          </w:tcPr>
          <w:p>
            <w:pPr/>
          </w:p>
        </w:tc>
        <w:tc>
          <w:tcPr>
            <w:tcW w:w="1164" w:type="dxa"/>
            <w:vMerge w:val="restart"/>
            <w:tcBorders>
              <w:top w:val="single" w:sz="4" w:space="0" w:color="000000"/>
              <w:left w:val="single" w:sz="9" w:space="0" w:color="D2D2D2"/>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100,000,000.0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565" w:right="0"/>
              <w:jc w:val="left"/>
              <w:rPr>
                <w:rFonts w:ascii="Times New Roman" w:hAnsi="Times New Roman" w:cs="Times New Roman" w:eastAsia="Times New Roman" w:hint="default"/>
                <w:sz w:val="18"/>
                <w:szCs w:val="18"/>
              </w:rPr>
            </w:pPr>
            <w:r>
              <w:rPr>
                <w:rFonts w:ascii="Times New Roman"/>
                <w:sz w:val="18"/>
              </w:rPr>
              <w:t>5.58%</w:t>
            </w:r>
          </w:p>
        </w:tc>
        <w:tc>
          <w:tcPr>
            <w:tcW w:w="1196"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27" w:right="0"/>
              <w:jc w:val="left"/>
              <w:rPr>
                <w:rFonts w:ascii="Times New Roman" w:hAnsi="Times New Roman" w:cs="Times New Roman" w:eastAsia="Times New Roman" w:hint="default"/>
                <w:sz w:val="18"/>
                <w:szCs w:val="18"/>
              </w:rPr>
            </w:pPr>
            <w:r>
              <w:rPr>
                <w:rFonts w:ascii="Times New Roman"/>
                <w:sz w:val="18"/>
              </w:rPr>
              <w:t>25,000,000.00</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565" w:right="0"/>
              <w:jc w:val="left"/>
              <w:rPr>
                <w:rFonts w:ascii="Times New Roman" w:hAnsi="Times New Roman" w:cs="Times New Roman" w:eastAsia="Times New Roman" w:hint="default"/>
                <w:sz w:val="18"/>
                <w:szCs w:val="18"/>
              </w:rPr>
            </w:pPr>
            <w:r>
              <w:rPr>
                <w:rFonts w:ascii="Times New Roman"/>
                <w:sz w:val="18"/>
              </w:rPr>
              <w:t>1.98%</w:t>
            </w:r>
          </w:p>
        </w:tc>
        <w:tc>
          <w:tcPr>
            <w:tcW w:w="798"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300" w:right="0"/>
              <w:jc w:val="left"/>
              <w:rPr>
                <w:rFonts w:ascii="Times New Roman" w:hAnsi="Times New Roman" w:cs="Times New Roman" w:eastAsia="Times New Roman" w:hint="default"/>
                <w:sz w:val="18"/>
                <w:szCs w:val="18"/>
              </w:rPr>
            </w:pPr>
            <w:r>
              <w:rPr>
                <w:rFonts w:ascii="Times New Roman"/>
                <w:sz w:val="18"/>
              </w:rPr>
              <w:t>3.60%</w:t>
            </w:r>
          </w:p>
        </w:tc>
        <w:tc>
          <w:tcPr>
            <w:tcW w:w="2918"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主要是报告期内银行贷款增加所致。</w:t>
            </w:r>
          </w:p>
        </w:tc>
      </w:tr>
      <w:tr>
        <w:trPr>
          <w:trHeight w:val="391" w:hRule="exact"/>
        </w:trPr>
        <w:tc>
          <w:tcPr>
            <w:tcW w:w="135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164" w:type="dxa"/>
            <w:vMerge/>
            <w:tcBorders>
              <w:left w:val="single" w:sz="9" w:space="0" w:color="D2D2D2"/>
              <w:right w:val="single" w:sz="4" w:space="0" w:color="000000"/>
            </w:tcBorders>
          </w:tcPr>
          <w:p>
            <w:pPr/>
          </w:p>
        </w:tc>
        <w:tc>
          <w:tcPr>
            <w:tcW w:w="1063" w:type="dxa"/>
            <w:vMerge/>
            <w:tcBorders>
              <w:left w:val="single" w:sz="4" w:space="0" w:color="000000"/>
              <w:right w:val="single" w:sz="4" w:space="0" w:color="000000"/>
            </w:tcBorders>
          </w:tcPr>
          <w:p>
            <w:pPr/>
          </w:p>
        </w:tc>
        <w:tc>
          <w:tcPr>
            <w:tcW w:w="1196"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2918" w:type="dxa"/>
            <w:vMerge/>
            <w:tcBorders>
              <w:left w:val="single" w:sz="4" w:space="0" w:color="000000"/>
              <w:right w:val="single" w:sz="4" w:space="0" w:color="000000"/>
            </w:tcBorders>
          </w:tcPr>
          <w:p>
            <w:pPr/>
          </w:p>
        </w:tc>
      </w:tr>
      <w:tr>
        <w:trPr>
          <w:trHeight w:val="162" w:hRule="exact"/>
        </w:trPr>
        <w:tc>
          <w:tcPr>
            <w:tcW w:w="1357" w:type="dxa"/>
            <w:tcBorders>
              <w:top w:val="nil" w:sz="6" w:space="0" w:color="auto"/>
              <w:left w:val="single" w:sz="4" w:space="0" w:color="000000"/>
              <w:bottom w:val="single" w:sz="4" w:space="0" w:color="000000"/>
              <w:right w:val="single" w:sz="4" w:space="0" w:color="000000"/>
            </w:tcBorders>
            <w:shd w:val="clear" w:color="auto" w:fill="D2D2D2"/>
          </w:tcPr>
          <w:p>
            <w:pPr/>
          </w:p>
        </w:tc>
        <w:tc>
          <w:tcPr>
            <w:tcW w:w="1164" w:type="dxa"/>
            <w:vMerge/>
            <w:tcBorders>
              <w:left w:val="single" w:sz="9" w:space="0" w:color="D2D2D2"/>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196"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2918" w:type="dxa"/>
            <w:vMerge/>
            <w:tcBorders>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以公允价值计量的资产和负债" w:id="42"/>
      <w:bookmarkEnd w:id="42"/>
      <w:r>
        <w:rPr>
          <w:b w:val="0"/>
          <w:bCs w:val="0"/>
        </w:rPr>
      </w:r>
      <w:r>
        <w:rPr>
          <w:rFonts w:ascii="Times New Roman" w:hAnsi="Times New Roman" w:cs="Times New Roman" w:eastAsia="Times New Roman" w:hint="default"/>
        </w:rPr>
        <w:t>2</w:t>
      </w:r>
      <w:r>
        <w:rPr/>
        <w:t>、以公允价值计量的资产和负债</w:t>
      </w:r>
      <w:r>
        <w:rPr>
          <w:b w:val="0"/>
          <w:bCs w:val="0"/>
        </w:rPr>
      </w:r>
    </w:p>
    <w:p>
      <w:pPr>
        <w:spacing w:line="240" w:lineRule="auto" w:before="8"/>
        <w:rPr>
          <w:rFonts w:ascii="宋体" w:hAnsi="宋体" w:cs="宋体" w:eastAsia="宋体" w:hint="default"/>
          <w:b/>
          <w:bCs/>
          <w:sz w:val="26"/>
          <w:szCs w:val="26"/>
        </w:rPr>
      </w:pPr>
    </w:p>
    <w:p>
      <w:pPr>
        <w:spacing w:line="544" w:lineRule="auto" w:before="0"/>
        <w:ind w:left="153" w:right="7275"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w:t>
      </w:r>
      <w:bookmarkStart w:name="3、截至报告期末的资产权利受限情况" w:id="43"/>
      <w:bookmarkEnd w:id="43"/>
      <w:r>
        <w:rPr>
          <w:rFonts w:ascii="宋体" w:hAnsi="宋体" w:cs="宋体" w:eastAsia="宋体" w:hint="default"/>
          <w:sz w:val="18"/>
          <w:szCs w:val="18"/>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、截至报告期末的资产权利受限情况</w:t>
      </w:r>
      <w:r>
        <w:rPr>
          <w:rFonts w:ascii="宋体" w:hAnsi="宋体" w:cs="宋体" w:eastAsia="宋体" w:hint="default"/>
          <w:b/>
          <w:bCs/>
          <w:w w:val="99"/>
          <w:sz w:val="21"/>
          <w:szCs w:val="21"/>
        </w:rPr>
        <w:t> </w:t>
      </w:r>
      <w:r>
        <w:rPr>
          <w:rFonts w:ascii="宋体" w:hAnsi="宋体" w:cs="宋体" w:eastAsia="宋体" w:hint="default"/>
          <w:sz w:val="18"/>
          <w:szCs w:val="18"/>
        </w:rPr>
        <w:t>无。</w:t>
      </w:r>
    </w:p>
    <w:p>
      <w:pPr>
        <w:pStyle w:val="Heading2"/>
        <w:spacing w:line="240" w:lineRule="auto" w:before="100"/>
        <w:ind w:left="154" w:right="0"/>
        <w:jc w:val="left"/>
        <w:rPr>
          <w:b w:val="0"/>
          <w:bCs w:val="0"/>
        </w:rPr>
      </w:pPr>
      <w:bookmarkStart w:name="五、投资状况分析" w:id="44"/>
      <w:bookmarkEnd w:id="44"/>
      <w:r>
        <w:rPr>
          <w:b w:val="0"/>
          <w:bCs w:val="0"/>
        </w:rPr>
      </w:r>
      <w:r>
        <w:rPr/>
        <w:t>五、投资状况分析</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53" w:right="0"/>
        <w:jc w:val="left"/>
        <w:rPr>
          <w:b w:val="0"/>
          <w:bCs w:val="0"/>
        </w:rPr>
      </w:pPr>
      <w:bookmarkStart w:name="1、总体情况" w:id="45"/>
      <w:bookmarkEnd w:id="45"/>
      <w:r>
        <w:rPr>
          <w:b w:val="0"/>
          <w:bCs w:val="0"/>
        </w:rPr>
      </w:r>
      <w:r>
        <w:rPr>
          <w:rFonts w:ascii="Times New Roman" w:hAnsi="Times New Roman" w:cs="Times New Roman" w:eastAsia="Times New Roman" w:hint="default"/>
        </w:rPr>
        <w:t>1</w:t>
      </w:r>
      <w:r>
        <w:rPr/>
        <w:t>、总体情况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3"/>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3189"/>
        <w:gridCol w:w="3190"/>
        <w:gridCol w:w="3191"/>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79" w:right="0"/>
              <w:jc w:val="left"/>
              <w:rPr>
                <w:rFonts w:ascii="宋体" w:hAnsi="宋体" w:cs="宋体" w:eastAsia="宋体" w:hint="default"/>
                <w:sz w:val="18"/>
                <w:szCs w:val="18"/>
              </w:rPr>
            </w:pPr>
            <w:r>
              <w:rPr>
                <w:rFonts w:ascii="宋体" w:hAnsi="宋体" w:cs="宋体" w:eastAsia="宋体" w:hint="default"/>
                <w:sz w:val="18"/>
                <w:szCs w:val="18"/>
              </w:rPr>
              <w:t>报告期投资额（元）</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90" w:right="0"/>
              <w:jc w:val="left"/>
              <w:rPr>
                <w:rFonts w:ascii="宋体" w:hAnsi="宋体" w:cs="宋体" w:eastAsia="宋体" w:hint="default"/>
                <w:sz w:val="18"/>
                <w:szCs w:val="18"/>
              </w:rPr>
            </w:pPr>
            <w:r>
              <w:rPr>
                <w:rFonts w:ascii="宋体" w:hAnsi="宋体" w:cs="宋体" w:eastAsia="宋体" w:hint="default"/>
                <w:sz w:val="18"/>
                <w:szCs w:val="18"/>
              </w:rPr>
              <w:t>上年同期投资额（元）</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变动幅度</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86,401,300.00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033" w:right="0"/>
              <w:jc w:val="left"/>
              <w:rPr>
                <w:rFonts w:ascii="Times New Roman" w:hAnsi="Times New Roman" w:cs="Times New Roman" w:eastAsia="Times New Roman" w:hint="default"/>
                <w:sz w:val="18"/>
                <w:szCs w:val="18"/>
              </w:rPr>
            </w:pPr>
            <w:r>
              <w:rPr>
                <w:rFonts w:ascii="Times New Roman"/>
                <w:sz w:val="18"/>
              </w:rPr>
              <w:t>345,630,204.39</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-75.00%</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5"/>
        <w:ind w:left="153" w:right="0"/>
        <w:jc w:val="left"/>
        <w:rPr>
          <w:b w:val="0"/>
          <w:bCs w:val="0"/>
        </w:rPr>
      </w:pPr>
      <w:bookmarkStart w:name="2、报告期内获取的重大的股权投资情况" w:id="46"/>
      <w:bookmarkEnd w:id="46"/>
      <w:r>
        <w:rPr>
          <w:b w:val="0"/>
          <w:bCs w:val="0"/>
        </w:rPr>
      </w:r>
      <w:r>
        <w:rPr>
          <w:rFonts w:ascii="Times New Roman" w:hAnsi="Times New Roman" w:cs="Times New Roman" w:eastAsia="Times New Roman" w:hint="default"/>
        </w:rPr>
        <w:t>2</w:t>
      </w:r>
      <w:r>
        <w:rPr/>
        <w:t>、报告期内获取的重大的股权投资情况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240" w:lineRule="auto" w:before="102"/>
        <w:ind w:left="0" w:right="1130"/>
        <w:jc w:val="right"/>
      </w:pPr>
      <w:r>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654"/>
        <w:gridCol w:w="652"/>
        <w:gridCol w:w="623"/>
        <w:gridCol w:w="622"/>
        <w:gridCol w:w="622"/>
        <w:gridCol w:w="623"/>
        <w:gridCol w:w="618"/>
        <w:gridCol w:w="616"/>
        <w:gridCol w:w="618"/>
        <w:gridCol w:w="592"/>
        <w:gridCol w:w="593"/>
        <w:gridCol w:w="693"/>
        <w:gridCol w:w="690"/>
        <w:gridCol w:w="690"/>
        <w:gridCol w:w="668"/>
      </w:tblGrid>
      <w:tr>
        <w:trPr>
          <w:trHeight w:val="2274" w:hRule="exact"/>
        </w:trPr>
        <w:tc>
          <w:tcPr>
            <w:tcW w:w="6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316" w:lineRule="auto"/>
              <w:ind w:left="51" w:right="51"/>
              <w:jc w:val="center"/>
              <w:rPr>
                <w:rFonts w:ascii="宋体" w:hAnsi="宋体" w:cs="宋体" w:eastAsia="宋体" w:hint="default"/>
                <w:sz w:val="18"/>
                <w:szCs w:val="18"/>
              </w:rPr>
            </w:pPr>
            <w:r>
              <w:rPr>
                <w:rFonts w:ascii="宋体" w:hAnsi="宋体" w:cs="宋体" w:eastAsia="宋体" w:hint="default"/>
                <w:sz w:val="18"/>
                <w:szCs w:val="18"/>
              </w:rPr>
              <w:t>被投资 公司名 称</w:t>
            </w:r>
          </w:p>
        </w:tc>
        <w:tc>
          <w:tcPr>
            <w:tcW w:w="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30" w:right="49" w:hanging="180"/>
              <w:jc w:val="left"/>
              <w:rPr>
                <w:rFonts w:ascii="宋体" w:hAnsi="宋体" w:cs="宋体" w:eastAsia="宋体" w:hint="default"/>
                <w:sz w:val="18"/>
                <w:szCs w:val="18"/>
              </w:rPr>
            </w:pPr>
            <w:r>
              <w:rPr>
                <w:rFonts w:ascii="宋体" w:hAnsi="宋体" w:cs="宋体" w:eastAsia="宋体" w:hint="default"/>
                <w:sz w:val="18"/>
                <w:szCs w:val="18"/>
              </w:rPr>
              <w:t>主要业 务</w:t>
            </w:r>
          </w:p>
        </w:tc>
        <w:tc>
          <w:tcPr>
            <w:tcW w:w="6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17" w:right="35" w:hanging="180"/>
              <w:jc w:val="left"/>
              <w:rPr>
                <w:rFonts w:ascii="宋体" w:hAnsi="宋体" w:cs="宋体" w:eastAsia="宋体" w:hint="default"/>
                <w:sz w:val="18"/>
                <w:szCs w:val="18"/>
              </w:rPr>
            </w:pPr>
            <w:r>
              <w:rPr>
                <w:rFonts w:ascii="宋体" w:hAnsi="宋体" w:cs="宋体" w:eastAsia="宋体" w:hint="default"/>
                <w:sz w:val="18"/>
                <w:szCs w:val="18"/>
              </w:rPr>
              <w:t>投资方 式</w:t>
            </w:r>
          </w:p>
        </w:tc>
        <w:tc>
          <w:tcPr>
            <w:tcW w:w="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16" w:right="35" w:hanging="180"/>
              <w:jc w:val="left"/>
              <w:rPr>
                <w:rFonts w:ascii="宋体" w:hAnsi="宋体" w:cs="宋体" w:eastAsia="宋体" w:hint="default"/>
                <w:sz w:val="18"/>
                <w:szCs w:val="18"/>
              </w:rPr>
            </w:pPr>
            <w:r>
              <w:rPr>
                <w:rFonts w:ascii="宋体" w:hAnsi="宋体" w:cs="宋体" w:eastAsia="宋体" w:hint="default"/>
                <w:sz w:val="18"/>
                <w:szCs w:val="18"/>
              </w:rPr>
              <w:t>投资金 额</w:t>
            </w:r>
          </w:p>
        </w:tc>
        <w:tc>
          <w:tcPr>
            <w:tcW w:w="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16" w:right="35" w:hanging="180"/>
              <w:jc w:val="left"/>
              <w:rPr>
                <w:rFonts w:ascii="宋体" w:hAnsi="宋体" w:cs="宋体" w:eastAsia="宋体" w:hint="default"/>
                <w:sz w:val="18"/>
                <w:szCs w:val="18"/>
              </w:rPr>
            </w:pPr>
            <w:r>
              <w:rPr>
                <w:rFonts w:ascii="宋体" w:hAnsi="宋体" w:cs="宋体" w:eastAsia="宋体" w:hint="default"/>
                <w:sz w:val="18"/>
                <w:szCs w:val="18"/>
              </w:rPr>
              <w:t>持股比 例</w:t>
            </w:r>
          </w:p>
        </w:tc>
        <w:tc>
          <w:tcPr>
            <w:tcW w:w="6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17" w:right="34" w:hanging="180"/>
              <w:jc w:val="left"/>
              <w:rPr>
                <w:rFonts w:ascii="宋体" w:hAnsi="宋体" w:cs="宋体" w:eastAsia="宋体" w:hint="default"/>
                <w:sz w:val="18"/>
                <w:szCs w:val="18"/>
              </w:rPr>
            </w:pPr>
            <w:r>
              <w:rPr>
                <w:rFonts w:ascii="宋体" w:hAnsi="宋体" w:cs="宋体" w:eastAsia="宋体" w:hint="default"/>
                <w:sz w:val="18"/>
                <w:szCs w:val="18"/>
              </w:rPr>
              <w:t>资金来 源</w:t>
            </w:r>
          </w:p>
        </w:tc>
        <w:tc>
          <w:tcPr>
            <w:tcW w:w="6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合作方</w:t>
            </w:r>
          </w:p>
        </w:tc>
        <w:tc>
          <w:tcPr>
            <w:tcW w:w="6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12" w:right="31" w:hanging="180"/>
              <w:jc w:val="left"/>
              <w:rPr>
                <w:rFonts w:ascii="宋体" w:hAnsi="宋体" w:cs="宋体" w:eastAsia="宋体" w:hint="default"/>
                <w:sz w:val="18"/>
                <w:szCs w:val="18"/>
              </w:rPr>
            </w:pPr>
            <w:r>
              <w:rPr>
                <w:rFonts w:ascii="宋体" w:hAnsi="宋体" w:cs="宋体" w:eastAsia="宋体" w:hint="default"/>
                <w:sz w:val="18"/>
                <w:szCs w:val="18"/>
              </w:rPr>
              <w:t>投资期 限</w:t>
            </w:r>
          </w:p>
        </w:tc>
        <w:tc>
          <w:tcPr>
            <w:tcW w:w="6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13" w:right="32" w:hanging="180"/>
              <w:jc w:val="left"/>
              <w:rPr>
                <w:rFonts w:ascii="宋体" w:hAnsi="宋体" w:cs="宋体" w:eastAsia="宋体" w:hint="default"/>
                <w:sz w:val="18"/>
                <w:szCs w:val="18"/>
              </w:rPr>
            </w:pPr>
            <w:r>
              <w:rPr>
                <w:rFonts w:ascii="宋体" w:hAnsi="宋体" w:cs="宋体" w:eastAsia="宋体" w:hint="default"/>
                <w:sz w:val="18"/>
                <w:szCs w:val="18"/>
              </w:rPr>
              <w:t>产品类 型</w:t>
            </w:r>
          </w:p>
        </w:tc>
        <w:tc>
          <w:tcPr>
            <w:tcW w:w="5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0" w:right="109"/>
              <w:jc w:val="both"/>
              <w:rPr>
                <w:rFonts w:ascii="宋体" w:hAnsi="宋体" w:cs="宋体" w:eastAsia="宋体" w:hint="default"/>
                <w:sz w:val="18"/>
                <w:szCs w:val="18"/>
              </w:rPr>
            </w:pPr>
            <w:r>
              <w:rPr>
                <w:rFonts w:ascii="宋体" w:hAnsi="宋体" w:cs="宋体" w:eastAsia="宋体" w:hint="default"/>
                <w:sz w:val="18"/>
                <w:szCs w:val="18"/>
              </w:rPr>
              <w:t>截至 资产 负债 表日 的进 展情 况</w:t>
            </w:r>
          </w:p>
        </w:tc>
        <w:tc>
          <w:tcPr>
            <w:tcW w:w="5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111" w:right="109"/>
              <w:jc w:val="left"/>
              <w:rPr>
                <w:rFonts w:ascii="宋体" w:hAnsi="宋体" w:cs="宋体" w:eastAsia="宋体" w:hint="default"/>
                <w:sz w:val="18"/>
                <w:szCs w:val="18"/>
              </w:rPr>
            </w:pPr>
            <w:r>
              <w:rPr>
                <w:rFonts w:ascii="宋体" w:hAnsi="宋体" w:cs="宋体" w:eastAsia="宋体" w:hint="default"/>
                <w:sz w:val="18"/>
                <w:szCs w:val="18"/>
              </w:rPr>
              <w:t>预计 收益</w:t>
            </w:r>
          </w:p>
        </w:tc>
        <w:tc>
          <w:tcPr>
            <w:tcW w:w="6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70" w:right="70"/>
              <w:jc w:val="left"/>
              <w:rPr>
                <w:rFonts w:ascii="宋体" w:hAnsi="宋体" w:cs="宋体" w:eastAsia="宋体" w:hint="default"/>
                <w:sz w:val="18"/>
                <w:szCs w:val="18"/>
              </w:rPr>
            </w:pPr>
            <w:r>
              <w:rPr>
                <w:rFonts w:ascii="宋体" w:hAnsi="宋体" w:cs="宋体" w:eastAsia="宋体" w:hint="default"/>
                <w:sz w:val="18"/>
                <w:szCs w:val="18"/>
              </w:rPr>
              <w:t>本期投 资盈亏</w:t>
            </w:r>
          </w:p>
        </w:tc>
        <w:tc>
          <w:tcPr>
            <w:tcW w:w="6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49" w:right="68" w:hanging="180"/>
              <w:jc w:val="left"/>
              <w:rPr>
                <w:rFonts w:ascii="宋体" w:hAnsi="宋体" w:cs="宋体" w:eastAsia="宋体" w:hint="default"/>
                <w:sz w:val="18"/>
                <w:szCs w:val="18"/>
              </w:rPr>
            </w:pPr>
            <w:r>
              <w:rPr>
                <w:rFonts w:ascii="宋体" w:hAnsi="宋体" w:cs="宋体" w:eastAsia="宋体" w:hint="default"/>
                <w:sz w:val="18"/>
                <w:szCs w:val="18"/>
              </w:rPr>
              <w:t>是否涉 诉</w:t>
            </w:r>
          </w:p>
        </w:tc>
        <w:tc>
          <w:tcPr>
            <w:tcW w:w="6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316" w:lineRule="auto"/>
              <w:ind w:left="69" w:right="68"/>
              <w:jc w:val="both"/>
              <w:rPr>
                <w:rFonts w:ascii="宋体" w:hAnsi="宋体" w:cs="宋体" w:eastAsia="宋体" w:hint="default"/>
                <w:sz w:val="18"/>
                <w:szCs w:val="18"/>
              </w:rPr>
            </w:pPr>
            <w:r>
              <w:rPr>
                <w:rFonts w:ascii="宋体" w:hAnsi="宋体" w:cs="宋体" w:eastAsia="宋体" w:hint="default"/>
                <w:sz w:val="18"/>
                <w:szCs w:val="18"/>
              </w:rPr>
              <w:t>披露日 期（如 有）</w:t>
            </w:r>
          </w:p>
        </w:tc>
        <w:tc>
          <w:tcPr>
            <w:tcW w:w="6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316" w:lineRule="auto"/>
              <w:ind w:left="58" w:right="59"/>
              <w:jc w:val="both"/>
              <w:rPr>
                <w:rFonts w:ascii="宋体" w:hAnsi="宋体" w:cs="宋体" w:eastAsia="宋体" w:hint="default"/>
                <w:sz w:val="18"/>
                <w:szCs w:val="18"/>
              </w:rPr>
            </w:pPr>
            <w:r>
              <w:rPr>
                <w:rFonts w:ascii="宋体" w:hAnsi="宋体" w:cs="宋体" w:eastAsia="宋体" w:hint="default"/>
                <w:sz w:val="18"/>
                <w:szCs w:val="18"/>
              </w:rPr>
              <w:t>披露索 引（如 有）</w:t>
            </w:r>
          </w:p>
        </w:tc>
      </w:tr>
      <w:tr>
        <w:trPr>
          <w:trHeight w:val="10347" w:hRule="exact"/>
        </w:trPr>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59"/>
              <w:ind w:left="22" w:right="81"/>
              <w:jc w:val="both"/>
              <w:rPr>
                <w:rFonts w:ascii="宋体" w:hAnsi="宋体" w:cs="宋体" w:eastAsia="宋体" w:hint="default"/>
                <w:sz w:val="18"/>
                <w:szCs w:val="18"/>
              </w:rPr>
            </w:pPr>
            <w:r>
              <w:rPr>
                <w:rFonts w:ascii="宋体" w:hAnsi="宋体" w:cs="宋体" w:eastAsia="宋体" w:hint="default"/>
                <w:sz w:val="18"/>
                <w:szCs w:val="18"/>
              </w:rPr>
              <w:t>深圳市 奥拓立 翔光电 科技有 限公司</w:t>
            </w: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42"/>
              <w:jc w:val="left"/>
              <w:rPr>
                <w:rFonts w:ascii="宋体" w:hAnsi="宋体" w:cs="宋体" w:eastAsia="宋体" w:hint="default"/>
                <w:sz w:val="18"/>
                <w:szCs w:val="18"/>
              </w:rPr>
            </w:pPr>
            <w:r>
              <w:rPr>
                <w:rFonts w:ascii="宋体" w:hAnsi="宋体" w:cs="宋体" w:eastAsia="宋体" w:hint="default"/>
                <w:sz w:val="18"/>
                <w:szCs w:val="18"/>
              </w:rPr>
              <w:t>光电产 品、电 子显示 屏、显 示器、 计算机 软件、 监视监 控器材 的开 发、设 计和销 售及相 关技术 咨询服 务；电 子器 材、家 用电器 的销 售、租 赁； </w:t>
            </w: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显</w:t>
            </w:r>
          </w:p>
          <w:p>
            <w:pPr>
              <w:pStyle w:val="TableParagraph"/>
              <w:spacing w:line="316" w:lineRule="auto"/>
              <w:ind w:left="22" w:right="77"/>
              <w:jc w:val="both"/>
              <w:rPr>
                <w:rFonts w:ascii="宋体" w:hAnsi="宋体" w:cs="宋体" w:eastAsia="宋体" w:hint="default"/>
                <w:sz w:val="18"/>
                <w:szCs w:val="18"/>
              </w:rPr>
            </w:pPr>
            <w:r>
              <w:rPr>
                <w:rFonts w:ascii="宋体" w:hAnsi="宋体" w:cs="宋体" w:eastAsia="宋体" w:hint="default"/>
                <w:sz w:val="18"/>
                <w:szCs w:val="18"/>
              </w:rPr>
              <w:t>示屏的 研发及 销售； 货物及 技术进 出口</w:t>
            </w:r>
          </w:p>
          <w:p>
            <w:pPr>
              <w:pStyle w:val="TableParagraph"/>
              <w:spacing w:line="316" w:lineRule="auto" w:before="19"/>
              <w:ind w:left="22" w:right="77"/>
              <w:jc w:val="both"/>
              <w:rPr>
                <w:rFonts w:ascii="宋体" w:hAnsi="宋体" w:cs="宋体" w:eastAsia="宋体" w:hint="default"/>
                <w:sz w:val="18"/>
                <w:szCs w:val="18"/>
              </w:rPr>
            </w:pPr>
            <w:r>
              <w:rPr>
                <w:rFonts w:ascii="宋体" w:hAnsi="宋体" w:cs="宋体" w:eastAsia="宋体" w:hint="default"/>
                <w:sz w:val="18"/>
                <w:szCs w:val="18"/>
              </w:rPr>
              <w:t>（以上 根据法 律、行 政法</w:t>
            </w:r>
          </w:p>
        </w:tc>
        <w:tc>
          <w:tcPr>
            <w:tcW w:w="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新设</w:t>
            </w:r>
          </w:p>
        </w:tc>
        <w:tc>
          <w:tcPr>
            <w:tcW w:w="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left="49" w:right="0"/>
              <w:jc w:val="left"/>
              <w:rPr>
                <w:rFonts w:ascii="Times New Roman" w:hAnsi="Times New Roman" w:cs="Times New Roman" w:eastAsia="Times New Roman" w:hint="default"/>
                <w:sz w:val="18"/>
                <w:szCs w:val="18"/>
              </w:rPr>
            </w:pPr>
            <w:r>
              <w:rPr>
                <w:rFonts w:ascii="Times New Roman"/>
                <w:sz w:val="18"/>
              </w:rPr>
              <w:t>22,500,</w:t>
            </w:r>
          </w:p>
          <w:p>
            <w:pPr>
              <w:pStyle w:val="TableParagraph"/>
              <w:spacing w:line="240" w:lineRule="auto" w:before="106"/>
              <w:ind w:left="94" w:right="0"/>
              <w:jc w:val="left"/>
              <w:rPr>
                <w:rFonts w:ascii="Times New Roman" w:hAnsi="Times New Roman" w:cs="Times New Roman" w:eastAsia="Times New Roman" w:hint="default"/>
                <w:sz w:val="18"/>
                <w:szCs w:val="18"/>
              </w:rPr>
            </w:pPr>
            <w:r>
              <w:rPr>
                <w:rFonts w:ascii="Times New Roman"/>
                <w:sz w:val="18"/>
              </w:rPr>
              <w:t>000.00</w:t>
            </w:r>
          </w:p>
        </w:tc>
        <w:tc>
          <w:tcPr>
            <w:tcW w:w="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left="34" w:right="0"/>
              <w:jc w:val="left"/>
              <w:rPr>
                <w:rFonts w:ascii="Times New Roman" w:hAnsi="Times New Roman" w:cs="Times New Roman" w:eastAsia="Times New Roman" w:hint="default"/>
                <w:sz w:val="18"/>
                <w:szCs w:val="18"/>
              </w:rPr>
            </w:pPr>
            <w:r>
              <w:rPr>
                <w:rFonts w:ascii="Times New Roman"/>
                <w:sz w:val="18"/>
              </w:rPr>
              <w:t>60.00%</w:t>
            </w:r>
          </w:p>
        </w:tc>
        <w:tc>
          <w:tcPr>
            <w:tcW w:w="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56"/>
              <w:ind w:left="23" w:right="47"/>
              <w:jc w:val="left"/>
              <w:rPr>
                <w:rFonts w:ascii="宋体" w:hAnsi="宋体" w:cs="宋体" w:eastAsia="宋体" w:hint="default"/>
                <w:sz w:val="18"/>
                <w:szCs w:val="18"/>
              </w:rPr>
            </w:pPr>
            <w:r>
              <w:rPr>
                <w:rFonts w:ascii="宋体" w:hAnsi="宋体" w:cs="宋体" w:eastAsia="宋体" w:hint="default"/>
                <w:sz w:val="18"/>
                <w:szCs w:val="18"/>
              </w:rPr>
              <w:t>自有资 金</w:t>
            </w:r>
          </w:p>
        </w:tc>
        <w:tc>
          <w:tcPr>
            <w:tcW w:w="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319" w:lineRule="auto"/>
              <w:ind w:left="22" w:right="43"/>
              <w:jc w:val="left"/>
              <w:rPr>
                <w:rFonts w:ascii="宋体" w:hAnsi="宋体" w:cs="宋体" w:eastAsia="宋体" w:hint="default"/>
                <w:sz w:val="18"/>
                <w:szCs w:val="18"/>
              </w:rPr>
            </w:pPr>
            <w:r>
              <w:rPr>
                <w:rFonts w:ascii="宋体" w:hAnsi="宋体" w:cs="宋体" w:eastAsia="宋体" w:hint="default"/>
                <w:sz w:val="18"/>
                <w:szCs w:val="18"/>
              </w:rPr>
              <w:t>深圳市 立翔慧 科光电 科技有 限公 司、卢 伟、曹 平</w:t>
            </w:r>
          </w:p>
        </w:tc>
        <w:tc>
          <w:tcPr>
            <w:tcW w:w="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w:t>
            </w:r>
          </w:p>
        </w:tc>
        <w:tc>
          <w:tcPr>
            <w:tcW w:w="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4"/>
                <w:szCs w:val="24"/>
              </w:rPr>
            </w:pPr>
          </w:p>
          <w:p>
            <w:pPr>
              <w:pStyle w:val="TableParagraph"/>
              <w:spacing w:line="319" w:lineRule="auto"/>
              <w:ind w:left="22" w:right="197"/>
              <w:jc w:val="both"/>
              <w:rPr>
                <w:rFonts w:ascii="宋体" w:hAnsi="宋体" w:cs="宋体" w:eastAsia="宋体" w:hint="default"/>
                <w:sz w:val="18"/>
                <w:szCs w:val="18"/>
              </w:rPr>
            </w:pPr>
            <w:r>
              <w:rPr>
                <w:rFonts w:ascii="宋体" w:hAnsi="宋体" w:cs="宋体" w:eastAsia="宋体" w:hint="default"/>
                <w:sz w:val="18"/>
                <w:szCs w:val="18"/>
              </w:rPr>
              <w:t>已完 成工 商登 记</w:t>
            </w:r>
          </w:p>
        </w:tc>
        <w:tc>
          <w:tcPr>
            <w:tcW w:w="593" w:type="dxa"/>
            <w:tcBorders>
              <w:top w:val="single" w:sz="4" w:space="0" w:color="000000"/>
              <w:left w:val="single" w:sz="4" w:space="0" w:color="000000"/>
              <w:bottom w:val="single" w:sz="4" w:space="0" w:color="000000"/>
              <w:right w:val="single" w:sz="4" w:space="0" w:color="000000"/>
            </w:tcBorders>
          </w:tcPr>
          <w:p>
            <w:pPr/>
          </w:p>
        </w:tc>
        <w:tc>
          <w:tcPr>
            <w:tcW w:w="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left="37" w:right="0"/>
              <w:jc w:val="center"/>
              <w:rPr>
                <w:rFonts w:ascii="Times New Roman" w:hAnsi="Times New Roman" w:cs="Times New Roman" w:eastAsia="Times New Roman" w:hint="default"/>
                <w:sz w:val="18"/>
                <w:szCs w:val="18"/>
              </w:rPr>
            </w:pPr>
            <w:r>
              <w:rPr>
                <w:rFonts w:ascii="Times New Roman"/>
                <w:sz w:val="18"/>
              </w:rPr>
              <w:t>-1,156,4</w:t>
            </w:r>
          </w:p>
          <w:p>
            <w:pPr>
              <w:pStyle w:val="TableParagraph"/>
              <w:spacing w:line="240" w:lineRule="auto" w:before="106"/>
              <w:ind w:left="234" w:right="0"/>
              <w:jc w:val="center"/>
              <w:rPr>
                <w:rFonts w:ascii="Times New Roman" w:hAnsi="Times New Roman" w:cs="Times New Roman" w:eastAsia="Times New Roman" w:hint="default"/>
                <w:sz w:val="18"/>
                <w:szCs w:val="18"/>
              </w:rPr>
            </w:pPr>
            <w:r>
              <w:rPr>
                <w:rFonts w:ascii="Times New Roman"/>
                <w:sz w:val="18"/>
              </w:rPr>
              <w:t>65.13</w:t>
            </w:r>
          </w:p>
        </w:tc>
        <w:tc>
          <w:tcPr>
            <w:tcW w:w="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03</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316" w:lineRule="auto"/>
              <w:ind w:left="22" w:right="49"/>
              <w:jc w:val="left"/>
              <w:rPr>
                <w:rFonts w:ascii="宋体" w:hAnsi="宋体" w:cs="宋体" w:eastAsia="宋体" w:hint="default"/>
                <w:sz w:val="18"/>
                <w:szCs w:val="18"/>
              </w:rPr>
            </w:pPr>
            <w:r>
              <w:rPr>
                <w:rFonts w:ascii="宋体" w:hAnsi="宋体" w:cs="宋体" w:eastAsia="宋体" w:hint="default"/>
                <w:sz w:val="18"/>
                <w:szCs w:val="18"/>
              </w:rPr>
              <w:t>详见公 司于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316" w:lineRule="auto"/>
              <w:ind w:left="22" w:right="23"/>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1"/>
                <w:sz w:val="18"/>
                <w:szCs w:val="18"/>
              </w:rPr>
              <w:t> </w:t>
            </w:r>
            <w:r>
              <w:rPr>
                <w:rFonts w:ascii="宋体" w:hAnsi="宋体" w:cs="宋体" w:eastAsia="宋体" w:hint="default"/>
                <w:sz w:val="18"/>
                <w:szCs w:val="18"/>
              </w:rPr>
              <w:t>月</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1"/>
                <w:sz w:val="18"/>
                <w:szCs w:val="18"/>
              </w:rPr>
              <w:t> </w:t>
            </w:r>
            <w:r>
              <w:rPr>
                <w:rFonts w:ascii="宋体" w:hAnsi="宋体" w:cs="宋体" w:eastAsia="宋体" w:hint="default"/>
                <w:sz w:val="18"/>
                <w:szCs w:val="18"/>
              </w:rPr>
              <w:t>日 在巨潮 资讯网 上披露 的《深 圳市奥 拓电子 股份有 限公司 关于对 外投资 设立合 资公司 的公 告》</w:t>
            </w:r>
          </w:p>
        </w:tc>
      </w:tr>
    </w:tbl>
    <w:p>
      <w:pPr>
        <w:spacing w:after="0" w:line="316"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654"/>
        <w:gridCol w:w="652"/>
        <w:gridCol w:w="623"/>
        <w:gridCol w:w="622"/>
        <w:gridCol w:w="622"/>
        <w:gridCol w:w="623"/>
        <w:gridCol w:w="618"/>
        <w:gridCol w:w="616"/>
        <w:gridCol w:w="618"/>
        <w:gridCol w:w="592"/>
        <w:gridCol w:w="593"/>
        <w:gridCol w:w="693"/>
        <w:gridCol w:w="690"/>
        <w:gridCol w:w="690"/>
        <w:gridCol w:w="668"/>
      </w:tblGrid>
      <w:tr>
        <w:trPr>
          <w:trHeight w:val="3483" w:hRule="exact"/>
        </w:trPr>
        <w:tc>
          <w:tcPr>
            <w:tcW w:w="654"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2" w:right="77"/>
              <w:jc w:val="left"/>
              <w:rPr>
                <w:rFonts w:ascii="宋体" w:hAnsi="宋体" w:cs="宋体" w:eastAsia="宋体" w:hint="default"/>
                <w:sz w:val="18"/>
                <w:szCs w:val="18"/>
              </w:rPr>
            </w:pPr>
            <w:r>
              <w:rPr>
                <w:rFonts w:ascii="宋体" w:hAnsi="宋体" w:cs="宋体" w:eastAsia="宋体" w:hint="default"/>
                <w:sz w:val="18"/>
                <w:szCs w:val="18"/>
              </w:rPr>
              <w:t>规、国 务院决 定等规 定需要 审批 的，依 法取得 相关审 批文件 后方可 经营）</w:t>
            </w:r>
          </w:p>
        </w:tc>
        <w:tc>
          <w:tcPr>
            <w:tcW w:w="623" w:type="dxa"/>
            <w:tcBorders>
              <w:top w:val="single" w:sz="4" w:space="0" w:color="000000"/>
              <w:left w:val="single" w:sz="4" w:space="0" w:color="000000"/>
              <w:bottom w:val="single" w:sz="4" w:space="0" w:color="000000"/>
              <w:right w:val="single" w:sz="4" w:space="0" w:color="000000"/>
            </w:tcBorders>
          </w:tcPr>
          <w:p>
            <w:pPr/>
          </w:p>
        </w:tc>
        <w:tc>
          <w:tcPr>
            <w:tcW w:w="622" w:type="dxa"/>
            <w:tcBorders>
              <w:top w:val="single" w:sz="4" w:space="0" w:color="000000"/>
              <w:left w:val="single" w:sz="4" w:space="0" w:color="000000"/>
              <w:bottom w:val="single" w:sz="4" w:space="0" w:color="000000"/>
              <w:right w:val="single" w:sz="4" w:space="0" w:color="000000"/>
            </w:tcBorders>
          </w:tcPr>
          <w:p>
            <w:pPr/>
          </w:p>
        </w:tc>
        <w:tc>
          <w:tcPr>
            <w:tcW w:w="622" w:type="dxa"/>
            <w:tcBorders>
              <w:top w:val="single" w:sz="4" w:space="0" w:color="000000"/>
              <w:left w:val="single" w:sz="4" w:space="0" w:color="000000"/>
              <w:bottom w:val="single" w:sz="4" w:space="0" w:color="000000"/>
              <w:right w:val="single" w:sz="4" w:space="0" w:color="000000"/>
            </w:tcBorders>
          </w:tcPr>
          <w:p>
            <w:pPr/>
          </w:p>
        </w:tc>
        <w:tc>
          <w:tcPr>
            <w:tcW w:w="623" w:type="dxa"/>
            <w:tcBorders>
              <w:top w:val="single" w:sz="4" w:space="0" w:color="000000"/>
              <w:left w:val="single" w:sz="4" w:space="0" w:color="000000"/>
              <w:bottom w:val="single" w:sz="4" w:space="0" w:color="000000"/>
              <w:right w:val="single" w:sz="4" w:space="0" w:color="000000"/>
            </w:tcBorders>
          </w:tcPr>
          <w:p>
            <w:pPr/>
          </w:p>
        </w:tc>
        <w:tc>
          <w:tcPr>
            <w:tcW w:w="618" w:type="dxa"/>
            <w:tcBorders>
              <w:top w:val="single" w:sz="4" w:space="0" w:color="000000"/>
              <w:left w:val="single" w:sz="4" w:space="0" w:color="000000"/>
              <w:bottom w:val="single" w:sz="4" w:space="0" w:color="000000"/>
              <w:right w:val="single" w:sz="4" w:space="0" w:color="000000"/>
            </w:tcBorders>
          </w:tcPr>
          <w:p>
            <w:pPr/>
          </w:p>
        </w:tc>
        <w:tc>
          <w:tcPr>
            <w:tcW w:w="616" w:type="dxa"/>
            <w:tcBorders>
              <w:top w:val="single" w:sz="4" w:space="0" w:color="000000"/>
              <w:left w:val="single" w:sz="4" w:space="0" w:color="000000"/>
              <w:bottom w:val="single" w:sz="4" w:space="0" w:color="000000"/>
              <w:right w:val="single" w:sz="4" w:space="0" w:color="000000"/>
            </w:tcBorders>
          </w:tcPr>
          <w:p>
            <w:pPr/>
          </w:p>
        </w:tc>
        <w:tc>
          <w:tcPr>
            <w:tcW w:w="618" w:type="dxa"/>
            <w:tcBorders>
              <w:top w:val="single" w:sz="4" w:space="0" w:color="000000"/>
              <w:left w:val="single" w:sz="4" w:space="0" w:color="000000"/>
              <w:bottom w:val="single" w:sz="4" w:space="0" w:color="000000"/>
              <w:right w:val="single" w:sz="4" w:space="0" w:color="000000"/>
            </w:tcBorders>
          </w:tcPr>
          <w:p>
            <w:pPr/>
          </w:p>
        </w:tc>
        <w:tc>
          <w:tcPr>
            <w:tcW w:w="592" w:type="dxa"/>
            <w:tcBorders>
              <w:top w:val="single" w:sz="4" w:space="0" w:color="000000"/>
              <w:left w:val="single" w:sz="4" w:space="0" w:color="000000"/>
              <w:bottom w:val="single" w:sz="4" w:space="0" w:color="000000"/>
              <w:right w:val="single" w:sz="4" w:space="0" w:color="000000"/>
            </w:tcBorders>
          </w:tcPr>
          <w:p>
            <w:pPr/>
          </w:p>
        </w:tc>
        <w:tc>
          <w:tcPr>
            <w:tcW w:w="593" w:type="dxa"/>
            <w:tcBorders>
              <w:top w:val="single" w:sz="4" w:space="0" w:color="000000"/>
              <w:left w:val="single" w:sz="4" w:space="0" w:color="000000"/>
              <w:bottom w:val="single" w:sz="4" w:space="0" w:color="000000"/>
              <w:right w:val="single" w:sz="4" w:space="0" w:color="000000"/>
            </w:tcBorders>
          </w:tcPr>
          <w:p>
            <w:pPr/>
          </w:p>
        </w:tc>
        <w:tc>
          <w:tcPr>
            <w:tcW w:w="693"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r>
      <w:tr>
        <w:trPr>
          <w:trHeight w:val="6330" w:hRule="exact"/>
        </w:trPr>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0"/>
                <w:szCs w:val="20"/>
              </w:rPr>
            </w:pPr>
          </w:p>
          <w:p>
            <w:pPr>
              <w:pStyle w:val="TableParagraph"/>
              <w:spacing w:line="319" w:lineRule="auto"/>
              <w:ind w:left="22" w:right="81"/>
              <w:jc w:val="both"/>
              <w:rPr>
                <w:rFonts w:ascii="宋体" w:hAnsi="宋体" w:cs="宋体" w:eastAsia="宋体" w:hint="default"/>
                <w:sz w:val="18"/>
                <w:szCs w:val="18"/>
              </w:rPr>
            </w:pPr>
            <w:r>
              <w:rPr>
                <w:rFonts w:ascii="宋体" w:hAnsi="宋体" w:cs="宋体" w:eastAsia="宋体" w:hint="default"/>
                <w:sz w:val="18"/>
                <w:szCs w:val="18"/>
              </w:rPr>
              <w:t>深圳市 千百辉 照明工 程有限 公司</w:t>
            </w: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22" w:right="77"/>
              <w:jc w:val="left"/>
              <w:rPr>
                <w:rFonts w:ascii="宋体" w:hAnsi="宋体" w:cs="宋体" w:eastAsia="宋体" w:hint="default"/>
                <w:sz w:val="18"/>
                <w:szCs w:val="18"/>
              </w:rPr>
            </w:pPr>
            <w:r>
              <w:rPr>
                <w:rFonts w:ascii="宋体" w:hAnsi="宋体" w:cs="宋体" w:eastAsia="宋体" w:hint="default"/>
                <w:sz w:val="18"/>
                <w:szCs w:val="18"/>
              </w:rPr>
              <w:t>主要从 事城市 景观照 明工程 施工及 与之相 关的景 观照明 工程的 整体规 划与设 计、照 明产品 的研 发、生 产和销 售业务</w:t>
            </w:r>
          </w:p>
        </w:tc>
        <w:tc>
          <w:tcPr>
            <w:tcW w:w="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27"/>
              <w:jc w:val="right"/>
              <w:rPr>
                <w:rFonts w:ascii="宋体" w:hAnsi="宋体" w:cs="宋体" w:eastAsia="宋体" w:hint="default"/>
                <w:sz w:val="18"/>
                <w:szCs w:val="18"/>
              </w:rPr>
            </w:pPr>
            <w:r>
              <w:rPr>
                <w:rFonts w:ascii="宋体" w:hAnsi="宋体" w:cs="宋体" w:eastAsia="宋体" w:hint="default"/>
                <w:sz w:val="18"/>
                <w:szCs w:val="18"/>
              </w:rPr>
              <w:t>增资</w:t>
            </w:r>
          </w:p>
        </w:tc>
        <w:tc>
          <w:tcPr>
            <w:tcW w:w="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left="49" w:right="0"/>
              <w:jc w:val="left"/>
              <w:rPr>
                <w:rFonts w:ascii="Times New Roman" w:hAnsi="Times New Roman" w:cs="Times New Roman" w:eastAsia="Times New Roman" w:hint="default"/>
                <w:sz w:val="18"/>
                <w:szCs w:val="18"/>
              </w:rPr>
            </w:pPr>
            <w:r>
              <w:rPr>
                <w:rFonts w:ascii="Times New Roman"/>
                <w:sz w:val="18"/>
              </w:rPr>
              <w:t>60,901,</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300.00</w:t>
            </w:r>
          </w:p>
        </w:tc>
        <w:tc>
          <w:tcPr>
            <w:tcW w:w="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0"/>
                <w:szCs w:val="20"/>
              </w:rPr>
            </w:pPr>
          </w:p>
          <w:p>
            <w:pPr>
              <w:pStyle w:val="TableParagraph"/>
              <w:spacing w:line="316" w:lineRule="auto"/>
              <w:ind w:left="23" w:right="47"/>
              <w:jc w:val="left"/>
              <w:rPr>
                <w:rFonts w:ascii="宋体" w:hAnsi="宋体" w:cs="宋体" w:eastAsia="宋体" w:hint="default"/>
                <w:sz w:val="18"/>
                <w:szCs w:val="18"/>
              </w:rPr>
            </w:pPr>
            <w:r>
              <w:rPr>
                <w:rFonts w:ascii="宋体" w:hAnsi="宋体" w:cs="宋体" w:eastAsia="宋体" w:hint="default"/>
                <w:sz w:val="18"/>
                <w:szCs w:val="18"/>
              </w:rPr>
              <w:t>募集资 金</w:t>
            </w:r>
          </w:p>
        </w:tc>
        <w:tc>
          <w:tcPr>
            <w:tcW w:w="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w:t>
            </w:r>
          </w:p>
        </w:tc>
        <w:tc>
          <w:tcPr>
            <w:tcW w:w="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21"/>
              <w:jc w:val="right"/>
              <w:rPr>
                <w:rFonts w:ascii="宋体" w:hAnsi="宋体" w:cs="宋体" w:eastAsia="宋体" w:hint="default"/>
                <w:sz w:val="18"/>
                <w:szCs w:val="18"/>
              </w:rPr>
            </w:pPr>
            <w:r>
              <w:rPr>
                <w:rFonts w:ascii="宋体" w:hAnsi="宋体" w:cs="宋体" w:eastAsia="宋体" w:hint="default"/>
                <w:sz w:val="18"/>
                <w:szCs w:val="18"/>
              </w:rPr>
              <w:t>长期</w:t>
            </w:r>
          </w:p>
        </w:tc>
        <w:tc>
          <w:tcPr>
            <w:tcW w:w="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0"/>
                <w:szCs w:val="20"/>
              </w:rPr>
            </w:pPr>
          </w:p>
          <w:p>
            <w:pPr>
              <w:pStyle w:val="TableParagraph"/>
              <w:spacing w:line="316" w:lineRule="auto"/>
              <w:ind w:left="22" w:right="43"/>
              <w:jc w:val="left"/>
              <w:rPr>
                <w:rFonts w:ascii="宋体" w:hAnsi="宋体" w:cs="宋体" w:eastAsia="宋体" w:hint="default"/>
                <w:sz w:val="18"/>
                <w:szCs w:val="18"/>
              </w:rPr>
            </w:pPr>
            <w:r>
              <w:rPr>
                <w:rFonts w:ascii="宋体" w:hAnsi="宋体" w:cs="宋体" w:eastAsia="宋体" w:hint="default"/>
                <w:sz w:val="18"/>
                <w:szCs w:val="18"/>
              </w:rPr>
              <w:t>照明工 程</w:t>
            </w:r>
          </w:p>
        </w:tc>
        <w:tc>
          <w:tcPr>
            <w:tcW w:w="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319" w:lineRule="auto"/>
              <w:ind w:left="22" w:right="197"/>
              <w:jc w:val="both"/>
              <w:rPr>
                <w:rFonts w:ascii="宋体" w:hAnsi="宋体" w:cs="宋体" w:eastAsia="宋体" w:hint="default"/>
                <w:sz w:val="18"/>
                <w:szCs w:val="18"/>
              </w:rPr>
            </w:pPr>
            <w:r>
              <w:rPr>
                <w:rFonts w:ascii="宋体" w:hAnsi="宋体" w:cs="宋体" w:eastAsia="宋体" w:hint="default"/>
                <w:sz w:val="18"/>
                <w:szCs w:val="18"/>
              </w:rPr>
              <w:t>已完 成工 商登 记</w:t>
            </w:r>
          </w:p>
        </w:tc>
        <w:tc>
          <w:tcPr>
            <w:tcW w:w="593" w:type="dxa"/>
            <w:tcBorders>
              <w:top w:val="single" w:sz="4" w:space="0" w:color="000000"/>
              <w:left w:val="single" w:sz="4" w:space="0" w:color="000000"/>
              <w:bottom w:val="single" w:sz="4" w:space="0" w:color="000000"/>
              <w:right w:val="single" w:sz="4" w:space="0" w:color="000000"/>
            </w:tcBorders>
          </w:tcPr>
          <w:p>
            <w:pPr/>
          </w:p>
        </w:tc>
        <w:tc>
          <w:tcPr>
            <w:tcW w:w="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left="30" w:right="0"/>
              <w:jc w:val="left"/>
              <w:rPr>
                <w:rFonts w:ascii="Times New Roman" w:hAnsi="Times New Roman" w:cs="Times New Roman" w:eastAsia="Times New Roman" w:hint="default"/>
                <w:sz w:val="18"/>
                <w:szCs w:val="18"/>
              </w:rPr>
            </w:pPr>
            <w:r>
              <w:rPr>
                <w:rFonts w:ascii="Times New Roman"/>
                <w:sz w:val="18"/>
              </w:rPr>
              <w:t>68,051,7</w:t>
            </w:r>
          </w:p>
          <w:p>
            <w:pPr>
              <w:pStyle w:val="TableParagraph"/>
              <w:spacing w:line="240" w:lineRule="auto" w:before="105"/>
              <w:ind w:left="256" w:right="0"/>
              <w:jc w:val="left"/>
              <w:rPr>
                <w:rFonts w:ascii="Times New Roman" w:hAnsi="Times New Roman" w:cs="Times New Roman" w:eastAsia="Times New Roman" w:hint="default"/>
                <w:sz w:val="18"/>
                <w:szCs w:val="18"/>
              </w:rPr>
            </w:pPr>
            <w:r>
              <w:rPr>
                <w:rFonts w:ascii="Times New Roman"/>
                <w:sz w:val="18"/>
              </w:rPr>
              <w:t>29.94</w:t>
            </w:r>
          </w:p>
        </w:tc>
        <w:tc>
          <w:tcPr>
            <w:tcW w:w="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26</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49"/>
              <w:jc w:val="left"/>
              <w:rPr>
                <w:rFonts w:ascii="宋体" w:hAnsi="宋体" w:cs="宋体" w:eastAsia="宋体" w:hint="default"/>
                <w:sz w:val="18"/>
                <w:szCs w:val="18"/>
              </w:rPr>
            </w:pPr>
            <w:r>
              <w:rPr>
                <w:rFonts w:ascii="宋体" w:hAnsi="宋体" w:cs="宋体" w:eastAsia="宋体" w:hint="default"/>
                <w:sz w:val="18"/>
                <w:szCs w:val="18"/>
              </w:rPr>
              <w:t>详见公 司于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8" w:lineRule="exact"/>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4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26</w:t>
            </w:r>
          </w:p>
          <w:p>
            <w:pPr>
              <w:pStyle w:val="TableParagraph"/>
              <w:spacing w:line="316" w:lineRule="auto" w:before="63"/>
              <w:ind w:left="22" w:right="95"/>
              <w:jc w:val="both"/>
              <w:rPr>
                <w:rFonts w:ascii="宋体" w:hAnsi="宋体" w:cs="宋体" w:eastAsia="宋体" w:hint="default"/>
                <w:sz w:val="18"/>
                <w:szCs w:val="18"/>
              </w:rPr>
            </w:pPr>
            <w:r>
              <w:rPr>
                <w:rFonts w:ascii="宋体" w:hAnsi="宋体" w:cs="宋体" w:eastAsia="宋体" w:hint="default"/>
                <w:sz w:val="18"/>
                <w:szCs w:val="18"/>
              </w:rPr>
              <w:t>日在巨 潮资讯 网上披 露的</w:t>
            </w:r>
          </w:p>
          <w:p>
            <w:pPr>
              <w:pStyle w:val="TableParagraph"/>
              <w:spacing w:line="319" w:lineRule="auto" w:before="19"/>
              <w:ind w:left="22" w:right="95"/>
              <w:jc w:val="left"/>
              <w:rPr>
                <w:rFonts w:ascii="宋体" w:hAnsi="宋体" w:cs="宋体" w:eastAsia="宋体" w:hint="default"/>
                <w:sz w:val="18"/>
                <w:szCs w:val="18"/>
              </w:rPr>
            </w:pPr>
            <w:r>
              <w:rPr>
                <w:rFonts w:ascii="宋体" w:hAnsi="宋体" w:cs="宋体" w:eastAsia="宋体" w:hint="default"/>
                <w:sz w:val="18"/>
                <w:szCs w:val="18"/>
              </w:rPr>
              <w:t>《深圳 市奥拓 电子股 份有限 公司关 于使用 募集资 金向全 资子公 司增资 的公 告》</w:t>
            </w:r>
          </w:p>
        </w:tc>
      </w:tr>
      <w:tr>
        <w:trPr>
          <w:trHeight w:val="714" w:hRule="exact"/>
        </w:trPr>
        <w:tc>
          <w:tcPr>
            <w:tcW w:w="6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6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45"/>
              <w:jc w:val="right"/>
              <w:rPr>
                <w:rFonts w:ascii="Times New Roman" w:hAnsi="Times New Roman" w:cs="Times New Roman" w:eastAsia="Times New Roman" w:hint="default"/>
                <w:sz w:val="18"/>
                <w:szCs w:val="18"/>
              </w:rPr>
            </w:pPr>
            <w:r>
              <w:rPr>
                <w:rFonts w:ascii="Times New Roman"/>
                <w:sz w:val="18"/>
              </w:rPr>
              <w:t>--</w:t>
            </w:r>
          </w:p>
        </w:tc>
        <w:tc>
          <w:tcPr>
            <w:tcW w:w="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9" w:right="0"/>
              <w:jc w:val="left"/>
              <w:rPr>
                <w:rFonts w:ascii="Times New Roman" w:hAnsi="Times New Roman" w:cs="Times New Roman" w:eastAsia="Times New Roman" w:hint="default"/>
                <w:sz w:val="18"/>
                <w:szCs w:val="18"/>
              </w:rPr>
            </w:pPr>
            <w:r>
              <w:rPr>
                <w:rFonts w:ascii="Times New Roman"/>
                <w:sz w:val="18"/>
              </w:rPr>
              <w:t>83,401,</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300.00</w:t>
            </w:r>
          </w:p>
        </w:tc>
        <w:tc>
          <w:tcPr>
            <w:tcW w:w="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6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6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6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41"/>
              <w:jc w:val="right"/>
              <w:rPr>
                <w:rFonts w:ascii="Times New Roman" w:hAnsi="Times New Roman" w:cs="Times New Roman" w:eastAsia="Times New Roman" w:hint="default"/>
                <w:sz w:val="18"/>
                <w:szCs w:val="18"/>
              </w:rPr>
            </w:pPr>
            <w:r>
              <w:rPr>
                <w:rFonts w:ascii="Times New Roman"/>
                <w:sz w:val="18"/>
              </w:rPr>
              <w:t>--</w:t>
            </w:r>
          </w:p>
        </w:tc>
        <w:tc>
          <w:tcPr>
            <w:tcW w:w="6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5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5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6" w:right="0"/>
              <w:jc w:val="left"/>
              <w:rPr>
                <w:rFonts w:ascii="Times New Roman" w:hAnsi="Times New Roman" w:cs="Times New Roman" w:eastAsia="Times New Roman" w:hint="default"/>
                <w:sz w:val="18"/>
                <w:szCs w:val="18"/>
              </w:rPr>
            </w:pPr>
            <w:r>
              <w:rPr>
                <w:rFonts w:ascii="Times New Roman"/>
                <w:sz w:val="18"/>
              </w:rPr>
              <w:t>0.00</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0" w:right="0"/>
              <w:jc w:val="left"/>
              <w:rPr>
                <w:rFonts w:ascii="Times New Roman" w:hAnsi="Times New Roman" w:cs="Times New Roman" w:eastAsia="Times New Roman" w:hint="default"/>
                <w:sz w:val="18"/>
                <w:szCs w:val="18"/>
              </w:rPr>
            </w:pPr>
            <w:r>
              <w:rPr>
                <w:rFonts w:ascii="Times New Roman"/>
                <w:sz w:val="18"/>
              </w:rPr>
              <w:t>66,895,2</w:t>
            </w:r>
          </w:p>
          <w:p>
            <w:pPr>
              <w:pStyle w:val="TableParagraph"/>
              <w:spacing w:line="240" w:lineRule="auto" w:before="105"/>
              <w:ind w:left="256" w:right="0"/>
              <w:jc w:val="left"/>
              <w:rPr>
                <w:rFonts w:ascii="Times New Roman" w:hAnsi="Times New Roman" w:cs="Times New Roman" w:eastAsia="Times New Roman" w:hint="default"/>
                <w:sz w:val="18"/>
                <w:szCs w:val="18"/>
              </w:rPr>
            </w:pPr>
            <w:r>
              <w:rPr>
                <w:rFonts w:ascii="Times New Roman"/>
                <w:sz w:val="18"/>
              </w:rPr>
              <w:t>64.81</w:t>
            </w:r>
          </w:p>
        </w:tc>
        <w:tc>
          <w:tcPr>
            <w:tcW w:w="6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6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6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3、报告期内正在进行的重大的非股权投资情况" w:id="47"/>
      <w:bookmarkEnd w:id="47"/>
      <w:r>
        <w:rPr>
          <w:b w:val="0"/>
          <w:bCs w:val="0"/>
        </w:rPr>
      </w:r>
      <w:r>
        <w:rPr>
          <w:rFonts w:ascii="Times New Roman" w:hAnsi="Times New Roman" w:cs="Times New Roman" w:eastAsia="Times New Roman" w:hint="default"/>
        </w:rPr>
        <w:t>3</w:t>
      </w:r>
      <w:r>
        <w:rPr/>
        <w:t>、报告期内正在进行的重大的非股权投资情况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154"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9"/>
        <w:rPr>
          <w:rFonts w:ascii="宋体" w:hAnsi="宋体" w:cs="宋体" w:eastAsia="宋体" w:hint="default"/>
          <w:sz w:val="25"/>
          <w:szCs w:val="25"/>
        </w:rPr>
      </w:pPr>
    </w:p>
    <w:p>
      <w:pPr>
        <w:pStyle w:val="Heading3"/>
        <w:spacing w:line="240" w:lineRule="auto"/>
        <w:ind w:left="153" w:right="0"/>
        <w:jc w:val="left"/>
        <w:rPr>
          <w:b w:val="0"/>
          <w:bCs w:val="0"/>
        </w:rPr>
      </w:pPr>
      <w:bookmarkStart w:name="4、以公允价值计量的金融资产" w:id="48"/>
      <w:bookmarkEnd w:id="48"/>
      <w:r>
        <w:rPr>
          <w:b w:val="0"/>
          <w:bCs w:val="0"/>
        </w:rPr>
      </w:r>
      <w:r>
        <w:rPr>
          <w:rFonts w:ascii="Times New Roman" w:hAnsi="Times New Roman" w:cs="Times New Roman" w:eastAsia="Times New Roman" w:hint="default"/>
        </w:rPr>
        <w:t>4</w:t>
      </w:r>
      <w:r>
        <w:rPr/>
        <w:t>、以公允价值计量的金融资产</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after="0" w:line="240" w:lineRule="auto"/>
        <w:jc w:val="left"/>
        <w:sectPr>
          <w:pgSz w:w="11910" w:h="16840"/>
          <w:pgMar w:header="747" w:footer="979" w:top="1060" w:bottom="1160" w:left="980" w:right="0"/>
        </w:sectPr>
      </w:pPr>
    </w:p>
    <w:p>
      <w:pPr>
        <w:spacing w:line="240" w:lineRule="auto" w:before="9"/>
        <w:rPr>
          <w:rFonts w:ascii="宋体" w:hAnsi="宋体" w:cs="宋体" w:eastAsia="宋体" w:hint="default"/>
          <w:sz w:val="24"/>
          <w:szCs w:val="24"/>
        </w:rPr>
      </w:pPr>
    </w:p>
    <w:p>
      <w:pPr>
        <w:pStyle w:val="Heading3"/>
        <w:spacing w:line="240" w:lineRule="auto" w:before="35"/>
        <w:ind w:left="153" w:right="0"/>
        <w:jc w:val="left"/>
        <w:rPr>
          <w:b w:val="0"/>
          <w:bCs w:val="0"/>
        </w:rPr>
      </w:pPr>
      <w:bookmarkStart w:name="5、募集资金使用情况" w:id="49"/>
      <w:bookmarkEnd w:id="49"/>
      <w:r>
        <w:rPr>
          <w:b w:val="0"/>
          <w:bCs w:val="0"/>
        </w:rPr>
      </w:r>
      <w:r>
        <w:rPr>
          <w:rFonts w:ascii="Times New Roman" w:hAnsi="Times New Roman" w:cs="Times New Roman" w:eastAsia="Times New Roman" w:hint="default"/>
        </w:rPr>
        <w:t>5</w:t>
      </w:r>
      <w:r>
        <w:rPr/>
        <w:t>、募集资金使用情况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9"/>
        <w:rPr>
          <w:rFonts w:ascii="宋体" w:hAnsi="宋体" w:cs="宋体" w:eastAsia="宋体" w:hint="default"/>
          <w:sz w:val="25"/>
          <w:szCs w:val="25"/>
        </w:rPr>
      </w:pPr>
    </w:p>
    <w:p>
      <w:pPr>
        <w:pStyle w:val="Heading3"/>
        <w:spacing w:line="240" w:lineRule="auto"/>
        <w:ind w:left="153" w:right="0"/>
        <w:jc w:val="left"/>
        <w:rPr>
          <w:b w:val="0"/>
          <w:bCs w:val="0"/>
        </w:rPr>
      </w:pPr>
      <w:bookmarkStart w:name="（1）募集资金总体使用情况" w:id="50"/>
      <w:bookmarkEnd w:id="50"/>
      <w:r>
        <w:rPr>
          <w:b w:val="0"/>
          <w:bCs w:val="0"/>
        </w:rPr>
      </w:r>
      <w:r>
        <w:rPr/>
        <w:t>（</w:t>
      </w:r>
      <w:r>
        <w:rPr>
          <w:rFonts w:ascii="Times New Roman" w:hAnsi="Times New Roman" w:cs="Times New Roman" w:eastAsia="Times New Roman" w:hint="default"/>
        </w:rPr>
        <w:t>1</w:t>
      </w:r>
      <w:r>
        <w:rPr/>
        <w:t>）募集资金总体使用情况</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240" w:lineRule="auto" w:before="102"/>
        <w:ind w:left="0" w:right="1130"/>
        <w:jc w:val="right"/>
      </w:pPr>
      <w:r>
        <w:rPr/>
        <w:t>单位：万元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9"/>
          <w:szCs w:val="19"/>
        </w:rPr>
      </w:pPr>
    </w:p>
    <w:p>
      <w:pPr>
        <w:pStyle w:val="BodyText"/>
        <w:spacing w:line="240" w:lineRule="auto" w:before="44"/>
        <w:ind w:left="0" w:right="1145"/>
        <w:jc w:val="right"/>
      </w:pPr>
      <w:r>
        <w:rPr/>
        <w:pict>
          <v:shape style="position:absolute;margin-left:56.459999pt;margin-top:-190.388275pt;width:479pt;height:257pt;mso-position-horizontal-relative:page;mso-position-vertical-relative:paragraph;z-index:131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867"/>
                    <w:gridCol w:w="863"/>
                    <w:gridCol w:w="877"/>
                    <w:gridCol w:w="870"/>
                    <w:gridCol w:w="870"/>
                    <w:gridCol w:w="869"/>
                    <w:gridCol w:w="870"/>
                    <w:gridCol w:w="870"/>
                    <w:gridCol w:w="870"/>
                    <w:gridCol w:w="870"/>
                    <w:gridCol w:w="869"/>
                  </w:tblGrid>
                  <w:tr>
                    <w:trPr>
                      <w:trHeight w:val="1338" w:hRule="exact"/>
                    </w:trPr>
                    <w:tc>
                      <w:tcPr>
                        <w:tcW w:w="8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67" w:right="0"/>
                          <w:jc w:val="left"/>
                          <w:rPr>
                            <w:rFonts w:ascii="宋体" w:hAnsi="宋体" w:cs="宋体" w:eastAsia="宋体" w:hint="default"/>
                            <w:sz w:val="18"/>
                            <w:szCs w:val="18"/>
                          </w:rPr>
                        </w:pPr>
                        <w:r>
                          <w:rPr>
                            <w:rFonts w:ascii="宋体" w:hAnsi="宋体" w:cs="宋体" w:eastAsia="宋体" w:hint="default"/>
                            <w:sz w:val="18"/>
                            <w:szCs w:val="18"/>
                          </w:rPr>
                          <w:t>募集年份</w:t>
                        </w:r>
                      </w:p>
                    </w:tc>
                    <w:tc>
                      <w:tcPr>
                        <w:tcW w:w="8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募集方式</w:t>
                        </w:r>
                      </w:p>
                    </w:tc>
                    <w:tc>
                      <w:tcPr>
                        <w:tcW w:w="8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53" w:right="72" w:hanging="180"/>
                          <w:jc w:val="left"/>
                          <w:rPr>
                            <w:rFonts w:ascii="宋体" w:hAnsi="宋体" w:cs="宋体" w:eastAsia="宋体" w:hint="default"/>
                            <w:sz w:val="18"/>
                            <w:szCs w:val="18"/>
                          </w:rPr>
                        </w:pPr>
                        <w:r>
                          <w:rPr>
                            <w:rFonts w:ascii="宋体" w:hAnsi="宋体" w:cs="宋体" w:eastAsia="宋体" w:hint="default"/>
                            <w:sz w:val="18"/>
                            <w:szCs w:val="18"/>
                          </w:rPr>
                          <w:t>募集资金 总额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69" w:right="68"/>
                          <w:jc w:val="both"/>
                          <w:rPr>
                            <w:rFonts w:ascii="宋体" w:hAnsi="宋体" w:cs="宋体" w:eastAsia="宋体" w:hint="default"/>
                            <w:sz w:val="18"/>
                            <w:szCs w:val="18"/>
                          </w:rPr>
                        </w:pPr>
                        <w:r>
                          <w:rPr>
                            <w:rFonts w:ascii="宋体" w:hAnsi="宋体" w:cs="宋体" w:eastAsia="宋体" w:hint="default"/>
                            <w:sz w:val="18"/>
                            <w:szCs w:val="18"/>
                          </w:rPr>
                          <w:t>本期已使 用募集资 金总额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69" w:right="69"/>
                          <w:jc w:val="both"/>
                          <w:rPr>
                            <w:rFonts w:ascii="宋体" w:hAnsi="宋体" w:cs="宋体" w:eastAsia="宋体" w:hint="default"/>
                            <w:sz w:val="18"/>
                            <w:szCs w:val="18"/>
                          </w:rPr>
                        </w:pPr>
                        <w:r>
                          <w:rPr>
                            <w:rFonts w:ascii="宋体" w:hAnsi="宋体" w:cs="宋体" w:eastAsia="宋体" w:hint="default"/>
                            <w:sz w:val="18"/>
                            <w:szCs w:val="18"/>
                          </w:rPr>
                          <w:t>已累计使 用募集资 金总额</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68" w:right="68"/>
                          <w:jc w:val="both"/>
                          <w:rPr>
                            <w:rFonts w:ascii="宋体" w:hAnsi="宋体" w:cs="宋体" w:eastAsia="宋体" w:hint="default"/>
                            <w:sz w:val="18"/>
                            <w:szCs w:val="18"/>
                          </w:rPr>
                        </w:pPr>
                        <w:r>
                          <w:rPr>
                            <w:rFonts w:ascii="宋体" w:hAnsi="宋体" w:cs="宋体" w:eastAsia="宋体" w:hint="default"/>
                            <w:sz w:val="18"/>
                            <w:szCs w:val="18"/>
                          </w:rPr>
                          <w:t>报告期内 变更用途 的募集资 金总额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69" w:right="68"/>
                          <w:jc w:val="center"/>
                          <w:rPr>
                            <w:rFonts w:ascii="宋体" w:hAnsi="宋体" w:cs="宋体" w:eastAsia="宋体" w:hint="default"/>
                            <w:sz w:val="18"/>
                            <w:szCs w:val="18"/>
                          </w:rPr>
                        </w:pPr>
                        <w:r>
                          <w:rPr>
                            <w:rFonts w:ascii="宋体" w:hAnsi="宋体" w:cs="宋体" w:eastAsia="宋体" w:hint="default"/>
                            <w:sz w:val="18"/>
                            <w:szCs w:val="18"/>
                          </w:rPr>
                          <w:t>累计变更 用途的募 集资金总 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69" w:right="68"/>
                          <w:jc w:val="both"/>
                          <w:rPr>
                            <w:rFonts w:ascii="宋体" w:hAnsi="宋体" w:cs="宋体" w:eastAsia="宋体" w:hint="default"/>
                            <w:sz w:val="18"/>
                            <w:szCs w:val="18"/>
                          </w:rPr>
                        </w:pPr>
                        <w:r>
                          <w:rPr>
                            <w:rFonts w:ascii="宋体" w:hAnsi="宋体" w:cs="宋体" w:eastAsia="宋体" w:hint="default"/>
                            <w:sz w:val="18"/>
                            <w:szCs w:val="18"/>
                          </w:rPr>
                          <w:t>累计变更 用途的募 集资金总 额比例</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70" w:right="68"/>
                          <w:jc w:val="center"/>
                          <w:rPr>
                            <w:rFonts w:ascii="宋体" w:hAnsi="宋体" w:cs="宋体" w:eastAsia="宋体" w:hint="default"/>
                            <w:sz w:val="18"/>
                            <w:szCs w:val="18"/>
                          </w:rPr>
                        </w:pPr>
                        <w:r>
                          <w:rPr>
                            <w:rFonts w:ascii="宋体" w:hAnsi="宋体" w:cs="宋体" w:eastAsia="宋体" w:hint="default"/>
                            <w:sz w:val="18"/>
                            <w:szCs w:val="18"/>
                          </w:rPr>
                          <w:t>尚未使用 募集资金 总额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69" w:right="68"/>
                          <w:jc w:val="center"/>
                          <w:rPr>
                            <w:rFonts w:ascii="宋体" w:hAnsi="宋体" w:cs="宋体" w:eastAsia="宋体" w:hint="default"/>
                            <w:sz w:val="18"/>
                            <w:szCs w:val="18"/>
                          </w:rPr>
                        </w:pPr>
                        <w:r>
                          <w:rPr>
                            <w:rFonts w:ascii="宋体" w:hAnsi="宋体" w:cs="宋体" w:eastAsia="宋体" w:hint="default"/>
                            <w:sz w:val="18"/>
                            <w:szCs w:val="18"/>
                          </w:rPr>
                          <w:t>尚未使用 募集资金 用途及去 向</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68" w:right="68"/>
                          <w:jc w:val="both"/>
                          <w:rPr>
                            <w:rFonts w:ascii="宋体" w:hAnsi="宋体" w:cs="宋体" w:eastAsia="宋体" w:hint="default"/>
                            <w:sz w:val="18"/>
                            <w:szCs w:val="18"/>
                          </w:rPr>
                        </w:pPr>
                        <w:r>
                          <w:rPr>
                            <w:rFonts w:ascii="宋体" w:hAnsi="宋体" w:cs="宋体" w:eastAsia="宋体" w:hint="default"/>
                            <w:sz w:val="18"/>
                            <w:szCs w:val="18"/>
                          </w:rPr>
                          <w:t>闲置两年 以上募集 资金金额</w:t>
                        </w:r>
                      </w:p>
                    </w:tc>
                  </w:tr>
                  <w:tr>
                    <w:trPr>
                      <w:trHeight w:val="714" w:hRule="exact"/>
                    </w:trPr>
                    <w:tc>
                      <w:tcPr>
                        <w:tcW w:w="8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2017</w:t>
                        </w:r>
                      </w:p>
                    </w:tc>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08"/>
                          <w:jc w:val="left"/>
                          <w:rPr>
                            <w:rFonts w:ascii="宋体" w:hAnsi="宋体" w:cs="宋体" w:eastAsia="宋体" w:hint="default"/>
                            <w:sz w:val="18"/>
                            <w:szCs w:val="18"/>
                          </w:rPr>
                        </w:pPr>
                        <w:r>
                          <w:rPr>
                            <w:rFonts w:ascii="宋体" w:hAnsi="宋体" w:cs="宋体" w:eastAsia="宋体" w:hint="default"/>
                            <w:sz w:val="18"/>
                            <w:szCs w:val="18"/>
                          </w:rPr>
                          <w:t>非公开发 行股票</w:t>
                        </w:r>
                      </w:p>
                    </w:tc>
                    <w:tc>
                      <w:tcPr>
                        <w:tcW w:w="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0" w:right="0"/>
                          <w:jc w:val="center"/>
                          <w:rPr>
                            <w:rFonts w:ascii="Times New Roman" w:hAnsi="Times New Roman" w:cs="Times New Roman" w:eastAsia="Times New Roman" w:hint="default"/>
                            <w:sz w:val="18"/>
                            <w:szCs w:val="18"/>
                          </w:rPr>
                        </w:pPr>
                        <w:r>
                          <w:rPr>
                            <w:rFonts w:ascii="Times New Roman"/>
                            <w:sz w:val="18"/>
                          </w:rPr>
                          <w:t>14,360.13</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8,609.72</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8,609.72</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5,814.02</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15"/>
                          <w:jc w:val="left"/>
                          <w:rPr>
                            <w:rFonts w:ascii="宋体" w:hAnsi="宋体" w:cs="宋体" w:eastAsia="宋体" w:hint="default"/>
                            <w:sz w:val="18"/>
                            <w:szCs w:val="18"/>
                          </w:rPr>
                        </w:pPr>
                        <w:r>
                          <w:rPr>
                            <w:rFonts w:ascii="宋体" w:hAnsi="宋体" w:cs="宋体" w:eastAsia="宋体" w:hint="default"/>
                            <w:sz w:val="18"/>
                            <w:szCs w:val="18"/>
                          </w:rPr>
                          <w:t>存于募集 资金账户</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8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87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88" w:right="0"/>
                          <w:jc w:val="center"/>
                          <w:rPr>
                            <w:rFonts w:ascii="Times New Roman" w:hAnsi="Times New Roman" w:cs="Times New Roman" w:eastAsia="Times New Roman" w:hint="default"/>
                            <w:sz w:val="18"/>
                            <w:szCs w:val="18"/>
                          </w:rPr>
                        </w:pPr>
                        <w:r>
                          <w:rPr>
                            <w:rFonts w:ascii="Times New Roman"/>
                            <w:sz w:val="18"/>
                          </w:rPr>
                          <w:t>14,360.13</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8,609.72</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8,609.72</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c>
                      <w:tcPr>
                        <w:tcW w:w="870"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5,814.02</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8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9565"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募集资金总体使用情况说明</w:t>
                        </w:r>
                      </w:p>
                    </w:tc>
                  </w:tr>
                  <w:tr>
                    <w:trPr>
                      <w:trHeight w:val="2274" w:hRule="exact"/>
                    </w:trPr>
                    <w:tc>
                      <w:tcPr>
                        <w:tcW w:w="9565" w:type="dxa"/>
                        <w:gridSpan w:val="11"/>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22" w:right="22"/>
                          <w:jc w:val="both"/>
                          <w:rPr>
                            <w:rFonts w:ascii="宋体" w:hAnsi="宋体" w:cs="宋体" w:eastAsia="宋体" w:hint="default"/>
                            <w:sz w:val="18"/>
                            <w:szCs w:val="18"/>
                          </w:rPr>
                        </w:pPr>
                        <w:r>
                          <w:rPr>
                            <w:rFonts w:ascii="宋体" w:hAnsi="宋体" w:cs="宋体" w:eastAsia="宋体" w:hint="default"/>
                            <w:sz w:val="18"/>
                            <w:szCs w:val="18"/>
                          </w:rPr>
                          <w:t>公司本次募集配套资金总额为</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143,601,291.54</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元。根据公司《发行股份及支付现金购买资产并募集配套资金报告书（修订 </w:t>
                        </w:r>
                        <w:r>
                          <w:rPr>
                            <w:rFonts w:ascii="宋体" w:hAnsi="宋体" w:cs="宋体" w:eastAsia="宋体" w:hint="default"/>
                            <w:spacing w:val="-4"/>
                            <w:sz w:val="18"/>
                            <w:szCs w:val="18"/>
                          </w:rPr>
                          <w:t>稿）》关于募集配套资金安排的规定，公司募集资金报告期内使用情况为：公司支付本次现金对价</w:t>
                        </w:r>
                        <w:r>
                          <w:rPr>
                            <w:rFonts w:ascii="宋体" w:hAnsi="宋体" w:cs="宋体" w:eastAsia="宋体" w:hint="default"/>
                            <w:sz w:val="18"/>
                            <w:szCs w:val="18"/>
                          </w:rPr>
                          <w:t> </w:t>
                        </w:r>
                        <w:r>
                          <w:rPr>
                            <w:rFonts w:ascii="Times New Roman" w:hAnsi="Times New Roman" w:cs="Times New Roman" w:eastAsia="Times New Roman" w:hint="default"/>
                            <w:spacing w:val="-3"/>
                            <w:sz w:val="18"/>
                            <w:szCs w:val="18"/>
                          </w:rPr>
                          <w:t>75</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000</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000.00</w:t>
                        </w:r>
                        <w:r>
                          <w:rPr>
                            <w:rFonts w:ascii="Times New Roman" w:hAnsi="Times New Roman" w:cs="Times New Roman" w:eastAsia="Times New Roman" w:hint="default"/>
                            <w:sz w:val="18"/>
                            <w:szCs w:val="18"/>
                          </w:rPr>
                          <w:t> </w:t>
                        </w:r>
                        <w:r>
                          <w:rPr>
                            <w:rFonts w:ascii="宋体" w:hAnsi="宋体" w:cs="宋体" w:eastAsia="宋体" w:hint="default"/>
                            <w:spacing w:val="-5"/>
                            <w:sz w:val="18"/>
                            <w:szCs w:val="18"/>
                          </w:rPr>
                          <w:t>元，支</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付本次发行的承销费用</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200</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万元，公司置换先行支付的中介机构费和其他发行费用</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570</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万元，向公司全资子公司深圳市千</w:t>
                        </w:r>
                      </w:p>
                      <w:p>
                        <w:pPr>
                          <w:pStyle w:val="TableParagraph"/>
                          <w:spacing w:line="240" w:lineRule="auto" w:before="13"/>
                          <w:ind w:left="22" w:right="0"/>
                          <w:jc w:val="both"/>
                          <w:rPr>
                            <w:rFonts w:ascii="宋体" w:hAnsi="宋体" w:cs="宋体" w:eastAsia="宋体" w:hint="default"/>
                            <w:sz w:val="18"/>
                            <w:szCs w:val="18"/>
                          </w:rPr>
                        </w:pPr>
                        <w:r>
                          <w:rPr>
                            <w:rFonts w:ascii="宋体" w:hAnsi="宋体" w:cs="宋体" w:eastAsia="宋体" w:hint="default"/>
                            <w:sz w:val="18"/>
                            <w:szCs w:val="18"/>
                          </w:rPr>
                          <w:t>百辉照明工程有限公司（以下简称</w:t>
                        </w:r>
                        <w:r>
                          <w:rPr>
                            <w:rFonts w:ascii="Times New Roman" w:hAnsi="Times New Roman" w:cs="Times New Roman" w:eastAsia="Times New Roman" w:hint="default"/>
                            <w:sz w:val="18"/>
                            <w:szCs w:val="18"/>
                          </w:rPr>
                          <w:t>“</w:t>
                        </w:r>
                        <w:r>
                          <w:rPr>
                            <w:rFonts w:ascii="宋体" w:hAnsi="宋体" w:cs="宋体" w:eastAsia="宋体" w:hint="default"/>
                            <w:sz w:val="18"/>
                            <w:szCs w:val="18"/>
                          </w:rPr>
                          <w:t>千百辉</w:t>
                        </w:r>
                        <w:r>
                          <w:rPr>
                            <w:rFonts w:ascii="Times New Roman" w:hAnsi="Times New Roman" w:cs="Times New Roman" w:eastAsia="Times New Roman" w:hint="default"/>
                            <w:sz w:val="18"/>
                            <w:szCs w:val="18"/>
                          </w:rPr>
                          <w:t>”</w:t>
                        </w:r>
                        <w:r>
                          <w:rPr>
                            <w:rFonts w:ascii="宋体" w:hAnsi="宋体" w:cs="宋体" w:eastAsia="宋体" w:hint="default"/>
                            <w:sz w:val="18"/>
                            <w:szCs w:val="18"/>
                          </w:rPr>
                          <w:t>）增资</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60,901,300.00</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元用于募集资金投资项目建设，截至</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日</w:t>
                        </w:r>
                      </w:p>
                      <w:p>
                        <w:pPr>
                          <w:pStyle w:val="TableParagraph"/>
                          <w:spacing w:line="240" w:lineRule="auto" w:before="63"/>
                          <w:ind w:left="22" w:right="0"/>
                          <w:jc w:val="both"/>
                          <w:rPr>
                            <w:rFonts w:ascii="宋体" w:hAnsi="宋体" w:cs="宋体" w:eastAsia="宋体" w:hint="default"/>
                            <w:sz w:val="18"/>
                            <w:szCs w:val="18"/>
                          </w:rPr>
                        </w:pPr>
                        <w:r>
                          <w:rPr>
                            <w:rFonts w:ascii="宋体" w:hAnsi="宋体" w:cs="宋体" w:eastAsia="宋体" w:hint="default"/>
                            <w:sz w:val="18"/>
                            <w:szCs w:val="18"/>
                          </w:rPr>
                          <w:t>公司募集资金专户余额为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92,768.03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元（利息收入</w:t>
                        </w:r>
                        <w:r>
                          <w:rPr>
                            <w:rFonts w:ascii="宋体" w:hAnsi="宋体" w:cs="宋体" w:eastAsia="宋体" w:hint="default"/>
                            <w:spacing w:val="-90"/>
                            <w:sz w:val="18"/>
                            <w:szCs w:val="18"/>
                          </w:rPr>
                          <w:t>）</w:t>
                        </w:r>
                        <w:r>
                          <w:rPr>
                            <w:rFonts w:ascii="宋体" w:hAnsi="宋体" w:cs="宋体" w:eastAsia="宋体" w:hint="default"/>
                            <w:sz w:val="18"/>
                            <w:szCs w:val="18"/>
                          </w:rPr>
                          <w:t>。千百辉增资完成后，</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日，千百辉募集资金账户金额为</w:t>
                        </w:r>
                      </w:p>
                      <w:p>
                        <w:pPr>
                          <w:pStyle w:val="TableParagraph"/>
                          <w:spacing w:line="240" w:lineRule="auto" w:before="63"/>
                          <w:ind w:left="22" w:right="0"/>
                          <w:jc w:val="both"/>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60,901,300.00</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元，报告期内，千百辉置换先行投入到募集配套资金项目金额为</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1,781,623.44</w:t>
                        </w:r>
                        <w:r>
                          <w:rPr>
                            <w:rFonts w:ascii="Times New Roman" w:hAnsi="Times New Roman" w:cs="Times New Roman" w:eastAsia="Times New Roman" w:hint="default"/>
                            <w:spacing w:val="-14"/>
                            <w:sz w:val="18"/>
                            <w:szCs w:val="18"/>
                          </w:rPr>
                          <w:t> </w:t>
                        </w:r>
                        <w:r>
                          <w:rPr>
                            <w:rFonts w:ascii="宋体" w:hAnsi="宋体" w:cs="宋体" w:eastAsia="宋体" w:hint="default"/>
                            <w:spacing w:val="-4"/>
                            <w:sz w:val="18"/>
                            <w:szCs w:val="18"/>
                          </w:rPr>
                          <w:t>元，募投项目支出</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1,615,610.07</w:t>
                        </w:r>
                      </w:p>
                      <w:p>
                        <w:pPr>
                          <w:pStyle w:val="TableParagraph"/>
                          <w:spacing w:line="240" w:lineRule="auto" w:before="64"/>
                          <w:ind w:left="22" w:right="0"/>
                          <w:jc w:val="both"/>
                          <w:rPr>
                            <w:rFonts w:ascii="宋体" w:hAnsi="宋体" w:cs="宋体" w:eastAsia="宋体" w:hint="default"/>
                            <w:sz w:val="18"/>
                            <w:szCs w:val="18"/>
                          </w:rPr>
                        </w:pPr>
                        <w:r>
                          <w:rPr>
                            <w:rFonts w:ascii="宋体" w:hAnsi="宋体" w:cs="宋体" w:eastAsia="宋体" w:hint="default"/>
                            <w:sz w:val="18"/>
                            <w:szCs w:val="18"/>
                          </w:rPr>
                          <w:t>元，截至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1"/>
                            <w:sz w:val="18"/>
                            <w:szCs w:val="18"/>
                          </w:rPr>
                          <w:t>3</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pacing w:val="1"/>
                            <w:sz w:val="18"/>
                            <w:szCs w:val="18"/>
                          </w:rPr>
                          <w:t>日</w:t>
                        </w:r>
                        <w:r>
                          <w:rPr>
                            <w:rFonts w:ascii="宋体" w:hAnsi="宋体" w:cs="宋体" w:eastAsia="宋体" w:hint="default"/>
                            <w:sz w:val="18"/>
                            <w:szCs w:val="18"/>
                          </w:rPr>
                          <w:t>，千百辉募集资金专户余额为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58,047,4</w:t>
                        </w:r>
                        <w:r>
                          <w:rPr>
                            <w:rFonts w:ascii="Times New Roman" w:hAnsi="Times New Roman" w:cs="Times New Roman" w:eastAsia="Times New Roman" w:hint="default"/>
                            <w:spacing w:val="-8"/>
                            <w:sz w:val="18"/>
                            <w:szCs w:val="18"/>
                          </w:rPr>
                          <w:t>1</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8</w:t>
                        </w:r>
                        <w:r>
                          <w:rPr>
                            <w:rFonts w:ascii="Times New Roman" w:hAnsi="Times New Roman" w:cs="Times New Roman" w:eastAsia="Times New Roman" w:hint="default"/>
                            <w:sz w:val="18"/>
                            <w:szCs w:val="18"/>
                          </w:rPr>
                          <w:t>7 </w:t>
                        </w:r>
                        <w:r>
                          <w:rPr>
                            <w:rFonts w:ascii="宋体" w:hAnsi="宋体" w:cs="宋体" w:eastAsia="宋体" w:hint="default"/>
                            <w:sz w:val="18"/>
                            <w:szCs w:val="18"/>
                          </w:rPr>
                          <w:t>元（扣除银行手续费后，含利息收入</w:t>
                        </w:r>
                        <w:r>
                          <w:rPr>
                            <w:rFonts w:ascii="宋体" w:hAnsi="宋体" w:cs="宋体" w:eastAsia="宋体" w:hint="default"/>
                            <w:spacing w:val="-90"/>
                            <w:sz w:val="18"/>
                            <w:szCs w:val="18"/>
                          </w:rPr>
                          <w:t>）</w:t>
                        </w:r>
                        <w:r>
                          <w:rPr>
                            <w:rFonts w:ascii="宋体" w:hAnsi="宋体" w:cs="宋体" w:eastAsia="宋体" w:hint="default"/>
                            <w:sz w:val="18"/>
                            <w:szCs w:val="18"/>
                          </w:rPr>
                          <w:t>。</w:t>
                        </w:r>
                      </w:p>
                    </w:tc>
                  </w:tr>
                </w:tbl>
                <w:p>
                  <w:pPr/>
                </w:p>
              </w:txbxContent>
            </v:textbox>
            <w10:wrap type="none"/>
          </v:shape>
        </w:pict>
      </w: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9"/>
          <w:szCs w:val="19"/>
        </w:rPr>
      </w:pPr>
    </w:p>
    <w:p>
      <w:pPr>
        <w:pStyle w:val="Heading3"/>
        <w:spacing w:line="240" w:lineRule="auto" w:before="35"/>
        <w:ind w:right="0"/>
        <w:jc w:val="left"/>
        <w:rPr>
          <w:b w:val="0"/>
          <w:bCs w:val="0"/>
        </w:rPr>
      </w:pPr>
      <w:bookmarkStart w:name="（2）募集资金承诺项目情况" w:id="51"/>
      <w:bookmarkEnd w:id="51"/>
      <w:r>
        <w:rPr>
          <w:b w:val="0"/>
          <w:bCs w:val="0"/>
        </w:rPr>
      </w:r>
      <w:r>
        <w:rPr/>
        <w:t>（</w:t>
      </w:r>
      <w:r>
        <w:rPr>
          <w:rFonts w:ascii="Times New Roman" w:hAnsi="Times New Roman" w:cs="Times New Roman" w:eastAsia="Times New Roman" w:hint="default"/>
        </w:rPr>
        <w:t>2</w:t>
      </w:r>
      <w:r>
        <w:rPr/>
        <w:t>）募集资金承诺项目情况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154"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240" w:lineRule="auto" w:before="103"/>
        <w:ind w:left="0" w:right="1130"/>
        <w:jc w:val="right"/>
      </w:pPr>
      <w:r>
        <w:rPr/>
        <w:t>单位：万元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770"/>
        <w:gridCol w:w="779"/>
        <w:gridCol w:w="780"/>
        <w:gridCol w:w="780"/>
        <w:gridCol w:w="779"/>
        <w:gridCol w:w="780"/>
        <w:gridCol w:w="780"/>
        <w:gridCol w:w="780"/>
        <w:gridCol w:w="780"/>
        <w:gridCol w:w="780"/>
        <w:gridCol w:w="780"/>
      </w:tblGrid>
      <w:tr>
        <w:trPr>
          <w:trHeight w:val="1338" w:hRule="exact"/>
        </w:trPr>
        <w:tc>
          <w:tcPr>
            <w:tcW w:w="17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520" w:right="69" w:hanging="451"/>
              <w:jc w:val="left"/>
              <w:rPr>
                <w:rFonts w:ascii="宋体" w:hAnsi="宋体" w:cs="宋体" w:eastAsia="宋体" w:hint="default"/>
                <w:sz w:val="18"/>
                <w:szCs w:val="18"/>
              </w:rPr>
            </w:pPr>
            <w:r>
              <w:rPr>
                <w:rFonts w:ascii="宋体" w:hAnsi="宋体" w:cs="宋体" w:eastAsia="宋体" w:hint="default"/>
                <w:sz w:val="18"/>
                <w:szCs w:val="18"/>
              </w:rPr>
              <w:t>承诺投资项目和超募 资金投向</w:t>
            </w:r>
          </w:p>
        </w:tc>
        <w:tc>
          <w:tcPr>
            <w:tcW w:w="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2" w:lineRule="auto" w:before="51"/>
              <w:ind w:left="24" w:right="23"/>
              <w:jc w:val="center"/>
              <w:rPr>
                <w:rFonts w:ascii="Times New Roman" w:hAnsi="Times New Roman" w:cs="Times New Roman" w:eastAsia="Times New Roman" w:hint="default"/>
                <w:sz w:val="18"/>
                <w:szCs w:val="18"/>
              </w:rPr>
            </w:pPr>
            <w:r>
              <w:rPr>
                <w:rFonts w:ascii="宋体" w:hAnsi="宋体" w:cs="宋体" w:eastAsia="宋体" w:hint="default"/>
                <w:sz w:val="18"/>
                <w:szCs w:val="18"/>
              </w:rPr>
              <w:t>是否已变 更项目 </w:t>
            </w:r>
            <w:r>
              <w:rPr>
                <w:rFonts w:ascii="Times New Roman" w:hAnsi="Times New Roman" w:cs="Times New Roman" w:eastAsia="Times New Roman" w:hint="default"/>
                <w:sz w:val="18"/>
                <w:szCs w:val="18"/>
              </w:rPr>
              <w:t>(</w:t>
            </w:r>
            <w:r>
              <w:rPr>
                <w:rFonts w:ascii="宋体" w:hAnsi="宋体" w:cs="宋体" w:eastAsia="宋体" w:hint="default"/>
                <w:sz w:val="18"/>
                <w:szCs w:val="18"/>
              </w:rPr>
              <w:t>含部分 变更</w:t>
            </w:r>
            <w:r>
              <w:rPr>
                <w:rFonts w:ascii="Times New Roman" w:hAnsi="Times New Roman" w:cs="Times New Roman" w:eastAsia="Times New Roman" w:hint="default"/>
                <w:sz w:val="18"/>
                <w:szCs w:val="18"/>
              </w:rPr>
              <w:t>)</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24" w:right="24"/>
              <w:jc w:val="center"/>
              <w:rPr>
                <w:rFonts w:ascii="宋体" w:hAnsi="宋体" w:cs="宋体" w:eastAsia="宋体" w:hint="default"/>
                <w:sz w:val="18"/>
                <w:szCs w:val="18"/>
              </w:rPr>
            </w:pPr>
            <w:r>
              <w:rPr>
                <w:rFonts w:ascii="宋体" w:hAnsi="宋体" w:cs="宋体" w:eastAsia="宋体" w:hint="default"/>
                <w:sz w:val="18"/>
                <w:szCs w:val="18"/>
              </w:rPr>
              <w:t>募集资金 承诺投资 总额</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38" w:lineRule="auto"/>
              <w:ind w:left="24" w:right="24"/>
              <w:jc w:val="center"/>
              <w:rPr>
                <w:rFonts w:ascii="Times New Roman" w:hAnsi="Times New Roman" w:cs="Times New Roman" w:eastAsia="Times New Roman" w:hint="default"/>
                <w:sz w:val="18"/>
                <w:szCs w:val="18"/>
              </w:rPr>
            </w:pPr>
            <w:r>
              <w:rPr>
                <w:rFonts w:ascii="宋体" w:hAnsi="宋体" w:cs="宋体" w:eastAsia="宋体" w:hint="default"/>
                <w:sz w:val="18"/>
                <w:szCs w:val="18"/>
              </w:rPr>
              <w:t>调整后投 资总额 </w:t>
            </w:r>
            <w:r>
              <w:rPr>
                <w:rFonts w:ascii="Times New Roman" w:hAnsi="Times New Roman" w:cs="Times New Roman" w:eastAsia="Times New Roman" w:hint="default"/>
                <w:sz w:val="18"/>
                <w:szCs w:val="18"/>
              </w:rPr>
              <w:t>(1)</w:t>
            </w:r>
          </w:p>
        </w:tc>
        <w:tc>
          <w:tcPr>
            <w:tcW w:w="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23" w:right="23"/>
              <w:jc w:val="left"/>
              <w:rPr>
                <w:rFonts w:ascii="宋体" w:hAnsi="宋体" w:cs="宋体" w:eastAsia="宋体" w:hint="default"/>
                <w:sz w:val="18"/>
                <w:szCs w:val="18"/>
              </w:rPr>
            </w:pPr>
            <w:r>
              <w:rPr>
                <w:rFonts w:ascii="宋体" w:hAnsi="宋体" w:cs="宋体" w:eastAsia="宋体" w:hint="default"/>
                <w:sz w:val="18"/>
                <w:szCs w:val="18"/>
              </w:rPr>
              <w:t>本报告期 投入金额</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25" w:right="23"/>
              <w:jc w:val="both"/>
              <w:rPr>
                <w:rFonts w:ascii="Times New Roman" w:hAnsi="Times New Roman" w:cs="Times New Roman" w:eastAsia="Times New Roman" w:hint="default"/>
                <w:sz w:val="18"/>
                <w:szCs w:val="18"/>
              </w:rPr>
            </w:pPr>
            <w:r>
              <w:rPr>
                <w:rFonts w:ascii="宋体" w:hAnsi="宋体" w:cs="宋体" w:eastAsia="宋体" w:hint="default"/>
                <w:sz w:val="18"/>
                <w:szCs w:val="18"/>
              </w:rPr>
              <w:t>截至期末 累计投入 金额</w:t>
            </w:r>
            <w:r>
              <w:rPr>
                <w:rFonts w:ascii="Times New Roman" w:hAnsi="Times New Roman" w:cs="Times New Roman" w:eastAsia="Times New Roman" w:hint="default"/>
                <w:sz w:val="18"/>
                <w:szCs w:val="18"/>
              </w:rPr>
              <w:t>(2)</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6" w:lineRule="auto" w:before="51"/>
              <w:ind w:left="25" w:right="23"/>
              <w:jc w:val="center"/>
              <w:rPr>
                <w:rFonts w:ascii="Times New Roman" w:hAnsi="Times New Roman" w:cs="Times New Roman" w:eastAsia="Times New Roman" w:hint="default"/>
                <w:sz w:val="18"/>
                <w:szCs w:val="18"/>
              </w:rPr>
            </w:pPr>
            <w:r>
              <w:rPr>
                <w:rFonts w:ascii="宋体" w:hAnsi="宋体" w:cs="宋体" w:eastAsia="宋体" w:hint="default"/>
                <w:sz w:val="18"/>
                <w:szCs w:val="18"/>
              </w:rPr>
              <w:t>截至期末 投资进度 </w:t>
            </w:r>
            <w:r>
              <w:rPr>
                <w:rFonts w:ascii="Times New Roman" w:hAnsi="Times New Roman" w:cs="Times New Roman" w:eastAsia="Times New Roman" w:hint="default"/>
                <w:sz w:val="18"/>
                <w:szCs w:val="18"/>
              </w:rPr>
              <w:t>(3)</w:t>
            </w:r>
            <w:r>
              <w:rPr>
                <w:rFonts w:ascii="宋体" w:hAnsi="宋体" w:cs="宋体" w:eastAsia="宋体" w:hint="default"/>
                <w:sz w:val="18"/>
                <w:szCs w:val="18"/>
              </w:rPr>
              <w:t>＝ </w:t>
            </w:r>
            <w:r>
              <w:rPr>
                <w:rFonts w:ascii="Times New Roman" w:hAnsi="Times New Roman" w:cs="Times New Roman" w:eastAsia="Times New Roman" w:hint="default"/>
                <w:sz w:val="18"/>
                <w:szCs w:val="18"/>
              </w:rPr>
              <w:t>(2)/(1)</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5" w:right="23"/>
              <w:jc w:val="center"/>
              <w:rPr>
                <w:rFonts w:ascii="宋体" w:hAnsi="宋体" w:cs="宋体" w:eastAsia="宋体" w:hint="default"/>
                <w:sz w:val="18"/>
                <w:szCs w:val="18"/>
              </w:rPr>
            </w:pPr>
            <w:r>
              <w:rPr>
                <w:rFonts w:ascii="宋体" w:hAnsi="宋体" w:cs="宋体" w:eastAsia="宋体" w:hint="default"/>
                <w:sz w:val="18"/>
                <w:szCs w:val="18"/>
              </w:rPr>
              <w:t>项目达到 预定可使 用状态日 期</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25" w:right="23"/>
              <w:jc w:val="center"/>
              <w:rPr>
                <w:rFonts w:ascii="宋体" w:hAnsi="宋体" w:cs="宋体" w:eastAsia="宋体" w:hint="default"/>
                <w:sz w:val="18"/>
                <w:szCs w:val="18"/>
              </w:rPr>
            </w:pPr>
            <w:r>
              <w:rPr>
                <w:rFonts w:ascii="宋体" w:hAnsi="宋体" w:cs="宋体" w:eastAsia="宋体" w:hint="default"/>
                <w:sz w:val="18"/>
                <w:szCs w:val="18"/>
              </w:rPr>
              <w:t>本报告期 实现的效 益</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25" w:right="23"/>
              <w:jc w:val="left"/>
              <w:rPr>
                <w:rFonts w:ascii="宋体" w:hAnsi="宋体" w:cs="宋体" w:eastAsia="宋体" w:hint="default"/>
                <w:sz w:val="18"/>
                <w:szCs w:val="18"/>
              </w:rPr>
            </w:pPr>
            <w:r>
              <w:rPr>
                <w:rFonts w:ascii="宋体" w:hAnsi="宋体" w:cs="宋体" w:eastAsia="宋体" w:hint="default"/>
                <w:sz w:val="18"/>
                <w:szCs w:val="18"/>
              </w:rPr>
              <w:t>是否达到 预计效益</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5" w:right="23"/>
              <w:jc w:val="center"/>
              <w:rPr>
                <w:rFonts w:ascii="宋体" w:hAnsi="宋体" w:cs="宋体" w:eastAsia="宋体" w:hint="default"/>
                <w:sz w:val="18"/>
                <w:szCs w:val="18"/>
              </w:rPr>
            </w:pPr>
            <w:r>
              <w:rPr>
                <w:rFonts w:ascii="宋体" w:hAnsi="宋体" w:cs="宋体" w:eastAsia="宋体" w:hint="default"/>
                <w:sz w:val="18"/>
                <w:szCs w:val="18"/>
              </w:rPr>
              <w:t>项目可行 性是否发 生重大变 化</w:t>
            </w:r>
          </w:p>
        </w:tc>
      </w:tr>
      <w:tr>
        <w:trPr>
          <w:trHeight w:val="402" w:hRule="exact"/>
        </w:trPr>
        <w:tc>
          <w:tcPr>
            <w:tcW w:w="9569"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承诺投资项目</w:t>
            </w:r>
          </w:p>
        </w:tc>
      </w:tr>
      <w:tr>
        <w:trPr>
          <w:trHeight w:val="402" w:hRule="exact"/>
        </w:trPr>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、支付本次现金对价</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7,500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7,500</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7,500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7,500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hAnsi="宋体" w:cs="宋体" w:eastAsia="宋体" w:hint="default"/>
                <w:sz w:val="18"/>
                <w:szCs w:val="18"/>
              </w:rPr>
              <w:t>不适用</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hAnsi="宋体" w:cs="宋体" w:eastAsia="宋体" w:hint="default"/>
                <w:sz w:val="18"/>
                <w:szCs w:val="18"/>
              </w:rPr>
              <w:t>不适用</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51"/>
              <w:ind w:left="22" w:right="2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、本次交易中介机构 相关费用</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770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770</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770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770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1"/>
              <w:jc w:val="right"/>
              <w:rPr>
                <w:rFonts w:ascii="宋体" w:hAnsi="宋体" w:cs="宋体" w:eastAsia="宋体" w:hint="default"/>
                <w:sz w:val="18"/>
                <w:szCs w:val="18"/>
              </w:rPr>
            </w:pPr>
            <w:r>
              <w:rPr>
                <w:rFonts w:ascii="宋体" w:hAnsi="宋体" w:cs="宋体" w:eastAsia="宋体" w:hint="default"/>
                <w:sz w:val="18"/>
                <w:szCs w:val="18"/>
              </w:rPr>
              <w:t>不适用</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hAnsi="宋体" w:cs="宋体" w:eastAsia="宋体" w:hint="default"/>
                <w:sz w:val="18"/>
                <w:szCs w:val="18"/>
              </w:rPr>
              <w:t>不适用</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026" w:hRule="exact"/>
        </w:trPr>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2" w:right="2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、千百辉智能楼宇亮 化系统研发中心建设 项目</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6,090.13</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6,090.13</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339.72</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339.72</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5.58%</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20"/>
              <w:jc w:val="right"/>
              <w:rPr>
                <w:rFonts w:ascii="宋体" w:hAnsi="宋体" w:cs="宋体" w:eastAsia="宋体" w:hint="default"/>
                <w:sz w:val="18"/>
                <w:szCs w:val="18"/>
              </w:rPr>
            </w:pPr>
            <w:r>
              <w:rPr>
                <w:rFonts w:ascii="宋体" w:hAnsi="宋体" w:cs="宋体" w:eastAsia="宋体" w:hint="default"/>
                <w:sz w:val="18"/>
                <w:szCs w:val="18"/>
              </w:rPr>
              <w:t>不适用</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7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承诺投资项目小计</w:t>
            </w:r>
          </w:p>
        </w:tc>
        <w:tc>
          <w:tcPr>
            <w:tcW w:w="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14,360.13</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14,360.13</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8,609.72</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8,609.72</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770"/>
        <w:gridCol w:w="779"/>
        <w:gridCol w:w="780"/>
        <w:gridCol w:w="780"/>
        <w:gridCol w:w="779"/>
        <w:gridCol w:w="780"/>
        <w:gridCol w:w="780"/>
        <w:gridCol w:w="780"/>
        <w:gridCol w:w="780"/>
        <w:gridCol w:w="780"/>
        <w:gridCol w:w="780"/>
      </w:tblGrid>
      <w:tr>
        <w:trPr>
          <w:trHeight w:val="402" w:hRule="exact"/>
        </w:trPr>
        <w:tc>
          <w:tcPr>
            <w:tcW w:w="9569"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超募资金投向</w:t>
            </w:r>
          </w:p>
        </w:tc>
      </w:tr>
      <w:tr>
        <w:trPr>
          <w:trHeight w:val="402" w:hRule="exact"/>
        </w:trPr>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779"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79"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7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78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left="19" w:right="0"/>
              <w:jc w:val="left"/>
              <w:rPr>
                <w:rFonts w:ascii="Times New Roman" w:hAnsi="Times New Roman" w:cs="Times New Roman" w:eastAsia="Times New Roman" w:hint="default"/>
                <w:sz w:val="18"/>
                <w:szCs w:val="18"/>
              </w:rPr>
            </w:pPr>
            <w:r>
              <w:rPr>
                <w:rFonts w:ascii="Times New Roman"/>
                <w:sz w:val="18"/>
              </w:rPr>
              <w:t>14,360.13</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14,360.13</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5" w:right="0"/>
              <w:jc w:val="left"/>
              <w:rPr>
                <w:rFonts w:ascii="Times New Roman" w:hAnsi="Times New Roman" w:cs="Times New Roman" w:eastAsia="Times New Roman" w:hint="default"/>
                <w:sz w:val="18"/>
                <w:szCs w:val="18"/>
              </w:rPr>
            </w:pPr>
            <w:r>
              <w:rPr>
                <w:rFonts w:ascii="Times New Roman"/>
                <w:sz w:val="18"/>
              </w:rPr>
              <w:t>8,609.72</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7" w:right="0"/>
              <w:jc w:val="left"/>
              <w:rPr>
                <w:rFonts w:ascii="Times New Roman" w:hAnsi="Times New Roman" w:cs="Times New Roman" w:eastAsia="Times New Roman" w:hint="default"/>
                <w:sz w:val="18"/>
                <w:szCs w:val="18"/>
              </w:rPr>
            </w:pPr>
            <w:r>
              <w:rPr>
                <w:rFonts w:ascii="Times New Roman"/>
                <w:sz w:val="18"/>
              </w:rPr>
              <w:t>8,609.72</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1026" w:hRule="exact"/>
        </w:trPr>
        <w:tc>
          <w:tcPr>
            <w:tcW w:w="17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117"/>
              <w:jc w:val="left"/>
              <w:rPr>
                <w:rFonts w:ascii="宋体" w:hAnsi="宋体" w:cs="宋体" w:eastAsia="宋体" w:hint="default"/>
                <w:sz w:val="18"/>
                <w:szCs w:val="18"/>
              </w:rPr>
            </w:pPr>
            <w:r>
              <w:rPr>
                <w:rFonts w:ascii="宋体" w:hAnsi="宋体" w:cs="宋体" w:eastAsia="宋体" w:hint="default"/>
                <w:sz w:val="18"/>
                <w:szCs w:val="18"/>
              </w:rPr>
              <w:t>未达到计划进度或预 计收益的情况和原因</w:t>
            </w:r>
          </w:p>
          <w:p>
            <w:pPr>
              <w:pStyle w:val="TableParagraph"/>
              <w:spacing w:line="240" w:lineRule="auto" w:before="20"/>
              <w:ind w:left="22" w:right="0"/>
              <w:jc w:val="left"/>
              <w:rPr>
                <w:rFonts w:ascii="宋体" w:hAnsi="宋体" w:cs="宋体" w:eastAsia="宋体" w:hint="default"/>
                <w:sz w:val="18"/>
                <w:szCs w:val="18"/>
              </w:rPr>
            </w:pPr>
            <w:r>
              <w:rPr>
                <w:rFonts w:ascii="宋体" w:hAnsi="宋体" w:cs="宋体" w:eastAsia="宋体" w:hint="default"/>
                <w:sz w:val="18"/>
                <w:szCs w:val="18"/>
              </w:rPr>
              <w:t>（分具体项目）</w:t>
            </w:r>
          </w:p>
        </w:tc>
        <w:tc>
          <w:tcPr>
            <w:tcW w:w="7798" w:type="dxa"/>
            <w:gridSpan w:val="10"/>
            <w:tcBorders>
              <w:top w:val="single" w:sz="4" w:space="0" w:color="000000"/>
              <w:left w:val="single" w:sz="9"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714" w:hRule="exact"/>
        </w:trPr>
        <w:tc>
          <w:tcPr>
            <w:tcW w:w="17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17"/>
              <w:jc w:val="left"/>
              <w:rPr>
                <w:rFonts w:ascii="宋体" w:hAnsi="宋体" w:cs="宋体" w:eastAsia="宋体" w:hint="default"/>
                <w:sz w:val="18"/>
                <w:szCs w:val="18"/>
              </w:rPr>
            </w:pPr>
            <w:r>
              <w:rPr>
                <w:rFonts w:ascii="宋体" w:hAnsi="宋体" w:cs="宋体" w:eastAsia="宋体" w:hint="default"/>
                <w:sz w:val="18"/>
                <w:szCs w:val="18"/>
              </w:rPr>
              <w:t>项目可行性发生重大 变化的情况说明</w:t>
            </w:r>
          </w:p>
        </w:tc>
        <w:tc>
          <w:tcPr>
            <w:tcW w:w="7798" w:type="dxa"/>
            <w:gridSpan w:val="10"/>
            <w:tcBorders>
              <w:top w:val="single" w:sz="4" w:space="0" w:color="000000"/>
              <w:left w:val="single" w:sz="9"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1770"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7"/>
              <w:ind w:left="22" w:right="22"/>
              <w:jc w:val="left"/>
              <w:rPr>
                <w:rFonts w:ascii="宋体" w:hAnsi="宋体" w:cs="宋体" w:eastAsia="宋体" w:hint="default"/>
                <w:sz w:val="18"/>
                <w:szCs w:val="18"/>
              </w:rPr>
            </w:pPr>
            <w:r>
              <w:rPr>
                <w:rFonts w:ascii="宋体" w:hAnsi="宋体" w:cs="宋体" w:eastAsia="宋体" w:hint="default"/>
                <w:spacing w:val="-9"/>
                <w:sz w:val="18"/>
                <w:szCs w:val="18"/>
              </w:rPr>
              <w:t>超募资金的金额、用途</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及使用进展情况</w:t>
            </w:r>
          </w:p>
        </w:tc>
        <w:tc>
          <w:tcPr>
            <w:tcW w:w="7798" w:type="dxa"/>
            <w:gridSpan w:val="10"/>
            <w:tcBorders>
              <w:top w:val="single" w:sz="4" w:space="0" w:color="000000"/>
              <w:left w:val="single" w:sz="9" w:space="0" w:color="D2D2D2"/>
              <w:bottom w:val="single" w:sz="4" w:space="0" w:color="000000"/>
              <w:right w:val="single" w:sz="4" w:space="0" w:color="000000"/>
            </w:tcBorders>
          </w:tcPr>
          <w:p>
            <w:pPr>
              <w:pStyle w:val="TableParagraph"/>
              <w:spacing w:line="240" w:lineRule="auto" w:before="51"/>
              <w:ind w:left="16"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1770" w:type="dxa"/>
            <w:vMerge/>
            <w:tcBorders>
              <w:left w:val="single" w:sz="4" w:space="0" w:color="000000"/>
              <w:bottom w:val="single" w:sz="4" w:space="0" w:color="000000"/>
              <w:right w:val="single" w:sz="4" w:space="0" w:color="000000"/>
            </w:tcBorders>
            <w:shd w:val="clear" w:color="auto" w:fill="D2D2D2"/>
          </w:tcPr>
          <w:p>
            <w:pPr/>
          </w:p>
        </w:tc>
        <w:tc>
          <w:tcPr>
            <w:tcW w:w="7798" w:type="dxa"/>
            <w:gridSpan w:val="10"/>
            <w:tcBorders>
              <w:top w:val="single" w:sz="4" w:space="0" w:color="000000"/>
              <w:left w:val="single" w:sz="9" w:space="0" w:color="D2D2D2"/>
              <w:bottom w:val="single" w:sz="4" w:space="0" w:color="000000"/>
              <w:right w:val="single" w:sz="4" w:space="0" w:color="000000"/>
            </w:tcBorders>
          </w:tcPr>
          <w:p>
            <w:pPr/>
          </w:p>
        </w:tc>
      </w:tr>
      <w:tr>
        <w:trPr>
          <w:trHeight w:val="251" w:hRule="exact"/>
        </w:trPr>
        <w:tc>
          <w:tcPr>
            <w:tcW w:w="1770" w:type="dxa"/>
            <w:tcBorders>
              <w:top w:val="single" w:sz="4" w:space="0" w:color="000000"/>
              <w:left w:val="single" w:sz="4" w:space="0" w:color="000000"/>
              <w:bottom w:val="nil" w:sz="6" w:space="0" w:color="auto"/>
              <w:right w:val="single" w:sz="4" w:space="0" w:color="000000"/>
            </w:tcBorders>
            <w:shd w:val="clear" w:color="auto" w:fill="D2D2D2"/>
          </w:tcPr>
          <w:p>
            <w:pPr/>
          </w:p>
        </w:tc>
        <w:tc>
          <w:tcPr>
            <w:tcW w:w="7798" w:type="dxa"/>
            <w:gridSpan w:val="10"/>
            <w:vMerge w:val="restart"/>
            <w:tcBorders>
              <w:top w:val="single" w:sz="4" w:space="0" w:color="000000"/>
              <w:left w:val="single" w:sz="9" w:space="0" w:color="D2D2D2"/>
              <w:right w:val="single" w:sz="4" w:space="0" w:color="000000"/>
            </w:tcBorders>
          </w:tcPr>
          <w:p>
            <w:pPr>
              <w:pStyle w:val="TableParagraph"/>
              <w:spacing w:line="240" w:lineRule="auto" w:before="51"/>
              <w:ind w:left="16"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151" w:hRule="exact"/>
        </w:trPr>
        <w:tc>
          <w:tcPr>
            <w:tcW w:w="1770"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22" w:right="117"/>
              <w:jc w:val="left"/>
              <w:rPr>
                <w:rFonts w:ascii="宋体" w:hAnsi="宋体" w:cs="宋体" w:eastAsia="宋体" w:hint="default"/>
                <w:sz w:val="18"/>
                <w:szCs w:val="18"/>
              </w:rPr>
            </w:pPr>
            <w:r>
              <w:rPr>
                <w:rFonts w:ascii="宋体" w:hAnsi="宋体" w:cs="宋体" w:eastAsia="宋体" w:hint="default"/>
                <w:sz w:val="18"/>
                <w:szCs w:val="18"/>
              </w:rPr>
              <w:t>募集资金投资项目实 施地点变更情况</w:t>
            </w:r>
          </w:p>
        </w:tc>
        <w:tc>
          <w:tcPr>
            <w:tcW w:w="7798" w:type="dxa"/>
            <w:gridSpan w:val="10"/>
            <w:vMerge/>
            <w:tcBorders>
              <w:left w:val="single" w:sz="9" w:space="0" w:color="D2D2D2"/>
              <w:bottom w:val="single" w:sz="4" w:space="0" w:color="000000"/>
              <w:right w:val="single" w:sz="4" w:space="0" w:color="000000"/>
            </w:tcBorders>
          </w:tcPr>
          <w:p>
            <w:pPr/>
          </w:p>
        </w:tc>
      </w:tr>
      <w:tr>
        <w:trPr>
          <w:trHeight w:val="402" w:hRule="exact"/>
        </w:trPr>
        <w:tc>
          <w:tcPr>
            <w:tcW w:w="1770" w:type="dxa"/>
            <w:vMerge/>
            <w:tcBorders>
              <w:left w:val="single" w:sz="4" w:space="0" w:color="000000"/>
              <w:right w:val="single" w:sz="4" w:space="0" w:color="000000"/>
            </w:tcBorders>
            <w:shd w:val="clear" w:color="auto" w:fill="D2D2D2"/>
          </w:tcPr>
          <w:p>
            <w:pPr/>
          </w:p>
        </w:tc>
        <w:tc>
          <w:tcPr>
            <w:tcW w:w="7798" w:type="dxa"/>
            <w:gridSpan w:val="10"/>
            <w:tcBorders>
              <w:top w:val="single" w:sz="4" w:space="0" w:color="000000"/>
              <w:left w:val="single" w:sz="9" w:space="0" w:color="D2D2D2"/>
              <w:bottom w:val="single" w:sz="4" w:space="0" w:color="000000"/>
              <w:right w:val="single" w:sz="4" w:space="0" w:color="000000"/>
            </w:tcBorders>
          </w:tcPr>
          <w:p>
            <w:pPr/>
          </w:p>
        </w:tc>
      </w:tr>
      <w:tr>
        <w:trPr>
          <w:trHeight w:val="151" w:hRule="exact"/>
        </w:trPr>
        <w:tc>
          <w:tcPr>
            <w:tcW w:w="1770" w:type="dxa"/>
            <w:vMerge/>
            <w:tcBorders>
              <w:left w:val="single" w:sz="4" w:space="0" w:color="000000"/>
              <w:bottom w:val="nil" w:sz="6" w:space="0" w:color="auto"/>
              <w:right w:val="single" w:sz="4" w:space="0" w:color="000000"/>
            </w:tcBorders>
            <w:shd w:val="clear" w:color="auto" w:fill="D2D2D2"/>
          </w:tcPr>
          <w:p>
            <w:pPr/>
          </w:p>
        </w:tc>
        <w:tc>
          <w:tcPr>
            <w:tcW w:w="7798" w:type="dxa"/>
            <w:gridSpan w:val="10"/>
            <w:vMerge w:val="restart"/>
            <w:tcBorders>
              <w:top w:val="single" w:sz="4" w:space="0" w:color="000000"/>
              <w:left w:val="single" w:sz="9" w:space="0" w:color="D2D2D2"/>
              <w:right w:val="single" w:sz="4" w:space="0" w:color="000000"/>
            </w:tcBorders>
          </w:tcPr>
          <w:p>
            <w:pPr/>
          </w:p>
        </w:tc>
      </w:tr>
      <w:tr>
        <w:trPr>
          <w:trHeight w:val="251" w:hRule="exact"/>
        </w:trPr>
        <w:tc>
          <w:tcPr>
            <w:tcW w:w="1770" w:type="dxa"/>
            <w:tcBorders>
              <w:top w:val="nil" w:sz="6" w:space="0" w:color="auto"/>
              <w:left w:val="single" w:sz="4" w:space="0" w:color="000000"/>
              <w:bottom w:val="single" w:sz="4" w:space="0" w:color="000000"/>
              <w:right w:val="single" w:sz="4" w:space="0" w:color="000000"/>
            </w:tcBorders>
            <w:shd w:val="clear" w:color="auto" w:fill="D2D2D2"/>
          </w:tcPr>
          <w:p>
            <w:pPr/>
          </w:p>
        </w:tc>
        <w:tc>
          <w:tcPr>
            <w:tcW w:w="7798" w:type="dxa"/>
            <w:gridSpan w:val="10"/>
            <w:vMerge/>
            <w:tcBorders>
              <w:left w:val="single" w:sz="9" w:space="0" w:color="D2D2D2"/>
              <w:bottom w:val="single" w:sz="4" w:space="0" w:color="000000"/>
              <w:right w:val="single" w:sz="4" w:space="0" w:color="000000"/>
            </w:tcBorders>
          </w:tcPr>
          <w:p>
            <w:pPr/>
          </w:p>
        </w:tc>
      </w:tr>
      <w:tr>
        <w:trPr>
          <w:trHeight w:val="251" w:hRule="exact"/>
        </w:trPr>
        <w:tc>
          <w:tcPr>
            <w:tcW w:w="1770" w:type="dxa"/>
            <w:tcBorders>
              <w:top w:val="single" w:sz="4" w:space="0" w:color="000000"/>
              <w:left w:val="single" w:sz="4" w:space="0" w:color="000000"/>
              <w:bottom w:val="nil" w:sz="6" w:space="0" w:color="auto"/>
              <w:right w:val="single" w:sz="4" w:space="0" w:color="000000"/>
            </w:tcBorders>
            <w:shd w:val="clear" w:color="auto" w:fill="D2D2D2"/>
          </w:tcPr>
          <w:p>
            <w:pPr/>
          </w:p>
        </w:tc>
        <w:tc>
          <w:tcPr>
            <w:tcW w:w="7798" w:type="dxa"/>
            <w:gridSpan w:val="10"/>
            <w:vMerge w:val="restart"/>
            <w:tcBorders>
              <w:top w:val="single" w:sz="4" w:space="0" w:color="000000"/>
              <w:left w:val="single" w:sz="9" w:space="0" w:color="D2D2D2"/>
              <w:right w:val="single" w:sz="4" w:space="0" w:color="000000"/>
            </w:tcBorders>
          </w:tcPr>
          <w:p>
            <w:pPr>
              <w:pStyle w:val="TableParagraph"/>
              <w:spacing w:line="240" w:lineRule="auto" w:before="51"/>
              <w:ind w:left="16"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151" w:hRule="exact"/>
        </w:trPr>
        <w:tc>
          <w:tcPr>
            <w:tcW w:w="1770"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22" w:right="117"/>
              <w:jc w:val="left"/>
              <w:rPr>
                <w:rFonts w:ascii="宋体" w:hAnsi="宋体" w:cs="宋体" w:eastAsia="宋体" w:hint="default"/>
                <w:sz w:val="18"/>
                <w:szCs w:val="18"/>
              </w:rPr>
            </w:pPr>
            <w:r>
              <w:rPr>
                <w:rFonts w:ascii="宋体" w:hAnsi="宋体" w:cs="宋体" w:eastAsia="宋体" w:hint="default"/>
                <w:sz w:val="18"/>
                <w:szCs w:val="18"/>
              </w:rPr>
              <w:t>募集资金投资项目实 施方式调整情况</w:t>
            </w:r>
          </w:p>
        </w:tc>
        <w:tc>
          <w:tcPr>
            <w:tcW w:w="7798" w:type="dxa"/>
            <w:gridSpan w:val="10"/>
            <w:vMerge/>
            <w:tcBorders>
              <w:left w:val="single" w:sz="9" w:space="0" w:color="D2D2D2"/>
              <w:bottom w:val="single" w:sz="4" w:space="0" w:color="000000"/>
              <w:right w:val="single" w:sz="4" w:space="0" w:color="000000"/>
            </w:tcBorders>
          </w:tcPr>
          <w:p>
            <w:pPr/>
          </w:p>
        </w:tc>
      </w:tr>
      <w:tr>
        <w:trPr>
          <w:trHeight w:val="402" w:hRule="exact"/>
        </w:trPr>
        <w:tc>
          <w:tcPr>
            <w:tcW w:w="1770" w:type="dxa"/>
            <w:vMerge/>
            <w:tcBorders>
              <w:left w:val="single" w:sz="4" w:space="0" w:color="000000"/>
              <w:right w:val="single" w:sz="4" w:space="0" w:color="000000"/>
            </w:tcBorders>
            <w:shd w:val="clear" w:color="auto" w:fill="D2D2D2"/>
          </w:tcPr>
          <w:p>
            <w:pPr/>
          </w:p>
        </w:tc>
        <w:tc>
          <w:tcPr>
            <w:tcW w:w="7798" w:type="dxa"/>
            <w:gridSpan w:val="10"/>
            <w:tcBorders>
              <w:top w:val="single" w:sz="4" w:space="0" w:color="000000"/>
              <w:left w:val="single" w:sz="9" w:space="0" w:color="D2D2D2"/>
              <w:bottom w:val="single" w:sz="4" w:space="0" w:color="000000"/>
              <w:right w:val="single" w:sz="4" w:space="0" w:color="000000"/>
            </w:tcBorders>
          </w:tcPr>
          <w:p>
            <w:pPr/>
          </w:p>
        </w:tc>
      </w:tr>
      <w:tr>
        <w:trPr>
          <w:trHeight w:val="151" w:hRule="exact"/>
        </w:trPr>
        <w:tc>
          <w:tcPr>
            <w:tcW w:w="1770" w:type="dxa"/>
            <w:vMerge/>
            <w:tcBorders>
              <w:left w:val="single" w:sz="4" w:space="0" w:color="000000"/>
              <w:bottom w:val="nil" w:sz="6" w:space="0" w:color="auto"/>
              <w:right w:val="single" w:sz="4" w:space="0" w:color="000000"/>
            </w:tcBorders>
            <w:shd w:val="clear" w:color="auto" w:fill="D2D2D2"/>
          </w:tcPr>
          <w:p>
            <w:pPr/>
          </w:p>
        </w:tc>
        <w:tc>
          <w:tcPr>
            <w:tcW w:w="7798" w:type="dxa"/>
            <w:gridSpan w:val="10"/>
            <w:vMerge w:val="restart"/>
            <w:tcBorders>
              <w:top w:val="single" w:sz="4" w:space="0" w:color="000000"/>
              <w:left w:val="single" w:sz="9" w:space="0" w:color="D2D2D2"/>
              <w:right w:val="single" w:sz="4" w:space="0" w:color="000000"/>
            </w:tcBorders>
          </w:tcPr>
          <w:p>
            <w:pPr/>
          </w:p>
        </w:tc>
      </w:tr>
      <w:tr>
        <w:trPr>
          <w:trHeight w:val="251" w:hRule="exact"/>
        </w:trPr>
        <w:tc>
          <w:tcPr>
            <w:tcW w:w="1770" w:type="dxa"/>
            <w:tcBorders>
              <w:top w:val="nil" w:sz="6" w:space="0" w:color="auto"/>
              <w:left w:val="single" w:sz="4" w:space="0" w:color="000000"/>
              <w:bottom w:val="single" w:sz="4" w:space="0" w:color="000000"/>
              <w:right w:val="single" w:sz="4" w:space="0" w:color="000000"/>
            </w:tcBorders>
            <w:shd w:val="clear" w:color="auto" w:fill="D2D2D2"/>
          </w:tcPr>
          <w:p>
            <w:pPr/>
          </w:p>
        </w:tc>
        <w:tc>
          <w:tcPr>
            <w:tcW w:w="7798" w:type="dxa"/>
            <w:gridSpan w:val="10"/>
            <w:vMerge/>
            <w:tcBorders>
              <w:left w:val="single" w:sz="9" w:space="0" w:color="D2D2D2"/>
              <w:bottom w:val="single" w:sz="4" w:space="0" w:color="000000"/>
              <w:right w:val="single" w:sz="4" w:space="0" w:color="000000"/>
            </w:tcBorders>
          </w:tcPr>
          <w:p>
            <w:pPr/>
          </w:p>
        </w:tc>
      </w:tr>
      <w:tr>
        <w:trPr>
          <w:trHeight w:val="206" w:hRule="exact"/>
        </w:trPr>
        <w:tc>
          <w:tcPr>
            <w:tcW w:w="1770" w:type="dxa"/>
            <w:tcBorders>
              <w:top w:val="single" w:sz="4" w:space="0" w:color="000000"/>
              <w:left w:val="single" w:sz="4" w:space="0" w:color="000000"/>
              <w:bottom w:val="nil" w:sz="6" w:space="0" w:color="auto"/>
              <w:right w:val="single" w:sz="4" w:space="0" w:color="000000"/>
            </w:tcBorders>
            <w:shd w:val="clear" w:color="auto" w:fill="D2D2D2"/>
          </w:tcPr>
          <w:p>
            <w:pPr/>
          </w:p>
        </w:tc>
        <w:tc>
          <w:tcPr>
            <w:tcW w:w="7798" w:type="dxa"/>
            <w:gridSpan w:val="10"/>
            <w:vMerge w:val="restart"/>
            <w:tcBorders>
              <w:top w:val="single" w:sz="4" w:space="0" w:color="000000"/>
              <w:left w:val="single" w:sz="9" w:space="0" w:color="D2D2D2"/>
              <w:right w:val="single" w:sz="4" w:space="0" w:color="000000"/>
            </w:tcBorders>
          </w:tcPr>
          <w:p>
            <w:pPr>
              <w:pStyle w:val="TableParagraph"/>
              <w:spacing w:line="240" w:lineRule="auto" w:before="51"/>
              <w:ind w:left="16"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196" w:hRule="exact"/>
        </w:trPr>
        <w:tc>
          <w:tcPr>
            <w:tcW w:w="1770"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22" w:right="117"/>
              <w:jc w:val="left"/>
              <w:rPr>
                <w:rFonts w:ascii="宋体" w:hAnsi="宋体" w:cs="宋体" w:eastAsia="宋体" w:hint="default"/>
                <w:sz w:val="18"/>
                <w:szCs w:val="18"/>
              </w:rPr>
            </w:pPr>
            <w:r>
              <w:rPr>
                <w:rFonts w:ascii="宋体" w:hAnsi="宋体" w:cs="宋体" w:eastAsia="宋体" w:hint="default"/>
                <w:sz w:val="18"/>
                <w:szCs w:val="18"/>
              </w:rPr>
              <w:t>募集资金投资项目先 期投入及置换情况</w:t>
            </w:r>
          </w:p>
        </w:tc>
        <w:tc>
          <w:tcPr>
            <w:tcW w:w="7798" w:type="dxa"/>
            <w:gridSpan w:val="10"/>
            <w:vMerge/>
            <w:tcBorders>
              <w:left w:val="single" w:sz="9" w:space="0" w:color="D2D2D2"/>
              <w:bottom w:val="single" w:sz="4" w:space="0" w:color="000000"/>
              <w:right w:val="single" w:sz="4" w:space="0" w:color="000000"/>
            </w:tcBorders>
          </w:tcPr>
          <w:p>
            <w:pPr/>
          </w:p>
        </w:tc>
      </w:tr>
      <w:tr>
        <w:trPr>
          <w:trHeight w:val="508" w:hRule="exact"/>
        </w:trPr>
        <w:tc>
          <w:tcPr>
            <w:tcW w:w="1770" w:type="dxa"/>
            <w:vMerge/>
            <w:tcBorders>
              <w:left w:val="single" w:sz="4" w:space="0" w:color="000000"/>
              <w:bottom w:val="nil" w:sz="6" w:space="0" w:color="auto"/>
              <w:right w:val="single" w:sz="4" w:space="0" w:color="000000"/>
            </w:tcBorders>
            <w:shd w:val="clear" w:color="auto" w:fill="D2D2D2"/>
          </w:tcPr>
          <w:p>
            <w:pPr/>
          </w:p>
        </w:tc>
        <w:tc>
          <w:tcPr>
            <w:tcW w:w="7798" w:type="dxa"/>
            <w:gridSpan w:val="10"/>
            <w:vMerge w:val="restart"/>
            <w:tcBorders>
              <w:top w:val="single" w:sz="4" w:space="0" w:color="000000"/>
              <w:left w:val="single" w:sz="9" w:space="0" w:color="D2D2D2"/>
              <w:right w:val="single" w:sz="4" w:space="0" w:color="000000"/>
            </w:tcBorders>
          </w:tcPr>
          <w:p>
            <w:pPr>
              <w:pStyle w:val="TableParagraph"/>
              <w:spacing w:line="240" w:lineRule="auto" w:before="51"/>
              <w:ind w:left="16" w:right="0"/>
              <w:jc w:val="left"/>
              <w:rPr>
                <w:rFonts w:ascii="宋体" w:hAnsi="宋体" w:cs="宋体" w:eastAsia="宋体" w:hint="default"/>
                <w:sz w:val="18"/>
                <w:szCs w:val="18"/>
              </w:rPr>
            </w:pPr>
            <w:r>
              <w:rPr>
                <w:rFonts w:ascii="宋体" w:hAnsi="宋体" w:cs="宋体" w:eastAsia="宋体" w:hint="default"/>
                <w:sz w:val="18"/>
                <w:szCs w:val="18"/>
              </w:rPr>
              <w:t>报告期内，奥拓电子以自筹资金自行支付本次募集配套资金的中介机构费和其他发行费用</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570.00</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万</w:t>
            </w:r>
          </w:p>
          <w:p>
            <w:pPr>
              <w:pStyle w:val="TableParagraph"/>
              <w:spacing w:line="240" w:lineRule="auto" w:before="64"/>
              <w:ind w:left="16" w:right="0"/>
              <w:jc w:val="left"/>
              <w:rPr>
                <w:rFonts w:ascii="宋体" w:hAnsi="宋体" w:cs="宋体" w:eastAsia="宋体" w:hint="default"/>
                <w:sz w:val="18"/>
                <w:szCs w:val="18"/>
              </w:rPr>
            </w:pPr>
            <w:r>
              <w:rPr>
                <w:rFonts w:ascii="宋体" w:hAnsi="宋体" w:cs="宋体" w:eastAsia="宋体" w:hint="default"/>
                <w:sz w:val="18"/>
                <w:szCs w:val="18"/>
              </w:rPr>
              <w:t>元，千百辉通过自筹资金自行支付投入到募集资金投资项目费用 </w:t>
            </w:r>
            <w:r>
              <w:rPr>
                <w:rFonts w:ascii="Times New Roman" w:hAnsi="Times New Roman" w:cs="Times New Roman" w:eastAsia="Times New Roman" w:hint="default"/>
                <w:sz w:val="18"/>
                <w:szCs w:val="18"/>
              </w:rPr>
              <w:t>1,781,623.44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w:t>
            </w:r>
          </w:p>
        </w:tc>
      </w:tr>
      <w:tr>
        <w:trPr>
          <w:trHeight w:val="206" w:hRule="exact"/>
        </w:trPr>
        <w:tc>
          <w:tcPr>
            <w:tcW w:w="1770" w:type="dxa"/>
            <w:tcBorders>
              <w:top w:val="nil" w:sz="6" w:space="0" w:color="auto"/>
              <w:left w:val="single" w:sz="4" w:space="0" w:color="000000"/>
              <w:bottom w:val="single" w:sz="4" w:space="0" w:color="000000"/>
              <w:right w:val="single" w:sz="4" w:space="0" w:color="000000"/>
            </w:tcBorders>
            <w:shd w:val="clear" w:color="auto" w:fill="D2D2D2"/>
          </w:tcPr>
          <w:p>
            <w:pPr/>
          </w:p>
        </w:tc>
        <w:tc>
          <w:tcPr>
            <w:tcW w:w="7798" w:type="dxa"/>
            <w:gridSpan w:val="10"/>
            <w:vMerge/>
            <w:tcBorders>
              <w:left w:val="single" w:sz="9" w:space="0" w:color="D2D2D2"/>
              <w:bottom w:val="single" w:sz="4" w:space="0" w:color="000000"/>
              <w:right w:val="single" w:sz="4" w:space="0" w:color="000000"/>
            </w:tcBorders>
          </w:tcPr>
          <w:p>
            <w:pPr/>
          </w:p>
        </w:tc>
      </w:tr>
      <w:tr>
        <w:trPr>
          <w:trHeight w:val="402" w:hRule="exact"/>
        </w:trPr>
        <w:tc>
          <w:tcPr>
            <w:tcW w:w="1770"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7"/>
              <w:ind w:left="22" w:right="117"/>
              <w:jc w:val="left"/>
              <w:rPr>
                <w:rFonts w:ascii="宋体" w:hAnsi="宋体" w:cs="宋体" w:eastAsia="宋体" w:hint="default"/>
                <w:sz w:val="18"/>
                <w:szCs w:val="18"/>
              </w:rPr>
            </w:pPr>
            <w:r>
              <w:rPr>
                <w:rFonts w:ascii="宋体" w:hAnsi="宋体" w:cs="宋体" w:eastAsia="宋体" w:hint="default"/>
                <w:sz w:val="18"/>
                <w:szCs w:val="18"/>
              </w:rPr>
              <w:t>用闲置募集资金暂时 补充流动资金情况</w:t>
            </w:r>
          </w:p>
        </w:tc>
        <w:tc>
          <w:tcPr>
            <w:tcW w:w="7798" w:type="dxa"/>
            <w:gridSpan w:val="10"/>
            <w:tcBorders>
              <w:top w:val="single" w:sz="4" w:space="0" w:color="000000"/>
              <w:left w:val="single" w:sz="9" w:space="0" w:color="D2D2D2"/>
              <w:bottom w:val="single" w:sz="4" w:space="0" w:color="000000"/>
              <w:right w:val="single" w:sz="4" w:space="0" w:color="000000"/>
            </w:tcBorders>
          </w:tcPr>
          <w:p>
            <w:pPr>
              <w:pStyle w:val="TableParagraph"/>
              <w:spacing w:line="240" w:lineRule="auto" w:before="51"/>
              <w:ind w:left="16"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1770" w:type="dxa"/>
            <w:vMerge/>
            <w:tcBorders>
              <w:left w:val="single" w:sz="4" w:space="0" w:color="000000"/>
              <w:bottom w:val="single" w:sz="4" w:space="0" w:color="000000"/>
              <w:right w:val="single" w:sz="4" w:space="0" w:color="000000"/>
            </w:tcBorders>
            <w:shd w:val="clear" w:color="auto" w:fill="D2D2D2"/>
          </w:tcPr>
          <w:p>
            <w:pPr/>
          </w:p>
        </w:tc>
        <w:tc>
          <w:tcPr>
            <w:tcW w:w="7798" w:type="dxa"/>
            <w:gridSpan w:val="10"/>
            <w:tcBorders>
              <w:top w:val="single" w:sz="4" w:space="0" w:color="000000"/>
              <w:left w:val="single" w:sz="9" w:space="0" w:color="D2D2D2"/>
              <w:bottom w:val="single" w:sz="4" w:space="0" w:color="000000"/>
              <w:right w:val="single" w:sz="4" w:space="0" w:color="000000"/>
            </w:tcBorders>
          </w:tcPr>
          <w:p>
            <w:pPr/>
          </w:p>
        </w:tc>
      </w:tr>
      <w:tr>
        <w:trPr>
          <w:trHeight w:val="402" w:hRule="exact"/>
        </w:trPr>
        <w:tc>
          <w:tcPr>
            <w:tcW w:w="1770"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7"/>
              <w:ind w:left="22" w:right="117"/>
              <w:jc w:val="left"/>
              <w:rPr>
                <w:rFonts w:ascii="宋体" w:hAnsi="宋体" w:cs="宋体" w:eastAsia="宋体" w:hint="default"/>
                <w:sz w:val="18"/>
                <w:szCs w:val="18"/>
              </w:rPr>
            </w:pPr>
            <w:r>
              <w:rPr>
                <w:rFonts w:ascii="宋体" w:hAnsi="宋体" w:cs="宋体" w:eastAsia="宋体" w:hint="default"/>
                <w:sz w:val="18"/>
                <w:szCs w:val="18"/>
              </w:rPr>
              <w:t>项目实施出现募集资 金结余的金额及原因</w:t>
            </w:r>
          </w:p>
        </w:tc>
        <w:tc>
          <w:tcPr>
            <w:tcW w:w="7798" w:type="dxa"/>
            <w:gridSpan w:val="10"/>
            <w:tcBorders>
              <w:top w:val="single" w:sz="4" w:space="0" w:color="000000"/>
              <w:left w:val="single" w:sz="9" w:space="0" w:color="D2D2D2"/>
              <w:bottom w:val="single" w:sz="4" w:space="0" w:color="000000"/>
              <w:right w:val="single" w:sz="4" w:space="0" w:color="000000"/>
            </w:tcBorders>
          </w:tcPr>
          <w:p>
            <w:pPr>
              <w:pStyle w:val="TableParagraph"/>
              <w:spacing w:line="240" w:lineRule="auto" w:before="51"/>
              <w:ind w:left="16"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1770" w:type="dxa"/>
            <w:vMerge/>
            <w:tcBorders>
              <w:left w:val="single" w:sz="4" w:space="0" w:color="000000"/>
              <w:bottom w:val="single" w:sz="4" w:space="0" w:color="000000"/>
              <w:right w:val="single" w:sz="4" w:space="0" w:color="000000"/>
            </w:tcBorders>
            <w:shd w:val="clear" w:color="auto" w:fill="D2D2D2"/>
          </w:tcPr>
          <w:p>
            <w:pPr/>
          </w:p>
        </w:tc>
        <w:tc>
          <w:tcPr>
            <w:tcW w:w="7798" w:type="dxa"/>
            <w:gridSpan w:val="10"/>
            <w:tcBorders>
              <w:top w:val="single" w:sz="4" w:space="0" w:color="000000"/>
              <w:left w:val="single" w:sz="9" w:space="0" w:color="D2D2D2"/>
              <w:bottom w:val="single" w:sz="4" w:space="0" w:color="000000"/>
              <w:right w:val="single" w:sz="4" w:space="0" w:color="000000"/>
            </w:tcBorders>
          </w:tcPr>
          <w:p>
            <w:pPr/>
          </w:p>
        </w:tc>
      </w:tr>
      <w:tr>
        <w:trPr>
          <w:trHeight w:val="473" w:hRule="exact"/>
        </w:trPr>
        <w:tc>
          <w:tcPr>
            <w:tcW w:w="1770" w:type="dxa"/>
            <w:tcBorders>
              <w:top w:val="single" w:sz="4" w:space="0" w:color="000000"/>
              <w:left w:val="single" w:sz="4" w:space="0" w:color="000000"/>
              <w:bottom w:val="nil" w:sz="6" w:space="0" w:color="auto"/>
              <w:right w:val="single" w:sz="4" w:space="0" w:color="000000"/>
            </w:tcBorders>
            <w:shd w:val="clear" w:color="auto" w:fill="D2D2D2"/>
          </w:tcPr>
          <w:p>
            <w:pPr/>
          </w:p>
        </w:tc>
        <w:tc>
          <w:tcPr>
            <w:tcW w:w="7798" w:type="dxa"/>
            <w:gridSpan w:val="10"/>
            <w:vMerge w:val="restart"/>
            <w:tcBorders>
              <w:top w:val="single" w:sz="4" w:space="0" w:color="000000"/>
              <w:left w:val="single" w:sz="9" w:space="0" w:color="D2D2D2"/>
              <w:right w:val="single" w:sz="4" w:space="0" w:color="000000"/>
            </w:tcBorders>
          </w:tcPr>
          <w:p>
            <w:pPr>
              <w:pStyle w:val="TableParagraph"/>
              <w:spacing w:line="240" w:lineRule="auto" w:before="51"/>
              <w:ind w:left="16" w:right="0"/>
              <w:jc w:val="left"/>
              <w:rPr>
                <w:rFonts w:ascii="宋体" w:hAnsi="宋体" w:cs="宋体" w:eastAsia="宋体" w:hint="default"/>
                <w:sz w:val="18"/>
                <w:szCs w:val="18"/>
              </w:rPr>
            </w:pPr>
            <w:r>
              <w:rPr>
                <w:rFonts w:ascii="宋体" w:hAnsi="宋体" w:cs="宋体" w:eastAsia="宋体" w:hint="default"/>
                <w:sz w:val="18"/>
                <w:szCs w:val="18"/>
              </w:rPr>
              <w:t>截至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日，奥拓电子尚未使用的募集资金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92,768.03 </w:t>
            </w:r>
            <w:r>
              <w:rPr>
                <w:rFonts w:ascii="宋体" w:hAnsi="宋体" w:cs="宋体" w:eastAsia="宋体" w:hint="default"/>
                <w:sz w:val="18"/>
                <w:szCs w:val="18"/>
              </w:rPr>
              <w:t>元（利息收入）以活期存款的形</w:t>
            </w:r>
          </w:p>
          <w:p>
            <w:pPr>
              <w:pStyle w:val="TableParagraph"/>
              <w:spacing w:line="240" w:lineRule="auto" w:before="63"/>
              <w:ind w:left="16" w:right="0"/>
              <w:jc w:val="left"/>
              <w:rPr>
                <w:rFonts w:ascii="宋体" w:hAnsi="宋体" w:cs="宋体" w:eastAsia="宋体" w:hint="default"/>
                <w:sz w:val="18"/>
                <w:szCs w:val="18"/>
              </w:rPr>
            </w:pPr>
            <w:r>
              <w:rPr>
                <w:rFonts w:ascii="宋体" w:hAnsi="宋体" w:cs="宋体" w:eastAsia="宋体" w:hint="default"/>
                <w:sz w:val="18"/>
                <w:szCs w:val="18"/>
              </w:rPr>
              <w:t>式存储于经批准的银行募集资金账户中。截至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日，千百辉尚未使用的募集资金</w:t>
            </w:r>
          </w:p>
          <w:p>
            <w:pPr>
              <w:pStyle w:val="TableParagraph"/>
              <w:spacing w:line="240" w:lineRule="auto" w:before="63"/>
              <w:ind w:left="1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58,047,411.87</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元，部分以活期存款的形式存储于经批准的银行募集资金账户中；部分募集资金根据</w:t>
            </w:r>
          </w:p>
          <w:p>
            <w:pPr>
              <w:pStyle w:val="TableParagraph"/>
              <w:spacing w:line="302" w:lineRule="auto" w:before="63"/>
              <w:ind w:left="16" w:right="21"/>
              <w:jc w:val="left"/>
              <w:rPr>
                <w:rFonts w:ascii="宋体" w:hAnsi="宋体" w:cs="宋体" w:eastAsia="宋体" w:hint="default"/>
                <w:sz w:val="18"/>
                <w:szCs w:val="18"/>
              </w:rPr>
            </w:pPr>
            <w:r>
              <w:rPr>
                <w:rFonts w:ascii="宋体" w:hAnsi="宋体" w:cs="宋体" w:eastAsia="宋体" w:hint="default"/>
                <w:sz w:val="18"/>
                <w:szCs w:val="18"/>
              </w:rPr>
              <w:t>《上市公司监管指引第</w:t>
            </w:r>
            <w:r>
              <w:rPr>
                <w:rFonts w:ascii="宋体" w:hAnsi="宋体" w:cs="宋体" w:eastAsia="宋体" w:hint="default"/>
                <w:spacing w:val="-70"/>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5"/>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上市公司募集资金管理和使用的监管要求》等法律法规规定，进行现金 管理。</w:t>
            </w:r>
          </w:p>
        </w:tc>
      </w:tr>
      <w:tr>
        <w:trPr>
          <w:trHeight w:val="704" w:hRule="exact"/>
        </w:trPr>
        <w:tc>
          <w:tcPr>
            <w:tcW w:w="177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9" w:lineRule="auto" w:before="51"/>
              <w:ind w:left="22" w:right="117"/>
              <w:jc w:val="left"/>
              <w:rPr>
                <w:rFonts w:ascii="宋体" w:hAnsi="宋体" w:cs="宋体" w:eastAsia="宋体" w:hint="default"/>
                <w:sz w:val="18"/>
                <w:szCs w:val="18"/>
              </w:rPr>
            </w:pPr>
            <w:r>
              <w:rPr>
                <w:rFonts w:ascii="宋体" w:hAnsi="宋体" w:cs="宋体" w:eastAsia="宋体" w:hint="default"/>
                <w:sz w:val="18"/>
                <w:szCs w:val="18"/>
              </w:rPr>
              <w:t>尚未使用的募集资金 用途及去向</w:t>
            </w:r>
          </w:p>
        </w:tc>
        <w:tc>
          <w:tcPr>
            <w:tcW w:w="7798" w:type="dxa"/>
            <w:gridSpan w:val="10"/>
            <w:vMerge/>
            <w:tcBorders>
              <w:left w:val="single" w:sz="9" w:space="0" w:color="D2D2D2"/>
              <w:right w:val="single" w:sz="4" w:space="0" w:color="000000"/>
            </w:tcBorders>
          </w:tcPr>
          <w:p>
            <w:pPr/>
          </w:p>
        </w:tc>
      </w:tr>
      <w:tr>
        <w:trPr>
          <w:trHeight w:val="473" w:hRule="exact"/>
        </w:trPr>
        <w:tc>
          <w:tcPr>
            <w:tcW w:w="1770" w:type="dxa"/>
            <w:tcBorders>
              <w:top w:val="nil" w:sz="6" w:space="0" w:color="auto"/>
              <w:left w:val="single" w:sz="4" w:space="0" w:color="000000"/>
              <w:bottom w:val="single" w:sz="4" w:space="0" w:color="000000"/>
              <w:right w:val="single" w:sz="4" w:space="0" w:color="000000"/>
            </w:tcBorders>
            <w:shd w:val="clear" w:color="auto" w:fill="D2D2D2"/>
          </w:tcPr>
          <w:p>
            <w:pPr/>
          </w:p>
        </w:tc>
        <w:tc>
          <w:tcPr>
            <w:tcW w:w="7798" w:type="dxa"/>
            <w:gridSpan w:val="10"/>
            <w:vMerge/>
            <w:tcBorders>
              <w:left w:val="single" w:sz="9" w:space="0" w:color="D2D2D2"/>
              <w:bottom w:val="single" w:sz="4" w:space="0" w:color="000000"/>
              <w:right w:val="single" w:sz="4" w:space="0" w:color="000000"/>
            </w:tcBorders>
          </w:tcPr>
          <w:p>
            <w:pPr/>
          </w:p>
        </w:tc>
      </w:tr>
      <w:tr>
        <w:trPr>
          <w:trHeight w:val="1026" w:hRule="exact"/>
        </w:trPr>
        <w:tc>
          <w:tcPr>
            <w:tcW w:w="17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17"/>
              <w:jc w:val="both"/>
              <w:rPr>
                <w:rFonts w:ascii="宋体" w:hAnsi="宋体" w:cs="宋体" w:eastAsia="宋体" w:hint="default"/>
                <w:sz w:val="18"/>
                <w:szCs w:val="18"/>
              </w:rPr>
            </w:pPr>
            <w:r>
              <w:rPr>
                <w:rFonts w:ascii="宋体" w:hAnsi="宋体" w:cs="宋体" w:eastAsia="宋体" w:hint="default"/>
                <w:sz w:val="18"/>
                <w:szCs w:val="18"/>
              </w:rPr>
              <w:t>募集资金使用及披露 中存在的问题或其他 情况</w:t>
            </w:r>
          </w:p>
        </w:tc>
        <w:tc>
          <w:tcPr>
            <w:tcW w:w="7798" w:type="dxa"/>
            <w:gridSpan w:val="10"/>
            <w:tcBorders>
              <w:top w:val="single" w:sz="4" w:space="0" w:color="000000"/>
              <w:left w:val="single" w:sz="9"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 w:right="0"/>
              <w:jc w:val="left"/>
              <w:rPr>
                <w:rFonts w:ascii="宋体" w:hAnsi="宋体" w:cs="宋体" w:eastAsia="宋体" w:hint="default"/>
                <w:sz w:val="18"/>
                <w:szCs w:val="18"/>
              </w:rPr>
            </w:pPr>
            <w:r>
              <w:rPr>
                <w:rFonts w:ascii="宋体" w:hAnsi="宋体" w:cs="宋体" w:eastAsia="宋体" w:hint="default"/>
                <w:sz w:val="18"/>
                <w:szCs w:val="18"/>
              </w:rPr>
              <w:t>报告期内，募集资金使用及披露不存在重大问题。</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3）募集资金变更项目情况" w:id="52"/>
      <w:bookmarkEnd w:id="52"/>
      <w:r>
        <w:rPr>
          <w:b w:val="0"/>
          <w:bCs w:val="0"/>
        </w:rPr>
      </w:r>
      <w:r>
        <w:rPr/>
        <w:t>（</w:t>
      </w:r>
      <w:r>
        <w:rPr>
          <w:rFonts w:ascii="Times New Roman" w:hAnsi="Times New Roman" w:cs="Times New Roman" w:eastAsia="Times New Roman" w:hint="default"/>
        </w:rPr>
        <w:t>3</w:t>
      </w:r>
      <w:r>
        <w:rPr/>
        <w:t>）募集资金变更项目情况</w:t>
      </w:r>
      <w:r>
        <w:rPr>
          <w:b w:val="0"/>
          <w:bCs w:val="0"/>
        </w:rPr>
      </w:r>
    </w:p>
    <w:p>
      <w:pPr>
        <w:spacing w:line="240" w:lineRule="auto" w:before="8"/>
        <w:rPr>
          <w:rFonts w:ascii="宋体" w:hAnsi="宋体" w:cs="宋体" w:eastAsia="宋体" w:hint="default"/>
          <w:b/>
          <w:bCs/>
          <w:sz w:val="26"/>
          <w:szCs w:val="26"/>
        </w:rPr>
      </w:pPr>
    </w:p>
    <w:p>
      <w:pPr>
        <w:pStyle w:val="BodyText"/>
        <w:spacing w:line="340" w:lineRule="auto"/>
        <w:ind w:right="73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公司报告期不存在募集资金变更项目情况。</w:t>
      </w:r>
    </w:p>
    <w:p>
      <w:pPr>
        <w:spacing w:after="0" w:line="340" w:lineRule="auto"/>
        <w:jc w:val="left"/>
        <w:sectPr>
          <w:pgSz w:w="11910" w:h="16840"/>
          <w:pgMar w:header="747" w:footer="979" w:top="1060" w:bottom="116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0"/>
        <w:jc w:val="left"/>
        <w:rPr>
          <w:b w:val="0"/>
          <w:bCs w:val="0"/>
        </w:rPr>
      </w:pPr>
      <w:bookmarkStart w:name="六、重大资产和股权出售" w:id="53"/>
      <w:bookmarkEnd w:id="53"/>
      <w:r>
        <w:rPr>
          <w:b w:val="0"/>
          <w:bCs w:val="0"/>
        </w:rPr>
      </w:r>
      <w:r>
        <w:rPr/>
        <w:t>六、重大资产和股权出售</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left="153" w:right="0"/>
        <w:jc w:val="left"/>
        <w:rPr>
          <w:b w:val="0"/>
          <w:bCs w:val="0"/>
        </w:rPr>
      </w:pPr>
      <w:bookmarkStart w:name="1、出售重大资产情况" w:id="54"/>
      <w:bookmarkEnd w:id="54"/>
      <w:r>
        <w:rPr>
          <w:b w:val="0"/>
          <w:bCs w:val="0"/>
        </w:rPr>
      </w:r>
      <w:r>
        <w:rPr>
          <w:rFonts w:ascii="Times New Roman" w:hAnsi="Times New Roman" w:cs="Times New Roman" w:eastAsia="Times New Roman" w:hint="default"/>
        </w:rPr>
        <w:t>1</w:t>
      </w:r>
      <w:r>
        <w:rPr/>
        <w:t>、出售重大资产情况</w:t>
      </w:r>
      <w:r>
        <w:rPr>
          <w:b w:val="0"/>
          <w:bCs w:val="0"/>
        </w:rPr>
      </w:r>
    </w:p>
    <w:p>
      <w:pPr>
        <w:spacing w:line="240" w:lineRule="auto" w:before="8"/>
        <w:rPr>
          <w:rFonts w:ascii="宋体" w:hAnsi="宋体" w:cs="宋体" w:eastAsia="宋体" w:hint="default"/>
          <w:b/>
          <w:bCs/>
          <w:sz w:val="26"/>
          <w:szCs w:val="26"/>
        </w:rPr>
      </w:pPr>
    </w:p>
    <w:p>
      <w:pPr>
        <w:pStyle w:val="BodyText"/>
        <w:spacing w:line="338" w:lineRule="auto"/>
        <w:ind w:right="841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公司报告期未出售重大资产。</w:t>
      </w:r>
    </w:p>
    <w:p>
      <w:pPr>
        <w:spacing w:line="240" w:lineRule="auto" w:before="2"/>
        <w:rPr>
          <w:rFonts w:ascii="宋体" w:hAnsi="宋体" w:cs="宋体" w:eastAsia="宋体" w:hint="default"/>
          <w:sz w:val="21"/>
          <w:szCs w:val="21"/>
        </w:rPr>
      </w:pPr>
    </w:p>
    <w:p>
      <w:pPr>
        <w:pStyle w:val="Heading3"/>
        <w:spacing w:line="240" w:lineRule="auto"/>
        <w:ind w:left="153" w:right="0"/>
        <w:jc w:val="left"/>
        <w:rPr>
          <w:b w:val="0"/>
          <w:bCs w:val="0"/>
        </w:rPr>
      </w:pPr>
      <w:bookmarkStart w:name="2、出售重大股权情况" w:id="55"/>
      <w:bookmarkEnd w:id="55"/>
      <w:r>
        <w:rPr>
          <w:b w:val="0"/>
          <w:bCs w:val="0"/>
        </w:rPr>
      </w:r>
      <w:r>
        <w:rPr>
          <w:rFonts w:ascii="Times New Roman" w:hAnsi="Times New Roman" w:cs="Times New Roman" w:eastAsia="Times New Roman" w:hint="default"/>
        </w:rPr>
        <w:t>2</w:t>
      </w:r>
      <w:r>
        <w:rPr/>
        <w:t>、出售重大股权情况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2"/>
        <w:rPr>
          <w:rFonts w:ascii="宋体" w:hAnsi="宋体" w:cs="宋体" w:eastAsia="宋体" w:hint="default"/>
          <w:sz w:val="23"/>
          <w:szCs w:val="23"/>
        </w:rPr>
      </w:pPr>
    </w:p>
    <w:p>
      <w:pPr>
        <w:pStyle w:val="Heading2"/>
        <w:spacing w:line="240" w:lineRule="auto"/>
        <w:ind w:right="0"/>
        <w:jc w:val="left"/>
        <w:rPr>
          <w:b w:val="0"/>
          <w:bCs w:val="0"/>
        </w:rPr>
      </w:pPr>
      <w:bookmarkStart w:name="七、主要控股参股公司分析" w:id="56"/>
      <w:bookmarkEnd w:id="56"/>
      <w:r>
        <w:rPr>
          <w:b w:val="0"/>
          <w:bCs w:val="0"/>
        </w:rPr>
      </w:r>
      <w:r>
        <w:rPr/>
        <w:t>七、主要控股参股公司分析</w:t>
      </w:r>
      <w:r>
        <w:rPr>
          <w:b w:val="0"/>
          <w:bCs w:val="0"/>
        </w:rPr>
      </w:r>
    </w:p>
    <w:p>
      <w:pPr>
        <w:spacing w:line="240" w:lineRule="auto" w:before="3"/>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747" w:footer="979" w:top="1060" w:bottom="1160" w:left="980" w:right="0"/>
        </w:sectPr>
      </w:pPr>
    </w:p>
    <w:p>
      <w:pPr>
        <w:pStyle w:val="BodyText"/>
        <w:spacing w:line="240" w:lineRule="auto" w:before="44"/>
        <w:ind w:right="-19"/>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240" w:lineRule="auto" w:before="102"/>
        <w:ind w:right="-19"/>
        <w:jc w:val="left"/>
      </w:pPr>
      <w:r>
        <w:rPr/>
        <w:t>主要子公司及对公司净利润影响达</w:t>
      </w:r>
      <w:r>
        <w:rPr>
          <w:spacing w:val="-46"/>
        </w:rPr>
        <w:t> </w:t>
      </w:r>
      <w:r>
        <w:rPr>
          <w:rFonts w:ascii="Times New Roman" w:hAnsi="Times New Roman" w:cs="Times New Roman" w:eastAsia="Times New Roman" w:hint="default"/>
        </w:rPr>
        <w:t>10%</w:t>
      </w:r>
      <w:r>
        <w:rPr/>
        <w:t>以上的参股公司情况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pStyle w:val="BodyText"/>
        <w:spacing w:line="240" w:lineRule="auto"/>
        <w:ind w:right="0"/>
        <w:jc w:val="left"/>
      </w:pPr>
      <w:r>
        <w:rPr/>
        <w:t>单位：元</w:t>
      </w:r>
    </w:p>
    <w:p>
      <w:pPr>
        <w:spacing w:after="0" w:line="240" w:lineRule="auto"/>
        <w:jc w:val="left"/>
        <w:sectPr>
          <w:type w:val="continuous"/>
          <w:pgSz w:w="11910" w:h="16840"/>
          <w:pgMar w:top="1060" w:bottom="1160" w:left="980" w:right="0"/>
          <w:cols w:num="2" w:equalWidth="0">
            <w:col w:w="4849" w:space="4070"/>
            <w:col w:w="2011"/>
          </w:cols>
        </w:sectPr>
      </w:pP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054"/>
        <w:gridCol w:w="1196"/>
        <w:gridCol w:w="1045"/>
        <w:gridCol w:w="1046"/>
        <w:gridCol w:w="1045"/>
        <w:gridCol w:w="1045"/>
        <w:gridCol w:w="1046"/>
        <w:gridCol w:w="1045"/>
        <w:gridCol w:w="1046"/>
      </w:tblGrid>
      <w:tr>
        <w:trPr>
          <w:trHeight w:val="402" w:hRule="exact"/>
        </w:trPr>
        <w:tc>
          <w:tcPr>
            <w:tcW w:w="10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2" w:right="0"/>
              <w:jc w:val="left"/>
              <w:rPr>
                <w:rFonts w:ascii="宋体" w:hAnsi="宋体" w:cs="宋体" w:eastAsia="宋体" w:hint="default"/>
                <w:sz w:val="18"/>
                <w:szCs w:val="18"/>
              </w:rPr>
            </w:pPr>
            <w:r>
              <w:rPr>
                <w:rFonts w:ascii="宋体" w:hAnsi="宋体" w:cs="宋体" w:eastAsia="宋体" w:hint="default"/>
                <w:sz w:val="18"/>
                <w:szCs w:val="18"/>
              </w:rPr>
              <w:t>公司名称</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3" w:right="0"/>
              <w:jc w:val="left"/>
              <w:rPr>
                <w:rFonts w:ascii="宋体" w:hAnsi="宋体" w:cs="宋体" w:eastAsia="宋体" w:hint="default"/>
                <w:sz w:val="18"/>
                <w:szCs w:val="18"/>
              </w:rPr>
            </w:pPr>
            <w:r>
              <w:rPr>
                <w:rFonts w:ascii="宋体" w:hAnsi="宋体" w:cs="宋体" w:eastAsia="宋体" w:hint="default"/>
                <w:sz w:val="18"/>
                <w:szCs w:val="18"/>
              </w:rPr>
              <w:t>公司类型</w:t>
            </w:r>
          </w:p>
        </w:tc>
        <w:tc>
          <w:tcPr>
            <w:tcW w:w="10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57" w:right="0"/>
              <w:jc w:val="left"/>
              <w:rPr>
                <w:rFonts w:ascii="宋体" w:hAnsi="宋体" w:cs="宋体" w:eastAsia="宋体" w:hint="default"/>
                <w:sz w:val="18"/>
                <w:szCs w:val="18"/>
              </w:rPr>
            </w:pPr>
            <w:r>
              <w:rPr>
                <w:rFonts w:ascii="宋体" w:hAnsi="宋体" w:cs="宋体" w:eastAsia="宋体" w:hint="default"/>
                <w:sz w:val="18"/>
                <w:szCs w:val="18"/>
              </w:rPr>
              <w:t>主要业务</w:t>
            </w:r>
          </w:p>
        </w:tc>
        <w:tc>
          <w:tcPr>
            <w:tcW w:w="10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56"/>
              <w:jc w:val="right"/>
              <w:rPr>
                <w:rFonts w:ascii="宋体" w:hAnsi="宋体" w:cs="宋体" w:eastAsia="宋体" w:hint="default"/>
                <w:sz w:val="18"/>
                <w:szCs w:val="18"/>
              </w:rPr>
            </w:pPr>
            <w:r>
              <w:rPr>
                <w:rFonts w:ascii="宋体" w:hAnsi="宋体" w:cs="宋体" w:eastAsia="宋体" w:hint="default"/>
                <w:sz w:val="18"/>
                <w:szCs w:val="18"/>
              </w:rPr>
              <w:t>注册资本</w:t>
            </w:r>
          </w:p>
        </w:tc>
        <w:tc>
          <w:tcPr>
            <w:tcW w:w="10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7" w:right="0"/>
              <w:jc w:val="left"/>
              <w:rPr>
                <w:rFonts w:ascii="宋体" w:hAnsi="宋体" w:cs="宋体" w:eastAsia="宋体" w:hint="default"/>
                <w:sz w:val="18"/>
                <w:szCs w:val="18"/>
              </w:rPr>
            </w:pPr>
            <w:r>
              <w:rPr>
                <w:rFonts w:ascii="宋体" w:hAnsi="宋体" w:cs="宋体" w:eastAsia="宋体" w:hint="default"/>
                <w:sz w:val="18"/>
                <w:szCs w:val="18"/>
              </w:rPr>
              <w:t>总资产</w:t>
            </w:r>
          </w:p>
        </w:tc>
        <w:tc>
          <w:tcPr>
            <w:tcW w:w="10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净资产</w:t>
            </w:r>
          </w:p>
        </w:tc>
        <w:tc>
          <w:tcPr>
            <w:tcW w:w="10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57"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57" w:right="0"/>
              <w:jc w:val="left"/>
              <w:rPr>
                <w:rFonts w:ascii="宋体" w:hAnsi="宋体" w:cs="宋体" w:eastAsia="宋体" w:hint="default"/>
                <w:sz w:val="18"/>
                <w:szCs w:val="18"/>
              </w:rPr>
            </w:pPr>
            <w:r>
              <w:rPr>
                <w:rFonts w:ascii="宋体" w:hAnsi="宋体" w:cs="宋体" w:eastAsia="宋体" w:hint="default"/>
                <w:sz w:val="18"/>
                <w:szCs w:val="18"/>
              </w:rPr>
              <w:t>营业利润</w:t>
            </w:r>
          </w:p>
        </w:tc>
        <w:tc>
          <w:tcPr>
            <w:tcW w:w="10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7" w:right="0"/>
              <w:jc w:val="left"/>
              <w:rPr>
                <w:rFonts w:ascii="宋体" w:hAnsi="宋体" w:cs="宋体" w:eastAsia="宋体" w:hint="default"/>
                <w:sz w:val="18"/>
                <w:szCs w:val="18"/>
              </w:rPr>
            </w:pPr>
            <w:r>
              <w:rPr>
                <w:rFonts w:ascii="宋体" w:hAnsi="宋体" w:cs="宋体" w:eastAsia="宋体" w:hint="default"/>
                <w:sz w:val="18"/>
                <w:szCs w:val="18"/>
              </w:rPr>
              <w:t>净利润</w:t>
            </w:r>
          </w:p>
        </w:tc>
      </w:tr>
      <w:tr>
        <w:trPr>
          <w:trHeight w:val="1026"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19"/>
              <w:jc w:val="both"/>
              <w:rPr>
                <w:rFonts w:ascii="宋体" w:hAnsi="宋体" w:cs="宋体" w:eastAsia="宋体" w:hint="default"/>
                <w:sz w:val="18"/>
                <w:szCs w:val="18"/>
              </w:rPr>
            </w:pPr>
            <w:r>
              <w:rPr>
                <w:rFonts w:ascii="宋体" w:hAnsi="宋体" w:cs="宋体" w:eastAsia="宋体" w:hint="default"/>
                <w:sz w:val="18"/>
                <w:szCs w:val="18"/>
              </w:rPr>
              <w:t>深圳市奥拓 软件技术有 限公司</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10"/>
              <w:jc w:val="both"/>
              <w:rPr>
                <w:rFonts w:ascii="宋体" w:hAnsi="宋体" w:cs="宋体" w:eastAsia="宋体" w:hint="default"/>
                <w:sz w:val="18"/>
                <w:szCs w:val="18"/>
              </w:rPr>
            </w:pPr>
            <w:r>
              <w:rPr>
                <w:rFonts w:ascii="宋体" w:hAnsi="宋体" w:cs="宋体" w:eastAsia="宋体" w:hint="default"/>
                <w:sz w:val="18"/>
                <w:szCs w:val="18"/>
              </w:rPr>
              <w:t>计算机软件 的开发与销 售</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00" w:lineRule="auto"/>
              <w:ind w:left="22" w:right="156"/>
              <w:jc w:val="left"/>
              <w:rPr>
                <w:rFonts w:ascii="宋体" w:hAnsi="宋体" w:cs="宋体" w:eastAsia="宋体" w:hint="default"/>
                <w:sz w:val="18"/>
                <w:szCs w:val="18"/>
              </w:rPr>
            </w:pPr>
            <w:r>
              <w:rPr>
                <w:rFonts w:ascii="Times New Roman" w:hAnsi="Times New Roman" w:cs="Times New Roman" w:eastAsia="Times New Roman" w:hint="default"/>
                <w:sz w:val="18"/>
                <w:szCs w:val="18"/>
              </w:rPr>
              <w:t>100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万元人 民币</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12,588,584.7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12,588,584.7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0.00</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-1,889,734.1</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9</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-3,285,236.2</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7</w:t>
            </w:r>
          </w:p>
        </w:tc>
      </w:tr>
      <w:tr>
        <w:trPr>
          <w:trHeight w:val="1026"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19"/>
              <w:jc w:val="both"/>
              <w:rPr>
                <w:rFonts w:ascii="宋体" w:hAnsi="宋体" w:cs="宋体" w:eastAsia="宋体" w:hint="default"/>
                <w:sz w:val="18"/>
                <w:szCs w:val="18"/>
              </w:rPr>
            </w:pPr>
            <w:r>
              <w:rPr>
                <w:rFonts w:ascii="宋体" w:hAnsi="宋体" w:cs="宋体" w:eastAsia="宋体" w:hint="default"/>
                <w:sz w:val="18"/>
                <w:szCs w:val="18"/>
              </w:rPr>
              <w:t>深圳市奥拓 光电科技有 限公司</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2" w:right="77"/>
              <w:jc w:val="both"/>
              <w:rPr>
                <w:rFonts w:ascii="宋体" w:hAnsi="宋体" w:cs="宋体" w:eastAsia="宋体" w:hint="default"/>
                <w:sz w:val="18"/>
                <w:szCs w:val="18"/>
              </w:rPr>
            </w:pP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半导体</w:t>
            </w:r>
            <w:r>
              <w:rPr>
                <w:rFonts w:ascii="宋体" w:hAnsi="宋体" w:cs="宋体" w:eastAsia="宋体" w:hint="default"/>
                <w:w w:val="99"/>
                <w:sz w:val="18"/>
                <w:szCs w:val="18"/>
              </w:rPr>
              <w:t> </w:t>
            </w:r>
            <w:r>
              <w:rPr>
                <w:rFonts w:ascii="宋体" w:hAnsi="宋体" w:cs="宋体" w:eastAsia="宋体" w:hint="default"/>
                <w:sz w:val="18"/>
                <w:szCs w:val="18"/>
              </w:rPr>
              <w:t>照明产品的</w:t>
            </w:r>
            <w:r>
              <w:rPr>
                <w:rFonts w:ascii="宋体" w:hAnsi="宋体" w:cs="宋体" w:eastAsia="宋体" w:hint="default"/>
                <w:w w:val="99"/>
                <w:sz w:val="18"/>
                <w:szCs w:val="18"/>
              </w:rPr>
              <w:t> </w:t>
            </w:r>
            <w:r>
              <w:rPr>
                <w:rFonts w:ascii="宋体" w:hAnsi="宋体" w:cs="宋体" w:eastAsia="宋体" w:hint="default"/>
                <w:sz w:val="18"/>
                <w:szCs w:val="18"/>
              </w:rPr>
              <w:t>研发与销售</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00" w:lineRule="auto"/>
              <w:ind w:left="22" w:right="66"/>
              <w:jc w:val="left"/>
              <w:rPr>
                <w:rFonts w:ascii="宋体" w:hAnsi="宋体" w:cs="宋体" w:eastAsia="宋体" w:hint="default"/>
                <w:sz w:val="18"/>
                <w:szCs w:val="18"/>
              </w:rPr>
            </w:pPr>
            <w:r>
              <w:rPr>
                <w:rFonts w:ascii="Times New Roman" w:hAnsi="Times New Roman" w:cs="Times New Roman" w:eastAsia="Times New Roman" w:hint="default"/>
                <w:sz w:val="18"/>
                <w:szCs w:val="18"/>
              </w:rPr>
              <w:t>2000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万元人 民币</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24,458,565.4</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24,450,289.9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0.00</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-1,476,977.3</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-1,625,919.7</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r>
      <w:tr>
        <w:trPr>
          <w:trHeight w:val="1650"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2" w:right="119"/>
              <w:jc w:val="both"/>
              <w:rPr>
                <w:rFonts w:ascii="宋体" w:hAnsi="宋体" w:cs="宋体" w:eastAsia="宋体" w:hint="default"/>
                <w:sz w:val="18"/>
                <w:szCs w:val="18"/>
              </w:rPr>
            </w:pPr>
            <w:r>
              <w:rPr>
                <w:rFonts w:ascii="宋体" w:hAnsi="宋体" w:cs="宋体" w:eastAsia="宋体" w:hint="default"/>
                <w:sz w:val="18"/>
                <w:szCs w:val="18"/>
              </w:rPr>
              <w:t>南京奥拓电 子科技有限 公司</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10"/>
              <w:jc w:val="both"/>
              <w:rPr>
                <w:rFonts w:ascii="宋体" w:hAnsi="宋体" w:cs="宋体" w:eastAsia="宋体" w:hint="default"/>
                <w:sz w:val="18"/>
                <w:szCs w:val="18"/>
              </w:rPr>
            </w:pPr>
            <w:r>
              <w:rPr>
                <w:rFonts w:ascii="宋体" w:hAnsi="宋体" w:cs="宋体" w:eastAsia="宋体" w:hint="default"/>
                <w:sz w:val="18"/>
                <w:szCs w:val="18"/>
              </w:rPr>
              <w:t>电子产品、 光电产品、 计算机产品 的开发及销 售</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00" w:lineRule="auto"/>
              <w:ind w:left="22" w:right="66"/>
              <w:jc w:val="left"/>
              <w:rPr>
                <w:rFonts w:ascii="宋体" w:hAnsi="宋体" w:cs="宋体" w:eastAsia="宋体" w:hint="default"/>
                <w:sz w:val="18"/>
                <w:szCs w:val="18"/>
              </w:rPr>
            </w:pPr>
            <w:r>
              <w:rPr>
                <w:rFonts w:ascii="Times New Roman" w:hAnsi="Times New Roman" w:cs="Times New Roman" w:eastAsia="Times New Roman" w:hint="default"/>
                <w:sz w:val="18"/>
                <w:szCs w:val="18"/>
              </w:rPr>
              <w:t>5000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万元人 民币</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211,072,746.</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44</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129,851,056.</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54</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183,813,213.</w:t>
            </w:r>
          </w:p>
          <w:p>
            <w:pPr>
              <w:pStyle w:val="TableParagraph"/>
              <w:spacing w:line="240" w:lineRule="auto" w:before="105"/>
              <w:ind w:right="29"/>
              <w:jc w:val="right"/>
              <w:rPr>
                <w:rFonts w:ascii="Times New Roman" w:hAnsi="Times New Roman" w:cs="Times New Roman" w:eastAsia="Times New Roman" w:hint="default"/>
                <w:sz w:val="18"/>
                <w:szCs w:val="18"/>
              </w:rPr>
            </w:pPr>
            <w:r>
              <w:rPr>
                <w:rFonts w:ascii="Times New Roman"/>
                <w:spacing w:val="-8"/>
                <w:sz w:val="18"/>
              </w:rPr>
              <w:t>11</w:t>
            </w:r>
            <w:r>
              <w:rPr>
                <w:rFonts w:ascii="Times New Roman"/>
                <w:sz w:val="18"/>
              </w:rPr>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13,844,753.9</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1</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16,108,589.3</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5</w:t>
            </w:r>
          </w:p>
        </w:tc>
      </w:tr>
      <w:tr>
        <w:trPr>
          <w:trHeight w:val="1650"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2" w:right="119"/>
              <w:jc w:val="both"/>
              <w:rPr>
                <w:rFonts w:ascii="宋体" w:hAnsi="宋体" w:cs="宋体" w:eastAsia="宋体" w:hint="default"/>
                <w:sz w:val="18"/>
                <w:szCs w:val="18"/>
              </w:rPr>
            </w:pPr>
            <w:r>
              <w:rPr>
                <w:rFonts w:ascii="宋体" w:hAnsi="宋体" w:cs="宋体" w:eastAsia="宋体" w:hint="default"/>
                <w:sz w:val="18"/>
                <w:szCs w:val="18"/>
              </w:rPr>
              <w:t>惠州市奥拓 电子科技有 限公司</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10"/>
              <w:jc w:val="both"/>
              <w:rPr>
                <w:rFonts w:ascii="宋体" w:hAnsi="宋体" w:cs="宋体" w:eastAsia="宋体" w:hint="default"/>
                <w:sz w:val="18"/>
                <w:szCs w:val="18"/>
              </w:rPr>
            </w:pPr>
            <w:r>
              <w:rPr>
                <w:rFonts w:ascii="宋体" w:hAnsi="宋体" w:cs="宋体" w:eastAsia="宋体" w:hint="default"/>
                <w:sz w:val="18"/>
                <w:szCs w:val="18"/>
              </w:rPr>
              <w:t>电子产品、 光电产品、 计算机产品 的开发及销 售</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00" w:lineRule="auto"/>
              <w:ind w:left="22" w:right="66"/>
              <w:jc w:val="left"/>
              <w:rPr>
                <w:rFonts w:ascii="宋体" w:hAnsi="宋体" w:cs="宋体" w:eastAsia="宋体" w:hint="default"/>
                <w:sz w:val="18"/>
                <w:szCs w:val="18"/>
              </w:rPr>
            </w:pPr>
            <w:r>
              <w:rPr>
                <w:rFonts w:ascii="Times New Roman" w:hAnsi="Times New Roman" w:cs="Times New Roman" w:eastAsia="Times New Roman" w:hint="default"/>
                <w:sz w:val="18"/>
                <w:szCs w:val="18"/>
              </w:rPr>
              <w:t>1500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万元人 民币</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219,149,673.</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33</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135,633,559.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52</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154,880,517.</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06</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17,651,269.4</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5</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16,047,564.4</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1</w:t>
            </w:r>
          </w:p>
        </w:tc>
      </w:tr>
      <w:tr>
        <w:trPr>
          <w:trHeight w:val="1962"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300" w:lineRule="auto"/>
              <w:ind w:left="22" w:right="59"/>
              <w:jc w:val="left"/>
              <w:rPr>
                <w:rFonts w:ascii="宋体" w:hAnsi="宋体" w:cs="宋体" w:eastAsia="宋体" w:hint="default"/>
                <w:sz w:val="18"/>
                <w:szCs w:val="18"/>
              </w:rPr>
            </w:pPr>
            <w:r>
              <w:rPr>
                <w:rFonts w:ascii="宋体" w:hAnsi="宋体" w:cs="宋体" w:eastAsia="宋体" w:hint="default"/>
                <w:sz w:val="18"/>
                <w:szCs w:val="18"/>
              </w:rPr>
              <w:t>奥拓电子</w:t>
            </w:r>
            <w:r>
              <w:rPr>
                <w:rFonts w:ascii="Times New Roman" w:hAnsi="Times New Roman" w:cs="Times New Roman" w:eastAsia="Times New Roman" w:hint="default"/>
                <w:sz w:val="18"/>
                <w:szCs w:val="18"/>
              </w:rPr>
              <w:t>(</w:t>
            </w:r>
            <w:r>
              <w:rPr>
                <w:rFonts w:ascii="宋体" w:hAnsi="宋体" w:cs="宋体" w:eastAsia="宋体" w:hint="default"/>
                <w:sz w:val="18"/>
                <w:szCs w:val="18"/>
              </w:rPr>
              <w:t>香 港</w:t>
            </w:r>
            <w:r>
              <w:rPr>
                <w:rFonts w:ascii="Times New Roman" w:hAnsi="Times New Roman" w:cs="Times New Roman" w:eastAsia="Times New Roman" w:hint="default"/>
                <w:sz w:val="18"/>
                <w:szCs w:val="18"/>
              </w:rPr>
              <w:t>)</w:t>
            </w:r>
            <w:r>
              <w:rPr>
                <w:rFonts w:ascii="宋体" w:hAnsi="宋体" w:cs="宋体" w:eastAsia="宋体" w:hint="default"/>
                <w:sz w:val="18"/>
                <w:szCs w:val="18"/>
              </w:rPr>
              <w:t>有限公司</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10"/>
              <w:jc w:val="both"/>
              <w:rPr>
                <w:rFonts w:ascii="宋体" w:hAnsi="宋体" w:cs="宋体" w:eastAsia="宋体" w:hint="default"/>
                <w:sz w:val="18"/>
                <w:szCs w:val="18"/>
              </w:rPr>
            </w:pPr>
            <w:r>
              <w:rPr>
                <w:rFonts w:ascii="宋体" w:hAnsi="宋体" w:cs="宋体" w:eastAsia="宋体" w:hint="default"/>
                <w:sz w:val="18"/>
                <w:szCs w:val="18"/>
              </w:rPr>
              <w:t>电子产品研 发设计，进 出口贸易， 电子设备租 赁，投资控 股</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156"/>
              <w:jc w:val="right"/>
              <w:rPr>
                <w:rFonts w:ascii="宋体" w:hAnsi="宋体" w:cs="宋体" w:eastAsia="宋体" w:hint="default"/>
                <w:sz w:val="18"/>
                <w:szCs w:val="18"/>
              </w:rPr>
            </w:pPr>
            <w:r>
              <w:rPr>
                <w:rFonts w:ascii="Times New Roman" w:hAnsi="Times New Roman" w:cs="Times New Roman" w:eastAsia="Times New Roman" w:hint="default"/>
                <w:sz w:val="18"/>
                <w:szCs w:val="18"/>
              </w:rPr>
              <w:t>500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万美元</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52,926,908.7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17,403,331.6</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2"/>
                <w:sz w:val="18"/>
              </w:rPr>
              <w:t>11,179,118.0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-4,373,571.4</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2</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-456,488.82</w:t>
            </w:r>
            <w:r>
              <w:rPr>
                <w:rFonts w:ascii="Times New Roman"/>
                <w:sz w:val="18"/>
              </w:rPr>
            </w:r>
          </w:p>
        </w:tc>
      </w:tr>
      <w:tr>
        <w:trPr>
          <w:trHeight w:val="1026"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19"/>
              <w:jc w:val="both"/>
              <w:rPr>
                <w:rFonts w:ascii="宋体" w:hAnsi="宋体" w:cs="宋体" w:eastAsia="宋体" w:hint="default"/>
                <w:sz w:val="18"/>
                <w:szCs w:val="18"/>
              </w:rPr>
            </w:pPr>
            <w:r>
              <w:rPr>
                <w:rFonts w:ascii="宋体" w:hAnsi="宋体" w:cs="宋体" w:eastAsia="宋体" w:hint="default"/>
                <w:sz w:val="18"/>
                <w:szCs w:val="18"/>
              </w:rPr>
              <w:t>深圳前海奥 拓投资有限 公司</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71"/>
              <w:ind w:left="22" w:right="110"/>
              <w:jc w:val="both"/>
              <w:rPr>
                <w:rFonts w:ascii="宋体" w:hAnsi="宋体" w:cs="宋体" w:eastAsia="宋体" w:hint="default"/>
                <w:sz w:val="18"/>
                <w:szCs w:val="18"/>
              </w:rPr>
            </w:pPr>
            <w:r>
              <w:rPr>
                <w:rFonts w:ascii="宋体" w:hAnsi="宋体" w:cs="宋体" w:eastAsia="宋体" w:hint="default"/>
                <w:sz w:val="18"/>
                <w:szCs w:val="18"/>
              </w:rPr>
              <w:t>合同能源管 理、对外科 技投资、产</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00" w:lineRule="auto"/>
              <w:ind w:left="22" w:right="66"/>
              <w:jc w:val="left"/>
              <w:rPr>
                <w:rFonts w:ascii="宋体" w:hAnsi="宋体" w:cs="宋体" w:eastAsia="宋体" w:hint="default"/>
                <w:sz w:val="18"/>
                <w:szCs w:val="18"/>
              </w:rPr>
            </w:pPr>
            <w:r>
              <w:rPr>
                <w:rFonts w:ascii="Times New Roman" w:hAnsi="Times New Roman" w:cs="Times New Roman" w:eastAsia="Times New Roman" w:hint="default"/>
                <w:sz w:val="18"/>
                <w:szCs w:val="18"/>
              </w:rPr>
              <w:t>1000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万元人 民币</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10,013,001.7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3</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6" w:right="0"/>
              <w:jc w:val="center"/>
              <w:rPr>
                <w:rFonts w:ascii="Times New Roman" w:hAnsi="Times New Roman" w:cs="Times New Roman" w:eastAsia="Times New Roman" w:hint="default"/>
                <w:sz w:val="18"/>
                <w:szCs w:val="18"/>
              </w:rPr>
            </w:pPr>
            <w:r>
              <w:rPr>
                <w:rFonts w:ascii="Times New Roman"/>
                <w:sz w:val="18"/>
              </w:rPr>
              <w:t>9,999,601.73</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0.00</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38" w:right="0"/>
              <w:jc w:val="left"/>
              <w:rPr>
                <w:rFonts w:ascii="Times New Roman" w:hAnsi="Times New Roman" w:cs="Times New Roman" w:eastAsia="Times New Roman" w:hint="default"/>
                <w:sz w:val="18"/>
                <w:szCs w:val="18"/>
              </w:rPr>
            </w:pPr>
            <w:r>
              <w:rPr>
                <w:rFonts w:ascii="Times New Roman"/>
                <w:sz w:val="18"/>
              </w:rPr>
              <w:t>-11,863.91</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-11,863.91</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054"/>
        <w:gridCol w:w="1196"/>
        <w:gridCol w:w="1045"/>
        <w:gridCol w:w="1046"/>
        <w:gridCol w:w="1045"/>
        <w:gridCol w:w="1045"/>
        <w:gridCol w:w="1046"/>
        <w:gridCol w:w="1045"/>
        <w:gridCol w:w="1046"/>
      </w:tblGrid>
      <w:tr>
        <w:trPr>
          <w:trHeight w:val="2235" w:hRule="exact"/>
        </w:trPr>
        <w:tc>
          <w:tcPr>
            <w:tcW w:w="1054"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2" w:right="110"/>
              <w:jc w:val="both"/>
              <w:rPr>
                <w:rFonts w:ascii="宋体" w:hAnsi="宋体" w:cs="宋体" w:eastAsia="宋体" w:hint="default"/>
                <w:sz w:val="18"/>
                <w:szCs w:val="18"/>
              </w:rPr>
            </w:pPr>
            <w:r>
              <w:rPr>
                <w:rFonts w:ascii="宋体" w:hAnsi="宋体" w:cs="宋体" w:eastAsia="宋体" w:hint="default"/>
                <w:sz w:val="18"/>
                <w:szCs w:val="18"/>
              </w:rPr>
              <w:t>业投资、科 技成果的开 发、推广和 转化、设备 租赁、货物 的进出口业 务等</w:t>
            </w:r>
          </w:p>
        </w:tc>
        <w:tc>
          <w:tcPr>
            <w:tcW w:w="1046" w:type="dxa"/>
            <w:tcBorders>
              <w:top w:val="single" w:sz="4" w:space="0" w:color="000000"/>
              <w:left w:val="single" w:sz="4" w:space="0" w:color="000000"/>
              <w:bottom w:val="single" w:sz="4" w:space="0" w:color="000000"/>
              <w:right w:val="single" w:sz="4" w:space="0" w:color="000000"/>
            </w:tcBorders>
          </w:tcPr>
          <w:p>
            <w:pPr/>
          </w:p>
        </w:tc>
        <w:tc>
          <w:tcPr>
            <w:tcW w:w="1045" w:type="dxa"/>
            <w:tcBorders>
              <w:top w:val="single" w:sz="4" w:space="0" w:color="000000"/>
              <w:left w:val="single" w:sz="4" w:space="0" w:color="000000"/>
              <w:bottom w:val="single" w:sz="4" w:space="0" w:color="000000"/>
              <w:right w:val="single" w:sz="4" w:space="0" w:color="000000"/>
            </w:tcBorders>
          </w:tcPr>
          <w:p>
            <w:pPr/>
          </w:p>
        </w:tc>
        <w:tc>
          <w:tcPr>
            <w:tcW w:w="1045"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5"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2" w:right="119"/>
              <w:jc w:val="both"/>
              <w:rPr>
                <w:rFonts w:ascii="宋体" w:hAnsi="宋体" w:cs="宋体" w:eastAsia="宋体" w:hint="default"/>
                <w:sz w:val="18"/>
                <w:szCs w:val="18"/>
              </w:rPr>
            </w:pPr>
            <w:r>
              <w:rPr>
                <w:rFonts w:ascii="宋体" w:hAnsi="宋体" w:cs="宋体" w:eastAsia="宋体" w:hint="default"/>
                <w:sz w:val="18"/>
                <w:szCs w:val="18"/>
              </w:rPr>
              <w:t>北京市奥拓 电子科技有 限公司</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10"/>
              <w:jc w:val="both"/>
              <w:rPr>
                <w:rFonts w:ascii="宋体" w:hAnsi="宋体" w:cs="宋体" w:eastAsia="宋体" w:hint="default"/>
                <w:sz w:val="18"/>
                <w:szCs w:val="18"/>
              </w:rPr>
            </w:pPr>
            <w:r>
              <w:rPr>
                <w:rFonts w:ascii="宋体" w:hAnsi="宋体" w:cs="宋体" w:eastAsia="宋体" w:hint="default"/>
                <w:sz w:val="18"/>
                <w:szCs w:val="18"/>
              </w:rPr>
              <w:t>电子产品销 售、软件开 发、计算机 系统服务</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00" w:lineRule="auto" w:before="128"/>
              <w:ind w:left="22" w:right="66"/>
              <w:jc w:val="left"/>
              <w:rPr>
                <w:rFonts w:ascii="宋体" w:hAnsi="宋体" w:cs="宋体" w:eastAsia="宋体" w:hint="default"/>
                <w:sz w:val="18"/>
                <w:szCs w:val="18"/>
              </w:rPr>
            </w:pPr>
            <w:r>
              <w:rPr>
                <w:rFonts w:ascii="Times New Roman" w:hAnsi="Times New Roman" w:cs="Times New Roman" w:eastAsia="Times New Roman" w:hint="default"/>
                <w:sz w:val="18"/>
                <w:szCs w:val="18"/>
              </w:rPr>
              <w:t>1000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万元人 民币</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46" w:right="0"/>
              <w:jc w:val="center"/>
              <w:rPr>
                <w:rFonts w:ascii="Times New Roman" w:hAnsi="Times New Roman" w:cs="Times New Roman" w:eastAsia="Times New Roman" w:hint="default"/>
                <w:sz w:val="18"/>
                <w:szCs w:val="18"/>
              </w:rPr>
            </w:pPr>
            <w:r>
              <w:rPr>
                <w:rFonts w:ascii="Times New Roman"/>
                <w:sz w:val="18"/>
              </w:rPr>
              <w:t>8,034,618.86</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68" w:right="0"/>
              <w:jc w:val="left"/>
              <w:rPr>
                <w:rFonts w:ascii="Times New Roman" w:hAnsi="Times New Roman" w:cs="Times New Roman" w:eastAsia="Times New Roman" w:hint="default"/>
                <w:sz w:val="18"/>
                <w:szCs w:val="18"/>
              </w:rPr>
            </w:pPr>
            <w:r>
              <w:rPr>
                <w:rFonts w:ascii="Times New Roman"/>
                <w:sz w:val="18"/>
              </w:rPr>
              <w:t>7,937,407.83</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67" w:right="0"/>
              <w:jc w:val="left"/>
              <w:rPr>
                <w:rFonts w:ascii="Times New Roman" w:hAnsi="Times New Roman" w:cs="Times New Roman" w:eastAsia="Times New Roman" w:hint="default"/>
                <w:sz w:val="18"/>
                <w:szCs w:val="18"/>
              </w:rPr>
            </w:pPr>
            <w:r>
              <w:rPr>
                <w:rFonts w:ascii="Times New Roman"/>
                <w:sz w:val="18"/>
              </w:rPr>
              <w:t>1,720,754.71</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178" w:right="0"/>
              <w:jc w:val="center"/>
              <w:rPr>
                <w:rFonts w:ascii="Times New Roman" w:hAnsi="Times New Roman" w:cs="Times New Roman" w:eastAsia="Times New Roman" w:hint="default"/>
                <w:sz w:val="18"/>
                <w:szCs w:val="18"/>
              </w:rPr>
            </w:pPr>
            <w:r>
              <w:rPr>
                <w:rFonts w:ascii="Times New Roman"/>
                <w:sz w:val="18"/>
              </w:rPr>
              <w:t>144,816.02</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108,455.29</w:t>
            </w:r>
          </w:p>
        </w:tc>
      </w:tr>
      <w:tr>
        <w:trPr>
          <w:trHeight w:val="1962"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22" w:right="119"/>
              <w:jc w:val="both"/>
              <w:rPr>
                <w:rFonts w:ascii="宋体" w:hAnsi="宋体" w:cs="宋体" w:eastAsia="宋体" w:hint="default"/>
                <w:sz w:val="18"/>
                <w:szCs w:val="18"/>
              </w:rPr>
            </w:pPr>
            <w:r>
              <w:rPr>
                <w:rFonts w:ascii="宋体" w:hAnsi="宋体" w:cs="宋体" w:eastAsia="宋体" w:hint="default"/>
                <w:sz w:val="18"/>
                <w:szCs w:val="18"/>
              </w:rPr>
              <w:t>上海翰明计 算机科技有 限公司</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10"/>
              <w:jc w:val="left"/>
              <w:rPr>
                <w:rFonts w:ascii="宋体" w:hAnsi="宋体" w:cs="宋体" w:eastAsia="宋体" w:hint="default"/>
                <w:sz w:val="18"/>
                <w:szCs w:val="18"/>
              </w:rPr>
            </w:pPr>
            <w:r>
              <w:rPr>
                <w:rFonts w:ascii="宋体" w:hAnsi="宋体" w:cs="宋体" w:eastAsia="宋体" w:hint="default"/>
                <w:sz w:val="18"/>
                <w:szCs w:val="18"/>
              </w:rPr>
              <w:t>计算机软 件、生物环 保、投资领 域内的技术 开发、技术 转让</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584.0883 </w:t>
            </w:r>
            <w:r>
              <w:rPr>
                <w:rFonts w:ascii="宋体" w:hAnsi="宋体" w:cs="宋体" w:eastAsia="宋体" w:hint="default"/>
                <w:sz w:val="18"/>
                <w:szCs w:val="18"/>
              </w:rPr>
              <w:t>万</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元人民币</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19,941,933.2</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15,240,318.3</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4</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21,862,712.8</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7</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78" w:right="0"/>
              <w:jc w:val="center"/>
              <w:rPr>
                <w:rFonts w:ascii="Times New Roman" w:hAnsi="Times New Roman" w:cs="Times New Roman" w:eastAsia="Times New Roman" w:hint="default"/>
                <w:sz w:val="18"/>
                <w:szCs w:val="18"/>
              </w:rPr>
            </w:pPr>
            <w:r>
              <w:rPr>
                <w:rFonts w:ascii="Times New Roman"/>
                <w:sz w:val="18"/>
              </w:rPr>
              <w:t>303,446.86</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482,499.52</w:t>
            </w:r>
          </w:p>
        </w:tc>
      </w:tr>
      <w:tr>
        <w:trPr>
          <w:trHeight w:val="3210"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319" w:lineRule="auto"/>
              <w:ind w:left="22" w:right="119"/>
              <w:jc w:val="both"/>
              <w:rPr>
                <w:rFonts w:ascii="宋体" w:hAnsi="宋体" w:cs="宋体" w:eastAsia="宋体" w:hint="default"/>
                <w:sz w:val="18"/>
                <w:szCs w:val="18"/>
              </w:rPr>
            </w:pPr>
            <w:r>
              <w:rPr>
                <w:rFonts w:ascii="宋体" w:hAnsi="宋体" w:cs="宋体" w:eastAsia="宋体" w:hint="default"/>
                <w:sz w:val="18"/>
                <w:szCs w:val="18"/>
              </w:rPr>
              <w:t>深圳市千百 辉照明工程 有限公司</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10"/>
              <w:jc w:val="left"/>
              <w:rPr>
                <w:rFonts w:ascii="宋体" w:hAnsi="宋体" w:cs="宋体" w:eastAsia="宋体" w:hint="default"/>
                <w:sz w:val="18"/>
                <w:szCs w:val="18"/>
              </w:rPr>
            </w:pPr>
            <w:r>
              <w:rPr>
                <w:rFonts w:ascii="宋体" w:hAnsi="宋体" w:cs="宋体" w:eastAsia="宋体" w:hint="default"/>
                <w:sz w:val="18"/>
                <w:szCs w:val="18"/>
              </w:rPr>
              <w:t>城市景观照 明工程施工 及与之相关 的景观照明 工程的整体 规划与设 计、照明产 品的研发、 生产和销售 业务</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人民币</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62"/>
              <w:ind w:right="20"/>
              <w:jc w:val="right"/>
              <w:rPr>
                <w:rFonts w:ascii="Times New Roman" w:hAnsi="Times New Roman" w:cs="Times New Roman" w:eastAsia="Times New Roman" w:hint="default"/>
                <w:sz w:val="18"/>
                <w:szCs w:val="18"/>
              </w:rPr>
            </w:pPr>
            <w:r>
              <w:rPr>
                <w:rFonts w:ascii="Times New Roman"/>
                <w:spacing w:val="-1"/>
                <w:sz w:val="18"/>
              </w:rPr>
              <w:t>627,488,442.</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25</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62"/>
              <w:ind w:right="20"/>
              <w:jc w:val="right"/>
              <w:rPr>
                <w:rFonts w:ascii="Times New Roman" w:hAnsi="Times New Roman" w:cs="Times New Roman" w:eastAsia="Times New Roman" w:hint="default"/>
                <w:sz w:val="18"/>
                <w:szCs w:val="18"/>
              </w:rPr>
            </w:pPr>
            <w:r>
              <w:rPr>
                <w:rFonts w:ascii="Times New Roman"/>
                <w:spacing w:val="-1"/>
                <w:sz w:val="18"/>
              </w:rPr>
              <w:t>247,586,854.</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51</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62"/>
              <w:ind w:right="22"/>
              <w:jc w:val="right"/>
              <w:rPr>
                <w:rFonts w:ascii="Times New Roman" w:hAnsi="Times New Roman" w:cs="Times New Roman" w:eastAsia="Times New Roman" w:hint="default"/>
                <w:sz w:val="18"/>
                <w:szCs w:val="18"/>
              </w:rPr>
            </w:pPr>
            <w:r>
              <w:rPr>
                <w:rFonts w:ascii="Times New Roman"/>
                <w:spacing w:val="-1"/>
                <w:sz w:val="18"/>
              </w:rPr>
              <w:t>544,092,824.</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50</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62"/>
              <w:ind w:right="21"/>
              <w:jc w:val="right"/>
              <w:rPr>
                <w:rFonts w:ascii="Times New Roman" w:hAnsi="Times New Roman" w:cs="Times New Roman" w:eastAsia="Times New Roman" w:hint="default"/>
                <w:sz w:val="18"/>
                <w:szCs w:val="18"/>
              </w:rPr>
            </w:pPr>
            <w:r>
              <w:rPr>
                <w:rFonts w:ascii="Times New Roman"/>
                <w:spacing w:val="-1"/>
                <w:sz w:val="18"/>
              </w:rPr>
              <w:t>78,747,270.9</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1</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62"/>
              <w:ind w:right="21"/>
              <w:jc w:val="right"/>
              <w:rPr>
                <w:rFonts w:ascii="Times New Roman" w:hAnsi="Times New Roman" w:cs="Times New Roman" w:eastAsia="Times New Roman" w:hint="default"/>
                <w:sz w:val="18"/>
                <w:szCs w:val="18"/>
              </w:rPr>
            </w:pPr>
            <w:r>
              <w:rPr>
                <w:rFonts w:ascii="Times New Roman"/>
                <w:spacing w:val="-1"/>
                <w:sz w:val="18"/>
              </w:rPr>
              <w:t>68,051,729.9</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4</w:t>
            </w:r>
          </w:p>
        </w:tc>
      </w:tr>
      <w:tr>
        <w:trPr>
          <w:trHeight w:val="1338"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2" w:right="119"/>
              <w:jc w:val="both"/>
              <w:rPr>
                <w:rFonts w:ascii="宋体" w:hAnsi="宋体" w:cs="宋体" w:eastAsia="宋体" w:hint="default"/>
                <w:sz w:val="18"/>
                <w:szCs w:val="18"/>
              </w:rPr>
            </w:pPr>
            <w:r>
              <w:rPr>
                <w:rFonts w:ascii="宋体" w:hAnsi="宋体" w:cs="宋体" w:eastAsia="宋体" w:hint="default"/>
                <w:sz w:val="18"/>
                <w:szCs w:val="18"/>
              </w:rPr>
              <w:t>深圳市奥拓 体育文化发 展有限公司</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10"/>
              <w:jc w:val="both"/>
              <w:rPr>
                <w:rFonts w:ascii="宋体" w:hAnsi="宋体" w:cs="宋体" w:eastAsia="宋体" w:hint="default"/>
                <w:sz w:val="18"/>
                <w:szCs w:val="18"/>
              </w:rPr>
            </w:pPr>
            <w:r>
              <w:rPr>
                <w:rFonts w:ascii="宋体" w:hAnsi="宋体" w:cs="宋体" w:eastAsia="宋体" w:hint="default"/>
                <w:sz w:val="18"/>
                <w:szCs w:val="18"/>
              </w:rPr>
              <w:t>广告服务、 体育服务、 广告权益营 销</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00" w:lineRule="auto" w:before="128"/>
              <w:ind w:left="22" w:right="66"/>
              <w:jc w:val="left"/>
              <w:rPr>
                <w:rFonts w:ascii="宋体" w:hAnsi="宋体" w:cs="宋体" w:eastAsia="宋体" w:hint="default"/>
                <w:sz w:val="18"/>
                <w:szCs w:val="18"/>
              </w:rPr>
            </w:pPr>
            <w:r>
              <w:rPr>
                <w:rFonts w:ascii="Times New Roman" w:hAnsi="Times New Roman" w:cs="Times New Roman" w:eastAsia="Times New Roman" w:hint="default"/>
                <w:sz w:val="18"/>
                <w:szCs w:val="18"/>
              </w:rPr>
              <w:t>1000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万元人 民币</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46" w:right="0"/>
              <w:jc w:val="center"/>
              <w:rPr>
                <w:rFonts w:ascii="Times New Roman" w:hAnsi="Times New Roman" w:cs="Times New Roman" w:eastAsia="Times New Roman" w:hint="default"/>
                <w:sz w:val="18"/>
                <w:szCs w:val="18"/>
              </w:rPr>
            </w:pPr>
            <w:r>
              <w:rPr>
                <w:rFonts w:ascii="Times New Roman"/>
                <w:sz w:val="18"/>
              </w:rPr>
              <w:t>3,295,770.56</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68" w:right="0"/>
              <w:jc w:val="left"/>
              <w:rPr>
                <w:rFonts w:ascii="Times New Roman" w:hAnsi="Times New Roman" w:cs="Times New Roman" w:eastAsia="Times New Roman" w:hint="default"/>
                <w:sz w:val="18"/>
                <w:szCs w:val="18"/>
              </w:rPr>
            </w:pPr>
            <w:r>
              <w:rPr>
                <w:rFonts w:ascii="Times New Roman"/>
                <w:sz w:val="18"/>
              </w:rPr>
              <w:t>1,703,766.62</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67" w:right="0"/>
              <w:jc w:val="left"/>
              <w:rPr>
                <w:rFonts w:ascii="Times New Roman" w:hAnsi="Times New Roman" w:cs="Times New Roman" w:eastAsia="Times New Roman" w:hint="default"/>
                <w:sz w:val="18"/>
                <w:szCs w:val="18"/>
              </w:rPr>
            </w:pPr>
            <w:r>
              <w:rPr>
                <w:rFonts w:ascii="Times New Roman"/>
                <w:sz w:val="18"/>
              </w:rPr>
              <w:t>3,051,638.26</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118" w:right="0"/>
              <w:jc w:val="center"/>
              <w:rPr>
                <w:rFonts w:ascii="Times New Roman" w:hAnsi="Times New Roman" w:cs="Times New Roman" w:eastAsia="Times New Roman" w:hint="default"/>
                <w:sz w:val="18"/>
                <w:szCs w:val="18"/>
              </w:rPr>
            </w:pPr>
            <w:r>
              <w:rPr>
                <w:rFonts w:ascii="Times New Roman"/>
                <w:sz w:val="18"/>
              </w:rPr>
              <w:t>-776,184.46</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-596,233.38</w:t>
            </w:r>
            <w:r>
              <w:rPr>
                <w:rFonts w:ascii="Times New Roman"/>
                <w:sz w:val="18"/>
              </w:rPr>
            </w:r>
          </w:p>
        </w:tc>
      </w:tr>
      <w:tr>
        <w:trPr>
          <w:trHeight w:val="1026"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19"/>
              <w:jc w:val="both"/>
              <w:rPr>
                <w:rFonts w:ascii="宋体" w:hAnsi="宋体" w:cs="宋体" w:eastAsia="宋体" w:hint="default"/>
                <w:sz w:val="18"/>
                <w:szCs w:val="18"/>
              </w:rPr>
            </w:pPr>
            <w:r>
              <w:rPr>
                <w:rFonts w:ascii="宋体" w:hAnsi="宋体" w:cs="宋体" w:eastAsia="宋体" w:hint="default"/>
                <w:sz w:val="18"/>
                <w:szCs w:val="18"/>
              </w:rPr>
              <w:t>深圳市奥拓 立翔光电科 技有限公司</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2" w:right="31"/>
              <w:jc w:val="left"/>
              <w:rPr>
                <w:rFonts w:ascii="宋体" w:hAnsi="宋体" w:cs="宋体" w:eastAsia="宋体" w:hint="default"/>
                <w:sz w:val="18"/>
                <w:szCs w:val="18"/>
              </w:rPr>
            </w:pPr>
            <w:r>
              <w:rPr>
                <w:rFonts w:ascii="宋体" w:hAnsi="宋体" w:cs="宋体" w:eastAsia="宋体" w:hint="default"/>
                <w:sz w:val="18"/>
                <w:szCs w:val="18"/>
              </w:rPr>
              <w:t>光电产品、 创意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显 示屏</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00" w:lineRule="auto"/>
              <w:ind w:left="22" w:right="66"/>
              <w:jc w:val="left"/>
              <w:rPr>
                <w:rFonts w:ascii="宋体" w:hAnsi="宋体" w:cs="宋体" w:eastAsia="宋体" w:hint="default"/>
                <w:sz w:val="18"/>
                <w:szCs w:val="18"/>
              </w:rPr>
            </w:pPr>
            <w:r>
              <w:rPr>
                <w:rFonts w:ascii="Times New Roman" w:hAnsi="Times New Roman" w:cs="Times New Roman" w:eastAsia="Times New Roman" w:hint="default"/>
                <w:sz w:val="18"/>
                <w:szCs w:val="18"/>
              </w:rPr>
              <w:t>3750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万元人 民币</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26,658,636.6</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23,104,760.1</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27,975,108.0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1</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-3,104,563.1</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-1,927,441.8</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8</w:t>
            </w:r>
          </w:p>
        </w:tc>
      </w:tr>
    </w:tbl>
    <w:p>
      <w:pPr>
        <w:pStyle w:val="BodyText"/>
        <w:spacing w:line="240" w:lineRule="auto" w:before="51"/>
        <w:ind w:left="154" w:right="0"/>
        <w:jc w:val="left"/>
      </w:pPr>
      <w:r>
        <w:rPr/>
        <w:t>报告期内取得和处置子公司的情况</w:t>
      </w:r>
    </w:p>
    <w:p>
      <w:pPr>
        <w:pStyle w:val="BodyText"/>
        <w:spacing w:line="240" w:lineRule="auto" w:before="117"/>
        <w:ind w:left="154"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2"/>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3189"/>
        <w:gridCol w:w="3190"/>
        <w:gridCol w:w="3191"/>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公司名称</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30" w:right="0"/>
              <w:jc w:val="left"/>
              <w:rPr>
                <w:rFonts w:ascii="宋体" w:hAnsi="宋体" w:cs="宋体" w:eastAsia="宋体" w:hint="default"/>
                <w:sz w:val="18"/>
                <w:szCs w:val="18"/>
              </w:rPr>
            </w:pPr>
            <w:r>
              <w:rPr>
                <w:rFonts w:ascii="宋体" w:hAnsi="宋体" w:cs="宋体" w:eastAsia="宋体" w:hint="default"/>
                <w:sz w:val="18"/>
                <w:szCs w:val="18"/>
              </w:rPr>
              <w:t>报告期内取得和处置子公司方式</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20" w:right="0"/>
              <w:jc w:val="left"/>
              <w:rPr>
                <w:rFonts w:ascii="宋体" w:hAnsi="宋体" w:cs="宋体" w:eastAsia="宋体" w:hint="default"/>
                <w:sz w:val="18"/>
                <w:szCs w:val="18"/>
              </w:rPr>
            </w:pPr>
            <w:r>
              <w:rPr>
                <w:rFonts w:ascii="宋体" w:hAnsi="宋体" w:cs="宋体" w:eastAsia="宋体" w:hint="default"/>
                <w:sz w:val="18"/>
                <w:szCs w:val="18"/>
              </w:rPr>
              <w:t>对整体生产经营和业绩的影响</w:t>
            </w:r>
          </w:p>
        </w:tc>
      </w:tr>
      <w:tr>
        <w:trPr>
          <w:trHeight w:val="714"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深圳市千百辉照明工程有限公司</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并购取得</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报告期内影响集团净利润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68,051,729.94</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元</w:t>
            </w:r>
          </w:p>
        </w:tc>
      </w:tr>
      <w:tr>
        <w:trPr>
          <w:trHeight w:val="714"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深圳市奥拓立翔光电科技有限公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新设合并取得</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51"/>
              <w:ind w:left="22" w:right="171"/>
              <w:jc w:val="left"/>
              <w:rPr>
                <w:rFonts w:ascii="宋体" w:hAnsi="宋体" w:cs="宋体" w:eastAsia="宋体" w:hint="default"/>
                <w:sz w:val="18"/>
                <w:szCs w:val="18"/>
              </w:rPr>
            </w:pPr>
            <w:r>
              <w:rPr>
                <w:rFonts w:ascii="宋体" w:hAnsi="宋体" w:cs="宋体" w:eastAsia="宋体" w:hint="default"/>
                <w:sz w:val="18"/>
                <w:szCs w:val="18"/>
              </w:rPr>
              <w:t>报告期内影响集团净利润</w:t>
            </w:r>
            <w:r>
              <w:rPr>
                <w:rFonts w:ascii="Times New Roman" w:hAnsi="Times New Roman" w:cs="Times New Roman" w:eastAsia="Times New Roman" w:hint="default"/>
                <w:sz w:val="18"/>
                <w:szCs w:val="18"/>
              </w:rPr>
              <w:t>-1,156,465.13 </w:t>
            </w:r>
            <w:r>
              <w:rPr>
                <w:rFonts w:ascii="宋体" w:hAnsi="宋体" w:cs="宋体" w:eastAsia="宋体" w:hint="default"/>
                <w:sz w:val="18"/>
                <w:szCs w:val="18"/>
              </w:rPr>
              <w:t>元</w:t>
            </w:r>
          </w:p>
        </w:tc>
      </w:tr>
    </w:tbl>
    <w:p>
      <w:pPr>
        <w:spacing w:after="0" w:line="302"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13"/>
        <w:rPr>
          <w:rFonts w:ascii="宋体" w:hAnsi="宋体" w:cs="宋体" w:eastAsia="宋体" w:hint="default"/>
          <w:sz w:val="25"/>
          <w:szCs w:val="25"/>
        </w:rPr>
      </w:pPr>
    </w:p>
    <w:p>
      <w:pPr>
        <w:pStyle w:val="BodyText"/>
        <w:spacing w:line="240" w:lineRule="auto" w:before="44"/>
        <w:ind w:right="0"/>
        <w:jc w:val="left"/>
      </w:pPr>
      <w:r>
        <w:rPr/>
        <w:t>主要控股参股公司情况说明</w:t>
      </w:r>
    </w:p>
    <w:p>
      <w:pPr>
        <w:spacing w:line="240" w:lineRule="auto" w:before="13"/>
        <w:rPr>
          <w:rFonts w:ascii="宋体" w:hAnsi="宋体" w:cs="宋体" w:eastAsia="宋体" w:hint="default"/>
          <w:sz w:val="24"/>
          <w:szCs w:val="24"/>
        </w:rPr>
      </w:pPr>
    </w:p>
    <w:p>
      <w:pPr>
        <w:pStyle w:val="Heading2"/>
        <w:spacing w:line="240" w:lineRule="auto"/>
        <w:ind w:right="0"/>
        <w:jc w:val="left"/>
        <w:rPr>
          <w:b w:val="0"/>
          <w:bCs w:val="0"/>
        </w:rPr>
      </w:pPr>
      <w:bookmarkStart w:name="八、公司控制的结构化主体情况" w:id="57"/>
      <w:bookmarkEnd w:id="57"/>
      <w:r>
        <w:rPr>
          <w:b w:val="0"/>
          <w:bCs w:val="0"/>
        </w:rPr>
      </w:r>
      <w:r>
        <w:rPr/>
        <w:t>八、公司控制的结构化主体情况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2"/>
        <w:rPr>
          <w:rFonts w:ascii="宋体" w:hAnsi="宋体" w:cs="宋体" w:eastAsia="宋体" w:hint="default"/>
          <w:sz w:val="23"/>
          <w:szCs w:val="23"/>
        </w:rPr>
      </w:pPr>
    </w:p>
    <w:p>
      <w:pPr>
        <w:pStyle w:val="Heading2"/>
        <w:spacing w:line="240" w:lineRule="auto"/>
        <w:ind w:right="0"/>
        <w:jc w:val="left"/>
        <w:rPr>
          <w:b w:val="0"/>
          <w:bCs w:val="0"/>
        </w:rPr>
      </w:pPr>
      <w:bookmarkStart w:name="九、公司未来发展的展望" w:id="58"/>
      <w:bookmarkEnd w:id="58"/>
      <w:r>
        <w:rPr>
          <w:b w:val="0"/>
          <w:bCs w:val="0"/>
        </w:rPr>
      </w:r>
      <w:r>
        <w:rPr/>
        <w:t>九、公司未来发展的展望</w:t>
      </w:r>
      <w:r>
        <w:rPr>
          <w:b w:val="0"/>
          <w:bCs w:val="0"/>
        </w:rPr>
      </w:r>
    </w:p>
    <w:p>
      <w:pPr>
        <w:spacing w:line="240" w:lineRule="auto" w:before="7"/>
        <w:rPr>
          <w:rFonts w:ascii="宋体" w:hAnsi="宋体" w:cs="宋体" w:eastAsia="宋体" w:hint="default"/>
          <w:b/>
          <w:bCs/>
          <w:sz w:val="26"/>
          <w:szCs w:val="26"/>
        </w:rPr>
      </w:pPr>
    </w:p>
    <w:p>
      <w:pPr>
        <w:pStyle w:val="Heading4"/>
        <w:spacing w:line="240" w:lineRule="auto" w:before="0"/>
        <w:ind w:right="0"/>
        <w:jc w:val="left"/>
        <w:rPr>
          <w:b w:val="0"/>
          <w:bCs w:val="0"/>
        </w:rPr>
      </w:pPr>
      <w:r>
        <w:rPr/>
        <w:t>（一）公司发展战略</w:t>
      </w:r>
      <w:r>
        <w:rPr>
          <w:b w:val="0"/>
          <w:bCs w:val="0"/>
        </w:rPr>
      </w:r>
    </w:p>
    <w:p>
      <w:pPr>
        <w:spacing w:line="240" w:lineRule="auto" w:before="8"/>
        <w:rPr>
          <w:rFonts w:ascii="宋体" w:hAnsi="宋体" w:cs="宋体" w:eastAsia="宋体" w:hint="default"/>
          <w:b/>
          <w:bCs/>
          <w:sz w:val="16"/>
          <w:szCs w:val="16"/>
        </w:rPr>
      </w:pPr>
    </w:p>
    <w:p>
      <w:pPr>
        <w:spacing w:line="5624" w:lineRule="exact"/>
        <w:ind w:left="2059" w:right="0" w:firstLine="0"/>
        <w:rPr>
          <w:rFonts w:ascii="宋体" w:hAnsi="宋体" w:cs="宋体" w:eastAsia="宋体" w:hint="default"/>
          <w:sz w:val="20"/>
          <w:szCs w:val="20"/>
        </w:rPr>
      </w:pPr>
      <w:r>
        <w:rPr>
          <w:rFonts w:ascii="宋体" w:hAnsi="宋体" w:cs="宋体" w:eastAsia="宋体" w:hint="default"/>
          <w:position w:val="-111"/>
          <w:sz w:val="20"/>
          <w:szCs w:val="20"/>
        </w:rPr>
        <w:drawing>
          <wp:inline distT="0" distB="0" distL="0" distR="0">
            <wp:extent cx="3701339" cy="3571779"/>
            <wp:effectExtent l="0" t="0" r="0" b="0"/>
            <wp:docPr id="57" name="image37.jpeg" descr=""/>
            <wp:cNvGraphicFramePr>
              <a:graphicFrameLocks noChangeAspect="1"/>
            </wp:cNvGraphicFramePr>
            <a:graphic>
              <a:graphicData uri="http://schemas.openxmlformats.org/drawingml/2006/picture">
                <pic:pic>
                  <pic:nvPicPr>
                    <pic:cNvPr id="58" name="image37.jpeg"/>
                    <pic:cNvPicPr/>
                  </pic:nvPicPr>
                  <pic:blipFill>
                    <a:blip r:embed="rId48" cstate="print"/>
                    <a:stretch>
                      <a:fillRect/>
                    </a:stretch>
                  </pic:blipFill>
                  <pic:spPr>
                    <a:xfrm>
                      <a:off x="0" y="0"/>
                      <a:ext cx="3701339" cy="3571779"/>
                    </a:xfrm>
                    <a:prstGeom prst="rect">
                      <a:avLst/>
                    </a:prstGeom>
                  </pic:spPr>
                </pic:pic>
              </a:graphicData>
            </a:graphic>
          </wp:inline>
        </w:drawing>
      </w:r>
      <w:r>
        <w:rPr>
          <w:rFonts w:ascii="宋体" w:hAnsi="宋体" w:cs="宋体" w:eastAsia="宋体" w:hint="default"/>
          <w:position w:val="-111"/>
          <w:sz w:val="20"/>
          <w:szCs w:val="20"/>
        </w:rPr>
      </w:r>
    </w:p>
    <w:p>
      <w:pPr>
        <w:spacing w:line="240" w:lineRule="auto" w:before="6"/>
        <w:rPr>
          <w:rFonts w:ascii="宋体" w:hAnsi="宋体" w:cs="宋体" w:eastAsia="宋体" w:hint="default"/>
          <w:b/>
          <w:bCs/>
          <w:sz w:val="12"/>
          <w:szCs w:val="12"/>
        </w:rPr>
      </w:pPr>
    </w:p>
    <w:p>
      <w:pPr>
        <w:pStyle w:val="BodyText"/>
        <w:spacing w:line="240" w:lineRule="auto"/>
        <w:ind w:left="3066" w:right="4042"/>
        <w:jc w:val="center"/>
      </w:pPr>
      <w:r>
        <w:rPr/>
        <w:t>奥拓电子</w:t>
      </w:r>
      <w:r>
        <w:rPr>
          <w:rFonts w:ascii="Times New Roman" w:hAnsi="Times New Roman" w:cs="Times New Roman" w:eastAsia="Times New Roman" w:hint="default"/>
        </w:rPr>
        <w:t>“</w:t>
      </w:r>
      <w:r>
        <w:rPr/>
        <w:t>智能</w:t>
      </w:r>
      <w:r>
        <w:rPr>
          <w:rFonts w:ascii="Times New Roman" w:hAnsi="Times New Roman" w:cs="Times New Roman" w:eastAsia="Times New Roman" w:hint="default"/>
        </w:rPr>
        <w:t>+”</w:t>
      </w:r>
      <w:r>
        <w:rPr/>
        <w:t>战略生态图谱</w:t>
      </w:r>
    </w:p>
    <w:p>
      <w:pPr>
        <w:pStyle w:val="BodyText"/>
        <w:spacing w:line="300" w:lineRule="auto" w:before="63"/>
        <w:ind w:right="1033" w:firstLine="360"/>
        <w:jc w:val="left"/>
      </w:pP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LED</w:t>
      </w:r>
      <w:r>
        <w:rPr>
          <w:spacing w:val="-2"/>
        </w:rPr>
        <w:t>应用行业将进一步深化，进入一个结构性变革的阶段，市场集中化程度仍然将不断提高，技术迭代可能会</w:t>
      </w:r>
      <w:r>
        <w:rPr/>
        <w:t> 加速，市场朝着多元化、国际化的方向发展；</w:t>
      </w:r>
      <w:r>
        <w:rPr>
          <w:rFonts w:ascii="Times New Roman" w:hAnsi="Times New Roman" w:cs="Times New Roman" w:eastAsia="Times New Roman" w:hint="default"/>
        </w:rPr>
        <w:t>2018</w:t>
      </w:r>
      <w:r>
        <w:rPr/>
        <w:t>年，金融行业仍将继续大力推进网点智能化改造，在人工智能、区块链、</w:t>
      </w:r>
      <w:r>
        <w:rPr>
          <w:spacing w:val="-85"/>
        </w:rPr>
        <w:t> </w:t>
      </w:r>
      <w:r>
        <w:rPr>
          <w:spacing w:val="-85"/>
        </w:rPr>
      </w:r>
      <w:r>
        <w:rPr>
          <w:spacing w:val="-2"/>
        </w:rPr>
        <w:t>大数据等先进技术的加持下，金融科技将迎来行业的春天；</w:t>
      </w:r>
      <w:r>
        <w:rPr>
          <w:rFonts w:ascii="Times New Roman" w:hAnsi="Times New Roman" w:cs="Times New Roman" w:eastAsia="Times New Roman" w:hint="default"/>
          <w:spacing w:val="-2"/>
        </w:rPr>
        <w:t>2018</w:t>
      </w:r>
      <w:r>
        <w:rPr>
          <w:spacing w:val="-2"/>
        </w:rPr>
        <w:t>年将是体育大年，体育场馆对</w:t>
      </w:r>
      <w:r>
        <w:rPr>
          <w:rFonts w:ascii="Times New Roman" w:hAnsi="Times New Roman" w:cs="Times New Roman" w:eastAsia="Times New Roman" w:hint="default"/>
          <w:spacing w:val="-2"/>
        </w:rPr>
        <w:t>LED</w:t>
      </w:r>
      <w:r>
        <w:rPr>
          <w:spacing w:val="-2"/>
        </w:rPr>
        <w:t>照明及智能控制的需求将</w:t>
      </w:r>
      <w:r>
        <w:rPr>
          <w:spacing w:val="-49"/>
        </w:rPr>
        <w:t> </w:t>
      </w:r>
      <w:r>
        <w:rPr/>
        <w:t>进一步增加，智慧场馆改造的步伐也将加速。</w:t>
      </w:r>
    </w:p>
    <w:p>
      <w:pPr>
        <w:pStyle w:val="BodyText"/>
        <w:spacing w:line="300" w:lineRule="auto" w:before="31"/>
        <w:ind w:right="1131" w:firstLine="360"/>
        <w:jc w:val="both"/>
      </w:pPr>
      <w:r>
        <w:rPr>
          <w:rFonts w:ascii="Times New Roman" w:hAnsi="Times New Roman" w:cs="Times New Roman" w:eastAsia="Times New Roman" w:hint="default"/>
          <w:spacing w:val="-1"/>
        </w:rPr>
        <w:t>2018</w:t>
      </w:r>
      <w:r>
        <w:rPr>
          <w:spacing w:val="-1"/>
        </w:rPr>
        <w:t>年公司将延续“跨越式”发展的势头，秉承着“让人们生活的更亮丽、更便捷”的企业愿景，提出“</w:t>
      </w:r>
      <w:r>
        <w:rPr>
          <w:rFonts w:ascii="宋体" w:hAnsi="宋体" w:cs="宋体" w:eastAsia="宋体" w:hint="default"/>
          <w:b/>
          <w:bCs/>
          <w:spacing w:val="-1"/>
        </w:rPr>
        <w:t>智能</w:t>
      </w:r>
      <w:r>
        <w:rPr>
          <w:rFonts w:ascii="Times New Roman" w:hAnsi="Times New Roman" w:cs="Times New Roman" w:eastAsia="Times New Roman" w:hint="default"/>
          <w:b/>
          <w:bCs/>
          <w:spacing w:val="-1"/>
        </w:rPr>
        <w:t>+</w:t>
      </w:r>
      <w:r>
        <w:rPr>
          <w:spacing w:val="-1"/>
        </w:rPr>
        <w:t>”的战</w:t>
      </w:r>
      <w:r>
        <w:rPr/>
        <w:t> </w:t>
      </w:r>
      <w:r>
        <w:rPr>
          <w:spacing w:val="-6"/>
        </w:rPr>
        <w:t>略方针，以“智能</w:t>
      </w:r>
      <w:r>
        <w:rPr>
          <w:rFonts w:ascii="Times New Roman" w:hAnsi="Times New Roman" w:cs="Times New Roman" w:eastAsia="Times New Roman" w:hint="default"/>
          <w:spacing w:val="-6"/>
        </w:rPr>
        <w:t>+</w:t>
      </w:r>
      <w:r>
        <w:rPr>
          <w:spacing w:val="-6"/>
        </w:rPr>
        <w:t>”为核心，通过未来几年的努力，打造“智能</w:t>
      </w:r>
      <w:r>
        <w:rPr>
          <w:rFonts w:ascii="Times New Roman" w:hAnsi="Times New Roman" w:cs="Times New Roman" w:eastAsia="Times New Roman" w:hint="default"/>
          <w:spacing w:val="-6"/>
        </w:rPr>
        <w:t>+LED</w:t>
      </w:r>
      <w:r>
        <w:rPr>
          <w:spacing w:val="-6"/>
        </w:rPr>
        <w:t>应用”，“智能</w:t>
      </w:r>
      <w:r>
        <w:rPr>
          <w:rFonts w:ascii="Times New Roman" w:hAnsi="Times New Roman" w:cs="Times New Roman" w:eastAsia="Times New Roman" w:hint="default"/>
          <w:spacing w:val="-6"/>
        </w:rPr>
        <w:t>+</w:t>
      </w:r>
      <w:r>
        <w:rPr>
          <w:spacing w:val="-6"/>
        </w:rPr>
        <w:t>金融科技”，“智能</w:t>
      </w:r>
      <w:r>
        <w:rPr>
          <w:rFonts w:ascii="Times New Roman" w:hAnsi="Times New Roman" w:cs="Times New Roman" w:eastAsia="Times New Roman" w:hint="default"/>
          <w:spacing w:val="-6"/>
        </w:rPr>
        <w:t>+</w:t>
      </w:r>
      <w:r>
        <w:rPr>
          <w:spacing w:val="-6"/>
        </w:rPr>
        <w:t>体育新业务”三</w:t>
      </w:r>
      <w:r>
        <w:rPr>
          <w:spacing w:val="-51"/>
        </w:rPr>
        <w:t> </w:t>
      </w:r>
      <w:r>
        <w:rPr>
          <w:spacing w:val="-51"/>
        </w:rPr>
      </w:r>
      <w:r>
        <w:rPr/>
        <w:t>大“智能</w:t>
      </w:r>
      <w:r>
        <w:rPr>
          <w:rFonts w:ascii="Times New Roman" w:hAnsi="Times New Roman" w:cs="Times New Roman" w:eastAsia="Times New Roman" w:hint="default"/>
        </w:rPr>
        <w:t>+</w:t>
      </w:r>
      <w:r>
        <w:rPr/>
        <w:t>”业务板块。通过对关键技术的更新迭代，对核心产品的升级改造，对新业务模式的创新探索，以及在预研阶段 融入行业最新技术，对公司三大业务板块进行智能化升级，从而更好地贴近客户实际需求。</w:t>
      </w:r>
    </w:p>
    <w:p>
      <w:pPr>
        <w:pStyle w:val="BodyText"/>
        <w:spacing w:line="307" w:lineRule="auto" w:before="31"/>
        <w:ind w:right="1132" w:firstLine="360"/>
        <w:jc w:val="both"/>
      </w:pPr>
      <w:r>
        <w:rPr>
          <w:rFonts w:ascii="Times New Roman" w:hAnsi="Times New Roman" w:cs="Times New Roman" w:eastAsia="Times New Roman" w:hint="default"/>
          <w:spacing w:val="-2"/>
        </w:rPr>
        <w:t>2018</w:t>
      </w:r>
      <w:r>
        <w:rPr>
          <w:spacing w:val="-2"/>
        </w:rPr>
        <w:t>年，公司将加速扩大</w:t>
      </w:r>
      <w:r>
        <w:rPr>
          <w:rFonts w:ascii="Times New Roman" w:hAnsi="Times New Roman" w:cs="Times New Roman" w:eastAsia="Times New Roman" w:hint="default"/>
          <w:spacing w:val="-2"/>
        </w:rPr>
        <w:t>LED</w:t>
      </w:r>
      <w:r>
        <w:rPr>
          <w:spacing w:val="-2"/>
        </w:rPr>
        <w:t>应用业务的规模，努力提升金融科技业务的创新水平，加快布局体育新业务。公司将重点</w:t>
      </w:r>
      <w:r>
        <w:rPr/>
        <w:t> </w:t>
      </w:r>
      <w:r>
        <w:rPr>
          <w:spacing w:val="-1"/>
        </w:rPr>
        <w:t>在</w:t>
      </w:r>
      <w:r>
        <w:rPr>
          <w:rFonts w:ascii="Times New Roman" w:hAnsi="Times New Roman" w:cs="Times New Roman" w:eastAsia="Times New Roman" w:hint="default"/>
          <w:spacing w:val="-1"/>
        </w:rPr>
        <w:t>LED</w:t>
      </w:r>
      <w:r>
        <w:rPr>
          <w:spacing w:val="-1"/>
        </w:rPr>
        <w:t>显示、</w:t>
      </w:r>
      <w:r>
        <w:rPr>
          <w:rFonts w:ascii="Times New Roman" w:hAnsi="Times New Roman" w:cs="Times New Roman" w:eastAsia="Times New Roman" w:hint="default"/>
          <w:spacing w:val="-1"/>
        </w:rPr>
        <w:t>LED</w:t>
      </w:r>
      <w:r>
        <w:rPr>
          <w:spacing w:val="-1"/>
        </w:rPr>
        <w:t>景观照明、智慧银行解决方案、银行智能服务型机器人、区块链技术应用、体育场馆</w:t>
      </w:r>
      <w:r>
        <w:rPr>
          <w:rFonts w:ascii="Times New Roman" w:hAnsi="Times New Roman" w:cs="Times New Roman" w:eastAsia="Times New Roman" w:hint="default"/>
          <w:spacing w:val="-1"/>
        </w:rPr>
        <w:t>O2O</w:t>
      </w:r>
      <w:r>
        <w:rPr>
          <w:spacing w:val="-1"/>
        </w:rPr>
        <w:t>运营平台等领域</w:t>
      </w:r>
      <w:r>
        <w:rPr/>
        <w:t> </w:t>
      </w:r>
      <w:r>
        <w:rPr>
          <w:spacing w:val="-2"/>
        </w:rPr>
        <w:t>积极的进行技术产品创新及市场拓展，充分利用公司技术优势及资本市场平台，推动企业的快速发展，力争把公司建设成为</w:t>
      </w:r>
      <w:r>
        <w:rPr>
          <w:spacing w:val="-66"/>
        </w:rPr>
        <w:t> </w:t>
      </w:r>
      <w:r>
        <w:rPr>
          <w:spacing w:val="-66"/>
        </w:rPr>
      </w:r>
      <w:r>
        <w:rPr/>
        <w:t>“</w:t>
      </w:r>
      <w:r>
        <w:rPr>
          <w:rFonts w:ascii="宋体" w:hAnsi="宋体" w:cs="宋体" w:eastAsia="宋体" w:hint="default"/>
          <w:b/>
          <w:bCs/>
        </w:rPr>
        <w:t>创新发展共进，业绩市值齐飞</w:t>
      </w:r>
      <w:r>
        <w:rPr/>
        <w:t>”的优秀上市公司。</w:t>
      </w:r>
    </w:p>
    <w:p>
      <w:pPr>
        <w:pStyle w:val="BodyText"/>
        <w:spacing w:line="240" w:lineRule="auto" w:before="26"/>
        <w:ind w:left="513" w:right="0"/>
        <w:jc w:val="left"/>
      </w:pPr>
      <w:r>
        <w:rPr>
          <w:rFonts w:ascii="Times New Roman" w:hAnsi="Times New Roman" w:cs="Times New Roman" w:eastAsia="Times New Roman" w:hint="default"/>
        </w:rPr>
        <w:t>2018</w:t>
      </w:r>
      <w:r>
        <w:rPr/>
        <w:t>年公司具体战略目标为：</w:t>
      </w:r>
    </w:p>
    <w:p>
      <w:pPr>
        <w:pStyle w:val="BodyText"/>
        <w:spacing w:line="240" w:lineRule="auto" w:before="103"/>
        <w:ind w:left="515" w:right="0"/>
        <w:jc w:val="left"/>
      </w:pPr>
      <w:r>
        <w:rPr>
          <w:rFonts w:ascii="Times New Roman" w:hAnsi="Times New Roman" w:cs="Times New Roman" w:eastAsia="Times New Roman" w:hint="default"/>
          <w:b/>
          <w:bCs/>
        </w:rPr>
        <w:t>1</w:t>
      </w:r>
      <w:r>
        <w:rPr>
          <w:rFonts w:ascii="宋体" w:hAnsi="宋体" w:cs="宋体" w:eastAsia="宋体" w:hint="default"/>
          <w:b/>
          <w:bCs/>
          <w:spacing w:val="1"/>
          <w:w w:val="99"/>
        </w:rPr>
        <w:t>）</w:t>
      </w:r>
      <w:r>
        <w:rPr>
          <w:rFonts w:ascii="Times New Roman" w:hAnsi="Times New Roman" w:cs="Times New Roman" w:eastAsia="Times New Roman" w:hint="default"/>
          <w:b/>
          <w:bCs/>
          <w:spacing w:val="-1"/>
          <w:w w:val="99"/>
        </w:rPr>
        <w:t>LE</w:t>
      </w:r>
      <w:r>
        <w:rPr>
          <w:rFonts w:ascii="Times New Roman" w:hAnsi="Times New Roman" w:cs="Times New Roman" w:eastAsia="Times New Roman" w:hint="default"/>
          <w:b/>
          <w:bCs/>
          <w:w w:val="99"/>
        </w:rPr>
        <w:t>D </w:t>
      </w:r>
      <w:r>
        <w:rPr>
          <w:rFonts w:ascii="宋体" w:hAnsi="宋体" w:cs="宋体" w:eastAsia="宋体" w:hint="default"/>
          <w:b/>
          <w:bCs/>
          <w:spacing w:val="1"/>
          <w:w w:val="99"/>
        </w:rPr>
        <w:t>应用</w:t>
      </w:r>
      <w:r>
        <w:rPr>
          <w:spacing w:val="-2"/>
        </w:rPr>
        <w:t>：</w:t>
      </w:r>
      <w:r>
        <w:rPr/>
        <w:t>抓住“美丽城市</w:t>
      </w:r>
      <w:r>
        <w:rPr>
          <w:spacing w:val="-90"/>
        </w:rPr>
        <w:t>”、</w:t>
      </w:r>
      <w:r>
        <w:rPr/>
        <w:t>“智慧城市”建设机遇，实现公司在</w:t>
      </w:r>
      <w:r>
        <w:rPr>
          <w:spacing w:val="-46"/>
        </w:rPr>
        <w:t> </w:t>
      </w:r>
      <w:r>
        <w:rPr>
          <w:rFonts w:ascii="Times New Roman" w:hAnsi="Times New Roman" w:cs="Times New Roman" w:eastAsia="Times New Roman" w:hint="default"/>
        </w:rPr>
        <w:t>LED</w:t>
      </w:r>
      <w:r>
        <w:rPr>
          <w:rFonts w:ascii="Times New Roman" w:hAnsi="Times New Roman" w:cs="Times New Roman" w:eastAsia="Times New Roman" w:hint="default"/>
          <w:spacing w:val="-1"/>
        </w:rPr>
        <w:t> </w:t>
      </w:r>
      <w:r>
        <w:rPr/>
        <w:t>应用行业地位的大跨越；</w:t>
      </w:r>
    </w:p>
    <w:p>
      <w:pPr>
        <w:pStyle w:val="BodyText"/>
        <w:spacing w:line="240" w:lineRule="auto" w:before="103"/>
        <w:ind w:left="515" w:right="0"/>
        <w:jc w:val="left"/>
      </w:pPr>
      <w:r>
        <w:rPr>
          <w:rFonts w:ascii="Times New Roman" w:hAnsi="Times New Roman" w:cs="Times New Roman" w:eastAsia="Times New Roman" w:hint="default"/>
          <w:b/>
          <w:bCs/>
        </w:rPr>
        <w:t>2</w:t>
      </w:r>
      <w:r>
        <w:rPr>
          <w:rFonts w:ascii="宋体" w:hAnsi="宋体" w:cs="宋体" w:eastAsia="宋体" w:hint="default"/>
          <w:b/>
          <w:bCs/>
        </w:rPr>
        <w:t>）金融科技</w:t>
      </w:r>
      <w:r>
        <w:rPr/>
        <w:t>：整合金融科技业务板块，运用行业领先技术，力争成为智慧银行领域的领军企业；</w:t>
      </w:r>
    </w:p>
    <w:p>
      <w:pPr>
        <w:spacing w:after="0" w:line="240" w:lineRule="auto"/>
        <w:jc w:val="left"/>
        <w:sectPr>
          <w:pgSz w:w="11910" w:h="16840"/>
          <w:pgMar w:header="747" w:footer="979" w:top="1060" w:bottom="1160" w:left="980" w:right="0"/>
        </w:sectPr>
      </w:pPr>
    </w:p>
    <w:p>
      <w:pPr>
        <w:spacing w:line="240" w:lineRule="auto" w:before="13"/>
        <w:rPr>
          <w:rFonts w:ascii="宋体" w:hAnsi="宋体" w:cs="宋体" w:eastAsia="宋体" w:hint="default"/>
          <w:sz w:val="25"/>
          <w:szCs w:val="25"/>
        </w:rPr>
      </w:pPr>
    </w:p>
    <w:p>
      <w:pPr>
        <w:pStyle w:val="BodyText"/>
        <w:spacing w:line="240" w:lineRule="auto" w:before="44"/>
        <w:ind w:left="515" w:right="0"/>
        <w:jc w:val="left"/>
      </w:pPr>
      <w:r>
        <w:rPr>
          <w:rFonts w:ascii="Times New Roman" w:hAnsi="Times New Roman" w:cs="Times New Roman" w:eastAsia="Times New Roman" w:hint="default"/>
          <w:b/>
          <w:bCs/>
        </w:rPr>
        <w:t>3</w:t>
      </w:r>
      <w:r>
        <w:rPr>
          <w:rFonts w:ascii="宋体" w:hAnsi="宋体" w:cs="宋体" w:eastAsia="宋体" w:hint="default"/>
          <w:b/>
          <w:bCs/>
        </w:rPr>
        <w:t>）体育新业务</w:t>
      </w:r>
      <w:r>
        <w:rPr/>
        <w:t>：借势</w:t>
      </w:r>
      <w:r>
        <w:rPr>
          <w:spacing w:val="-47"/>
        </w:rPr>
        <w:t> </w:t>
      </w:r>
      <w:r>
        <w:rPr>
          <w:rFonts w:ascii="Times New Roman" w:hAnsi="Times New Roman" w:cs="Times New Roman" w:eastAsia="Times New Roman" w:hint="default"/>
        </w:rPr>
        <w:t>2018</w:t>
      </w:r>
      <w:r>
        <w:rPr>
          <w:rFonts w:ascii="Times New Roman" w:hAnsi="Times New Roman" w:cs="Times New Roman" w:eastAsia="Times New Roman" w:hint="default"/>
          <w:spacing w:val="-2"/>
        </w:rPr>
        <w:t> </w:t>
      </w:r>
      <w:r>
        <w:rPr/>
        <w:t>年体育大赛事，布局万亿体育市场，抢占场馆改造战略制高点；</w:t>
      </w:r>
    </w:p>
    <w:p>
      <w:pPr>
        <w:pStyle w:val="BodyText"/>
        <w:spacing w:line="240" w:lineRule="auto" w:before="102"/>
        <w:ind w:left="515" w:right="0"/>
        <w:jc w:val="left"/>
      </w:pPr>
      <w:r>
        <w:rPr>
          <w:rFonts w:ascii="Times New Roman" w:hAnsi="Times New Roman" w:cs="Times New Roman" w:eastAsia="Times New Roman" w:hint="default"/>
          <w:b/>
          <w:bCs/>
        </w:rPr>
        <w:t>4</w:t>
      </w:r>
      <w:r>
        <w:rPr>
          <w:rFonts w:ascii="宋体" w:hAnsi="宋体" w:cs="宋体" w:eastAsia="宋体" w:hint="default"/>
          <w:b/>
          <w:bCs/>
        </w:rPr>
        <w:t>）投资并购</w:t>
      </w:r>
      <w:r>
        <w:rPr/>
        <w:t>：整合行业优质资源，提前布局前沿技术，加快外延式发展步伐；</w:t>
      </w:r>
    </w:p>
    <w:p>
      <w:pPr>
        <w:spacing w:before="103"/>
        <w:ind w:left="515"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5</w:t>
      </w:r>
      <w:r>
        <w:rPr>
          <w:rFonts w:ascii="宋体" w:hAnsi="宋体" w:cs="宋体" w:eastAsia="宋体" w:hint="default"/>
          <w:b/>
          <w:bCs/>
          <w:sz w:val="18"/>
          <w:szCs w:val="18"/>
        </w:rPr>
        <w:t>）运营管理</w:t>
      </w:r>
      <w:r>
        <w:rPr>
          <w:rFonts w:ascii="宋体" w:hAnsi="宋体" w:cs="宋体" w:eastAsia="宋体" w:hint="default"/>
          <w:sz w:val="18"/>
          <w:szCs w:val="18"/>
        </w:rPr>
        <w:t>：积极推行人才高地战略，加强信息化管理能力。</w:t>
      </w:r>
    </w:p>
    <w:p>
      <w:pPr>
        <w:pStyle w:val="Heading4"/>
        <w:spacing w:line="240" w:lineRule="auto" w:before="101"/>
        <w:ind w:left="514" w:right="0"/>
        <w:jc w:val="left"/>
        <w:rPr>
          <w:b w:val="0"/>
          <w:bCs w:val="0"/>
        </w:rPr>
      </w:pPr>
      <w:r>
        <w:rPr/>
        <w:t>（二）行业竞争格局与发展趋势</w:t>
      </w:r>
      <w:r>
        <w:rPr>
          <w:b w:val="0"/>
          <w:bCs w:val="0"/>
        </w:rPr>
      </w:r>
    </w:p>
    <w:p>
      <w:pPr>
        <w:spacing w:line="300" w:lineRule="auto" w:before="77"/>
        <w:ind w:left="514"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1</w:t>
      </w:r>
      <w:r>
        <w:rPr>
          <w:rFonts w:ascii="宋体" w:hAnsi="宋体" w:cs="宋体" w:eastAsia="宋体" w:hint="default"/>
          <w:b/>
          <w:bCs/>
          <w:sz w:val="18"/>
          <w:szCs w:val="18"/>
        </w:rPr>
        <w:t>、</w:t>
      </w:r>
      <w:r>
        <w:rPr>
          <w:rFonts w:ascii="Times New Roman" w:hAnsi="Times New Roman" w:cs="Times New Roman" w:eastAsia="Times New Roman" w:hint="default"/>
          <w:b/>
          <w:bCs/>
          <w:sz w:val="18"/>
          <w:szCs w:val="18"/>
        </w:rPr>
        <w:t>LED</w:t>
      </w:r>
      <w:r>
        <w:rPr>
          <w:rFonts w:ascii="宋体" w:hAnsi="宋体" w:cs="宋体" w:eastAsia="宋体" w:hint="default"/>
          <w:b/>
          <w:bCs/>
          <w:sz w:val="18"/>
          <w:szCs w:val="18"/>
        </w:rPr>
        <w:t>应用行业竞争格局与发展趋势</w:t>
      </w:r>
      <w:r>
        <w:rPr>
          <w:rFonts w:ascii="宋体" w:hAnsi="宋体" w:cs="宋体" w:eastAsia="宋体" w:hint="default"/>
          <w:b/>
          <w:bCs/>
          <w:w w:val="99"/>
          <w:sz w:val="18"/>
          <w:szCs w:val="18"/>
        </w:rPr>
        <w:t> </w:t>
      </w:r>
      <w:r>
        <w:rPr>
          <w:rFonts w:ascii="宋体" w:hAnsi="宋体" w:cs="宋体" w:eastAsia="宋体" w:hint="default"/>
          <w:spacing w:val="-1"/>
          <w:sz w:val="18"/>
          <w:szCs w:val="18"/>
        </w:rPr>
        <w:t>据高工产业研究院</w:t>
      </w:r>
      <w:r>
        <w:rPr>
          <w:rFonts w:ascii="Times New Roman" w:hAnsi="Times New Roman" w:cs="Times New Roman" w:eastAsia="Times New Roman" w:hint="default"/>
          <w:spacing w:val="-1"/>
          <w:sz w:val="18"/>
          <w:szCs w:val="18"/>
        </w:rPr>
        <w:t>LED</w:t>
      </w:r>
      <w:r>
        <w:rPr>
          <w:rFonts w:ascii="宋体" w:hAnsi="宋体" w:cs="宋体" w:eastAsia="宋体" w:hint="default"/>
          <w:spacing w:val="-1"/>
          <w:sz w:val="18"/>
          <w:szCs w:val="18"/>
        </w:rPr>
        <w:t>研究所</w:t>
      </w:r>
      <w:r>
        <w:rPr>
          <w:rFonts w:ascii="Times New Roman" w:hAnsi="Times New Roman" w:cs="Times New Roman" w:eastAsia="Times New Roman" w:hint="default"/>
          <w:spacing w:val="-1"/>
          <w:sz w:val="18"/>
          <w:szCs w:val="18"/>
        </w:rPr>
        <w:t>(GGII)</w:t>
      </w:r>
      <w:r>
        <w:rPr>
          <w:rFonts w:ascii="宋体" w:hAnsi="宋体" w:cs="宋体" w:eastAsia="宋体" w:hint="default"/>
          <w:spacing w:val="-1"/>
          <w:sz w:val="18"/>
          <w:szCs w:val="18"/>
        </w:rPr>
        <w:t>数据显示，</w:t>
      </w:r>
      <w:r>
        <w:rPr>
          <w:rFonts w:ascii="Times New Roman" w:hAnsi="Times New Roman" w:cs="Times New Roman" w:eastAsia="Times New Roman" w:hint="default"/>
          <w:spacing w:val="-1"/>
          <w:sz w:val="18"/>
          <w:szCs w:val="18"/>
        </w:rPr>
        <w:t>2017</w:t>
      </w:r>
      <w:r>
        <w:rPr>
          <w:rFonts w:ascii="宋体" w:hAnsi="宋体" w:cs="宋体" w:eastAsia="宋体" w:hint="default"/>
          <w:spacing w:val="-1"/>
          <w:sz w:val="18"/>
          <w:szCs w:val="18"/>
        </w:rPr>
        <w:t>年中国</w:t>
      </w:r>
      <w:r>
        <w:rPr>
          <w:rFonts w:ascii="Times New Roman" w:hAnsi="Times New Roman" w:cs="Times New Roman" w:eastAsia="Times New Roman" w:hint="default"/>
          <w:spacing w:val="-1"/>
          <w:sz w:val="18"/>
          <w:szCs w:val="18"/>
        </w:rPr>
        <w:t>LED</w:t>
      </w:r>
      <w:r>
        <w:rPr>
          <w:rFonts w:ascii="宋体" w:hAnsi="宋体" w:cs="宋体" w:eastAsia="宋体" w:hint="default"/>
          <w:spacing w:val="-1"/>
          <w:sz w:val="18"/>
          <w:szCs w:val="18"/>
        </w:rPr>
        <w:t>行业总体规模</w:t>
      </w:r>
      <w:r>
        <w:rPr>
          <w:rFonts w:ascii="Times New Roman" w:hAnsi="Times New Roman" w:cs="Times New Roman" w:eastAsia="Times New Roman" w:hint="default"/>
          <w:spacing w:val="-1"/>
          <w:sz w:val="18"/>
          <w:szCs w:val="18"/>
        </w:rPr>
        <w:t>6,368</w:t>
      </w:r>
      <w:r>
        <w:rPr>
          <w:rFonts w:ascii="宋体" w:hAnsi="宋体" w:cs="宋体" w:eastAsia="宋体" w:hint="default"/>
          <w:spacing w:val="-1"/>
          <w:sz w:val="18"/>
          <w:szCs w:val="18"/>
        </w:rPr>
        <w:t>亿元，同比增长</w:t>
      </w:r>
      <w:r>
        <w:rPr>
          <w:rFonts w:ascii="Times New Roman" w:hAnsi="Times New Roman" w:cs="Times New Roman" w:eastAsia="Times New Roman" w:hint="default"/>
          <w:spacing w:val="-1"/>
          <w:sz w:val="18"/>
          <w:szCs w:val="18"/>
        </w:rPr>
        <w:t>21%</w:t>
      </w:r>
      <w:r>
        <w:rPr>
          <w:rFonts w:ascii="宋体" w:hAnsi="宋体" w:cs="宋体" w:eastAsia="宋体" w:hint="default"/>
          <w:spacing w:val="-1"/>
          <w:sz w:val="18"/>
          <w:szCs w:val="18"/>
        </w:rPr>
        <w:t>。上游芯片高速</w:t>
      </w:r>
    </w:p>
    <w:p>
      <w:pPr>
        <w:pStyle w:val="BodyText"/>
        <w:spacing w:line="300" w:lineRule="auto" w:before="13"/>
        <w:ind w:right="1129"/>
        <w:jc w:val="both"/>
      </w:pPr>
      <w:r>
        <w:rPr>
          <w:spacing w:val="-2"/>
        </w:rPr>
        <w:t>增长，中游封装平稳发展，下游应用维持快速增长态势。</w:t>
      </w:r>
      <w:r>
        <w:rPr>
          <w:rFonts w:ascii="Times New Roman" w:hAnsi="Times New Roman" w:cs="Times New Roman" w:eastAsia="Times New Roman" w:hint="default"/>
          <w:spacing w:val="-2"/>
        </w:rPr>
        <w:t>GGII</w:t>
      </w:r>
      <w:r>
        <w:rPr>
          <w:spacing w:val="-2"/>
        </w:rPr>
        <w:t>预计，</w:t>
      </w:r>
      <w:r>
        <w:rPr>
          <w:rFonts w:ascii="Times New Roman" w:hAnsi="Times New Roman" w:cs="Times New Roman" w:eastAsia="Times New Roman" w:hint="default"/>
          <w:spacing w:val="-2"/>
        </w:rPr>
        <w:t>2018-2020</w:t>
      </w:r>
      <w:r>
        <w:rPr>
          <w:spacing w:val="-2"/>
        </w:rPr>
        <w:t>年中国</w:t>
      </w:r>
      <w:r>
        <w:rPr>
          <w:rFonts w:ascii="Times New Roman" w:hAnsi="Times New Roman" w:cs="Times New Roman" w:eastAsia="Times New Roman" w:hint="default"/>
          <w:spacing w:val="-2"/>
        </w:rPr>
        <w:t>LED</w:t>
      </w:r>
      <w:r>
        <w:rPr>
          <w:spacing w:val="-2"/>
        </w:rPr>
        <w:t>产业产值规模复合增长率将达</w:t>
      </w:r>
      <w:r>
        <w:rPr>
          <w:rFonts w:ascii="Times New Roman" w:hAnsi="Times New Roman" w:cs="Times New Roman" w:eastAsia="Times New Roman" w:hint="default"/>
          <w:spacing w:val="-2"/>
        </w:rPr>
        <w:t>18%</w:t>
      </w:r>
      <w:r>
        <w:rPr>
          <w:rFonts w:ascii="Times New Roman" w:hAnsi="Times New Roman" w:cs="Times New Roman" w:eastAsia="Times New Roman" w:hint="default"/>
          <w:w w:val="99"/>
        </w:rPr>
        <w:t> </w:t>
      </w:r>
      <w:r>
        <w:rPr/>
        <w:t>左右，</w:t>
      </w:r>
      <w:r>
        <w:rPr>
          <w:rFonts w:ascii="Times New Roman" w:hAnsi="Times New Roman" w:cs="Times New Roman" w:eastAsia="Times New Roman" w:hint="default"/>
        </w:rPr>
        <w:t>2020</w:t>
      </w:r>
      <w:r>
        <w:rPr/>
        <w:t>年中国</w:t>
      </w:r>
      <w:r>
        <w:rPr>
          <w:rFonts w:ascii="Times New Roman" w:hAnsi="Times New Roman" w:cs="Times New Roman" w:eastAsia="Times New Roman" w:hint="default"/>
        </w:rPr>
        <w:t>LED</w:t>
      </w:r>
      <w:r>
        <w:rPr/>
        <w:t>产值规模将突破</w:t>
      </w:r>
      <w:r>
        <w:rPr>
          <w:rFonts w:ascii="Times New Roman" w:hAnsi="Times New Roman" w:cs="Times New Roman" w:eastAsia="Times New Roman" w:hint="default"/>
        </w:rPr>
        <w:t>1</w:t>
      </w:r>
      <w:r>
        <w:rPr/>
        <w:t>万亿元。</w:t>
      </w:r>
    </w:p>
    <w:p>
      <w:pPr>
        <w:pStyle w:val="BodyText"/>
        <w:spacing w:line="300" w:lineRule="auto" w:before="13"/>
        <w:ind w:right="1132" w:firstLine="360"/>
        <w:jc w:val="both"/>
      </w:pPr>
      <w:r>
        <w:rPr>
          <w:spacing w:val="-2"/>
        </w:rPr>
        <w:t>就</w:t>
      </w:r>
      <w:r>
        <w:rPr>
          <w:rFonts w:ascii="Times New Roman" w:hAnsi="Times New Roman" w:cs="Times New Roman" w:eastAsia="Times New Roman" w:hint="default"/>
          <w:spacing w:val="-2"/>
        </w:rPr>
        <w:t>LED</w:t>
      </w:r>
      <w:r>
        <w:rPr>
          <w:spacing w:val="-2"/>
        </w:rPr>
        <w:t>下游市场来看，</w:t>
      </w:r>
      <w:r>
        <w:rPr>
          <w:rFonts w:ascii="Times New Roman" w:hAnsi="Times New Roman" w:cs="Times New Roman" w:eastAsia="Times New Roman" w:hint="default"/>
          <w:spacing w:val="-2"/>
        </w:rPr>
        <w:t>2017</w:t>
      </w:r>
      <w:r>
        <w:rPr>
          <w:spacing w:val="-2"/>
        </w:rPr>
        <w:t>年中国</w:t>
      </w:r>
      <w:r>
        <w:rPr>
          <w:rFonts w:ascii="Times New Roman" w:hAnsi="Times New Roman" w:cs="Times New Roman" w:eastAsia="Times New Roman" w:hint="default"/>
          <w:spacing w:val="-2"/>
        </w:rPr>
        <w:t>LED</w:t>
      </w:r>
      <w:r>
        <w:rPr>
          <w:spacing w:val="-2"/>
        </w:rPr>
        <w:t>下游应用产值规模达到</w:t>
      </w:r>
      <w:r>
        <w:rPr>
          <w:rFonts w:ascii="Times New Roman" w:hAnsi="Times New Roman" w:cs="Times New Roman" w:eastAsia="Times New Roman" w:hint="default"/>
          <w:spacing w:val="-2"/>
        </w:rPr>
        <w:t>5,310</w:t>
      </w:r>
      <w:r>
        <w:rPr>
          <w:spacing w:val="-2"/>
        </w:rPr>
        <w:t>亿元，同比增长</w:t>
      </w:r>
      <w:r>
        <w:rPr>
          <w:rFonts w:ascii="Times New Roman" w:hAnsi="Times New Roman" w:cs="Times New Roman" w:eastAsia="Times New Roman" w:hint="default"/>
          <w:spacing w:val="-2"/>
        </w:rPr>
        <w:t>22%</w:t>
      </w:r>
      <w:r>
        <w:rPr>
          <w:spacing w:val="-2"/>
        </w:rPr>
        <w:t>。</w:t>
      </w:r>
      <w:r>
        <w:rPr>
          <w:rFonts w:ascii="Times New Roman" w:hAnsi="Times New Roman" w:cs="Times New Roman" w:eastAsia="Times New Roman" w:hint="default"/>
          <w:spacing w:val="-2"/>
        </w:rPr>
        <w:t>LED</w:t>
      </w:r>
      <w:r>
        <w:rPr>
          <w:spacing w:val="-2"/>
        </w:rPr>
        <w:t>照明市场规模占比持续小</w:t>
      </w:r>
      <w:r>
        <w:rPr/>
        <w:t> 幅提升，达到</w:t>
      </w:r>
      <w:r>
        <w:rPr>
          <w:rFonts w:ascii="Times New Roman" w:hAnsi="Times New Roman" w:cs="Times New Roman" w:eastAsia="Times New Roman" w:hint="default"/>
        </w:rPr>
        <w:t>66.7%</w:t>
      </w:r>
      <w:r>
        <w:rPr/>
        <w:t>；</w:t>
      </w:r>
      <w:r>
        <w:rPr>
          <w:rFonts w:ascii="Times New Roman" w:hAnsi="Times New Roman" w:cs="Times New Roman" w:eastAsia="Times New Roman" w:hint="default"/>
        </w:rPr>
        <w:t>LED</w:t>
      </w:r>
      <w:r>
        <w:rPr/>
        <w:t>显示屏受益于</w:t>
      </w:r>
      <w:r>
        <w:rPr>
          <w:rFonts w:ascii="Times New Roman" w:hAnsi="Times New Roman" w:cs="Times New Roman" w:eastAsia="Times New Roman" w:hint="default"/>
        </w:rPr>
        <w:t>LED</w:t>
      </w:r>
      <w:r>
        <w:rPr/>
        <w:t>小间距显示屏的爆发式增长，产值规模占比提升至</w:t>
      </w:r>
      <w:r>
        <w:rPr>
          <w:rFonts w:ascii="Times New Roman" w:hAnsi="Times New Roman" w:cs="Times New Roman" w:eastAsia="Times New Roman" w:hint="default"/>
        </w:rPr>
        <w:t>9.4%</w:t>
      </w:r>
      <w:r>
        <w:rPr/>
        <w:t>；</w:t>
      </w:r>
      <w:r>
        <w:rPr>
          <w:rFonts w:ascii="Times New Roman" w:hAnsi="Times New Roman" w:cs="Times New Roman" w:eastAsia="Times New Roman" w:hint="default"/>
        </w:rPr>
        <w:t>LED</w:t>
      </w:r>
      <w:r>
        <w:rPr/>
        <w:t>背光市场规模增 长缓慢，市场占比下降到</w:t>
      </w:r>
      <w:r>
        <w:rPr>
          <w:rFonts w:ascii="Times New Roman" w:hAnsi="Times New Roman" w:cs="Times New Roman" w:eastAsia="Times New Roman" w:hint="default"/>
        </w:rPr>
        <w:t>8.3%</w:t>
      </w:r>
      <w:r>
        <w:rPr/>
        <w:t>。</w:t>
      </w:r>
    </w:p>
    <w:p>
      <w:pPr>
        <w:pStyle w:val="Heading4"/>
        <w:spacing w:line="240" w:lineRule="auto" w:before="13"/>
        <w:ind w:right="0"/>
        <w:jc w:val="left"/>
        <w:rPr>
          <w:b w:val="0"/>
          <w:bCs w:val="0"/>
        </w:rPr>
      </w:pPr>
      <w:r>
        <w:rPr>
          <w:rFonts w:ascii="Times New Roman" w:hAnsi="Times New Roman" w:cs="Times New Roman" w:eastAsia="Times New Roman" w:hint="default"/>
        </w:rPr>
        <w:t>1.1  </w:t>
      </w:r>
      <w:r>
        <w:rPr>
          <w:rFonts w:ascii="Times New Roman" w:hAnsi="Times New Roman" w:cs="Times New Roman" w:eastAsia="Times New Roman" w:hint="default"/>
          <w:spacing w:val="44"/>
        </w:rPr>
        <w:t> </w:t>
      </w:r>
      <w:r>
        <w:rPr>
          <w:rFonts w:ascii="Times New Roman" w:hAnsi="Times New Roman" w:cs="Times New Roman" w:eastAsia="Times New Roman" w:hint="default"/>
        </w:rPr>
        <w:t>LED</w:t>
      </w:r>
      <w:r>
        <w:rPr/>
        <w:t>显示市场</w:t>
      </w:r>
      <w:r>
        <w:rPr>
          <w:b w:val="0"/>
          <w:bCs w:val="0"/>
        </w:rPr>
      </w:r>
    </w:p>
    <w:p>
      <w:pPr>
        <w:pStyle w:val="Heading4"/>
        <w:spacing w:line="240" w:lineRule="auto"/>
        <w:ind w:left="514" w:right="0"/>
        <w:jc w:val="left"/>
        <w:rPr>
          <w:b w:val="0"/>
          <w:bCs w:val="0"/>
        </w:rPr>
      </w:pPr>
      <w:r>
        <w:rPr/>
        <w:t>（</w:t>
      </w:r>
      <w:r>
        <w:rPr>
          <w:rFonts w:ascii="Times New Roman" w:hAnsi="Times New Roman" w:cs="Times New Roman" w:eastAsia="Times New Roman" w:hint="default"/>
        </w:rPr>
        <w:t>1</w:t>
      </w:r>
      <w:r>
        <w:rPr/>
        <w:t>）中国</w:t>
      </w:r>
      <w:r>
        <w:rPr>
          <w:rFonts w:ascii="Times New Roman" w:hAnsi="Times New Roman" w:cs="Times New Roman" w:eastAsia="Times New Roman" w:hint="default"/>
        </w:rPr>
        <w:t>LED</w:t>
      </w:r>
      <w:r>
        <w:rPr/>
        <w:t>小间距市场前景广阔，市场渗透范围扩大</w:t>
      </w:r>
      <w:r>
        <w:rPr>
          <w:b w:val="0"/>
          <w:bCs w:val="0"/>
        </w:rPr>
      </w:r>
    </w:p>
    <w:p>
      <w:pPr>
        <w:pStyle w:val="BodyText"/>
        <w:spacing w:line="300" w:lineRule="auto" w:before="103"/>
        <w:ind w:right="1129" w:firstLine="360"/>
        <w:jc w:val="both"/>
      </w:pPr>
      <w:r>
        <w:rPr>
          <w:rFonts w:ascii="Times New Roman" w:hAnsi="Times New Roman" w:cs="Times New Roman" w:eastAsia="Times New Roman" w:hint="default"/>
        </w:rPr>
        <w:t>GGII</w:t>
      </w:r>
      <w:r>
        <w:rPr>
          <w:rFonts w:ascii="Times New Roman" w:hAnsi="Times New Roman" w:cs="Times New Roman" w:eastAsia="Times New Roman" w:hint="default"/>
          <w:spacing w:val="3"/>
        </w:rPr>
        <w:t> </w:t>
      </w:r>
      <w:r>
        <w:rPr/>
        <w:t>数据显示，</w:t>
      </w:r>
      <w:r>
        <w:rPr>
          <w:rFonts w:ascii="Times New Roman" w:hAnsi="Times New Roman" w:cs="Times New Roman" w:eastAsia="Times New Roman" w:hint="default"/>
        </w:rPr>
        <w:t>2017</w:t>
      </w:r>
      <w:r>
        <w:rPr>
          <w:rFonts w:ascii="Times New Roman" w:hAnsi="Times New Roman" w:cs="Times New Roman" w:eastAsia="Times New Roman" w:hint="default"/>
          <w:spacing w:val="3"/>
        </w:rPr>
        <w:t> </w:t>
      </w:r>
      <w:r>
        <w:rPr/>
        <w:t>年中国</w:t>
      </w:r>
      <w:r>
        <w:rPr>
          <w:spacing w:val="-42"/>
        </w:rPr>
        <w:t> </w:t>
      </w:r>
      <w:r>
        <w:rPr>
          <w:rFonts w:ascii="Times New Roman" w:hAnsi="Times New Roman" w:cs="Times New Roman" w:eastAsia="Times New Roman" w:hint="default"/>
        </w:rPr>
        <w:t>LED</w:t>
      </w:r>
      <w:r>
        <w:rPr>
          <w:rFonts w:ascii="Times New Roman" w:hAnsi="Times New Roman" w:cs="Times New Roman" w:eastAsia="Times New Roman" w:hint="default"/>
          <w:spacing w:val="2"/>
        </w:rPr>
        <w:t> </w:t>
      </w:r>
      <w:r>
        <w:rPr/>
        <w:t>显示屏行业总体规模达到</w:t>
      </w:r>
      <w:r>
        <w:rPr>
          <w:spacing w:val="-42"/>
        </w:rPr>
        <w:t> </w:t>
      </w:r>
      <w:r>
        <w:rPr>
          <w:rFonts w:ascii="Times New Roman" w:hAnsi="Times New Roman" w:cs="Times New Roman" w:eastAsia="Times New Roman" w:hint="default"/>
        </w:rPr>
        <w:t>491</w:t>
      </w:r>
      <w:r>
        <w:rPr>
          <w:rFonts w:ascii="Times New Roman" w:hAnsi="Times New Roman" w:cs="Times New Roman" w:eastAsia="Times New Roman" w:hint="default"/>
          <w:spacing w:val="3"/>
        </w:rPr>
        <w:t> </w:t>
      </w:r>
      <w:r>
        <w:rPr/>
        <w:t>亿元，同比增长</w:t>
      </w:r>
      <w:r>
        <w:rPr>
          <w:spacing w:val="-42"/>
        </w:rPr>
        <w:t> </w:t>
      </w:r>
      <w:r>
        <w:rPr>
          <w:rFonts w:ascii="Times New Roman" w:hAnsi="Times New Roman" w:cs="Times New Roman" w:eastAsia="Times New Roman" w:hint="default"/>
        </w:rPr>
        <w:t>27.2%</w:t>
      </w:r>
      <w:r>
        <w:rPr/>
        <w:t>。其中</w:t>
      </w:r>
      <w:r>
        <w:rPr>
          <w:spacing w:val="-42"/>
        </w:rPr>
        <w:t> </w:t>
      </w:r>
      <w:r>
        <w:rPr>
          <w:rFonts w:ascii="Times New Roman" w:hAnsi="Times New Roman" w:cs="Times New Roman" w:eastAsia="Times New Roman" w:hint="default"/>
        </w:rPr>
        <w:t>LED</w:t>
      </w:r>
      <w:r>
        <w:rPr>
          <w:rFonts w:ascii="Times New Roman" w:hAnsi="Times New Roman" w:cs="Times New Roman" w:eastAsia="Times New Roman" w:hint="default"/>
          <w:spacing w:val="2"/>
        </w:rPr>
        <w:t> </w:t>
      </w:r>
      <w:r>
        <w:rPr/>
        <w:t>小间距显示屏规模</w:t>
      </w:r>
      <w:r>
        <w:rPr>
          <w:w w:val="99"/>
        </w:rPr>
        <w:t> </w:t>
      </w:r>
      <w:r>
        <w:rPr/>
        <w:t>同比增长</w:t>
      </w:r>
      <w:r>
        <w:rPr>
          <w:spacing w:val="-44"/>
        </w:rPr>
        <w:t> </w:t>
      </w:r>
      <w:r>
        <w:rPr>
          <w:rFonts w:ascii="Times New Roman" w:hAnsi="Times New Roman" w:cs="Times New Roman" w:eastAsia="Times New Roman" w:hint="default"/>
          <w:spacing w:val="-10"/>
        </w:rPr>
        <w:t>67%</w:t>
      </w:r>
      <w:r>
        <w:rPr>
          <w:spacing w:val="-10"/>
        </w:rPr>
        <w:t>，达到</w:t>
      </w:r>
      <w:r>
        <w:rPr>
          <w:spacing w:val="-44"/>
        </w:rPr>
        <w:t> </w:t>
      </w:r>
      <w:r>
        <w:rPr>
          <w:rFonts w:ascii="Times New Roman" w:hAnsi="Times New Roman" w:cs="Times New Roman" w:eastAsia="Times New Roman" w:hint="default"/>
        </w:rPr>
        <w:t>59</w:t>
      </w:r>
      <w:r>
        <w:rPr>
          <w:rFonts w:ascii="Times New Roman" w:hAnsi="Times New Roman" w:cs="Times New Roman" w:eastAsia="Times New Roman" w:hint="default"/>
          <w:spacing w:val="1"/>
        </w:rPr>
        <w:t> </w:t>
      </w:r>
      <w:r>
        <w:rPr>
          <w:spacing w:val="-11"/>
        </w:rPr>
        <w:t>亿元，成为</w:t>
      </w:r>
      <w:r>
        <w:rPr>
          <w:spacing w:val="-44"/>
        </w:rPr>
        <w:t> </w:t>
      </w:r>
      <w:r>
        <w:rPr>
          <w:rFonts w:ascii="Times New Roman" w:hAnsi="Times New Roman" w:cs="Times New Roman" w:eastAsia="Times New Roman" w:hint="default"/>
        </w:rPr>
        <w:t>LED</w:t>
      </w:r>
      <w:r>
        <w:rPr>
          <w:rFonts w:ascii="Times New Roman" w:hAnsi="Times New Roman" w:cs="Times New Roman" w:eastAsia="Times New Roman" w:hint="default"/>
          <w:spacing w:val="1"/>
        </w:rPr>
        <w:t> </w:t>
      </w:r>
      <w:r>
        <w:rPr>
          <w:spacing w:val="-4"/>
        </w:rPr>
        <w:t>显示屏增长的重要动力。考虑到未来</w:t>
      </w:r>
      <w:r>
        <w:rPr>
          <w:spacing w:val="-44"/>
        </w:rPr>
        <w:t> </w:t>
      </w:r>
      <w:r>
        <w:rPr>
          <w:rFonts w:ascii="Times New Roman" w:hAnsi="Times New Roman" w:cs="Times New Roman" w:eastAsia="Times New Roman" w:hint="default"/>
        </w:rPr>
        <w:t>LED</w:t>
      </w:r>
      <w:r>
        <w:rPr>
          <w:rFonts w:ascii="Times New Roman" w:hAnsi="Times New Roman" w:cs="Times New Roman" w:eastAsia="Times New Roman" w:hint="default"/>
          <w:spacing w:val="1"/>
        </w:rPr>
        <w:t> </w:t>
      </w:r>
      <w:r>
        <w:rPr/>
        <w:t>小间距显示屏在商显市场仍将加速渗透，</w:t>
      </w:r>
      <w:r>
        <w:rPr>
          <w:w w:val="99"/>
        </w:rPr>
        <w:t> </w:t>
      </w:r>
      <w:r>
        <w:rPr>
          <w:rFonts w:ascii="Times New Roman" w:hAnsi="Times New Roman" w:cs="Times New Roman" w:eastAsia="Times New Roman" w:hint="default"/>
        </w:rPr>
        <w:t>LED</w:t>
      </w:r>
      <w:r>
        <w:rPr>
          <w:rFonts w:ascii="Times New Roman" w:hAnsi="Times New Roman" w:cs="Times New Roman" w:eastAsia="Times New Roman" w:hint="default"/>
          <w:spacing w:val="-21"/>
        </w:rPr>
        <w:t> </w:t>
      </w:r>
      <w:r>
        <w:rPr/>
        <w:t>小间距显示屏也将继续向更大密度转换，灯珠需求量持续增加，而海外</w:t>
      </w:r>
      <w:r>
        <w:rPr>
          <w:spacing w:val="-65"/>
        </w:rPr>
        <w:t> </w:t>
      </w:r>
      <w:r>
        <w:rPr>
          <w:rFonts w:ascii="Times New Roman" w:hAnsi="Times New Roman" w:cs="Times New Roman" w:eastAsia="Times New Roman" w:hint="default"/>
        </w:rPr>
        <w:t>LED</w:t>
      </w:r>
      <w:r>
        <w:rPr>
          <w:rFonts w:ascii="Times New Roman" w:hAnsi="Times New Roman" w:cs="Times New Roman" w:eastAsia="Times New Roman" w:hint="default"/>
          <w:spacing w:val="-21"/>
        </w:rPr>
        <w:t> </w:t>
      </w:r>
      <w:r>
        <w:rPr/>
        <w:t>小间距显示屏市场也逐步打开。</w:t>
      </w:r>
      <w:r>
        <w:rPr>
          <w:rFonts w:ascii="Times New Roman" w:hAnsi="Times New Roman" w:cs="Times New Roman" w:eastAsia="Times New Roman" w:hint="default"/>
        </w:rPr>
        <w:t>GGII</w:t>
      </w:r>
      <w:r>
        <w:rPr>
          <w:rFonts w:ascii="Times New Roman" w:hAnsi="Times New Roman" w:cs="Times New Roman" w:eastAsia="Times New Roman" w:hint="default"/>
          <w:spacing w:val="-21"/>
        </w:rPr>
        <w:t> </w:t>
      </w:r>
      <w:r>
        <w:rPr/>
        <w:t>预计</w:t>
      </w:r>
      <w:r>
        <w:rPr>
          <w:w w:val="99"/>
        </w:rPr>
        <w:t> </w:t>
      </w:r>
      <w:r>
        <w:rPr/>
        <w:t>未来</w:t>
      </w:r>
      <w:r>
        <w:rPr>
          <w:spacing w:val="-47"/>
        </w:rPr>
        <w:t> </w:t>
      </w:r>
      <w:r>
        <w:rPr>
          <w:rFonts w:ascii="Times New Roman" w:hAnsi="Times New Roman" w:cs="Times New Roman" w:eastAsia="Times New Roman" w:hint="default"/>
        </w:rPr>
        <w:t>LED</w:t>
      </w:r>
      <w:r>
        <w:rPr>
          <w:rFonts w:ascii="Times New Roman" w:hAnsi="Times New Roman" w:cs="Times New Roman" w:eastAsia="Times New Roman" w:hint="default"/>
          <w:spacing w:val="-2"/>
        </w:rPr>
        <w:t> </w:t>
      </w:r>
      <w:r>
        <w:rPr/>
        <w:t>小间距显示屏仍将延续高速增长，</w:t>
      </w:r>
      <w:r>
        <w:rPr>
          <w:rFonts w:ascii="Times New Roman" w:hAnsi="Times New Roman" w:cs="Times New Roman" w:eastAsia="Times New Roman" w:hint="default"/>
        </w:rPr>
        <w:t>2018-2020</w:t>
      </w:r>
      <w:r>
        <w:rPr>
          <w:rFonts w:ascii="Times New Roman" w:hAnsi="Times New Roman" w:cs="Times New Roman" w:eastAsia="Times New Roman" w:hint="default"/>
          <w:spacing w:val="-2"/>
        </w:rPr>
        <w:t> </w:t>
      </w:r>
      <w:r>
        <w:rPr/>
        <w:t>年中国</w:t>
      </w:r>
      <w:r>
        <w:rPr>
          <w:spacing w:val="-47"/>
        </w:rPr>
        <w:t> </w:t>
      </w:r>
      <w:r>
        <w:rPr>
          <w:rFonts w:ascii="Times New Roman" w:hAnsi="Times New Roman" w:cs="Times New Roman" w:eastAsia="Times New Roman" w:hint="default"/>
        </w:rPr>
        <w:t>LED</w:t>
      </w:r>
      <w:r>
        <w:rPr>
          <w:rFonts w:ascii="Times New Roman" w:hAnsi="Times New Roman" w:cs="Times New Roman" w:eastAsia="Times New Roman" w:hint="default"/>
          <w:spacing w:val="-2"/>
        </w:rPr>
        <w:t> </w:t>
      </w:r>
      <w:r>
        <w:rPr/>
        <w:t>小间距显示屏市场规模复合增长率将达</w:t>
      </w:r>
      <w:r>
        <w:rPr>
          <w:spacing w:val="-47"/>
        </w:rPr>
        <w:t> </w:t>
      </w:r>
      <w:r>
        <w:rPr>
          <w:rFonts w:ascii="Times New Roman" w:hAnsi="Times New Roman" w:cs="Times New Roman" w:eastAsia="Times New Roman" w:hint="default"/>
        </w:rPr>
        <w:t>44%</w:t>
      </w:r>
      <w:r>
        <w:rPr/>
        <w:t>左右，</w:t>
      </w:r>
      <w:r>
        <w:rPr>
          <w:rFonts w:ascii="Times New Roman" w:hAnsi="Times New Roman" w:cs="Times New Roman" w:eastAsia="Times New Roman" w:hint="default"/>
        </w:rPr>
        <w:t>2020</w:t>
      </w:r>
      <w:r>
        <w:rPr>
          <w:rFonts w:ascii="Times New Roman" w:hAnsi="Times New Roman" w:cs="Times New Roman" w:eastAsia="Times New Roman" w:hint="default"/>
          <w:w w:val="99"/>
        </w:rPr>
        <w:t> </w:t>
      </w:r>
      <w:r>
        <w:rPr/>
        <w:t>年中国</w:t>
      </w:r>
      <w:r>
        <w:rPr>
          <w:spacing w:val="-46"/>
        </w:rPr>
        <w:t> </w:t>
      </w:r>
      <w:r>
        <w:rPr>
          <w:rFonts w:ascii="Times New Roman" w:hAnsi="Times New Roman" w:cs="Times New Roman" w:eastAsia="Times New Roman" w:hint="default"/>
        </w:rPr>
        <w:t>LED</w:t>
      </w:r>
      <w:r>
        <w:rPr>
          <w:rFonts w:ascii="Times New Roman" w:hAnsi="Times New Roman" w:cs="Times New Roman" w:eastAsia="Times New Roman" w:hint="default"/>
          <w:spacing w:val="-1"/>
        </w:rPr>
        <w:t> </w:t>
      </w:r>
      <w:r>
        <w:rPr/>
        <w:t>小间距显示屏市场规模将达</w:t>
      </w:r>
      <w:r>
        <w:rPr>
          <w:spacing w:val="-46"/>
        </w:rPr>
        <w:t> </w:t>
      </w:r>
      <w:r>
        <w:rPr>
          <w:rFonts w:ascii="Times New Roman" w:hAnsi="Times New Roman" w:cs="Times New Roman" w:eastAsia="Times New Roman" w:hint="default"/>
        </w:rPr>
        <w:t>177</w:t>
      </w:r>
      <w:r>
        <w:rPr>
          <w:rFonts w:ascii="Times New Roman" w:hAnsi="Times New Roman" w:cs="Times New Roman" w:eastAsia="Times New Roman" w:hint="default"/>
          <w:spacing w:val="-1"/>
        </w:rPr>
        <w:t> </w:t>
      </w:r>
      <w:r>
        <w:rPr/>
        <w:t>亿元。</w:t>
      </w:r>
    </w:p>
    <w:p>
      <w:pPr>
        <w:pStyle w:val="BodyText"/>
        <w:spacing w:line="300" w:lineRule="auto" w:before="52"/>
        <w:ind w:right="1132" w:firstLine="360"/>
        <w:jc w:val="both"/>
      </w:pPr>
      <w:r>
        <w:rPr>
          <w:spacing w:val="-2"/>
        </w:rPr>
        <w:t>应用领域方面，预计未来</w:t>
      </w:r>
      <w:r>
        <w:rPr>
          <w:rFonts w:ascii="Times New Roman" w:hAnsi="Times New Roman" w:cs="Times New Roman" w:eastAsia="Times New Roman" w:hint="default"/>
          <w:spacing w:val="-2"/>
        </w:rPr>
        <w:t>LED</w:t>
      </w:r>
      <w:r>
        <w:rPr>
          <w:spacing w:val="-2"/>
        </w:rPr>
        <w:t>小间距显示屏重点应用市场为商业显示，如体育产业，近年来体育产业实现快速增长，带</w:t>
      </w:r>
      <w:r>
        <w:rPr/>
        <w:t> 动体育类</w:t>
      </w:r>
      <w:r>
        <w:rPr>
          <w:rFonts w:ascii="Times New Roman" w:hAnsi="Times New Roman" w:cs="Times New Roman" w:eastAsia="Times New Roman" w:hint="default"/>
        </w:rPr>
        <w:t>LED</w:t>
      </w:r>
      <w:r>
        <w:rPr/>
        <w:t>显示屏的市场需求，此外还有高端零售、互动显示等领域。</w:t>
      </w:r>
    </w:p>
    <w:p>
      <w:pPr>
        <w:pStyle w:val="Heading4"/>
        <w:spacing w:line="240" w:lineRule="auto" w:before="13"/>
        <w:ind w:left="513" w:right="0"/>
        <w:jc w:val="left"/>
        <w:rPr>
          <w:b w:val="0"/>
          <w:bCs w:val="0"/>
        </w:rPr>
      </w:pPr>
      <w:r>
        <w:rPr/>
        <w:t>（</w:t>
      </w:r>
      <w:r>
        <w:rPr>
          <w:rFonts w:ascii="Times New Roman" w:hAnsi="Times New Roman" w:cs="Times New Roman" w:eastAsia="Times New Roman" w:hint="default"/>
        </w:rPr>
        <w:t>2</w:t>
      </w:r>
      <w:r>
        <w:rPr/>
        <w:t>）户外</w:t>
      </w:r>
      <w:r>
        <w:rPr>
          <w:rFonts w:ascii="Times New Roman" w:hAnsi="Times New Roman" w:cs="Times New Roman" w:eastAsia="Times New Roman" w:hint="default"/>
        </w:rPr>
        <w:t>LED</w:t>
      </w:r>
      <w:r>
        <w:rPr/>
        <w:t>显示市场增长平稳，应用领域广泛</w:t>
      </w:r>
      <w:r>
        <w:rPr>
          <w:b w:val="0"/>
          <w:bCs w:val="0"/>
        </w:rPr>
      </w:r>
    </w:p>
    <w:p>
      <w:pPr>
        <w:pStyle w:val="BodyText"/>
        <w:spacing w:line="300" w:lineRule="auto" w:before="63"/>
        <w:ind w:right="1130" w:firstLine="360"/>
        <w:jc w:val="both"/>
      </w:pPr>
      <w:r>
        <w:rPr/>
        <w:t>根据国外市场咨询机构</w:t>
      </w:r>
      <w:r>
        <w:rPr>
          <w:rFonts w:ascii="Times New Roman" w:hAnsi="Times New Roman" w:cs="Times New Roman" w:eastAsia="Times New Roman" w:hint="default"/>
        </w:rPr>
        <w:t>Persistence </w:t>
      </w:r>
      <w:r>
        <w:rPr>
          <w:rFonts w:ascii="Times New Roman" w:hAnsi="Times New Roman" w:cs="Times New Roman" w:eastAsia="Times New Roman" w:hint="default"/>
          <w:spacing w:val="-1"/>
        </w:rPr>
        <w:t>Market</w:t>
      </w:r>
      <w:r>
        <w:rPr>
          <w:rFonts w:ascii="Times New Roman" w:hAnsi="Times New Roman" w:cs="Times New Roman" w:eastAsia="Times New Roman" w:hint="default"/>
          <w:spacing w:val="3"/>
        </w:rPr>
        <w:t> </w:t>
      </w:r>
      <w:r>
        <w:rPr>
          <w:rFonts w:ascii="Times New Roman" w:hAnsi="Times New Roman" w:cs="Times New Roman" w:eastAsia="Times New Roman" w:hint="default"/>
          <w:spacing w:val="-2"/>
        </w:rPr>
        <w:t>Research</w:t>
      </w:r>
      <w:r>
        <w:rPr>
          <w:spacing w:val="-2"/>
        </w:rPr>
        <w:t>数据显示，到</w:t>
      </w:r>
      <w:r>
        <w:rPr>
          <w:rFonts w:ascii="Times New Roman" w:hAnsi="Times New Roman" w:cs="Times New Roman" w:eastAsia="Times New Roman" w:hint="default"/>
          <w:spacing w:val="-2"/>
        </w:rPr>
        <w:t>2021</w:t>
      </w:r>
      <w:r>
        <w:rPr>
          <w:spacing w:val="-2"/>
        </w:rPr>
        <w:t>年全球户外</w:t>
      </w:r>
      <w:r>
        <w:rPr>
          <w:rFonts w:ascii="Times New Roman" w:hAnsi="Times New Roman" w:cs="Times New Roman" w:eastAsia="Times New Roman" w:hint="default"/>
          <w:spacing w:val="-2"/>
        </w:rPr>
        <w:t>LED</w:t>
      </w:r>
      <w:r>
        <w:rPr>
          <w:spacing w:val="-2"/>
        </w:rPr>
        <w:t>显示屏规模将达到</w:t>
      </w:r>
      <w:r>
        <w:rPr>
          <w:rFonts w:ascii="Times New Roman" w:hAnsi="Times New Roman" w:cs="Times New Roman" w:eastAsia="Times New Roman" w:hint="default"/>
          <w:spacing w:val="-2"/>
        </w:rPr>
        <w:t>157</w:t>
      </w:r>
      <w:r>
        <w:rPr>
          <w:spacing w:val="-2"/>
        </w:rPr>
        <w:t>亿美元，将以</w:t>
      </w:r>
      <w:r>
        <w:rPr>
          <w:w w:val="99"/>
        </w:rPr>
        <w:t> </w:t>
      </w:r>
      <w:r>
        <w:rPr/>
        <w:t>年复合</w:t>
      </w:r>
      <w:r>
        <w:rPr>
          <w:rFonts w:ascii="Times New Roman" w:hAnsi="Times New Roman" w:cs="Times New Roman" w:eastAsia="Times New Roman" w:hint="default"/>
        </w:rPr>
        <w:t>15.9%</w:t>
      </w:r>
      <w:r>
        <w:rPr/>
        <w:t>的速度增长。</w:t>
      </w:r>
      <w:r>
        <w:rPr>
          <w:rFonts w:ascii="Times New Roman" w:hAnsi="Times New Roman" w:cs="Times New Roman" w:eastAsia="Times New Roman" w:hint="default"/>
        </w:rPr>
        <w:t>LED</w:t>
      </w:r>
      <w:r>
        <w:rPr/>
        <w:t>显示屏被广泛应用于广告媒体、体育场馆、舞台背景、市政工程等领域，成为</w:t>
      </w:r>
      <w:r>
        <w:rPr>
          <w:rFonts w:ascii="Times New Roman" w:hAnsi="Times New Roman" w:cs="Times New Roman" w:eastAsia="Times New Roman" w:hint="default"/>
        </w:rPr>
        <w:t>LED</w:t>
      </w:r>
      <w:r>
        <w:rPr/>
        <w:t>应用领域</w:t>
      </w:r>
      <w:r>
        <w:rPr>
          <w:spacing w:val="-85"/>
        </w:rPr>
        <w:t> </w:t>
      </w:r>
      <w:r>
        <w:rPr/>
        <w:t>最为成熟的一个细分市场。</w:t>
      </w:r>
    </w:p>
    <w:p>
      <w:pPr>
        <w:pStyle w:val="Heading4"/>
        <w:spacing w:line="240" w:lineRule="auto" w:before="31"/>
        <w:ind w:left="513" w:right="0"/>
        <w:jc w:val="left"/>
        <w:rPr>
          <w:b w:val="0"/>
          <w:bCs w:val="0"/>
        </w:rPr>
      </w:pPr>
      <w:r>
        <w:rPr/>
        <w:t>（</w:t>
      </w:r>
      <w:r>
        <w:rPr>
          <w:rFonts w:ascii="Times New Roman" w:hAnsi="Times New Roman" w:cs="Times New Roman" w:eastAsia="Times New Roman" w:hint="default"/>
        </w:rPr>
        <w:t>3</w:t>
      </w:r>
      <w:r>
        <w:rPr/>
        <w:t>）新技术、新应用领域层出不穷，加剧行业竞争</w:t>
      </w:r>
      <w:r>
        <w:rPr>
          <w:b w:val="0"/>
          <w:bCs w:val="0"/>
        </w:rPr>
      </w:r>
    </w:p>
    <w:p>
      <w:pPr>
        <w:pStyle w:val="BodyText"/>
        <w:spacing w:line="307" w:lineRule="auto" w:before="63"/>
        <w:ind w:right="1130" w:firstLine="360"/>
        <w:jc w:val="both"/>
      </w:pPr>
      <w:r>
        <w:rPr>
          <w:rFonts w:ascii="Times New Roman" w:hAnsi="Times New Roman" w:cs="Times New Roman" w:eastAsia="Times New Roman" w:hint="default"/>
        </w:rPr>
        <w:t>2017</w:t>
      </w:r>
      <w:r>
        <w:rPr/>
        <w:t>年，以</w:t>
      </w:r>
      <w:r>
        <w:rPr>
          <w:rFonts w:ascii="Times New Roman" w:hAnsi="Times New Roman" w:cs="Times New Roman" w:eastAsia="Times New Roman" w:hint="default"/>
        </w:rPr>
        <w:t>COB</w:t>
      </w:r>
      <w:r>
        <w:rPr/>
        <w:t>封装技术为主的第二代小间距</w:t>
      </w:r>
      <w:r>
        <w:rPr>
          <w:rFonts w:ascii="Times New Roman" w:hAnsi="Times New Roman" w:cs="Times New Roman" w:eastAsia="Times New Roman" w:hint="default"/>
        </w:rPr>
        <w:t>LED</w:t>
      </w:r>
      <w:r>
        <w:rPr/>
        <w:t>屏技术，采用</w:t>
      </w:r>
      <w:r>
        <w:rPr>
          <w:rFonts w:ascii="Times New Roman" w:hAnsi="Times New Roman" w:cs="Times New Roman" w:eastAsia="Times New Roman" w:hint="default"/>
        </w:rPr>
        <w:t>MINI-LED</w:t>
      </w:r>
      <w:r>
        <w:rPr/>
        <w:t>技术的第三代小间距</w:t>
      </w:r>
      <w:r>
        <w:rPr>
          <w:rFonts w:ascii="Times New Roman" w:hAnsi="Times New Roman" w:cs="Times New Roman" w:eastAsia="Times New Roman" w:hint="default"/>
        </w:rPr>
        <w:t>LED</w:t>
      </w:r>
      <w:r>
        <w:rPr/>
        <w:t>屏技术，以及</w:t>
      </w:r>
      <w:r>
        <w:rPr>
          <w:rFonts w:ascii="Times New Roman" w:hAnsi="Times New Roman" w:cs="Times New Roman" w:eastAsia="Times New Roman" w:hint="default"/>
        </w:rPr>
        <w:t>Sony</w:t>
      </w:r>
      <w:r>
        <w:rPr>
          <w:rFonts w:ascii="Times New Roman" w:hAnsi="Times New Roman" w:cs="Times New Roman" w:eastAsia="Times New Roman" w:hint="default"/>
          <w:w w:val="99"/>
        </w:rPr>
        <w:t> </w:t>
      </w:r>
      <w:r>
        <w:rPr/>
        <w:t>和</w:t>
      </w:r>
      <w:r>
        <w:rPr>
          <w:rFonts w:ascii="Times New Roman" w:hAnsi="Times New Roman" w:cs="Times New Roman" w:eastAsia="Times New Roman" w:hint="default"/>
        </w:rPr>
        <w:t>Samsung</w:t>
      </w:r>
      <w:r>
        <w:rPr/>
        <w:t>推出的</w:t>
      </w:r>
      <w:r>
        <w:rPr>
          <w:rFonts w:ascii="Times New Roman" w:hAnsi="Times New Roman" w:cs="Times New Roman" w:eastAsia="Times New Roman" w:hint="default"/>
        </w:rPr>
        <w:t>MicroLED</w:t>
      </w:r>
      <w:r>
        <w:rPr/>
        <w:t>产品，均逐渐浮现市场，对传统的表贴产品市场造成了一定的冲击。随着技术的逐渐成熟，新</w:t>
      </w:r>
      <w:r>
        <w:rPr>
          <w:spacing w:val="-15"/>
        </w:rPr>
        <w:t> </w:t>
      </w:r>
      <w:r>
        <w:rPr>
          <w:spacing w:val="-15"/>
        </w:rPr>
      </w:r>
      <w:r>
        <w:rPr>
          <w:spacing w:val="-2"/>
        </w:rPr>
        <w:t>技术产品规模的增加，整个产业将形成品牌增多、成本下降、质量提升三者之间的良性循环。另外数字影院，高端指挥调度</w:t>
      </w:r>
      <w:r>
        <w:rPr>
          <w:spacing w:val="-67"/>
        </w:rPr>
        <w:t> </w:t>
      </w:r>
      <w:r>
        <w:rPr>
          <w:spacing w:val="-67"/>
        </w:rPr>
      </w:r>
      <w:r>
        <w:rPr/>
        <w:t>中心等优质新市场的诞生，也将进一步加剧行业的竞争。</w:t>
      </w:r>
    </w:p>
    <w:p>
      <w:pPr>
        <w:spacing w:line="340" w:lineRule="auto" w:before="26"/>
        <w:ind w:left="514"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1.2</w:t>
      </w:r>
      <w:r>
        <w:rPr>
          <w:rFonts w:ascii="Times New Roman" w:hAnsi="Times New Roman" w:cs="Times New Roman" w:eastAsia="Times New Roman" w:hint="default"/>
          <w:b/>
          <w:bCs/>
          <w:spacing w:val="44"/>
          <w:sz w:val="18"/>
          <w:szCs w:val="18"/>
        </w:rPr>
        <w:t> </w:t>
      </w:r>
      <w:r>
        <w:rPr>
          <w:rFonts w:ascii="Times New Roman" w:hAnsi="Times New Roman" w:cs="Times New Roman" w:eastAsia="Times New Roman" w:hint="default"/>
          <w:b/>
          <w:bCs/>
          <w:sz w:val="18"/>
          <w:szCs w:val="18"/>
        </w:rPr>
        <w:t>LED</w:t>
      </w:r>
      <w:r>
        <w:rPr>
          <w:rFonts w:ascii="宋体" w:hAnsi="宋体" w:cs="宋体" w:eastAsia="宋体" w:hint="default"/>
          <w:b/>
          <w:bCs/>
          <w:sz w:val="18"/>
          <w:szCs w:val="18"/>
        </w:rPr>
        <w:t>景观照明市场</w:t>
      </w:r>
      <w:r>
        <w:rPr>
          <w:rFonts w:ascii="宋体" w:hAnsi="宋体" w:cs="宋体" w:eastAsia="宋体" w:hint="default"/>
          <w:b/>
          <w:bCs/>
          <w:w w:val="99"/>
          <w:sz w:val="18"/>
          <w:szCs w:val="18"/>
        </w:rPr>
        <w:t> </w:t>
      </w:r>
      <w:r>
        <w:rPr>
          <w:rFonts w:ascii="宋体" w:hAnsi="宋体" w:cs="宋体" w:eastAsia="宋体" w:hint="default"/>
          <w:spacing w:val="-2"/>
          <w:sz w:val="18"/>
          <w:szCs w:val="18"/>
        </w:rPr>
        <w:t>“十三五”期间，以照明产品等通用设备为重点，大力推动节能装备升级改造。实施照明系统节能改造，鼓励先进照明</w:t>
      </w:r>
    </w:p>
    <w:p>
      <w:pPr>
        <w:pStyle w:val="BodyText"/>
        <w:spacing w:line="319" w:lineRule="auto"/>
        <w:ind w:right="1131"/>
        <w:jc w:val="both"/>
      </w:pPr>
      <w:r>
        <w:rPr>
          <w:spacing w:val="-2"/>
        </w:rPr>
        <w:t>节能技术的集成优化运用，进一步加强能源管控中心建设。在此大背景下，各地政府纷纷加速建设城市景观照明，城市室外</w:t>
      </w:r>
      <w:r>
        <w:rPr>
          <w:spacing w:val="-66"/>
        </w:rPr>
        <w:t> </w:t>
      </w:r>
      <w:r>
        <w:rPr>
          <w:spacing w:val="-66"/>
        </w:rPr>
      </w:r>
      <w:r>
        <w:rPr>
          <w:spacing w:val="-2"/>
        </w:rPr>
        <w:t>夜景照明已经从以前的房地产楼体亮化逐渐拓展到城市景观照明，城市景观照明市场空间巨大。受益于全球各个国家或地区</w:t>
      </w:r>
      <w:r>
        <w:rPr>
          <w:spacing w:val="-64"/>
        </w:rPr>
        <w:t> </w:t>
      </w:r>
      <w:r>
        <w:rPr>
          <w:spacing w:val="-64"/>
        </w:rPr>
      </w:r>
      <w:r>
        <w:rPr/>
        <w:t>政策推广支持，景观亮化市场渗透率不断提高。</w:t>
      </w:r>
    </w:p>
    <w:p>
      <w:pPr>
        <w:pStyle w:val="BodyText"/>
        <w:spacing w:line="300" w:lineRule="auto" w:before="55"/>
        <w:ind w:left="154" w:right="1133" w:firstLine="360"/>
        <w:jc w:val="both"/>
      </w:pPr>
      <w:r>
        <w:rPr>
          <w:rFonts w:ascii="Times New Roman" w:hAnsi="Times New Roman" w:cs="Times New Roman" w:eastAsia="Times New Roman" w:hint="default"/>
        </w:rPr>
        <w:t>GGII</w:t>
      </w:r>
      <w:r>
        <w:rPr/>
        <w:t>数据显示，中国已成为全球最大的景观亮化市场。</w:t>
      </w:r>
      <w:r>
        <w:rPr>
          <w:rFonts w:ascii="Times New Roman" w:hAnsi="Times New Roman" w:cs="Times New Roman" w:eastAsia="Times New Roman" w:hint="default"/>
        </w:rPr>
        <w:t>2017</w:t>
      </w:r>
      <w:r>
        <w:rPr/>
        <w:t>年全球景观亮化市场将达到</w:t>
      </w:r>
      <w:r>
        <w:rPr>
          <w:rFonts w:ascii="Times New Roman" w:hAnsi="Times New Roman" w:cs="Times New Roman" w:eastAsia="Times New Roman" w:hint="default"/>
        </w:rPr>
        <w:t>2750</w:t>
      </w:r>
      <w:r>
        <w:rPr/>
        <w:t>亿元，其中中国市场规模</w:t>
      </w:r>
      <w:r>
        <w:rPr>
          <w:w w:val="99"/>
        </w:rPr>
        <w:t> </w:t>
      </w:r>
      <w:r>
        <w:rPr/>
        <w:t>达到</w:t>
      </w:r>
      <w:r>
        <w:rPr>
          <w:rFonts w:ascii="Times New Roman" w:hAnsi="Times New Roman" w:cs="Times New Roman" w:eastAsia="Times New Roman" w:hint="default"/>
        </w:rPr>
        <w:t>680</w:t>
      </w:r>
      <w:r>
        <w:rPr/>
        <w:t>亿元，同比增长将近</w:t>
      </w:r>
      <w:r>
        <w:rPr>
          <w:rFonts w:ascii="Times New Roman" w:hAnsi="Times New Roman" w:cs="Times New Roman" w:eastAsia="Times New Roman" w:hint="default"/>
        </w:rPr>
        <w:t>22%</w:t>
      </w:r>
      <w:r>
        <w:rPr/>
        <w:t>；预计</w:t>
      </w:r>
      <w:r>
        <w:rPr>
          <w:rFonts w:ascii="Times New Roman" w:hAnsi="Times New Roman" w:cs="Times New Roman" w:eastAsia="Times New Roman" w:hint="default"/>
        </w:rPr>
        <w:t>2018</w:t>
      </w:r>
      <w:r>
        <w:rPr/>
        <w:t>年中国景观亮化市场规模将达到</w:t>
      </w:r>
      <w:r>
        <w:rPr>
          <w:rFonts w:ascii="Times New Roman" w:hAnsi="Times New Roman" w:cs="Times New Roman" w:eastAsia="Times New Roman" w:hint="default"/>
        </w:rPr>
        <w:t>780</w:t>
      </w:r>
      <w:r>
        <w:rPr/>
        <w:t>亿元，增长速度为</w:t>
      </w:r>
      <w:r>
        <w:rPr>
          <w:rFonts w:ascii="Times New Roman" w:hAnsi="Times New Roman" w:cs="Times New Roman" w:eastAsia="Times New Roman" w:hint="default"/>
        </w:rPr>
        <w:t>15%</w:t>
      </w:r>
      <w:r>
        <w:rPr/>
        <w:t>左右。</w:t>
      </w:r>
    </w:p>
    <w:p>
      <w:pPr>
        <w:pStyle w:val="Heading4"/>
        <w:spacing w:line="240" w:lineRule="auto" w:before="13"/>
        <w:ind w:left="513" w:right="0"/>
        <w:jc w:val="left"/>
        <w:rPr>
          <w:b w:val="0"/>
          <w:bCs w:val="0"/>
        </w:rPr>
      </w:pPr>
      <w:r>
        <w:rPr>
          <w:rFonts w:ascii="Times New Roman" w:hAnsi="Times New Roman" w:cs="Times New Roman" w:eastAsia="Times New Roman" w:hint="default"/>
        </w:rPr>
        <w:t>2</w:t>
      </w:r>
      <w:r>
        <w:rPr/>
        <w:t>、金融科技行业竞争格局与发展趋势</w:t>
      </w:r>
      <w:r>
        <w:rPr>
          <w:b w:val="0"/>
          <w:bCs w:val="0"/>
        </w:rPr>
      </w:r>
    </w:p>
    <w:p>
      <w:pPr>
        <w:pStyle w:val="BodyText"/>
        <w:spacing w:line="300" w:lineRule="auto" w:before="63"/>
        <w:ind w:right="1130" w:firstLine="360"/>
        <w:jc w:val="both"/>
      </w:pPr>
      <w:r>
        <w:rPr>
          <w:spacing w:val="-1"/>
        </w:rPr>
        <w:t>根据</w:t>
      </w:r>
      <w:r>
        <w:rPr>
          <w:rFonts w:ascii="Times New Roman" w:hAnsi="Times New Roman" w:cs="Times New Roman" w:eastAsia="Times New Roman" w:hint="default"/>
          <w:spacing w:val="-1"/>
        </w:rPr>
        <w:t>International</w:t>
      </w:r>
      <w:r>
        <w:rPr>
          <w:rFonts w:ascii="Times New Roman" w:hAnsi="Times New Roman" w:cs="Times New Roman" w:eastAsia="Times New Roman" w:hint="default"/>
        </w:rPr>
        <w:t> </w:t>
      </w:r>
      <w:r>
        <w:rPr>
          <w:rFonts w:ascii="Times New Roman" w:hAnsi="Times New Roman" w:cs="Times New Roman" w:eastAsia="Times New Roman" w:hint="default"/>
          <w:spacing w:val="-1"/>
        </w:rPr>
        <w:t>Data</w:t>
      </w:r>
      <w:r>
        <w:rPr>
          <w:rFonts w:ascii="Times New Roman" w:hAnsi="Times New Roman" w:cs="Times New Roman" w:eastAsia="Times New Roman" w:hint="default"/>
          <w:spacing w:val="37"/>
        </w:rPr>
        <w:t> </w:t>
      </w:r>
      <w:r>
        <w:rPr>
          <w:rFonts w:ascii="Times New Roman" w:hAnsi="Times New Roman" w:cs="Times New Roman" w:eastAsia="Times New Roman" w:hint="default"/>
          <w:spacing w:val="-2"/>
        </w:rPr>
        <w:t>Corporation</w:t>
      </w:r>
      <w:r>
        <w:rPr>
          <w:spacing w:val="-2"/>
        </w:rPr>
        <w:t>（</w:t>
      </w:r>
      <w:r>
        <w:rPr>
          <w:rFonts w:ascii="Times New Roman" w:hAnsi="Times New Roman" w:cs="Times New Roman" w:eastAsia="Times New Roman" w:hint="default"/>
          <w:spacing w:val="-2"/>
        </w:rPr>
        <w:t>IDC</w:t>
      </w:r>
      <w:r>
        <w:rPr>
          <w:spacing w:val="-2"/>
        </w:rPr>
        <w:t>）发布的《中国银行业</w:t>
      </w:r>
      <w:r>
        <w:rPr>
          <w:rFonts w:ascii="Times New Roman" w:hAnsi="Times New Roman" w:cs="Times New Roman" w:eastAsia="Times New Roman" w:hint="default"/>
          <w:spacing w:val="-2"/>
        </w:rPr>
        <w:t>IT</w:t>
      </w:r>
      <w:r>
        <w:rPr>
          <w:spacing w:val="-2"/>
        </w:rPr>
        <w:t>解决方案市场预测报告》显示，中国的银行业</w:t>
      </w:r>
      <w:r>
        <w:rPr>
          <w:rFonts w:ascii="Times New Roman" w:hAnsi="Times New Roman" w:cs="Times New Roman" w:eastAsia="Times New Roman" w:hint="default"/>
          <w:spacing w:val="-2"/>
        </w:rPr>
        <w:t>IT</w:t>
      </w:r>
      <w:r>
        <w:rPr>
          <w:spacing w:val="-2"/>
        </w:rPr>
        <w:t>解决方</w:t>
      </w:r>
      <w:r>
        <w:rPr/>
        <w:t> 案市场将在</w:t>
      </w:r>
      <w:r>
        <w:rPr>
          <w:rFonts w:ascii="Times New Roman" w:hAnsi="Times New Roman" w:cs="Times New Roman" w:eastAsia="Times New Roman" w:hint="default"/>
        </w:rPr>
        <w:t>2020  </w:t>
      </w:r>
      <w:r>
        <w:rPr/>
        <w:t>年达到约</w:t>
      </w:r>
      <w:r>
        <w:rPr>
          <w:rFonts w:ascii="Times New Roman" w:hAnsi="Times New Roman" w:cs="Times New Roman" w:eastAsia="Times New Roman" w:hint="default"/>
        </w:rPr>
        <w:t>612</w:t>
      </w:r>
      <w:r>
        <w:rPr/>
        <w:t>亿人民币的整体市场规模，年均复合增长率约为</w:t>
      </w:r>
      <w:r>
        <w:rPr>
          <w:rFonts w:ascii="Times New Roman" w:hAnsi="Times New Roman" w:cs="Times New Roman" w:eastAsia="Times New Roman" w:hint="default"/>
        </w:rPr>
        <w:t>21.9%</w:t>
      </w:r>
      <w:r>
        <w:rPr/>
        <w:t>。</w:t>
      </w:r>
    </w:p>
    <w:p>
      <w:pPr>
        <w:pStyle w:val="BodyText"/>
        <w:spacing w:line="309" w:lineRule="auto" w:before="13"/>
        <w:ind w:right="1130" w:firstLine="360"/>
        <w:jc w:val="both"/>
      </w:pPr>
      <w:r>
        <w:rPr>
          <w:spacing w:val="-2"/>
        </w:rPr>
        <w:t>随着互联网普及率越来越高，互联网企业逐渐渗透进传统银行业务，打破了传统的金融行业界限和竞争格局，商业银行</w:t>
      </w:r>
      <w:r>
        <w:rPr/>
        <w:t> 将迎来向</w:t>
      </w:r>
      <w:r>
        <w:rPr>
          <w:rFonts w:ascii="Times New Roman" w:hAnsi="Times New Roman" w:cs="Times New Roman" w:eastAsia="Times New Roman" w:hint="default"/>
        </w:rPr>
        <w:t>“</w:t>
      </w:r>
      <w:r>
        <w:rPr/>
        <w:t>智能化</w:t>
      </w:r>
      <w:r>
        <w:rPr>
          <w:rFonts w:ascii="Times New Roman" w:hAnsi="Times New Roman" w:cs="Times New Roman" w:eastAsia="Times New Roman" w:hint="default"/>
        </w:rPr>
        <w:t>”</w:t>
      </w:r>
      <w:r>
        <w:rPr/>
        <w:t>、</w:t>
      </w:r>
      <w:r>
        <w:rPr>
          <w:rFonts w:ascii="Times New Roman" w:hAnsi="Times New Roman" w:cs="Times New Roman" w:eastAsia="Times New Roman" w:hint="default"/>
        </w:rPr>
        <w:t>“</w:t>
      </w:r>
      <w:r>
        <w:rPr/>
        <w:t>轻型化</w:t>
      </w:r>
      <w:r>
        <w:rPr>
          <w:rFonts w:ascii="Times New Roman" w:hAnsi="Times New Roman" w:cs="Times New Roman" w:eastAsia="Times New Roman" w:hint="default"/>
        </w:rPr>
        <w:t>”</w:t>
      </w:r>
      <w:r>
        <w:rPr/>
        <w:t>网点转型时期。银行业转型升级的变革必将倚重于</w:t>
      </w:r>
      <w:r>
        <w:rPr>
          <w:rFonts w:ascii="Times New Roman" w:hAnsi="Times New Roman" w:cs="Times New Roman" w:eastAsia="Times New Roman" w:hint="default"/>
        </w:rPr>
        <w:t>“</w:t>
      </w:r>
      <w:r>
        <w:rPr/>
        <w:t>互联网</w:t>
      </w:r>
      <w:r>
        <w:rPr>
          <w:rFonts w:ascii="Times New Roman" w:hAnsi="Times New Roman" w:cs="Times New Roman" w:eastAsia="Times New Roman" w:hint="default"/>
        </w:rPr>
        <w:t>+”</w:t>
      </w:r>
      <w:r>
        <w:rPr/>
        <w:t>和</w:t>
      </w:r>
      <w:r>
        <w:rPr>
          <w:rFonts w:ascii="Times New Roman" w:hAnsi="Times New Roman" w:cs="Times New Roman" w:eastAsia="Times New Roman" w:hint="default"/>
        </w:rPr>
        <w:t>“</w:t>
      </w:r>
      <w:r>
        <w:rPr/>
        <w:t>智能机器人</w:t>
      </w:r>
      <w:r>
        <w:rPr>
          <w:rFonts w:ascii="Times New Roman" w:hAnsi="Times New Roman" w:cs="Times New Roman" w:eastAsia="Times New Roman" w:hint="default"/>
        </w:rPr>
        <w:t>”</w:t>
      </w:r>
      <w:r>
        <w:rPr/>
        <w:t>等高科技手段，</w:t>
      </w:r>
      <w:r>
        <w:rPr>
          <w:spacing w:val="-25"/>
        </w:rPr>
        <w:t> </w:t>
      </w:r>
      <w:r>
        <w:rPr>
          <w:spacing w:val="-25"/>
        </w:rPr>
      </w:r>
      <w:r>
        <w:rPr/>
        <w:t>以及由此带来新的金融运营管理模式创新，行业出现了以下趋势：</w:t>
      </w:r>
    </w:p>
    <w:p>
      <w:pPr>
        <w:pStyle w:val="Heading4"/>
        <w:spacing w:line="240" w:lineRule="auto" w:before="24"/>
        <w:ind w:left="513" w:right="0"/>
        <w:jc w:val="left"/>
        <w:rPr>
          <w:b w:val="0"/>
          <w:bCs w:val="0"/>
        </w:rPr>
      </w:pPr>
      <w:r>
        <w:rPr>
          <w:rFonts w:ascii="Times New Roman" w:hAnsi="Times New Roman" w:cs="Times New Roman" w:eastAsia="Times New Roman" w:hint="default"/>
        </w:rPr>
        <w:t>2.1</w:t>
      </w:r>
      <w:r>
        <w:rPr>
          <w:rFonts w:ascii="Times New Roman" w:hAnsi="Times New Roman" w:cs="Times New Roman" w:eastAsia="Times New Roman" w:hint="default"/>
          <w:spacing w:val="42"/>
        </w:rPr>
        <w:t> </w:t>
      </w:r>
      <w:r>
        <w:rPr/>
        <w:t>新技术更多的应用在金融科技领域</w:t>
      </w:r>
      <w:r>
        <w:rPr>
          <w:b w:val="0"/>
          <w:bCs w:val="0"/>
        </w:rPr>
      </w:r>
    </w:p>
    <w:p>
      <w:pPr>
        <w:spacing w:after="0" w:line="240" w:lineRule="auto"/>
        <w:jc w:val="left"/>
        <w:sectPr>
          <w:pgSz w:w="11910" w:h="16840"/>
          <w:pgMar w:header="747" w:footer="979" w:top="1060" w:bottom="1160" w:left="980" w:right="0"/>
        </w:sectPr>
      </w:pPr>
    </w:p>
    <w:p>
      <w:pPr>
        <w:spacing w:line="240" w:lineRule="auto" w:before="12"/>
        <w:rPr>
          <w:rFonts w:ascii="宋体" w:hAnsi="宋体" w:cs="宋体" w:eastAsia="宋体" w:hint="default"/>
          <w:b/>
          <w:bCs/>
          <w:sz w:val="25"/>
          <w:szCs w:val="25"/>
        </w:rPr>
      </w:pPr>
    </w:p>
    <w:p>
      <w:pPr>
        <w:pStyle w:val="BodyText"/>
        <w:spacing w:line="309" w:lineRule="auto" w:before="44"/>
        <w:ind w:right="1128" w:firstLine="360"/>
        <w:jc w:val="both"/>
      </w:pPr>
      <w:r>
        <w:rPr>
          <w:spacing w:val="-2"/>
        </w:rPr>
        <w:t>目前，金融机构和科技机构的融合加速，金融产品和服务的创新形式主要以数字化形式提供，科技企业也在技术研发和</w:t>
      </w:r>
      <w:r>
        <w:rPr/>
        <w:t> 平台建设上，侧重与金融产品、服务和监管的结合，包括人工智能、</w:t>
      </w:r>
      <w:r>
        <w:rPr>
          <w:rFonts w:ascii="Times New Roman" w:hAnsi="Times New Roman" w:cs="Times New Roman" w:eastAsia="Times New Roman" w:hint="default"/>
        </w:rPr>
        <w:t>VR</w:t>
      </w:r>
      <w:r>
        <w:rPr/>
        <w:t>、大数据、云计算、区块链这些新的</w:t>
      </w:r>
      <w:r>
        <w:rPr>
          <w:rFonts w:ascii="Times New Roman" w:hAnsi="Times New Roman" w:cs="Times New Roman" w:eastAsia="Times New Roman" w:hint="default"/>
        </w:rPr>
        <w:t>IT</w:t>
      </w:r>
      <w:r>
        <w:rPr/>
        <w:t>技术会更多</w:t>
      </w:r>
      <w:r>
        <w:rPr>
          <w:spacing w:val="-54"/>
        </w:rPr>
        <w:t> </w:t>
      </w:r>
      <w:r>
        <w:rPr>
          <w:spacing w:val="-54"/>
        </w:rPr>
      </w:r>
      <w:r>
        <w:rPr/>
        <w:t>的服务于金融科技领域。</w:t>
      </w:r>
    </w:p>
    <w:p>
      <w:pPr>
        <w:spacing w:line="240" w:lineRule="auto" w:before="5"/>
        <w:rPr>
          <w:rFonts w:ascii="宋体" w:hAnsi="宋体" w:cs="宋体" w:eastAsia="宋体" w:hint="default"/>
          <w:sz w:val="5"/>
          <w:szCs w:val="5"/>
        </w:rPr>
      </w:pPr>
    </w:p>
    <w:p>
      <w:pPr>
        <w:spacing w:line="5500" w:lineRule="exact"/>
        <w:ind w:left="1444" w:right="0" w:firstLine="0"/>
        <w:rPr>
          <w:rFonts w:ascii="宋体" w:hAnsi="宋体" w:cs="宋体" w:eastAsia="宋体" w:hint="default"/>
          <w:sz w:val="20"/>
          <w:szCs w:val="20"/>
        </w:rPr>
      </w:pPr>
      <w:r>
        <w:rPr>
          <w:rFonts w:ascii="宋体" w:hAnsi="宋体" w:cs="宋体" w:eastAsia="宋体" w:hint="default"/>
          <w:position w:val="-109"/>
          <w:sz w:val="20"/>
          <w:szCs w:val="20"/>
        </w:rPr>
        <w:drawing>
          <wp:inline distT="0" distB="0" distL="0" distR="0">
            <wp:extent cx="4614299" cy="3493103"/>
            <wp:effectExtent l="0" t="0" r="0" b="0"/>
            <wp:docPr id="59" name="image38.jpeg" descr=""/>
            <wp:cNvGraphicFramePr>
              <a:graphicFrameLocks noChangeAspect="1"/>
            </wp:cNvGraphicFramePr>
            <a:graphic>
              <a:graphicData uri="http://schemas.openxmlformats.org/drawingml/2006/picture">
                <pic:pic>
                  <pic:nvPicPr>
                    <pic:cNvPr id="60" name="image38.jpeg"/>
                    <pic:cNvPicPr/>
                  </pic:nvPicPr>
                  <pic:blipFill>
                    <a:blip r:embed="rId49" cstate="print"/>
                    <a:stretch>
                      <a:fillRect/>
                    </a:stretch>
                  </pic:blipFill>
                  <pic:spPr>
                    <a:xfrm>
                      <a:off x="0" y="0"/>
                      <a:ext cx="4614299" cy="3493103"/>
                    </a:xfrm>
                    <a:prstGeom prst="rect">
                      <a:avLst/>
                    </a:prstGeom>
                  </pic:spPr>
                </pic:pic>
              </a:graphicData>
            </a:graphic>
          </wp:inline>
        </w:drawing>
      </w:r>
      <w:r>
        <w:rPr>
          <w:rFonts w:ascii="宋体" w:hAnsi="宋体" w:cs="宋体" w:eastAsia="宋体" w:hint="default"/>
          <w:position w:val="-109"/>
          <w:sz w:val="20"/>
          <w:szCs w:val="20"/>
        </w:rPr>
      </w:r>
    </w:p>
    <w:p>
      <w:pPr>
        <w:pStyle w:val="BodyText"/>
        <w:spacing w:line="240" w:lineRule="auto" w:before="70"/>
        <w:ind w:left="3066" w:right="3833"/>
        <w:jc w:val="center"/>
      </w:pPr>
      <w:r>
        <w:rPr/>
        <w:t>新技术下的金融科技应用</w:t>
      </w:r>
    </w:p>
    <w:p>
      <w:pPr>
        <w:spacing w:line="300" w:lineRule="auto" w:before="77"/>
        <w:ind w:left="514" w:right="0" w:firstLine="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2.2</w:t>
      </w:r>
      <w:r>
        <w:rPr>
          <w:rFonts w:ascii="Times New Roman" w:hAnsi="Times New Roman" w:cs="Times New Roman" w:eastAsia="Times New Roman" w:hint="default"/>
          <w:b/>
          <w:bCs/>
          <w:spacing w:val="44"/>
          <w:sz w:val="18"/>
          <w:szCs w:val="18"/>
        </w:rPr>
        <w:t> </w:t>
      </w:r>
      <w:r>
        <w:rPr>
          <w:rFonts w:ascii="宋体" w:hAnsi="宋体" w:cs="宋体" w:eastAsia="宋体" w:hint="default"/>
          <w:b/>
          <w:bCs/>
          <w:sz w:val="18"/>
          <w:szCs w:val="18"/>
        </w:rPr>
        <w:t>前沿技术（区块链）提升银行工作效率，降低成本</w:t>
      </w:r>
      <w:r>
        <w:rPr>
          <w:rFonts w:ascii="宋体" w:hAnsi="宋体" w:cs="宋体" w:eastAsia="宋体" w:hint="default"/>
          <w:b/>
          <w:bCs/>
          <w:w w:val="99"/>
          <w:sz w:val="18"/>
          <w:szCs w:val="18"/>
        </w:rPr>
        <w:t> </w:t>
      </w:r>
      <w:r>
        <w:rPr>
          <w:rFonts w:ascii="宋体" w:hAnsi="宋体" w:cs="宋体" w:eastAsia="宋体" w:hint="default"/>
          <w:spacing w:val="-2"/>
          <w:sz w:val="18"/>
          <w:szCs w:val="18"/>
        </w:rPr>
        <w:t>目前，金融机构正专注于系统升级，重点在于提升与大数据分析和移动科技的兼容性。金融科技公司已着眼于更前沿的</w:t>
      </w:r>
    </w:p>
    <w:p>
      <w:pPr>
        <w:pStyle w:val="BodyText"/>
        <w:spacing w:line="316" w:lineRule="auto" w:before="31"/>
        <w:ind w:left="154" w:right="1133"/>
        <w:jc w:val="both"/>
      </w:pPr>
      <w:r>
        <w:rPr>
          <w:spacing w:val="-2"/>
        </w:rPr>
        <w:t>科技，旨在提升效率、降低成本、强化安全性，使流程更灵活。区块链适用于一系列证券交易（如股票、债券、衍生品、回</w:t>
      </w:r>
      <w:r>
        <w:rPr>
          <w:spacing w:val="-70"/>
        </w:rPr>
        <w:t> </w:t>
      </w:r>
      <w:r>
        <w:rPr>
          <w:spacing w:val="-70"/>
        </w:rPr>
      </w:r>
      <w:r>
        <w:rPr>
          <w:spacing w:val="-2"/>
        </w:rPr>
        <w:t>购、贷款和资产支持证券等）和交易的结算、清算和托管等环节。区块链在参与者之间共享和同步的特点，使得各个独立的</w:t>
      </w:r>
      <w:r>
        <w:rPr>
          <w:spacing w:val="-66"/>
        </w:rPr>
        <w:t> </w:t>
      </w:r>
      <w:r>
        <w:rPr>
          <w:spacing w:val="-66"/>
        </w:rPr>
      </w:r>
      <w:r>
        <w:rPr/>
        <w:t>分账簿之间不再需要进行协调，从而改善了银行工作流程。</w:t>
      </w:r>
    </w:p>
    <w:p>
      <w:pPr>
        <w:spacing w:line="300" w:lineRule="auto" w:before="19"/>
        <w:ind w:left="514" w:right="0" w:firstLine="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2.3</w:t>
      </w:r>
      <w:r>
        <w:rPr>
          <w:rFonts w:ascii="Times New Roman" w:hAnsi="Times New Roman" w:cs="Times New Roman" w:eastAsia="Times New Roman" w:hint="default"/>
          <w:b/>
          <w:bCs/>
          <w:spacing w:val="44"/>
          <w:sz w:val="18"/>
          <w:szCs w:val="18"/>
        </w:rPr>
        <w:t> </w:t>
      </w:r>
      <w:r>
        <w:rPr>
          <w:rFonts w:ascii="宋体" w:hAnsi="宋体" w:cs="宋体" w:eastAsia="宋体" w:hint="default"/>
          <w:b/>
          <w:bCs/>
          <w:sz w:val="18"/>
          <w:szCs w:val="18"/>
        </w:rPr>
        <w:t>智慧银行改造将银行网点从功能导向型向客户体验型转变</w:t>
      </w:r>
      <w:r>
        <w:rPr>
          <w:rFonts w:ascii="宋体" w:hAnsi="宋体" w:cs="宋体" w:eastAsia="宋体" w:hint="default"/>
          <w:b/>
          <w:bCs/>
          <w:w w:val="99"/>
          <w:sz w:val="18"/>
          <w:szCs w:val="18"/>
        </w:rPr>
        <w:t> </w:t>
      </w:r>
      <w:r>
        <w:rPr>
          <w:rFonts w:ascii="宋体" w:hAnsi="宋体" w:cs="宋体" w:eastAsia="宋体" w:hint="default"/>
          <w:spacing w:val="-2"/>
          <w:sz w:val="18"/>
          <w:szCs w:val="18"/>
        </w:rPr>
        <w:t>在智能服务型机器人的引导下，客户将进入一个前所未有的体验空间，感受科技变革与金融创新带来的变化。智慧银行</w:t>
      </w:r>
    </w:p>
    <w:p>
      <w:pPr>
        <w:pStyle w:val="BodyText"/>
        <w:spacing w:line="300" w:lineRule="auto" w:before="31"/>
        <w:ind w:right="1132"/>
        <w:jc w:val="both"/>
      </w:pPr>
      <w:r>
        <w:rPr/>
        <w:t>改造从空间布局到互动液晶、互动金融超市、全息贵金属展示、互动体验屏、</w:t>
      </w:r>
      <w:r>
        <w:rPr>
          <w:rFonts w:ascii="Times New Roman" w:hAnsi="Times New Roman" w:cs="Times New Roman" w:eastAsia="Times New Roman" w:hint="default"/>
        </w:rPr>
        <w:t>VR</w:t>
      </w:r>
      <w:r>
        <w:rPr/>
        <w:t>产品体验区，颠覆了传统银行网点封闭、</w:t>
      </w:r>
      <w:r>
        <w:rPr>
          <w:spacing w:val="-68"/>
        </w:rPr>
        <w:t> </w:t>
      </w:r>
      <w:r>
        <w:rPr>
          <w:spacing w:val="-68"/>
        </w:rPr>
      </w:r>
      <w:r>
        <w:rPr/>
        <w:t>严谨、客户被动等待的格局，呈现开放、互动、客户主动参与的特点，实现了从功能导向型向客户体验型的转变。</w:t>
      </w:r>
    </w:p>
    <w:p>
      <w:pPr>
        <w:pStyle w:val="Heading4"/>
        <w:spacing w:line="240" w:lineRule="auto" w:before="31"/>
        <w:ind w:right="0"/>
        <w:jc w:val="left"/>
        <w:rPr>
          <w:b w:val="0"/>
          <w:bCs w:val="0"/>
        </w:rPr>
      </w:pPr>
      <w:r>
        <w:rPr>
          <w:rFonts w:ascii="Times New Roman" w:hAnsi="Times New Roman" w:cs="Times New Roman" w:eastAsia="Times New Roman" w:hint="default"/>
        </w:rPr>
        <w:t>3</w:t>
      </w:r>
      <w:r>
        <w:rPr/>
        <w:t>、体育行业竞争格局与发展趋势</w:t>
      </w:r>
      <w:r>
        <w:rPr>
          <w:b w:val="0"/>
          <w:bCs w:val="0"/>
        </w:rPr>
      </w:r>
    </w:p>
    <w:p>
      <w:pPr>
        <w:pStyle w:val="BodyText"/>
        <w:spacing w:line="240" w:lineRule="auto" w:before="103"/>
        <w:ind w:left="513" w:right="0"/>
        <w:jc w:val="left"/>
      </w:pPr>
      <w:r>
        <w:rPr>
          <w:rFonts w:ascii="Times New Roman" w:hAnsi="Times New Roman" w:cs="Times New Roman" w:eastAsia="Times New Roman" w:hint="default"/>
        </w:rPr>
        <w:t>2016</w:t>
      </w:r>
      <w:r>
        <w:rPr>
          <w:rFonts w:ascii="Times New Roman" w:hAnsi="Times New Roman" w:cs="Times New Roman" w:eastAsia="Times New Roman" w:hint="default"/>
          <w:spacing w:val="-1"/>
        </w:rPr>
        <w:t> </w:t>
      </w:r>
      <w:r>
        <w:rPr/>
        <w:t>年国家体育总局正式发</w:t>
      </w:r>
      <w:r>
        <w:rPr>
          <w:spacing w:val="-6"/>
        </w:rPr>
        <w:t>布</w:t>
      </w:r>
      <w:r>
        <w:rPr/>
        <w:t>《体育产业发</w:t>
      </w:r>
      <w:r>
        <w:rPr>
          <w:spacing w:val="-6"/>
        </w:rPr>
        <w:t>展</w:t>
      </w:r>
      <w:r>
        <w:rPr/>
        <w:t>“十三五</w:t>
      </w:r>
      <w:r>
        <w:rPr>
          <w:spacing w:val="-6"/>
        </w:rPr>
        <w:t>”</w:t>
      </w:r>
      <w:r>
        <w:rPr/>
        <w:t>规划</w:t>
      </w:r>
      <w:r>
        <w:rPr>
          <w:spacing w:val="-96"/>
        </w:rPr>
        <w:t>》</w:t>
      </w:r>
      <w:r>
        <w:rPr/>
        <w:t>（以下简</w:t>
      </w:r>
      <w:r>
        <w:rPr>
          <w:spacing w:val="-6"/>
        </w:rPr>
        <w:t>称</w:t>
      </w:r>
      <w:r>
        <w:rPr/>
        <w:t>《规划</w:t>
      </w:r>
      <w:r>
        <w:rPr>
          <w:spacing w:val="-91"/>
        </w:rPr>
        <w:t>》</w:t>
      </w:r>
      <w:r>
        <w:rPr>
          <w:spacing w:val="-90"/>
        </w:rPr>
        <w:t>）</w:t>
      </w:r>
      <w:r>
        <w:rPr>
          <w:spacing w:val="-6"/>
        </w:rPr>
        <w:t>，</w:t>
      </w:r>
      <w:r>
        <w:rPr/>
        <w:t>提出要实现体育产业总规模超过</w:t>
      </w:r>
    </w:p>
    <w:p>
      <w:pPr>
        <w:pStyle w:val="BodyText"/>
        <w:spacing w:line="300" w:lineRule="auto" w:before="61"/>
        <w:ind w:right="1130"/>
        <w:jc w:val="both"/>
      </w:pPr>
      <w:r>
        <w:rPr>
          <w:rFonts w:ascii="Times New Roman" w:hAnsi="Times New Roman" w:cs="Times New Roman" w:eastAsia="Times New Roman" w:hint="default"/>
        </w:rPr>
        <w:t>3 </w:t>
      </w:r>
      <w:r>
        <w:rPr/>
        <w:t>万亿，产业增加值在国内生产总值中比重达到 </w:t>
      </w:r>
      <w:r>
        <w:rPr>
          <w:rFonts w:ascii="Times New Roman" w:hAnsi="Times New Roman" w:cs="Times New Roman" w:eastAsia="Times New Roman" w:hint="default"/>
        </w:rPr>
        <w:t>1%</w:t>
      </w:r>
      <w:r>
        <w:rPr/>
        <w:t>，体育服务业增加值占比超过</w:t>
      </w:r>
      <w:r>
        <w:rPr>
          <w:spacing w:val="-68"/>
        </w:rPr>
        <w:t> </w:t>
      </w:r>
      <w:r>
        <w:rPr>
          <w:rFonts w:ascii="Times New Roman" w:hAnsi="Times New Roman" w:cs="Times New Roman" w:eastAsia="Times New Roman" w:hint="default"/>
        </w:rPr>
        <w:t>30%</w:t>
      </w:r>
      <w:r>
        <w:rPr/>
        <w:t>，体育消费额占人均居民可支配收入 比例超 </w:t>
      </w:r>
      <w:r>
        <w:rPr>
          <w:rFonts w:ascii="Times New Roman" w:hAnsi="Times New Roman" w:cs="Times New Roman" w:eastAsia="Times New Roman" w:hint="default"/>
          <w:spacing w:val="-4"/>
        </w:rPr>
        <w:t>2.5%</w:t>
      </w:r>
      <w:r>
        <w:rPr>
          <w:spacing w:val="-4"/>
        </w:rPr>
        <w:t>等目标。在基础设施建设方面，《规划》提出建设</w:t>
      </w:r>
      <w:r>
        <w:rPr/>
        <w:t> </w:t>
      </w:r>
      <w:r>
        <w:rPr>
          <w:rFonts w:ascii="Times New Roman" w:hAnsi="Times New Roman" w:cs="Times New Roman" w:eastAsia="Times New Roman" w:hint="default"/>
        </w:rPr>
        <w:t>50 </w:t>
      </w:r>
      <w:r>
        <w:rPr/>
        <w:t>个国家体育产业示范基地、</w:t>
      </w:r>
      <w:r>
        <w:rPr>
          <w:rFonts w:ascii="Times New Roman" w:hAnsi="Times New Roman" w:cs="Times New Roman" w:eastAsia="Times New Roman" w:hint="default"/>
        </w:rPr>
        <w:t>100</w:t>
      </w:r>
      <w:r>
        <w:rPr>
          <w:rFonts w:ascii="Times New Roman" w:hAnsi="Times New Roman" w:cs="Times New Roman" w:eastAsia="Times New Roman" w:hint="default"/>
          <w:spacing w:val="5"/>
        </w:rPr>
        <w:t> </w:t>
      </w:r>
      <w:r>
        <w:rPr/>
        <w:t>个国家体育产业示范单位 和</w:t>
      </w:r>
      <w:r>
        <w:rPr>
          <w:spacing w:val="-46"/>
        </w:rPr>
        <w:t> </w:t>
      </w:r>
      <w:r>
        <w:rPr>
          <w:rFonts w:ascii="Times New Roman" w:hAnsi="Times New Roman" w:cs="Times New Roman" w:eastAsia="Times New Roman" w:hint="default"/>
        </w:rPr>
        <w:t>100</w:t>
      </w:r>
      <w:r>
        <w:rPr>
          <w:rFonts w:ascii="Times New Roman" w:hAnsi="Times New Roman" w:cs="Times New Roman" w:eastAsia="Times New Roman" w:hint="default"/>
          <w:spacing w:val="-1"/>
        </w:rPr>
        <w:t> </w:t>
      </w:r>
      <w:r>
        <w:rPr/>
        <w:t>个国家体育产业示范项目。</w:t>
      </w:r>
    </w:p>
    <w:p>
      <w:pPr>
        <w:pStyle w:val="BodyText"/>
        <w:spacing w:line="300" w:lineRule="auto" w:before="52"/>
        <w:ind w:right="1131" w:firstLine="360"/>
        <w:jc w:val="both"/>
      </w:pPr>
      <w:r>
        <w:rPr>
          <w:spacing w:val="-1"/>
        </w:rPr>
        <w:t>全国市</w:t>
      </w:r>
      <w:r>
        <w:rPr>
          <w:rFonts w:ascii="Times New Roman" w:hAnsi="Times New Roman" w:cs="Times New Roman" w:eastAsia="Times New Roman" w:hint="default"/>
          <w:spacing w:val="-1"/>
        </w:rPr>
        <w:t>(</w:t>
      </w:r>
      <w:r>
        <w:rPr>
          <w:spacing w:val="-1"/>
        </w:rPr>
        <w:t>地</w:t>
      </w:r>
      <w:r>
        <w:rPr>
          <w:rFonts w:ascii="Times New Roman" w:hAnsi="Times New Roman" w:cs="Times New Roman" w:eastAsia="Times New Roman" w:hint="default"/>
          <w:spacing w:val="-1"/>
        </w:rPr>
        <w:t>)</w:t>
      </w:r>
      <w:r>
        <w:rPr>
          <w:spacing w:val="-1"/>
        </w:rPr>
        <w:t>、县</w:t>
      </w:r>
      <w:r>
        <w:rPr>
          <w:rFonts w:ascii="Times New Roman" w:hAnsi="Times New Roman" w:cs="Times New Roman" w:eastAsia="Times New Roman" w:hint="default"/>
          <w:spacing w:val="-1"/>
        </w:rPr>
        <w:t>(</w:t>
      </w:r>
      <w:r>
        <w:rPr>
          <w:spacing w:val="-1"/>
        </w:rPr>
        <w:t>区</w:t>
      </w:r>
      <w:r>
        <w:rPr>
          <w:rFonts w:ascii="Times New Roman" w:hAnsi="Times New Roman" w:cs="Times New Roman" w:eastAsia="Times New Roman" w:hint="default"/>
          <w:spacing w:val="-1"/>
        </w:rPr>
        <w:t>)</w:t>
      </w:r>
      <w:r>
        <w:rPr>
          <w:spacing w:val="-1"/>
        </w:rPr>
        <w:t>全民健身活动中心覆盖率超过</w:t>
      </w:r>
      <w:r>
        <w:rPr>
          <w:rFonts w:ascii="Times New Roman" w:hAnsi="Times New Roman" w:cs="Times New Roman" w:eastAsia="Times New Roman" w:hint="default"/>
          <w:spacing w:val="-1"/>
        </w:rPr>
        <w:t>70%</w:t>
      </w:r>
      <w:r>
        <w:rPr>
          <w:spacing w:val="-1"/>
        </w:rPr>
        <w:t>，城市街道、乡镇健身设施覆盖率超过</w:t>
      </w:r>
      <w:r>
        <w:rPr>
          <w:rFonts w:ascii="Times New Roman" w:hAnsi="Times New Roman" w:cs="Times New Roman" w:eastAsia="Times New Roman" w:hint="default"/>
          <w:spacing w:val="-1"/>
        </w:rPr>
        <w:t>80%</w:t>
      </w:r>
      <w:r>
        <w:rPr>
          <w:spacing w:val="-1"/>
        </w:rPr>
        <w:t>，行政村</w:t>
      </w:r>
      <w:r>
        <w:rPr>
          <w:rFonts w:ascii="Times New Roman" w:hAnsi="Times New Roman" w:cs="Times New Roman" w:eastAsia="Times New Roman" w:hint="default"/>
          <w:spacing w:val="-1"/>
        </w:rPr>
        <w:t>(</w:t>
      </w:r>
      <w:r>
        <w:rPr>
          <w:spacing w:val="-1"/>
        </w:rPr>
        <w:t>社区</w:t>
      </w:r>
      <w:r>
        <w:rPr>
          <w:rFonts w:ascii="Times New Roman" w:hAnsi="Times New Roman" w:cs="Times New Roman" w:eastAsia="Times New Roman" w:hint="default"/>
          <w:spacing w:val="-1"/>
        </w:rPr>
        <w:t>)</w:t>
      </w:r>
      <w:r>
        <w:rPr>
          <w:spacing w:val="-1"/>
        </w:rPr>
        <w:t>健身设</w:t>
      </w:r>
      <w:r>
        <w:rPr/>
        <w:t> </w:t>
      </w:r>
      <w:r>
        <w:rPr>
          <w:spacing w:val="-2"/>
        </w:rPr>
        <w:t>施全覆盖。到</w:t>
      </w:r>
      <w:r>
        <w:rPr>
          <w:rFonts w:ascii="Times New Roman" w:hAnsi="Times New Roman" w:cs="Times New Roman" w:eastAsia="Times New Roman" w:hint="default"/>
          <w:spacing w:val="-2"/>
        </w:rPr>
        <w:t>2020</w:t>
      </w:r>
      <w:r>
        <w:rPr>
          <w:spacing w:val="-2"/>
        </w:rPr>
        <w:t>年，新建县级全民健身活动中心</w:t>
      </w:r>
      <w:r>
        <w:rPr>
          <w:rFonts w:ascii="Times New Roman" w:hAnsi="Times New Roman" w:cs="Times New Roman" w:eastAsia="Times New Roman" w:hint="default"/>
          <w:spacing w:val="-2"/>
        </w:rPr>
        <w:t>500</w:t>
      </w:r>
      <w:r>
        <w:rPr>
          <w:spacing w:val="-2"/>
        </w:rPr>
        <w:t>个、乡镇健身设施</w:t>
      </w:r>
      <w:r>
        <w:rPr>
          <w:rFonts w:ascii="Times New Roman" w:hAnsi="Times New Roman" w:cs="Times New Roman" w:eastAsia="Times New Roman" w:hint="default"/>
          <w:spacing w:val="-2"/>
        </w:rPr>
        <w:t>15,000</w:t>
      </w:r>
      <w:r>
        <w:rPr>
          <w:spacing w:val="-2"/>
        </w:rPr>
        <w:t>个、城市社区多功能运动场</w:t>
      </w:r>
      <w:r>
        <w:rPr>
          <w:rFonts w:ascii="Times New Roman" w:hAnsi="Times New Roman" w:cs="Times New Roman" w:eastAsia="Times New Roman" w:hint="default"/>
          <w:spacing w:val="-2"/>
        </w:rPr>
        <w:t>10,000</w:t>
      </w:r>
      <w:r>
        <w:rPr>
          <w:spacing w:val="-2"/>
        </w:rPr>
        <w:t>个，实现到</w:t>
      </w:r>
      <w:r>
        <w:rPr>
          <w:spacing w:val="-48"/>
        </w:rPr>
        <w:t> </w:t>
      </w:r>
      <w:r>
        <w:rPr>
          <w:spacing w:val="-48"/>
        </w:rPr>
      </w:r>
      <w:r>
        <w:rPr>
          <w:rFonts w:ascii="Times New Roman" w:hAnsi="Times New Roman" w:cs="Times New Roman" w:eastAsia="Times New Roman" w:hint="default"/>
          <w:spacing w:val="-2"/>
        </w:rPr>
        <w:t>2020</w:t>
      </w:r>
      <w:r>
        <w:rPr>
          <w:spacing w:val="-2"/>
        </w:rPr>
        <w:t>年人均体育场地面积达到</w:t>
      </w:r>
      <w:r>
        <w:rPr>
          <w:rFonts w:ascii="Times New Roman" w:hAnsi="Times New Roman" w:cs="Times New Roman" w:eastAsia="Times New Roman" w:hint="default"/>
          <w:spacing w:val="-2"/>
        </w:rPr>
        <w:t>1.8</w:t>
      </w:r>
      <w:r>
        <w:rPr>
          <w:spacing w:val="-2"/>
        </w:rPr>
        <w:t>平方米的目标。到</w:t>
      </w:r>
      <w:r>
        <w:rPr>
          <w:rFonts w:ascii="Times New Roman" w:hAnsi="Times New Roman" w:cs="Times New Roman" w:eastAsia="Times New Roman" w:hint="default"/>
          <w:spacing w:val="-2"/>
        </w:rPr>
        <w:t>2020</w:t>
      </w:r>
      <w:r>
        <w:rPr>
          <w:spacing w:val="-2"/>
        </w:rPr>
        <w:t>年，全国足球场地数量超过</w:t>
      </w:r>
      <w:r>
        <w:rPr>
          <w:rFonts w:ascii="Times New Roman" w:hAnsi="Times New Roman" w:cs="Times New Roman" w:eastAsia="Times New Roman" w:hint="default"/>
          <w:spacing w:val="-2"/>
        </w:rPr>
        <w:t>70,000</w:t>
      </w:r>
      <w:r>
        <w:rPr>
          <w:spacing w:val="-2"/>
        </w:rPr>
        <w:t>块，平均每万人拥有足球场地达到</w:t>
      </w:r>
    </w:p>
    <w:p>
      <w:pPr>
        <w:pStyle w:val="BodyText"/>
        <w:spacing w:line="240" w:lineRule="auto" w:before="13"/>
        <w:ind w:left="154" w:right="0"/>
        <w:jc w:val="both"/>
      </w:pPr>
      <w:r>
        <w:rPr>
          <w:rFonts w:ascii="Times New Roman" w:hAnsi="Times New Roman" w:cs="Times New Roman" w:eastAsia="Times New Roman" w:hint="default"/>
        </w:rPr>
        <w:t>0.5</w:t>
      </w:r>
      <w:r>
        <w:rPr/>
        <w:t>块以上，有条件的地区达到</w:t>
      </w:r>
      <w:r>
        <w:rPr>
          <w:rFonts w:ascii="Times New Roman" w:hAnsi="Times New Roman" w:cs="Times New Roman" w:eastAsia="Times New Roman" w:hint="default"/>
        </w:rPr>
        <w:t>0.7</w:t>
      </w:r>
      <w:r>
        <w:rPr/>
        <w:t>块以上，全国特色足球学校达到</w:t>
      </w:r>
      <w:r>
        <w:rPr>
          <w:rFonts w:ascii="Times New Roman" w:hAnsi="Times New Roman" w:cs="Times New Roman" w:eastAsia="Times New Roman" w:hint="default"/>
        </w:rPr>
        <w:t>20,000</w:t>
      </w:r>
      <w:r>
        <w:rPr/>
        <w:t>所。</w:t>
      </w:r>
    </w:p>
    <w:p>
      <w:pPr>
        <w:spacing w:line="300" w:lineRule="auto" w:before="63"/>
        <w:ind w:left="513" w:right="0" w:firstLine="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3.1</w:t>
      </w:r>
      <w:r>
        <w:rPr>
          <w:rFonts w:ascii="Times New Roman" w:hAnsi="Times New Roman" w:cs="Times New Roman" w:eastAsia="Times New Roman" w:hint="default"/>
          <w:b/>
          <w:bCs/>
          <w:spacing w:val="44"/>
          <w:sz w:val="18"/>
          <w:szCs w:val="18"/>
        </w:rPr>
        <w:t> </w:t>
      </w:r>
      <w:r>
        <w:rPr>
          <w:rFonts w:ascii="宋体" w:hAnsi="宋体" w:cs="宋体" w:eastAsia="宋体" w:hint="default"/>
          <w:b/>
          <w:bCs/>
          <w:sz w:val="18"/>
          <w:szCs w:val="18"/>
        </w:rPr>
        <w:t>我国人均体育场馆面积逐渐增加</w:t>
      </w:r>
      <w:r>
        <w:rPr>
          <w:rFonts w:ascii="宋体" w:hAnsi="宋体" w:cs="宋体" w:eastAsia="宋体" w:hint="default"/>
          <w:b/>
          <w:bCs/>
          <w:w w:val="99"/>
          <w:sz w:val="18"/>
          <w:szCs w:val="18"/>
        </w:rPr>
        <w:t> </w:t>
      </w:r>
      <w:r>
        <w:rPr>
          <w:rFonts w:ascii="宋体" w:hAnsi="宋体" w:cs="宋体" w:eastAsia="宋体" w:hint="default"/>
          <w:sz w:val="18"/>
          <w:szCs w:val="18"/>
        </w:rPr>
        <w:t>当前国内人均体育场地面积较小，</w:t>
      </w:r>
      <w:r>
        <w:rPr>
          <w:rFonts w:ascii="Times New Roman" w:hAnsi="Times New Roman" w:cs="Times New Roman" w:eastAsia="Times New Roman" w:hint="default"/>
          <w:sz w:val="18"/>
          <w:szCs w:val="18"/>
        </w:rPr>
        <w:t>2013</w:t>
      </w:r>
      <w:r>
        <w:rPr>
          <w:rFonts w:ascii="宋体" w:hAnsi="宋体" w:cs="宋体" w:eastAsia="宋体" w:hint="default"/>
          <w:sz w:val="18"/>
          <w:szCs w:val="18"/>
        </w:rPr>
        <w:t>年为</w:t>
      </w:r>
      <w:r>
        <w:rPr>
          <w:rFonts w:ascii="Times New Roman" w:hAnsi="Times New Roman" w:cs="Times New Roman" w:eastAsia="Times New Roman" w:hint="default"/>
          <w:sz w:val="18"/>
          <w:szCs w:val="18"/>
        </w:rPr>
        <w:t>1.46</w:t>
      </w:r>
      <w:r>
        <w:rPr>
          <w:rFonts w:ascii="宋体" w:hAnsi="宋体" w:cs="宋体" w:eastAsia="宋体" w:hint="default"/>
          <w:sz w:val="18"/>
          <w:szCs w:val="18"/>
        </w:rPr>
        <w:t>平方米，不足美国的</w:t>
      </w:r>
      <w:r>
        <w:rPr>
          <w:rFonts w:ascii="Times New Roman" w:hAnsi="Times New Roman" w:cs="Times New Roman" w:eastAsia="Times New Roman" w:hint="default"/>
          <w:sz w:val="18"/>
          <w:szCs w:val="18"/>
        </w:rPr>
        <w:t>1/10</w:t>
      </w:r>
      <w:r>
        <w:rPr>
          <w:rFonts w:ascii="宋体" w:hAnsi="宋体" w:cs="宋体" w:eastAsia="宋体" w:hint="default"/>
          <w:sz w:val="18"/>
          <w:szCs w:val="18"/>
        </w:rPr>
        <w:t>和日本的</w:t>
      </w:r>
      <w:r>
        <w:rPr>
          <w:rFonts w:ascii="Times New Roman" w:hAnsi="Times New Roman" w:cs="Times New Roman" w:eastAsia="Times New Roman" w:hint="default"/>
          <w:sz w:val="18"/>
          <w:szCs w:val="18"/>
        </w:rPr>
        <w:t>1/13</w:t>
      </w:r>
      <w:r>
        <w:rPr>
          <w:rFonts w:ascii="宋体" w:hAnsi="宋体" w:cs="宋体" w:eastAsia="宋体" w:hint="default"/>
          <w:sz w:val="18"/>
          <w:szCs w:val="18"/>
        </w:rPr>
        <w:t>。政府计划在</w:t>
      </w:r>
      <w:r>
        <w:rPr>
          <w:rFonts w:ascii="Times New Roman" w:hAnsi="Times New Roman" w:cs="Times New Roman" w:eastAsia="Times New Roman" w:hint="default"/>
          <w:sz w:val="18"/>
          <w:szCs w:val="18"/>
        </w:rPr>
        <w:t>2025</w:t>
      </w:r>
      <w:r>
        <w:rPr>
          <w:rFonts w:ascii="宋体" w:hAnsi="宋体" w:cs="宋体" w:eastAsia="宋体" w:hint="default"/>
          <w:sz w:val="18"/>
          <w:szCs w:val="18"/>
        </w:rPr>
        <w:t>年将人均体育</w:t>
      </w:r>
    </w:p>
    <w:p>
      <w:pPr>
        <w:pStyle w:val="BodyText"/>
        <w:spacing w:line="240" w:lineRule="auto" w:before="13"/>
        <w:ind w:right="0"/>
        <w:jc w:val="both"/>
      </w:pPr>
      <w:r>
        <w:rPr/>
        <w:t>场地面积提升到</w:t>
      </w:r>
      <w:r>
        <w:rPr>
          <w:rFonts w:ascii="Times New Roman" w:hAnsi="Times New Roman" w:cs="Times New Roman" w:eastAsia="Times New Roman" w:hint="default"/>
        </w:rPr>
        <w:t>2</w:t>
      </w:r>
      <w:r>
        <w:rPr/>
        <w:t>平方米，体育场地未来增加的绝对数量将会非常可观。</w:t>
      </w:r>
    </w:p>
    <w:p>
      <w:pPr>
        <w:spacing w:after="0" w:line="240" w:lineRule="auto"/>
        <w:jc w:val="both"/>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9"/>
          <w:szCs w:val="19"/>
        </w:rPr>
      </w:pPr>
    </w:p>
    <w:p>
      <w:pPr>
        <w:spacing w:line="4387" w:lineRule="exact"/>
        <w:ind w:left="1418" w:right="0" w:firstLine="0"/>
        <w:rPr>
          <w:rFonts w:ascii="宋体" w:hAnsi="宋体" w:cs="宋体" w:eastAsia="宋体" w:hint="default"/>
          <w:sz w:val="20"/>
          <w:szCs w:val="20"/>
        </w:rPr>
      </w:pPr>
      <w:r>
        <w:rPr>
          <w:rFonts w:ascii="宋体" w:hAnsi="宋体" w:cs="宋体" w:eastAsia="宋体" w:hint="default"/>
          <w:position w:val="-87"/>
          <w:sz w:val="20"/>
          <w:szCs w:val="20"/>
        </w:rPr>
        <w:drawing>
          <wp:inline distT="0" distB="0" distL="0" distR="0">
            <wp:extent cx="4640686" cy="2786062"/>
            <wp:effectExtent l="0" t="0" r="0" b="0"/>
            <wp:docPr id="61" name="image39.jpeg" descr=""/>
            <wp:cNvGraphicFramePr>
              <a:graphicFrameLocks noChangeAspect="1"/>
            </wp:cNvGraphicFramePr>
            <a:graphic>
              <a:graphicData uri="http://schemas.openxmlformats.org/drawingml/2006/picture">
                <pic:pic>
                  <pic:nvPicPr>
                    <pic:cNvPr id="62" name="image39.jpeg"/>
                    <pic:cNvPicPr/>
                  </pic:nvPicPr>
                  <pic:blipFill>
                    <a:blip r:embed="rId50" cstate="print"/>
                    <a:stretch>
                      <a:fillRect/>
                    </a:stretch>
                  </pic:blipFill>
                  <pic:spPr>
                    <a:xfrm>
                      <a:off x="0" y="0"/>
                      <a:ext cx="4640686" cy="2786062"/>
                    </a:xfrm>
                    <a:prstGeom prst="rect">
                      <a:avLst/>
                    </a:prstGeom>
                  </pic:spPr>
                </pic:pic>
              </a:graphicData>
            </a:graphic>
          </wp:inline>
        </w:drawing>
      </w:r>
      <w:r>
        <w:rPr>
          <w:rFonts w:ascii="宋体" w:hAnsi="宋体" w:cs="宋体" w:eastAsia="宋体" w:hint="default"/>
          <w:position w:val="-87"/>
          <w:sz w:val="20"/>
          <w:szCs w:val="20"/>
        </w:rPr>
      </w:r>
    </w:p>
    <w:p>
      <w:pPr>
        <w:spacing w:line="240" w:lineRule="auto" w:before="9"/>
        <w:rPr>
          <w:rFonts w:ascii="宋体" w:hAnsi="宋体" w:cs="宋体" w:eastAsia="宋体" w:hint="default"/>
          <w:sz w:val="8"/>
          <w:szCs w:val="8"/>
        </w:rPr>
      </w:pPr>
    </w:p>
    <w:p>
      <w:pPr>
        <w:pStyle w:val="BodyText"/>
        <w:spacing w:line="240" w:lineRule="auto" w:before="44"/>
        <w:ind w:left="3066" w:right="3953"/>
        <w:jc w:val="center"/>
      </w:pPr>
      <w:r>
        <w:rPr/>
        <w:t>数据来源：国家体育总局</w:t>
      </w:r>
    </w:p>
    <w:p>
      <w:pPr>
        <w:pStyle w:val="Heading4"/>
        <w:spacing w:line="240" w:lineRule="auto" w:before="76"/>
        <w:ind w:right="0"/>
        <w:jc w:val="left"/>
        <w:rPr>
          <w:b w:val="0"/>
          <w:bCs w:val="0"/>
        </w:rPr>
      </w:pPr>
      <w:r>
        <w:rPr>
          <w:rFonts w:ascii="Times New Roman" w:hAnsi="Times New Roman" w:cs="Times New Roman" w:eastAsia="Times New Roman" w:hint="default"/>
        </w:rPr>
        <w:t>3.2</w:t>
      </w:r>
      <w:r>
        <w:rPr>
          <w:rFonts w:ascii="Times New Roman" w:hAnsi="Times New Roman" w:cs="Times New Roman" w:eastAsia="Times New Roman" w:hint="default"/>
          <w:spacing w:val="43"/>
        </w:rPr>
        <w:t> </w:t>
      </w:r>
      <w:r>
        <w:rPr/>
        <w:t>体育场馆照明市场规模不断增长</w:t>
      </w:r>
      <w:r>
        <w:rPr>
          <w:b w:val="0"/>
          <w:bCs w:val="0"/>
        </w:rPr>
      </w:r>
    </w:p>
    <w:p>
      <w:pPr>
        <w:pStyle w:val="BodyText"/>
        <w:spacing w:line="309" w:lineRule="auto" w:before="63"/>
        <w:ind w:right="1129" w:firstLine="360"/>
        <w:jc w:val="both"/>
      </w:pPr>
      <w:r>
        <w:rPr>
          <w:spacing w:val="-2"/>
        </w:rPr>
        <w:t>按照“十三五”规划，国家将积极推动体育场馆做好体育专业技术服务，开展场地开放、健身服务、体育培训、竞赛表</w:t>
      </w:r>
      <w:r>
        <w:rPr/>
        <w:t> 演、运动指导、健康管理等体育经营服务。根据</w:t>
      </w:r>
      <w:r>
        <w:rPr>
          <w:rFonts w:ascii="Times New Roman" w:hAnsi="Times New Roman" w:cs="Times New Roman" w:eastAsia="Times New Roman" w:hint="default"/>
        </w:rPr>
        <w:t>GGII</w:t>
      </w:r>
      <w:r>
        <w:rPr/>
        <w:t>统计数据显示，保守估计“十三五”期间仅中国体育场馆对</w:t>
      </w:r>
      <w:r>
        <w:rPr>
          <w:rFonts w:ascii="Times New Roman" w:hAnsi="Times New Roman" w:cs="Times New Roman" w:eastAsia="Times New Roman" w:hint="default"/>
        </w:rPr>
        <w:t>LED</w:t>
      </w:r>
      <w:r>
        <w:rPr/>
        <w:t>照明</w:t>
      </w:r>
      <w:r>
        <w:rPr>
          <w:spacing w:val="-9"/>
        </w:rPr>
        <w:t> </w:t>
      </w:r>
      <w:r>
        <w:rPr/>
        <w:t>及智能控制的新增需求就将达到</w:t>
      </w:r>
      <w:r>
        <w:rPr>
          <w:rFonts w:ascii="Times New Roman" w:hAnsi="Times New Roman" w:cs="Times New Roman" w:eastAsia="Times New Roman" w:hint="default"/>
        </w:rPr>
        <w:t>150</w:t>
      </w:r>
      <w:r>
        <w:rPr/>
        <w:t>亿元以上，同时传统场馆照明</w:t>
      </w:r>
      <w:r>
        <w:rPr>
          <w:rFonts w:ascii="Times New Roman" w:hAnsi="Times New Roman" w:cs="Times New Roman" w:eastAsia="Times New Roman" w:hint="default"/>
        </w:rPr>
        <w:t>LED</w:t>
      </w:r>
      <w:r>
        <w:rPr/>
        <w:t>改造需求约</w:t>
      </w:r>
      <w:r>
        <w:rPr>
          <w:rFonts w:ascii="Times New Roman" w:hAnsi="Times New Roman" w:cs="Times New Roman" w:eastAsia="Times New Roman" w:hint="default"/>
        </w:rPr>
        <w:t>100</w:t>
      </w:r>
      <w:r>
        <w:rPr/>
        <w:t>亿元以上。</w:t>
      </w:r>
    </w:p>
    <w:p>
      <w:pPr>
        <w:spacing w:line="300" w:lineRule="auto" w:before="5"/>
        <w:ind w:left="513" w:right="0" w:firstLine="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3.3</w:t>
      </w:r>
      <w:r>
        <w:rPr>
          <w:rFonts w:ascii="Times New Roman" w:hAnsi="Times New Roman" w:cs="Times New Roman" w:eastAsia="Times New Roman" w:hint="default"/>
          <w:b/>
          <w:bCs/>
          <w:spacing w:val="44"/>
          <w:sz w:val="18"/>
          <w:szCs w:val="18"/>
        </w:rPr>
        <w:t> </w:t>
      </w:r>
      <w:r>
        <w:rPr>
          <w:rFonts w:ascii="宋体" w:hAnsi="宋体" w:cs="宋体" w:eastAsia="宋体" w:hint="default"/>
          <w:b/>
          <w:bCs/>
          <w:sz w:val="18"/>
          <w:szCs w:val="18"/>
        </w:rPr>
        <w:t>体育场馆智能化改造需求将逐渐增大</w:t>
      </w:r>
      <w:r>
        <w:rPr>
          <w:rFonts w:ascii="宋体" w:hAnsi="宋体" w:cs="宋体" w:eastAsia="宋体" w:hint="default"/>
          <w:b/>
          <w:bCs/>
          <w:w w:val="99"/>
          <w:sz w:val="18"/>
          <w:szCs w:val="18"/>
        </w:rPr>
        <w:t> </w:t>
      </w:r>
      <w:r>
        <w:rPr>
          <w:rFonts w:ascii="宋体" w:hAnsi="宋体" w:cs="宋体" w:eastAsia="宋体" w:hint="default"/>
          <w:spacing w:val="-2"/>
          <w:sz w:val="18"/>
          <w:szCs w:val="18"/>
        </w:rPr>
        <w:t>在当前科技迅猛发展的形势下，大型体育场馆要积极利用“互联网＋”、软硬件集成等技术对体育场地进行升级，打造</w:t>
      </w:r>
    </w:p>
    <w:p>
      <w:pPr>
        <w:pStyle w:val="BodyText"/>
        <w:spacing w:line="300" w:lineRule="auto" w:before="32"/>
        <w:ind w:right="1130"/>
        <w:jc w:val="both"/>
      </w:pPr>
      <w:r>
        <w:rPr>
          <w:spacing w:val="-2"/>
        </w:rPr>
        <w:t>智慧体育场馆。引入</w:t>
      </w:r>
      <w:r>
        <w:rPr>
          <w:rFonts w:ascii="Times New Roman" w:hAnsi="Times New Roman" w:cs="Times New Roman" w:eastAsia="Times New Roman" w:hint="default"/>
          <w:spacing w:val="-2"/>
        </w:rPr>
        <w:t>O2O</w:t>
      </w:r>
      <w:r>
        <w:rPr>
          <w:spacing w:val="-2"/>
        </w:rPr>
        <w:t>模式，完善场地预订、赛事活动发布、健身知识普及、营销信息推广等的公共体育信息平台，为健</w:t>
      </w:r>
      <w:r>
        <w:rPr>
          <w:spacing w:val="-57"/>
        </w:rPr>
        <w:t> </w:t>
      </w:r>
      <w:r>
        <w:rPr>
          <w:spacing w:val="-57"/>
        </w:rPr>
      </w:r>
      <w:r>
        <w:rPr>
          <w:spacing w:val="-2"/>
        </w:rPr>
        <w:t>身人群提供实时、实地、多渠道互动共享的服务。无论是作为信息发布的终端，还是作为互动娱乐的亮点，</w:t>
      </w:r>
      <w:r>
        <w:rPr>
          <w:rFonts w:ascii="Times New Roman" w:hAnsi="Times New Roman" w:cs="Times New Roman" w:eastAsia="Times New Roman" w:hint="default"/>
          <w:spacing w:val="-2"/>
        </w:rPr>
        <w:t>LED</w:t>
      </w:r>
      <w:r>
        <w:rPr>
          <w:spacing w:val="-2"/>
        </w:rPr>
        <w:t>显示屏与体</w:t>
      </w:r>
      <w:r>
        <w:rPr>
          <w:spacing w:val="-55"/>
        </w:rPr>
        <w:t> </w:t>
      </w:r>
      <w:r>
        <w:rPr/>
        <w:t>育场馆联系紧密，随着新一波体育场馆建设浪潮的到来，</w:t>
      </w:r>
      <w:r>
        <w:rPr>
          <w:rFonts w:ascii="Times New Roman" w:hAnsi="Times New Roman" w:cs="Times New Roman" w:eastAsia="Times New Roman" w:hint="default"/>
        </w:rPr>
        <w:t>LED</w:t>
      </w:r>
      <w:r>
        <w:rPr/>
        <w:t>显示屏企业将会大有可为。</w:t>
      </w:r>
    </w:p>
    <w:p>
      <w:pPr>
        <w:pStyle w:val="Heading4"/>
        <w:spacing w:line="240" w:lineRule="auto" w:before="13"/>
        <w:ind w:right="0"/>
        <w:jc w:val="left"/>
        <w:rPr>
          <w:b w:val="0"/>
          <w:bCs w:val="0"/>
        </w:rPr>
      </w:pPr>
      <w:r>
        <w:rPr/>
        <w:t>（三）公司</w:t>
      </w:r>
      <w:r>
        <w:rPr>
          <w:rFonts w:ascii="Times New Roman" w:hAnsi="Times New Roman" w:cs="Times New Roman" w:eastAsia="Times New Roman" w:hint="default"/>
        </w:rPr>
        <w:t>2018</w:t>
      </w:r>
      <w:r>
        <w:rPr/>
        <w:t>年经营计划</w:t>
      </w:r>
      <w:r>
        <w:rPr>
          <w:b w:val="0"/>
          <w:bCs w:val="0"/>
        </w:rPr>
      </w:r>
    </w:p>
    <w:p>
      <w:pPr>
        <w:pStyle w:val="Heading4"/>
        <w:spacing w:line="240" w:lineRule="auto"/>
        <w:ind w:right="0"/>
        <w:jc w:val="left"/>
        <w:rPr>
          <w:b w:val="0"/>
          <w:bCs w:val="0"/>
        </w:rPr>
      </w:pPr>
      <w:r>
        <w:rPr>
          <w:rFonts w:ascii="Times New Roman" w:hAnsi="Times New Roman" w:cs="Times New Roman" w:eastAsia="Times New Roman" w:hint="default"/>
        </w:rPr>
        <w:t>1</w:t>
      </w:r>
      <w:r>
        <w:rPr/>
        <w:t>、公司</w:t>
      </w:r>
      <w:r>
        <w:rPr>
          <w:rFonts w:ascii="Times New Roman" w:hAnsi="Times New Roman" w:cs="Times New Roman" w:eastAsia="Times New Roman" w:hint="default"/>
        </w:rPr>
        <w:t>2018</w:t>
      </w:r>
      <w:r>
        <w:rPr/>
        <w:t>年总体经营目标</w:t>
      </w:r>
      <w:r>
        <w:rPr>
          <w:b w:val="0"/>
          <w:bCs w:val="0"/>
        </w:rPr>
      </w:r>
    </w:p>
    <w:p>
      <w:pPr>
        <w:pStyle w:val="BodyText"/>
        <w:spacing w:line="240" w:lineRule="auto" w:before="103"/>
        <w:ind w:left="514" w:right="0"/>
        <w:jc w:val="left"/>
        <w:rPr>
          <w:rFonts w:ascii="宋体" w:hAnsi="宋体" w:cs="宋体" w:eastAsia="宋体" w:hint="default"/>
        </w:rPr>
      </w:pPr>
      <w:r>
        <w:rPr>
          <w:rFonts w:ascii="Times New Roman" w:hAnsi="Times New Roman" w:cs="Times New Roman" w:eastAsia="Times New Roman" w:hint="default"/>
        </w:rPr>
        <w:t>2018  </w:t>
      </w:r>
      <w:r>
        <w:rPr/>
        <w:t>年公司以“智能</w:t>
      </w:r>
      <w:r>
        <w:rPr>
          <w:rFonts w:ascii="Times New Roman" w:hAnsi="Times New Roman" w:cs="Times New Roman" w:eastAsia="Times New Roman" w:hint="default"/>
        </w:rPr>
        <w:t>+</w:t>
      </w:r>
      <w:r>
        <w:rPr/>
        <w:t>”战略为核心，进一步实现公司规模及行业地位的跨越式发展。</w:t>
      </w:r>
      <w:r>
        <w:rPr>
          <w:rFonts w:ascii="Times New Roman" w:hAnsi="Times New Roman" w:cs="Times New Roman" w:eastAsia="Times New Roman" w:hint="default"/>
        </w:rPr>
        <w:t>2018</w:t>
      </w:r>
      <w:r>
        <w:rPr>
          <w:rFonts w:ascii="Times New Roman" w:hAnsi="Times New Roman" w:cs="Times New Roman" w:eastAsia="Times New Roman" w:hint="default"/>
          <w:spacing w:val="35"/>
        </w:rPr>
        <w:t> </w:t>
      </w:r>
      <w:r>
        <w:rPr/>
        <w:t>年计划目标</w:t>
      </w:r>
      <w:r>
        <w:rPr>
          <w:rFonts w:ascii="宋体" w:hAnsi="宋体" w:cs="宋体" w:eastAsia="宋体" w:hint="default"/>
          <w:b/>
          <w:bCs/>
        </w:rPr>
        <w:t>实现营业收入</w:t>
      </w:r>
      <w:r>
        <w:rPr>
          <w:rFonts w:ascii="宋体" w:hAnsi="宋体" w:cs="宋体" w:eastAsia="宋体" w:hint="default"/>
        </w:rPr>
      </w:r>
    </w:p>
    <w:p>
      <w:pPr>
        <w:spacing w:line="302" w:lineRule="auto" w:before="61"/>
        <w:ind w:left="154" w:right="1132" w:firstLine="0"/>
        <w:jc w:val="both"/>
        <w:rPr>
          <w:rFonts w:ascii="宋体" w:hAnsi="宋体" w:cs="宋体" w:eastAsia="宋体" w:hint="default"/>
          <w:sz w:val="18"/>
          <w:szCs w:val="18"/>
        </w:rPr>
      </w:pPr>
      <w:r>
        <w:rPr>
          <w:rFonts w:ascii="Times New Roman" w:hAnsi="Times New Roman" w:cs="Times New Roman" w:eastAsia="Times New Roman" w:hint="default"/>
          <w:b/>
          <w:bCs/>
          <w:sz w:val="18"/>
          <w:szCs w:val="18"/>
        </w:rPr>
        <w:t>20 </w:t>
      </w:r>
      <w:r>
        <w:rPr>
          <w:rFonts w:ascii="宋体" w:hAnsi="宋体" w:cs="宋体" w:eastAsia="宋体" w:hint="default"/>
          <w:b/>
          <w:bCs/>
          <w:spacing w:val="1"/>
          <w:w w:val="99"/>
          <w:sz w:val="18"/>
          <w:szCs w:val="18"/>
        </w:rPr>
        <w:t>亿元</w:t>
      </w:r>
      <w:r>
        <w:rPr>
          <w:rFonts w:ascii="宋体" w:hAnsi="宋体" w:cs="宋体" w:eastAsia="宋体" w:hint="default"/>
          <w:spacing w:val="-2"/>
          <w:sz w:val="18"/>
          <w:szCs w:val="18"/>
        </w:rPr>
        <w:t>，</w:t>
      </w:r>
      <w:r>
        <w:rPr>
          <w:rFonts w:ascii="宋体" w:hAnsi="宋体" w:cs="宋体" w:eastAsia="宋体" w:hint="default"/>
          <w:sz w:val="18"/>
          <w:szCs w:val="18"/>
        </w:rPr>
        <w:t>相</w:t>
      </w:r>
      <w:r>
        <w:rPr>
          <w:rFonts w:ascii="宋体" w:hAnsi="宋体" w:cs="宋体" w:eastAsia="宋体" w:hint="default"/>
          <w:spacing w:val="-2"/>
          <w:sz w:val="18"/>
          <w:szCs w:val="18"/>
        </w:rPr>
        <w:t>比</w:t>
      </w:r>
      <w:r>
        <w:rPr>
          <w:rFonts w:ascii="宋体" w:hAnsi="宋体" w:cs="宋体" w:eastAsia="宋体" w:hint="default"/>
          <w:sz w:val="18"/>
          <w:szCs w:val="18"/>
        </w:rPr>
        <w:t>去年</w:t>
      </w:r>
      <w:r>
        <w:rPr>
          <w:rFonts w:ascii="宋体" w:hAnsi="宋体" w:cs="宋体" w:eastAsia="宋体" w:hint="default"/>
          <w:b/>
          <w:bCs/>
          <w:spacing w:val="1"/>
          <w:w w:val="99"/>
          <w:sz w:val="18"/>
          <w:szCs w:val="18"/>
        </w:rPr>
        <w:t>同期</w:t>
      </w:r>
      <w:r>
        <w:rPr>
          <w:rFonts w:ascii="宋体" w:hAnsi="宋体" w:cs="宋体" w:eastAsia="宋体" w:hint="default"/>
          <w:b/>
          <w:bCs/>
          <w:w w:val="99"/>
          <w:sz w:val="18"/>
          <w:szCs w:val="18"/>
        </w:rPr>
        <w:t>增长</w:t>
      </w:r>
      <w:r>
        <w:rPr>
          <w:rFonts w:ascii="宋体" w:hAnsi="宋体" w:cs="宋体" w:eastAsia="宋体" w:hint="default"/>
          <w:b/>
          <w:bCs/>
          <w:spacing w:val="-44"/>
          <w:sz w:val="18"/>
          <w:szCs w:val="18"/>
        </w:rPr>
        <w:t> </w:t>
      </w:r>
      <w:r>
        <w:rPr>
          <w:rFonts w:ascii="Times New Roman" w:hAnsi="Times New Roman" w:cs="Times New Roman" w:eastAsia="Times New Roman" w:hint="default"/>
          <w:b/>
          <w:bCs/>
          <w:spacing w:val="-2"/>
          <w:sz w:val="18"/>
          <w:szCs w:val="18"/>
        </w:rPr>
        <w:t>9</w:t>
      </w:r>
      <w:r>
        <w:rPr>
          <w:rFonts w:ascii="Times New Roman" w:hAnsi="Times New Roman" w:cs="Times New Roman" w:eastAsia="Times New Roman" w:hint="default"/>
          <w:b/>
          <w:bCs/>
          <w:sz w:val="18"/>
          <w:szCs w:val="18"/>
        </w:rPr>
        <w:t>2.12</w:t>
      </w:r>
      <w:r>
        <w:rPr>
          <w:rFonts w:ascii="Times New Roman" w:hAnsi="Times New Roman" w:cs="Times New Roman" w:eastAsia="Times New Roman" w:hint="default"/>
          <w:b/>
          <w:bCs/>
          <w:spacing w:val="-1"/>
          <w:sz w:val="18"/>
          <w:szCs w:val="18"/>
        </w:rPr>
        <w:t>%</w:t>
      </w:r>
      <w:r>
        <w:rPr>
          <w:rFonts w:ascii="宋体" w:hAnsi="宋体" w:cs="宋体" w:eastAsia="宋体" w:hint="default"/>
          <w:spacing w:val="-2"/>
          <w:sz w:val="18"/>
          <w:szCs w:val="18"/>
        </w:rPr>
        <w:t>；</w:t>
      </w:r>
      <w:r>
        <w:rPr>
          <w:rFonts w:ascii="宋体" w:hAnsi="宋体" w:cs="宋体" w:eastAsia="宋体" w:hint="default"/>
          <w:b/>
          <w:bCs/>
          <w:spacing w:val="1"/>
          <w:w w:val="99"/>
          <w:sz w:val="18"/>
          <w:szCs w:val="18"/>
        </w:rPr>
        <w:t>净利</w:t>
      </w:r>
      <w:r>
        <w:rPr>
          <w:rFonts w:ascii="宋体" w:hAnsi="宋体" w:cs="宋体" w:eastAsia="宋体" w:hint="default"/>
          <w:b/>
          <w:bCs/>
          <w:w w:val="99"/>
          <w:sz w:val="18"/>
          <w:szCs w:val="18"/>
        </w:rPr>
        <w:t>润</w:t>
      </w:r>
      <w:r>
        <w:rPr>
          <w:rFonts w:ascii="宋体" w:hAnsi="宋体" w:cs="宋体" w:eastAsia="宋体" w:hint="default"/>
          <w:b/>
          <w:bCs/>
          <w:spacing w:val="-44"/>
          <w:sz w:val="18"/>
          <w:szCs w:val="18"/>
        </w:rPr>
        <w:t> </w:t>
      </w:r>
      <w:r>
        <w:rPr>
          <w:rFonts w:ascii="Times New Roman" w:hAnsi="Times New Roman" w:cs="Times New Roman" w:eastAsia="Times New Roman" w:hint="default"/>
          <w:b/>
          <w:bCs/>
          <w:sz w:val="18"/>
          <w:szCs w:val="18"/>
        </w:rPr>
        <w:t>2</w:t>
      </w:r>
      <w:r>
        <w:rPr>
          <w:rFonts w:ascii="Times New Roman" w:hAnsi="Times New Roman" w:cs="Times New Roman" w:eastAsia="Times New Roman" w:hint="default"/>
          <w:b/>
          <w:bCs/>
          <w:spacing w:val="-1"/>
          <w:sz w:val="18"/>
          <w:szCs w:val="18"/>
        </w:rPr>
        <w:t>.</w:t>
      </w:r>
      <w:r>
        <w:rPr>
          <w:rFonts w:ascii="Times New Roman" w:hAnsi="Times New Roman" w:cs="Times New Roman" w:eastAsia="Times New Roman" w:hint="default"/>
          <w:b/>
          <w:bCs/>
          <w:sz w:val="18"/>
          <w:szCs w:val="18"/>
        </w:rPr>
        <w:t>2 </w:t>
      </w:r>
      <w:r>
        <w:rPr>
          <w:rFonts w:ascii="宋体" w:hAnsi="宋体" w:cs="宋体" w:eastAsia="宋体" w:hint="default"/>
          <w:b/>
          <w:bCs/>
          <w:spacing w:val="1"/>
          <w:w w:val="99"/>
          <w:sz w:val="18"/>
          <w:szCs w:val="18"/>
        </w:rPr>
        <w:t>亿元</w:t>
      </w:r>
      <w:r>
        <w:rPr>
          <w:rFonts w:ascii="宋体" w:hAnsi="宋体" w:cs="宋体" w:eastAsia="宋体" w:hint="default"/>
          <w:spacing w:val="-2"/>
          <w:sz w:val="18"/>
          <w:szCs w:val="18"/>
        </w:rPr>
        <w:t>，相</w:t>
      </w:r>
      <w:r>
        <w:rPr>
          <w:rFonts w:ascii="宋体" w:hAnsi="宋体" w:cs="宋体" w:eastAsia="宋体" w:hint="default"/>
          <w:sz w:val="18"/>
          <w:szCs w:val="18"/>
        </w:rPr>
        <w:t>比去年</w:t>
      </w:r>
      <w:r>
        <w:rPr>
          <w:rFonts w:ascii="宋体" w:hAnsi="宋体" w:cs="宋体" w:eastAsia="宋体" w:hint="default"/>
          <w:b/>
          <w:bCs/>
          <w:spacing w:val="1"/>
          <w:w w:val="99"/>
          <w:sz w:val="18"/>
          <w:szCs w:val="18"/>
        </w:rPr>
        <w:t>同期</w:t>
      </w:r>
      <w:r>
        <w:rPr>
          <w:rFonts w:ascii="宋体" w:hAnsi="宋体" w:cs="宋体" w:eastAsia="宋体" w:hint="default"/>
          <w:b/>
          <w:bCs/>
          <w:w w:val="99"/>
          <w:sz w:val="18"/>
          <w:szCs w:val="18"/>
        </w:rPr>
        <w:t>增长</w:t>
      </w:r>
      <w:r>
        <w:rPr>
          <w:rFonts w:ascii="宋体" w:hAnsi="宋体" w:cs="宋体" w:eastAsia="宋体" w:hint="default"/>
          <w:b/>
          <w:bCs/>
          <w:spacing w:val="-44"/>
          <w:sz w:val="18"/>
          <w:szCs w:val="18"/>
        </w:rPr>
        <w:t> </w:t>
      </w:r>
      <w:r>
        <w:rPr>
          <w:rFonts w:ascii="Times New Roman" w:hAnsi="Times New Roman" w:cs="Times New Roman" w:eastAsia="Times New Roman" w:hint="default"/>
          <w:b/>
          <w:bCs/>
          <w:sz w:val="18"/>
          <w:szCs w:val="18"/>
        </w:rPr>
        <w:t>66.67</w:t>
      </w:r>
      <w:r>
        <w:rPr>
          <w:rFonts w:ascii="Times New Roman" w:hAnsi="Times New Roman" w:cs="Times New Roman" w:eastAsia="Times New Roman" w:hint="default"/>
          <w:b/>
          <w:bCs/>
          <w:spacing w:val="-1"/>
          <w:sz w:val="18"/>
          <w:szCs w:val="18"/>
        </w:rPr>
        <w:t>%</w:t>
      </w:r>
      <w:r>
        <w:rPr>
          <w:rFonts w:ascii="宋体" w:hAnsi="宋体" w:cs="宋体" w:eastAsia="宋体" w:hint="default"/>
          <w:spacing w:val="-92"/>
          <w:sz w:val="18"/>
          <w:szCs w:val="18"/>
        </w:rPr>
        <w:t>。</w:t>
      </w:r>
      <w:r>
        <w:rPr>
          <w:rFonts w:ascii="宋体" w:hAnsi="宋体" w:cs="宋体" w:eastAsia="宋体" w:hint="default"/>
          <w:sz w:val="18"/>
          <w:szCs w:val="18"/>
        </w:rPr>
        <w:t>（特别提示</w:t>
      </w:r>
      <w:r>
        <w:rPr>
          <w:rFonts w:ascii="宋体" w:hAnsi="宋体" w:cs="宋体" w:eastAsia="宋体" w:hint="default"/>
          <w:spacing w:val="-2"/>
          <w:sz w:val="18"/>
          <w:szCs w:val="18"/>
        </w:rPr>
        <w:t>：</w:t>
      </w:r>
      <w:r>
        <w:rPr>
          <w:rFonts w:ascii="宋体" w:hAnsi="宋体" w:cs="宋体" w:eastAsia="宋体" w:hint="default"/>
          <w:sz w:val="18"/>
          <w:szCs w:val="18"/>
        </w:rPr>
        <w:t>上述指标不代表公司盈利</w:t>
      </w:r>
      <w:r>
        <w:rPr>
          <w:rFonts w:ascii="宋体" w:hAnsi="宋体" w:cs="宋体" w:eastAsia="宋体" w:hint="default"/>
          <w:sz w:val="18"/>
          <w:szCs w:val="18"/>
        </w:rPr>
        <w:t> 预测，能否实现取决于市场状况变化、经营团队的努力程度等多种因素，存在不确定性，请投资者特别注意</w:t>
      </w:r>
      <w:r>
        <w:rPr>
          <w:rFonts w:ascii="宋体" w:hAnsi="宋体" w:cs="宋体" w:eastAsia="宋体" w:hint="default"/>
          <w:spacing w:val="-90"/>
          <w:sz w:val="18"/>
          <w:szCs w:val="18"/>
        </w:rPr>
        <w:t>）</w:t>
      </w:r>
      <w:r>
        <w:rPr>
          <w:rFonts w:ascii="宋体" w:hAnsi="宋体" w:cs="宋体" w:eastAsia="宋体" w:hint="default"/>
          <w:sz w:val="18"/>
          <w:szCs w:val="18"/>
        </w:rPr>
        <w:t>。</w:t>
      </w:r>
    </w:p>
    <w:p>
      <w:pPr>
        <w:spacing w:before="69"/>
        <w:ind w:left="514" w:right="0" w:firstLine="0"/>
        <w:jc w:val="left"/>
        <w:rPr>
          <w:rFonts w:ascii="宋体" w:hAnsi="宋体" w:cs="宋体" w:eastAsia="宋体" w:hint="default"/>
          <w:sz w:val="18"/>
          <w:szCs w:val="18"/>
        </w:rPr>
      </w:pPr>
      <w:r>
        <w:rPr>
          <w:rFonts w:ascii="宋体" w:hAnsi="宋体" w:cs="宋体" w:eastAsia="宋体" w:hint="default"/>
          <w:sz w:val="18"/>
          <w:szCs w:val="18"/>
        </w:rPr>
        <w:t>截至</w:t>
      </w: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3</w:t>
      </w:r>
      <w:r>
        <w:rPr>
          <w:rFonts w:ascii="宋体" w:hAnsi="宋体" w:cs="宋体" w:eastAsia="宋体" w:hint="default"/>
          <w:sz w:val="18"/>
          <w:szCs w:val="18"/>
        </w:rPr>
        <w:t>月</w:t>
      </w:r>
      <w:r>
        <w:rPr>
          <w:rFonts w:ascii="Times New Roman" w:hAnsi="Times New Roman" w:cs="Times New Roman" w:eastAsia="Times New Roman" w:hint="default"/>
          <w:sz w:val="18"/>
          <w:szCs w:val="18"/>
        </w:rPr>
        <w:t>15</w:t>
      </w:r>
      <w:r>
        <w:rPr>
          <w:rFonts w:ascii="宋体" w:hAnsi="宋体" w:cs="宋体" w:eastAsia="宋体" w:hint="default"/>
          <w:sz w:val="18"/>
          <w:szCs w:val="18"/>
        </w:rPr>
        <w:t>日，</w:t>
      </w:r>
      <w:r>
        <w:rPr>
          <w:rFonts w:ascii="宋体" w:hAnsi="宋体" w:cs="宋体" w:eastAsia="宋体" w:hint="default"/>
          <w:b/>
          <w:bCs/>
          <w:sz w:val="18"/>
          <w:szCs w:val="18"/>
        </w:rPr>
        <w:t>公司在手订单及中标金额合计超过</w:t>
      </w:r>
      <w:r>
        <w:rPr>
          <w:rFonts w:ascii="Times New Roman" w:hAnsi="Times New Roman" w:cs="Times New Roman" w:eastAsia="Times New Roman" w:hint="default"/>
          <w:b/>
          <w:bCs/>
          <w:sz w:val="18"/>
          <w:szCs w:val="18"/>
        </w:rPr>
        <w:t>10</w:t>
      </w:r>
      <w:r>
        <w:rPr>
          <w:rFonts w:ascii="宋体" w:hAnsi="宋体" w:cs="宋体" w:eastAsia="宋体" w:hint="default"/>
          <w:b/>
          <w:bCs/>
          <w:sz w:val="18"/>
          <w:szCs w:val="18"/>
        </w:rPr>
        <w:t>亿元</w:t>
      </w:r>
      <w:r>
        <w:rPr>
          <w:rFonts w:ascii="宋体" w:hAnsi="宋体" w:cs="宋体" w:eastAsia="宋体" w:hint="default"/>
          <w:sz w:val="18"/>
          <w:szCs w:val="18"/>
        </w:rPr>
        <w:t>，为全年经营目标的实现奠定了基础。</w:t>
      </w:r>
    </w:p>
    <w:p>
      <w:pPr>
        <w:pStyle w:val="Heading4"/>
        <w:spacing w:line="240" w:lineRule="auto"/>
        <w:ind w:left="513" w:right="0"/>
        <w:jc w:val="left"/>
        <w:rPr>
          <w:b w:val="0"/>
          <w:bCs w:val="0"/>
        </w:rPr>
      </w:pPr>
      <w:r>
        <w:rPr>
          <w:rFonts w:ascii="Times New Roman" w:hAnsi="Times New Roman" w:cs="Times New Roman" w:eastAsia="Times New Roman" w:hint="default"/>
        </w:rPr>
        <w:t>2</w:t>
      </w:r>
      <w:r>
        <w:rPr/>
        <w:t>、</w:t>
      </w:r>
      <w:r>
        <w:rPr>
          <w:rFonts w:ascii="Times New Roman" w:hAnsi="Times New Roman" w:cs="Times New Roman" w:eastAsia="Times New Roman" w:hint="default"/>
        </w:rPr>
        <w:t>LED</w:t>
      </w:r>
      <w:r>
        <w:rPr/>
        <w:t>应用板块经营计划</w:t>
      </w:r>
      <w:r>
        <w:rPr>
          <w:b w:val="0"/>
          <w:bCs w:val="0"/>
        </w:rPr>
      </w:r>
    </w:p>
    <w:p>
      <w:pPr>
        <w:pStyle w:val="BodyText"/>
        <w:spacing w:line="307" w:lineRule="auto" w:before="63"/>
        <w:ind w:right="1129" w:firstLine="360"/>
        <w:jc w:val="both"/>
      </w:pP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LED</w:t>
      </w:r>
      <w:r>
        <w:rPr>
          <w:spacing w:val="-2"/>
        </w:rPr>
        <w:t>应用业务板块将作为公司发展的重点板块。公司将继续扩大对海外市场的投入与布局，积极推进海外市场</w:t>
      </w:r>
      <w:r>
        <w:rPr/>
        <w:t> </w:t>
      </w:r>
      <w:r>
        <w:rPr>
          <w:spacing w:val="-2"/>
        </w:rPr>
        <w:t>本地化营销网络的建设，网罗海外本地优质营销人才，更好地、更快速地响应客户的需求。</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LED</w:t>
      </w:r>
      <w:r>
        <w:rPr>
          <w:spacing w:val="-2"/>
        </w:rPr>
        <w:t>景观照明和智慧城</w:t>
      </w:r>
      <w:r>
        <w:rPr>
          <w:spacing w:val="-51"/>
        </w:rPr>
        <w:t> </w:t>
      </w:r>
      <w:r>
        <w:rPr>
          <w:spacing w:val="-2"/>
        </w:rPr>
        <w:t>市亮化将是市场热点及爆发增长点，公司要抓住时机，利用已有的资源和平台，进一步扩量增长，提升行业地位。同时，加</w:t>
      </w:r>
      <w:r>
        <w:rPr>
          <w:spacing w:val="-66"/>
        </w:rPr>
        <w:t> </w:t>
      </w:r>
      <w:r>
        <w:rPr>
          <w:spacing w:val="-66"/>
        </w:rPr>
      </w:r>
      <w:r>
        <w:rPr/>
        <w:t>强</w:t>
      </w:r>
      <w:r>
        <w:rPr>
          <w:rFonts w:ascii="Times New Roman" w:hAnsi="Times New Roman" w:cs="Times New Roman" w:eastAsia="Times New Roman" w:hint="default"/>
        </w:rPr>
        <w:t>LED</w:t>
      </w:r>
      <w:r>
        <w:rPr/>
        <w:t>应用各业务单元的战略协同，实现资源共享，客户互通，努力扩大</w:t>
      </w:r>
      <w:r>
        <w:rPr>
          <w:rFonts w:ascii="Times New Roman" w:hAnsi="Times New Roman" w:cs="Times New Roman" w:eastAsia="Times New Roman" w:hint="default"/>
        </w:rPr>
        <w:t>LED</w:t>
      </w:r>
      <w:r>
        <w:rPr/>
        <w:t>应用的销售规模，实现行业地位的大跨越。</w:t>
      </w:r>
    </w:p>
    <w:p>
      <w:pPr>
        <w:pStyle w:val="Heading4"/>
        <w:spacing w:line="240" w:lineRule="auto" w:before="7"/>
        <w:ind w:left="513" w:right="0"/>
        <w:jc w:val="left"/>
        <w:rPr>
          <w:b w:val="0"/>
          <w:bCs w:val="0"/>
        </w:rPr>
      </w:pPr>
      <w:r>
        <w:rPr>
          <w:rFonts w:ascii="Times New Roman" w:hAnsi="Times New Roman" w:cs="Times New Roman" w:eastAsia="Times New Roman" w:hint="default"/>
        </w:rPr>
        <w:t>3</w:t>
      </w:r>
      <w:r>
        <w:rPr/>
        <w:t>、金融科技板块经营计划</w:t>
      </w:r>
      <w:r>
        <w:rPr>
          <w:b w:val="0"/>
          <w:bCs w:val="0"/>
        </w:rPr>
      </w:r>
    </w:p>
    <w:p>
      <w:pPr>
        <w:pStyle w:val="BodyText"/>
        <w:spacing w:line="307" w:lineRule="auto" w:before="63"/>
        <w:ind w:right="1033" w:firstLine="360"/>
        <w:jc w:val="left"/>
      </w:pPr>
      <w:r>
        <w:rPr>
          <w:rFonts w:ascii="Times New Roman" w:hAnsi="Times New Roman" w:cs="Times New Roman" w:eastAsia="Times New Roman" w:hint="default"/>
          <w:spacing w:val="-2"/>
        </w:rPr>
        <w:t>2018</w:t>
      </w:r>
      <w:r>
        <w:rPr>
          <w:spacing w:val="-2"/>
        </w:rPr>
        <w:t>年，金融科技板块的重点发展目标是智慧银行改造以及银行智能服务型机器人。通过整合内部资源，增强金融科技</w:t>
      </w:r>
      <w:r>
        <w:rPr/>
        <w:t> 板块的软件开发及系统集成能力，扩大公司产品在银行、电信、政务等客户的影响力，力争成为智慧银行领域的领军企业。</w:t>
      </w:r>
      <w:r>
        <w:rPr>
          <w:spacing w:val="-85"/>
        </w:rPr>
        <w:t> </w:t>
      </w:r>
      <w:r>
        <w:rPr>
          <w:spacing w:val="-85"/>
        </w:rPr>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2</w:t>
      </w:r>
      <w:r>
        <w:rPr/>
        <w:t>月，公司与深圳市和信中欧金融科技研究院达成战略合作伙伴，双方共同推动区块链技术与金融科技领域的结合及</w:t>
      </w:r>
      <w:r>
        <w:rPr>
          <w:spacing w:val="-83"/>
        </w:rPr>
        <w:t> </w:t>
      </w:r>
      <w:r>
        <w:rPr>
          <w:spacing w:val="-83"/>
        </w:rPr>
      </w:r>
      <w:r>
        <w:rPr/>
        <w:t>应用。</w:t>
      </w:r>
    </w:p>
    <w:p>
      <w:pPr>
        <w:pStyle w:val="Heading4"/>
        <w:spacing w:line="240" w:lineRule="auto" w:before="26"/>
        <w:ind w:left="514" w:right="0"/>
        <w:jc w:val="left"/>
        <w:rPr>
          <w:b w:val="0"/>
          <w:bCs w:val="0"/>
        </w:rPr>
      </w:pPr>
      <w:r>
        <w:rPr>
          <w:rFonts w:ascii="Times New Roman" w:hAnsi="Times New Roman" w:cs="Times New Roman" w:eastAsia="Times New Roman" w:hint="default"/>
        </w:rPr>
        <w:t>4</w:t>
      </w:r>
      <w:r>
        <w:rPr/>
        <w:t>、体育新业务经营计划</w:t>
      </w:r>
      <w:r>
        <w:rPr>
          <w:b w:val="0"/>
          <w:bCs w:val="0"/>
        </w:rPr>
      </w:r>
    </w:p>
    <w:p>
      <w:pPr>
        <w:pStyle w:val="BodyText"/>
        <w:spacing w:line="300" w:lineRule="auto" w:before="63"/>
        <w:ind w:left="154" w:right="1127" w:firstLine="360"/>
        <w:jc w:val="left"/>
      </w:pPr>
      <w:r>
        <w:rPr>
          <w:rFonts w:ascii="Times New Roman" w:hAnsi="Times New Roman" w:cs="Times New Roman" w:eastAsia="Times New Roman" w:hint="default"/>
          <w:spacing w:val="-5"/>
        </w:rPr>
        <w:t>2018</w:t>
      </w:r>
      <w:r>
        <w:rPr>
          <w:spacing w:val="-5"/>
        </w:rPr>
        <w:t>年作为体育大年，公司将立足冬奥会、俄罗斯足球世界杯等大型国际赛事机会，积极推进体育设备租赁服务的同时，</w:t>
      </w:r>
      <w:r>
        <w:rPr/>
        <w:t> </w:t>
      </w:r>
      <w:r>
        <w:rPr>
          <w:spacing w:val="-2"/>
        </w:rPr>
        <w:t>加快体育场馆智能化改造的进程。重点在大众体育场馆</w:t>
      </w:r>
      <w:r>
        <w:rPr>
          <w:rFonts w:ascii="Times New Roman" w:hAnsi="Times New Roman" w:cs="Times New Roman" w:eastAsia="Times New Roman" w:hint="default"/>
          <w:spacing w:val="-2"/>
        </w:rPr>
        <w:t>O2O</w:t>
      </w:r>
      <w:r>
        <w:rPr>
          <w:spacing w:val="-2"/>
        </w:rPr>
        <w:t>运营平台业务上，运用人工智能、大数据等技术，提升</w:t>
      </w:r>
      <w:r>
        <w:rPr>
          <w:rFonts w:ascii="Times New Roman" w:hAnsi="Times New Roman" w:cs="Times New Roman" w:eastAsia="Times New Roman" w:hint="default"/>
          <w:spacing w:val="-2"/>
        </w:rPr>
        <w:t>O2O</w:t>
      </w:r>
      <w:r>
        <w:rPr>
          <w:spacing w:val="-2"/>
        </w:rPr>
        <w:t>运营</w:t>
      </w:r>
    </w:p>
    <w:p>
      <w:pPr>
        <w:spacing w:after="0" w:line="300"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240" w:lineRule="auto" w:before="44"/>
        <w:ind w:right="0"/>
        <w:jc w:val="left"/>
      </w:pPr>
      <w:r>
        <w:rPr/>
        <w:t>平台的场馆覆盖率及用户体验度，进一步提升公司品牌知名度。</w:t>
      </w:r>
    </w:p>
    <w:p>
      <w:pPr>
        <w:pStyle w:val="Heading4"/>
        <w:spacing w:line="240" w:lineRule="auto" w:before="76"/>
        <w:ind w:left="513" w:right="0"/>
        <w:jc w:val="left"/>
        <w:rPr>
          <w:b w:val="0"/>
          <w:bCs w:val="0"/>
        </w:rPr>
      </w:pPr>
      <w:r>
        <w:rPr>
          <w:rFonts w:ascii="Times New Roman" w:hAnsi="Times New Roman" w:cs="Times New Roman" w:eastAsia="Times New Roman" w:hint="default"/>
        </w:rPr>
        <w:t>5</w:t>
      </w:r>
      <w:r>
        <w:rPr/>
        <w:t>、外延式发展计划</w:t>
      </w:r>
      <w:r>
        <w:rPr>
          <w:b w:val="0"/>
          <w:bCs w:val="0"/>
        </w:rPr>
      </w:r>
    </w:p>
    <w:p>
      <w:pPr>
        <w:pStyle w:val="BodyText"/>
        <w:spacing w:line="300" w:lineRule="auto" w:before="63"/>
        <w:ind w:left="154" w:right="0" w:firstLine="360"/>
        <w:jc w:val="left"/>
      </w:pPr>
      <w:r>
        <w:rPr>
          <w:rFonts w:ascii="Times New Roman" w:hAnsi="Times New Roman" w:cs="Times New Roman" w:eastAsia="Times New Roman" w:hint="default"/>
        </w:rPr>
        <w:t>2018</w:t>
      </w:r>
      <w:r>
        <w:rPr/>
        <w:t>年，公司将继续坚持内生外延双轮驱动的方针，在加强公司主营业务，提升盈利能力的同时，积极围绕</w:t>
      </w:r>
      <w:r>
        <w:rPr>
          <w:rFonts w:ascii="Times New Roman" w:hAnsi="Times New Roman" w:cs="Times New Roman" w:eastAsia="Times New Roman" w:hint="default"/>
        </w:rPr>
        <w:t>LED</w:t>
      </w:r>
      <w:r>
        <w:rPr/>
        <w:t>应用、 </w:t>
      </w:r>
      <w:r>
        <w:rPr>
          <w:spacing w:val="-2"/>
        </w:rPr>
        <w:t>金融科技及体育新业务三大业务板块寻找合适的并购及参股标的，重点寻求</w:t>
      </w:r>
      <w:r>
        <w:rPr>
          <w:rFonts w:ascii="Times New Roman" w:hAnsi="Times New Roman" w:cs="Times New Roman" w:eastAsia="Times New Roman" w:hint="default"/>
          <w:spacing w:val="-2"/>
        </w:rPr>
        <w:t>LED</w:t>
      </w:r>
      <w:r>
        <w:rPr>
          <w:spacing w:val="-2"/>
        </w:rPr>
        <w:t>应用与金融科技板块相关的新技术，增强公</w:t>
      </w:r>
      <w:r>
        <w:rPr>
          <w:spacing w:val="-53"/>
        </w:rPr>
        <w:t> </w:t>
      </w:r>
      <w:r>
        <w:rPr>
          <w:spacing w:val="-53"/>
        </w:rPr>
      </w:r>
      <w:r>
        <w:rPr/>
        <w:t>司主营业务的核心竞争力。</w:t>
      </w:r>
    </w:p>
    <w:p>
      <w:pPr>
        <w:pStyle w:val="Heading4"/>
        <w:spacing w:line="240" w:lineRule="auto" w:before="31"/>
        <w:ind w:left="514" w:right="0"/>
        <w:jc w:val="left"/>
        <w:rPr>
          <w:b w:val="0"/>
          <w:bCs w:val="0"/>
        </w:rPr>
      </w:pPr>
      <w:r>
        <w:rPr>
          <w:rFonts w:ascii="Times New Roman" w:hAnsi="Times New Roman" w:cs="Times New Roman" w:eastAsia="Times New Roman" w:hint="default"/>
        </w:rPr>
        <w:t>6</w:t>
      </w:r>
      <w:r>
        <w:rPr/>
        <w:t>、运营管理计划</w:t>
      </w:r>
      <w:r>
        <w:rPr>
          <w:b w:val="0"/>
          <w:bCs w:val="0"/>
        </w:rPr>
      </w:r>
    </w:p>
    <w:p>
      <w:pPr>
        <w:pStyle w:val="BodyText"/>
        <w:spacing w:line="309" w:lineRule="auto" w:before="63"/>
        <w:ind w:left="154" w:right="1131" w:firstLine="360"/>
        <w:jc w:val="both"/>
      </w:pPr>
      <w:r>
        <w:rPr>
          <w:rFonts w:ascii="Times New Roman" w:hAnsi="Times New Roman" w:cs="Times New Roman" w:eastAsia="Times New Roman" w:hint="default"/>
        </w:rPr>
        <w:t>6.1</w:t>
      </w:r>
      <w:r>
        <w:rPr>
          <w:rFonts w:ascii="Times New Roman" w:hAnsi="Times New Roman" w:cs="Times New Roman" w:eastAsia="Times New Roman" w:hint="default"/>
          <w:spacing w:val="7"/>
        </w:rPr>
        <w:t> </w:t>
      </w:r>
      <w:r>
        <w:rPr/>
        <w:t>公司将进一步落地人才高地战略，通过内部培养、外部招聘、高校合作等方式，培养一批后备管理人才，形成阶梯 </w:t>
      </w:r>
      <w:r>
        <w:rPr>
          <w:spacing w:val="-2"/>
        </w:rPr>
        <w:t>式的高效管理团队。同时，紧跟公司全球业务拓展的步伐，建设海外市场本地化营销团队，高效快速地响应客户的需求，打</w:t>
      </w:r>
      <w:r>
        <w:rPr>
          <w:spacing w:val="-66"/>
        </w:rPr>
        <w:t> </w:t>
      </w:r>
      <w:r>
        <w:rPr>
          <w:spacing w:val="-66"/>
        </w:rPr>
      </w:r>
      <w:r>
        <w:rPr/>
        <w:t>造具有全球化视野的管理及营销团队。努力推行新的薪酬管理及激励体系，提升员工福利待遇，增强员工归属感。</w:t>
      </w:r>
    </w:p>
    <w:p>
      <w:pPr>
        <w:pStyle w:val="BodyText"/>
        <w:spacing w:line="309" w:lineRule="auto" w:before="24"/>
        <w:ind w:left="154" w:right="1132" w:firstLine="360"/>
        <w:jc w:val="both"/>
      </w:pPr>
      <w:r>
        <w:rPr>
          <w:rFonts w:ascii="Times New Roman" w:hAnsi="Times New Roman" w:cs="Times New Roman" w:eastAsia="Times New Roman" w:hint="default"/>
        </w:rPr>
        <w:t>6.2</w:t>
      </w:r>
      <w:r>
        <w:rPr>
          <w:rFonts w:ascii="Times New Roman" w:hAnsi="Times New Roman" w:cs="Times New Roman" w:eastAsia="Times New Roman" w:hint="default"/>
          <w:spacing w:val="-3"/>
        </w:rPr>
        <w:t> </w:t>
      </w:r>
      <w:r>
        <w:rPr/>
        <w:t>进一步加强公司信息化管理平台，通过</w:t>
      </w:r>
      <w:r>
        <w:rPr>
          <w:rFonts w:ascii="Times New Roman" w:hAnsi="Times New Roman" w:cs="Times New Roman" w:eastAsia="Times New Roman" w:hint="default"/>
        </w:rPr>
        <w:t>ERP</w:t>
      </w:r>
      <w:r>
        <w:rPr/>
        <w:t>系统、</w:t>
      </w:r>
      <w:r>
        <w:rPr>
          <w:rFonts w:ascii="Times New Roman" w:hAnsi="Times New Roman" w:cs="Times New Roman" w:eastAsia="Times New Roman" w:hint="default"/>
        </w:rPr>
        <w:t>CRM</w:t>
      </w:r>
      <w:r>
        <w:rPr/>
        <w:t>系统等信息化手段，构建集团化战略管控的信息化平台，完 </w:t>
      </w:r>
      <w:r>
        <w:rPr>
          <w:spacing w:val="-2"/>
        </w:rPr>
        <w:t>善集团化战略管控的制度建设和文化宣贯，促进各业务板块和经营单位实现战略及业务协同，提高公司运营及决策效率，有</w:t>
      </w:r>
      <w:r>
        <w:rPr>
          <w:spacing w:val="-66"/>
        </w:rPr>
        <w:t> </w:t>
      </w:r>
      <w:r>
        <w:rPr>
          <w:spacing w:val="-66"/>
        </w:rPr>
      </w:r>
      <w:r>
        <w:rPr/>
        <w:t>效控制经营风险。</w:t>
      </w:r>
    </w:p>
    <w:p>
      <w:pPr>
        <w:pStyle w:val="BodyText"/>
        <w:spacing w:line="240" w:lineRule="auto" w:before="24"/>
        <w:ind w:left="514" w:right="0"/>
        <w:jc w:val="left"/>
      </w:pPr>
      <w:r>
        <w:rPr>
          <w:rFonts w:ascii="Times New Roman" w:hAnsi="Times New Roman" w:cs="Times New Roman" w:eastAsia="Times New Roman" w:hint="default"/>
        </w:rPr>
        <w:t>6.3</w:t>
      </w:r>
      <w:r>
        <w:rPr>
          <w:rFonts w:ascii="Times New Roman" w:hAnsi="Times New Roman" w:cs="Times New Roman" w:eastAsia="Times New Roman" w:hint="default"/>
          <w:spacing w:val="43"/>
        </w:rPr>
        <w:t> </w:t>
      </w:r>
      <w:r>
        <w:rPr/>
        <w:t>进一步加强应收账款及经营性现金流的管理，提升资金使用效率。</w:t>
      </w:r>
    </w:p>
    <w:p>
      <w:pPr>
        <w:pStyle w:val="BodyText"/>
        <w:spacing w:line="300" w:lineRule="auto" w:before="63"/>
        <w:ind w:left="154" w:right="1115" w:firstLine="360"/>
        <w:jc w:val="left"/>
      </w:pPr>
      <w:r>
        <w:rPr>
          <w:rFonts w:ascii="Times New Roman" w:hAnsi="Times New Roman" w:cs="Times New Roman" w:eastAsia="Times New Roman" w:hint="default"/>
        </w:rPr>
        <w:t>6.4</w:t>
      </w:r>
      <w:r>
        <w:rPr>
          <w:rFonts w:ascii="Times New Roman" w:hAnsi="Times New Roman" w:cs="Times New Roman" w:eastAsia="Times New Roman" w:hint="default"/>
          <w:spacing w:val="7"/>
        </w:rPr>
        <w:t> </w:t>
      </w:r>
      <w:r>
        <w:rPr/>
        <w:t>今年为公司成立</w:t>
      </w:r>
      <w:r>
        <w:rPr>
          <w:rFonts w:ascii="Times New Roman" w:hAnsi="Times New Roman" w:cs="Times New Roman" w:eastAsia="Times New Roman" w:hint="default"/>
        </w:rPr>
        <w:t>25</w:t>
      </w:r>
      <w:r>
        <w:rPr/>
        <w:t>周年，通过筹划</w:t>
      </w:r>
      <w:r>
        <w:rPr>
          <w:rFonts w:ascii="Times New Roman" w:hAnsi="Times New Roman" w:cs="Times New Roman" w:eastAsia="Times New Roman" w:hint="default"/>
        </w:rPr>
        <w:t>25</w:t>
      </w:r>
      <w:r>
        <w:rPr/>
        <w:t>周年庆一系列文化活动，加强企业文化建设，深化企业文化宣贯，提升员工对 公司核心价值观的认同度。</w:t>
      </w:r>
    </w:p>
    <w:p>
      <w:pPr>
        <w:pStyle w:val="Heading4"/>
        <w:spacing w:line="240" w:lineRule="auto" w:before="31"/>
        <w:ind w:left="514" w:right="0"/>
        <w:jc w:val="left"/>
        <w:rPr>
          <w:b w:val="0"/>
          <w:bCs w:val="0"/>
        </w:rPr>
      </w:pPr>
      <w:r>
        <w:rPr>
          <w:rFonts w:ascii="Times New Roman" w:hAnsi="Times New Roman" w:cs="Times New Roman" w:eastAsia="Times New Roman" w:hint="default"/>
        </w:rPr>
        <w:t>7</w:t>
      </w:r>
      <w:r>
        <w:rPr/>
        <w:t>、研发技术提升计划</w:t>
      </w:r>
      <w:r>
        <w:rPr>
          <w:b w:val="0"/>
          <w:bCs w:val="0"/>
        </w:rPr>
      </w:r>
    </w:p>
    <w:p>
      <w:pPr>
        <w:pStyle w:val="BodyText"/>
        <w:spacing w:line="300" w:lineRule="auto" w:before="63"/>
        <w:ind w:left="154" w:right="0" w:firstLine="360"/>
        <w:jc w:val="left"/>
      </w:pPr>
      <w:r>
        <w:rPr>
          <w:rFonts w:ascii="Times New Roman" w:hAnsi="Times New Roman" w:cs="Times New Roman" w:eastAsia="Times New Roman" w:hint="default"/>
          <w:spacing w:val="-1"/>
        </w:rPr>
        <w:t>2018</w:t>
      </w:r>
      <w:r>
        <w:rPr>
          <w:spacing w:val="-1"/>
        </w:rPr>
        <w:t>年，公司以“智能</w:t>
      </w:r>
      <w:r>
        <w:rPr>
          <w:rFonts w:ascii="Times New Roman" w:hAnsi="Times New Roman" w:cs="Times New Roman" w:eastAsia="Times New Roman" w:hint="default"/>
          <w:spacing w:val="-1"/>
        </w:rPr>
        <w:t>+</w:t>
      </w:r>
      <w:r>
        <w:rPr>
          <w:spacing w:val="-1"/>
        </w:rPr>
        <w:t>”战略为核心，对关键技术进行更新迭代，对核心产品进行升级改造，对新业务模式进行创新</w:t>
      </w:r>
      <w:r>
        <w:rPr/>
        <w:t> 探索，在规划的新产品中融入行业最新的技术，从而实现产品与技术的“智能</w:t>
      </w:r>
      <w:r>
        <w:rPr>
          <w:rFonts w:ascii="Times New Roman" w:hAnsi="Times New Roman" w:cs="Times New Roman" w:eastAsia="Times New Roman" w:hint="default"/>
        </w:rPr>
        <w:t>+</w:t>
      </w:r>
      <w:r>
        <w:rPr/>
        <w:t>”升级。</w:t>
      </w:r>
    </w:p>
    <w:p>
      <w:pPr>
        <w:pStyle w:val="BodyText"/>
        <w:spacing w:line="316" w:lineRule="auto" w:before="13"/>
        <w:ind w:right="0" w:firstLine="360"/>
        <w:jc w:val="left"/>
      </w:pPr>
      <w:r>
        <w:rPr>
          <w:spacing w:val="-6"/>
        </w:rPr>
        <w:t>公司将加强与国内外高校、研究院的技术开发合作，针对特定项目，开展共同技术研发项目。对于新研发的技术及产品，</w:t>
      </w:r>
      <w:r>
        <w:rPr/>
        <w:t> 提前布局专利的保护，同时，为新一代显示技术以及显示器件做储备。</w:t>
      </w:r>
    </w:p>
    <w:p>
      <w:pPr>
        <w:pStyle w:val="BodyText"/>
        <w:spacing w:line="300" w:lineRule="auto" w:before="19"/>
        <w:ind w:left="514" w:right="0"/>
        <w:jc w:val="left"/>
      </w:pPr>
      <w:r>
        <w:rPr>
          <w:rFonts w:ascii="Times New Roman" w:hAnsi="Times New Roman" w:cs="Times New Roman" w:eastAsia="Times New Roman" w:hint="default"/>
          <w:b/>
          <w:bCs/>
        </w:rPr>
        <w:t>8</w:t>
      </w:r>
      <w:r>
        <w:rPr>
          <w:rFonts w:ascii="宋体" w:hAnsi="宋体" w:cs="宋体" w:eastAsia="宋体" w:hint="default"/>
          <w:b/>
          <w:bCs/>
        </w:rPr>
        <w:t>、精准扶贫计划</w:t>
      </w:r>
      <w:r>
        <w:rPr>
          <w:rFonts w:ascii="宋体" w:hAnsi="宋体" w:cs="宋体" w:eastAsia="宋体" w:hint="default"/>
          <w:b/>
          <w:bCs/>
          <w:w w:val="99"/>
        </w:rPr>
        <w:t> </w:t>
      </w:r>
      <w:r>
        <w:rPr>
          <w:spacing w:val="-2"/>
        </w:rPr>
        <w:t>倡导助学兴教，履行社会责任，公司计划通过设立公益基金会或捐赠形式，根据相关贫困地区在教育方面的具体实际情</w:t>
      </w:r>
    </w:p>
    <w:p>
      <w:pPr>
        <w:pStyle w:val="BodyText"/>
        <w:spacing w:line="240" w:lineRule="auto" w:before="32"/>
        <w:ind w:left="154" w:right="0"/>
        <w:jc w:val="left"/>
      </w:pPr>
      <w:r>
        <w:rPr/>
        <w:t>况，开展公益性教育扶贫活动，资助贫困地区教育机构及贫困师生，促进教育文化事业发展。</w:t>
      </w:r>
    </w:p>
    <w:p>
      <w:pPr>
        <w:pStyle w:val="Heading4"/>
        <w:spacing w:line="240" w:lineRule="auto" w:before="76"/>
        <w:ind w:left="513" w:right="0"/>
        <w:jc w:val="left"/>
        <w:rPr>
          <w:b w:val="0"/>
          <w:bCs w:val="0"/>
        </w:rPr>
      </w:pPr>
      <w:r>
        <w:rPr/>
        <w:t>（四）资金需求和使用计划</w:t>
      </w:r>
      <w:r>
        <w:rPr>
          <w:b w:val="0"/>
          <w:bCs w:val="0"/>
        </w:rPr>
      </w:r>
    </w:p>
    <w:p>
      <w:pPr>
        <w:pStyle w:val="BodyText"/>
        <w:spacing w:line="300" w:lineRule="auto" w:before="76"/>
        <w:ind w:right="1130" w:firstLine="360"/>
        <w:jc w:val="both"/>
      </w:pPr>
      <w:r>
        <w:rPr>
          <w:rFonts w:ascii="Times New Roman" w:hAnsi="Times New Roman" w:cs="Times New Roman" w:eastAsia="Times New Roman" w:hint="default"/>
          <w:spacing w:val="-2"/>
        </w:rPr>
        <w:t>2018</w:t>
      </w:r>
      <w:r>
        <w:rPr>
          <w:spacing w:val="-2"/>
        </w:rPr>
        <w:t>年作为公司跨越式发展战略重要的一年，公司规模及行业影响力将进一步扩大，内生及外延式发展都将加速，尤其</w:t>
      </w:r>
      <w:r>
        <w:rPr/>
        <w:t> 是“智能</w:t>
      </w:r>
      <w:r>
        <w:rPr>
          <w:rFonts w:ascii="Times New Roman" w:hAnsi="Times New Roman" w:cs="Times New Roman" w:eastAsia="Times New Roman" w:hint="default"/>
        </w:rPr>
        <w:t>+</w:t>
      </w:r>
      <w:r>
        <w:rPr/>
        <w:t>”战略的实施，对公司产品、技术、生产工艺、新技术引进等方面均提出了较高的要求，对于公司资金的统筹及 运用能力要求更高。</w:t>
      </w:r>
    </w:p>
    <w:p>
      <w:pPr>
        <w:pStyle w:val="BodyText"/>
        <w:spacing w:line="240" w:lineRule="auto" w:before="31"/>
        <w:ind w:left="513" w:right="0"/>
        <w:jc w:val="left"/>
      </w:pPr>
      <w:r>
        <w:rPr>
          <w:rFonts w:ascii="Times New Roman" w:hAnsi="Times New Roman" w:cs="Times New Roman" w:eastAsia="Times New Roman" w:hint="default"/>
        </w:rPr>
        <w:t>2018</w:t>
      </w:r>
      <w:r>
        <w:rPr/>
        <w:t>年，公司将重点在如下几个方面投入资金：</w:t>
      </w:r>
    </w:p>
    <w:p>
      <w:pPr>
        <w:pStyle w:val="BodyText"/>
        <w:spacing w:line="300" w:lineRule="auto" w:before="63"/>
        <w:ind w:right="0" w:firstLine="360"/>
        <w:jc w:val="left"/>
      </w:pPr>
      <w:r>
        <w:rPr>
          <w:rFonts w:ascii="Times New Roman" w:hAnsi="Times New Roman" w:cs="Times New Roman" w:eastAsia="Times New Roman" w:hint="default"/>
        </w:rPr>
        <w:t>1</w:t>
      </w:r>
      <w:r>
        <w:rPr/>
        <w:t>、</w:t>
      </w:r>
      <w:r>
        <w:rPr>
          <w:rFonts w:ascii="Times New Roman" w:hAnsi="Times New Roman" w:cs="Times New Roman" w:eastAsia="Times New Roman" w:hint="default"/>
        </w:rPr>
        <w:t>LED</w:t>
      </w:r>
      <w:r>
        <w:rPr/>
        <w:t>应用业务中，公司将进一步加大海外市场的投入，尤其是海外市场本地化营销网络的建设；加强公司</w:t>
      </w:r>
      <w:r>
        <w:rPr>
          <w:rFonts w:ascii="Times New Roman" w:hAnsi="Times New Roman" w:cs="Times New Roman" w:eastAsia="Times New Roman" w:hint="default"/>
        </w:rPr>
        <w:t>LED</w:t>
      </w:r>
      <w:r>
        <w:rPr/>
        <w:t>应用 业务与千百辉、奥拓立翔的战略协同，积极开拓国内优质市场；进一步扩大</w:t>
      </w:r>
      <w:r>
        <w:rPr>
          <w:rFonts w:ascii="Times New Roman" w:hAnsi="Times New Roman" w:cs="Times New Roman" w:eastAsia="Times New Roman" w:hint="default"/>
        </w:rPr>
        <w:t>LED</w:t>
      </w:r>
      <w:r>
        <w:rPr/>
        <w:t>景观照明业务的规模。</w:t>
      </w:r>
    </w:p>
    <w:p>
      <w:pPr>
        <w:pStyle w:val="BodyText"/>
        <w:spacing w:line="300" w:lineRule="auto" w:before="13"/>
        <w:ind w:left="154" w:right="1122" w:firstLine="360"/>
        <w:jc w:val="left"/>
      </w:pPr>
      <w:r>
        <w:rPr>
          <w:rFonts w:ascii="Times New Roman" w:hAnsi="Times New Roman" w:cs="Times New Roman" w:eastAsia="Times New Roman" w:hint="default"/>
        </w:rPr>
        <w:t>2</w:t>
      </w:r>
      <w:r>
        <w:rPr/>
        <w:t>、金融科技业务中，将进一步扩大智能服务型机器人的投入，加大智慧银行网点建设的研发投入，积极推动区块链技 术与金融科技业务的融合。</w:t>
      </w:r>
    </w:p>
    <w:p>
      <w:pPr>
        <w:pStyle w:val="BodyText"/>
        <w:spacing w:line="240" w:lineRule="auto" w:before="31"/>
        <w:ind w:left="514" w:right="0"/>
        <w:jc w:val="left"/>
      </w:pPr>
      <w:r>
        <w:rPr>
          <w:rFonts w:ascii="Times New Roman" w:hAnsi="Times New Roman" w:cs="Times New Roman" w:eastAsia="Times New Roman" w:hint="default"/>
        </w:rPr>
        <w:t>3</w:t>
      </w:r>
      <w:r>
        <w:rPr/>
        <w:t>、体育新业务中，加大对大众体育场馆</w:t>
      </w:r>
      <w:r>
        <w:rPr>
          <w:rFonts w:ascii="Times New Roman" w:hAnsi="Times New Roman" w:cs="Times New Roman" w:eastAsia="Times New Roman" w:hint="default"/>
        </w:rPr>
        <w:t>O2O</w:t>
      </w:r>
      <w:r>
        <w:rPr/>
        <w:t>互动平台建设的投入，推动体育场馆改造业务的发展。</w:t>
      </w:r>
    </w:p>
    <w:p>
      <w:pPr>
        <w:pStyle w:val="BodyText"/>
        <w:spacing w:line="300" w:lineRule="auto" w:before="63"/>
        <w:ind w:left="154" w:right="1122" w:firstLine="360"/>
        <w:jc w:val="left"/>
      </w:pPr>
      <w:r>
        <w:rPr>
          <w:rFonts w:ascii="Times New Roman" w:hAnsi="Times New Roman" w:cs="Times New Roman" w:eastAsia="Times New Roman" w:hint="default"/>
        </w:rPr>
        <w:t>4</w:t>
      </w:r>
      <w:r>
        <w:rPr/>
        <w:t>、继续围绕公司发展战略及业务目标，寻找符合公司发展的优质标的，通过并购、参股与合作等方式，提升公司核心 竞争力。</w:t>
      </w:r>
    </w:p>
    <w:p>
      <w:pPr>
        <w:pStyle w:val="BodyText"/>
        <w:spacing w:line="240" w:lineRule="auto" w:before="31"/>
        <w:ind w:left="514" w:right="0"/>
        <w:jc w:val="left"/>
      </w:pPr>
      <w:r>
        <w:rPr>
          <w:rFonts w:ascii="Times New Roman" w:hAnsi="Times New Roman" w:cs="Times New Roman" w:eastAsia="Times New Roman" w:hint="default"/>
        </w:rPr>
        <w:t>5</w:t>
      </w:r>
      <w:r>
        <w:rPr/>
        <w:t>、加大对公司信息化平台的建设，提升公司经营及管理效率。</w:t>
      </w:r>
    </w:p>
    <w:p>
      <w:pPr>
        <w:pStyle w:val="BodyText"/>
        <w:spacing w:line="240" w:lineRule="auto" w:before="63"/>
        <w:ind w:left="514" w:right="0"/>
        <w:jc w:val="left"/>
      </w:pPr>
      <w:r>
        <w:rPr>
          <w:rFonts w:ascii="Times New Roman" w:hAnsi="Times New Roman" w:cs="Times New Roman" w:eastAsia="Times New Roman" w:hint="default"/>
        </w:rPr>
        <w:t>6</w:t>
      </w:r>
      <w:r>
        <w:rPr/>
        <w:t>、增加生产、研发设备等固定资产投入，扩大生产规模，提高研发能力。</w:t>
      </w:r>
    </w:p>
    <w:p>
      <w:pPr>
        <w:pStyle w:val="Heading4"/>
        <w:spacing w:line="240" w:lineRule="auto"/>
        <w:ind w:left="513" w:right="0"/>
        <w:jc w:val="left"/>
        <w:rPr>
          <w:b w:val="0"/>
          <w:bCs w:val="0"/>
        </w:rPr>
      </w:pPr>
      <w:r>
        <w:rPr/>
        <w:t>（五）对公司未来发展战略和经营目标产生不利影响的重大风险因素及应对措施</w:t>
      </w:r>
      <w:r>
        <w:rPr>
          <w:b w:val="0"/>
          <w:bCs w:val="0"/>
        </w:rPr>
      </w:r>
    </w:p>
    <w:p>
      <w:pPr>
        <w:pStyle w:val="BodyText"/>
        <w:spacing w:line="350" w:lineRule="auto" w:before="76"/>
        <w:ind w:left="514" w:right="0"/>
        <w:jc w:val="left"/>
      </w:pPr>
      <w:r>
        <w:rPr>
          <w:rFonts w:ascii="Times New Roman" w:hAnsi="Times New Roman" w:cs="Times New Roman" w:eastAsia="Times New Roman" w:hint="default"/>
          <w:b/>
          <w:bCs/>
        </w:rPr>
        <w:t>1</w:t>
      </w:r>
      <w:r>
        <w:rPr>
          <w:rFonts w:ascii="宋体" w:hAnsi="宋体" w:cs="宋体" w:eastAsia="宋体" w:hint="default"/>
          <w:b/>
          <w:bCs/>
        </w:rPr>
        <w:t>、汇率波动风险</w:t>
      </w:r>
      <w:r>
        <w:rPr>
          <w:rFonts w:ascii="宋体" w:hAnsi="宋体" w:cs="宋体" w:eastAsia="宋体" w:hint="default"/>
          <w:b/>
          <w:bCs/>
          <w:w w:val="99"/>
        </w:rPr>
        <w:t> </w:t>
      </w:r>
      <w:r>
        <w:rPr>
          <w:spacing w:val="-6"/>
        </w:rPr>
        <w:t>公司海外业务中，日常经营涉及到外汇收支，若在此期间，国际外汇市场出现剧烈波动，将对公司的经营造成一定影响。</w:t>
      </w:r>
      <w:r>
        <w:rPr>
          <w:spacing w:val="-39"/>
        </w:rPr>
        <w:t> </w:t>
      </w:r>
      <w:r>
        <w:rPr>
          <w:spacing w:val="-39"/>
        </w:rPr>
      </w:r>
      <w:r>
        <w:rPr>
          <w:spacing w:val="-2"/>
        </w:rPr>
        <w:t>针对上述风险，公司拟采取如下措施：开展外汇套期保值业务规避外汇市场的风险，防范汇率大幅波动对公司造成的不</w:t>
      </w:r>
    </w:p>
    <w:p>
      <w:pPr>
        <w:pStyle w:val="BodyText"/>
        <w:spacing w:line="229" w:lineRule="exact"/>
        <w:ind w:left="154" w:right="0"/>
        <w:jc w:val="left"/>
      </w:pPr>
      <w:r>
        <w:rPr/>
        <w:t>良影响。</w:t>
      </w:r>
    </w:p>
    <w:p>
      <w:pPr>
        <w:pStyle w:val="BodyText"/>
        <w:spacing w:line="340" w:lineRule="auto" w:before="76"/>
        <w:ind w:left="514" w:right="0"/>
        <w:jc w:val="left"/>
      </w:pPr>
      <w:r>
        <w:rPr>
          <w:rFonts w:ascii="Times New Roman" w:hAnsi="Times New Roman" w:cs="Times New Roman" w:eastAsia="Times New Roman" w:hint="default"/>
          <w:b/>
          <w:bCs/>
        </w:rPr>
        <w:t>2</w:t>
      </w:r>
      <w:r>
        <w:rPr>
          <w:rFonts w:ascii="宋体" w:hAnsi="宋体" w:cs="宋体" w:eastAsia="宋体" w:hint="default"/>
          <w:b/>
          <w:bCs/>
        </w:rPr>
        <w:t>、商誉减值风险</w:t>
      </w:r>
      <w:r>
        <w:rPr>
          <w:rFonts w:ascii="宋体" w:hAnsi="宋体" w:cs="宋体" w:eastAsia="宋体" w:hint="default"/>
          <w:b/>
          <w:bCs/>
          <w:w w:val="99"/>
        </w:rPr>
        <w:t> </w:t>
      </w:r>
      <w:r>
        <w:rPr>
          <w:spacing w:val="-2"/>
        </w:rPr>
        <w:t>公司对千百辉的收购，形成了一定商誉，随着行业竞争日趋激烈，若千百辉不能较好的完成承诺业绩，则存在商誉减值</w:t>
      </w:r>
    </w:p>
    <w:p>
      <w:pPr>
        <w:spacing w:after="0" w:line="340" w:lineRule="auto"/>
        <w:jc w:val="left"/>
        <w:sectPr>
          <w:pgSz w:w="11910" w:h="16840"/>
          <w:pgMar w:header="747" w:footer="979" w:top="1060" w:bottom="1160" w:left="980" w:right="0"/>
        </w:sectPr>
      </w:pPr>
    </w:p>
    <w:p>
      <w:pPr>
        <w:spacing w:line="240" w:lineRule="auto" w:before="13"/>
        <w:rPr>
          <w:rFonts w:ascii="宋体" w:hAnsi="宋体" w:cs="宋体" w:eastAsia="宋体" w:hint="default"/>
          <w:sz w:val="25"/>
          <w:szCs w:val="25"/>
        </w:rPr>
      </w:pPr>
    </w:p>
    <w:p>
      <w:pPr>
        <w:pStyle w:val="BodyText"/>
        <w:spacing w:line="240" w:lineRule="auto" w:before="44"/>
        <w:ind w:right="0"/>
        <w:jc w:val="left"/>
      </w:pPr>
      <w:r>
        <w:rPr/>
        <w:t>的风险。</w:t>
      </w:r>
    </w:p>
    <w:p>
      <w:pPr>
        <w:pStyle w:val="BodyText"/>
        <w:spacing w:line="316" w:lineRule="auto" w:before="115"/>
        <w:ind w:right="1131" w:firstLine="360"/>
        <w:jc w:val="both"/>
      </w:pPr>
      <w:r>
        <w:rPr>
          <w:spacing w:val="-2"/>
        </w:rPr>
        <w:t>针对上述风险，公司拟采取如下措施：加强对千百辉的投后管理工作，利用信息化平台提升内部运营及管理水平，加强</w:t>
      </w:r>
      <w:r>
        <w:rPr/>
        <w:t> 各业务板块间的战略协同，从而降低产生商誉减值风险的可能性。</w:t>
      </w:r>
    </w:p>
    <w:p>
      <w:pPr>
        <w:pStyle w:val="Heading4"/>
        <w:spacing w:line="240" w:lineRule="auto" w:before="19"/>
        <w:ind w:left="513" w:right="0"/>
        <w:jc w:val="left"/>
        <w:rPr>
          <w:b w:val="0"/>
          <w:bCs w:val="0"/>
        </w:rPr>
      </w:pPr>
      <w:r>
        <w:rPr>
          <w:rFonts w:ascii="Times New Roman" w:hAnsi="Times New Roman" w:cs="Times New Roman" w:eastAsia="Times New Roman" w:hint="default"/>
        </w:rPr>
        <w:t>3</w:t>
      </w:r>
      <w:r>
        <w:rPr/>
        <w:t>、集团化管控风险</w:t>
      </w:r>
      <w:r>
        <w:rPr>
          <w:b w:val="0"/>
          <w:bCs w:val="0"/>
        </w:rPr>
      </w:r>
    </w:p>
    <w:p>
      <w:pPr>
        <w:pStyle w:val="BodyText"/>
        <w:spacing w:line="302" w:lineRule="auto" w:before="104"/>
        <w:ind w:left="154" w:right="1132" w:firstLine="360"/>
        <w:jc w:val="both"/>
      </w:pPr>
      <w:r>
        <w:rPr/>
        <w:t>截至报告期内，公司共拥有境内外全资子公司</w:t>
      </w:r>
      <w:r>
        <w:rPr>
          <w:spacing w:val="-49"/>
        </w:rPr>
        <w:t> </w:t>
      </w:r>
      <w:r>
        <w:rPr>
          <w:rFonts w:ascii="Times New Roman" w:hAnsi="Times New Roman" w:cs="Times New Roman" w:eastAsia="Times New Roman" w:hint="default"/>
        </w:rPr>
        <w:t>13</w:t>
      </w:r>
      <w:r>
        <w:rPr>
          <w:rFonts w:ascii="Times New Roman" w:hAnsi="Times New Roman" w:cs="Times New Roman" w:eastAsia="Times New Roman" w:hint="default"/>
          <w:spacing w:val="-5"/>
        </w:rPr>
        <w:t> </w:t>
      </w:r>
      <w:r>
        <w:rPr>
          <w:spacing w:val="-3"/>
        </w:rPr>
        <w:t>家，控股公司</w:t>
      </w:r>
      <w:r>
        <w:rPr>
          <w:spacing w:val="-50"/>
        </w:rPr>
        <w:t> </w:t>
      </w:r>
      <w:r>
        <w:rPr>
          <w:rFonts w:ascii="Times New Roman" w:hAnsi="Times New Roman" w:cs="Times New Roman" w:eastAsia="Times New Roman" w:hint="default"/>
        </w:rPr>
        <w:t>3</w:t>
      </w:r>
      <w:r>
        <w:rPr>
          <w:rFonts w:ascii="Times New Roman" w:hAnsi="Times New Roman" w:cs="Times New Roman" w:eastAsia="Times New Roman" w:hint="default"/>
          <w:spacing w:val="-5"/>
        </w:rPr>
        <w:t> </w:t>
      </w:r>
      <w:r>
        <w:rPr>
          <w:spacing w:val="-3"/>
        </w:rPr>
        <w:t>家，参股公司</w:t>
      </w:r>
      <w:r>
        <w:rPr>
          <w:spacing w:val="-50"/>
        </w:rPr>
        <w:t> </w:t>
      </w:r>
      <w:r>
        <w:rPr>
          <w:rFonts w:ascii="Times New Roman" w:hAnsi="Times New Roman" w:cs="Times New Roman" w:eastAsia="Times New Roman" w:hint="default"/>
        </w:rPr>
        <w:t>2</w:t>
      </w:r>
      <w:r>
        <w:rPr>
          <w:rFonts w:ascii="Times New Roman" w:hAnsi="Times New Roman" w:cs="Times New Roman" w:eastAsia="Times New Roman" w:hint="default"/>
          <w:spacing w:val="-5"/>
        </w:rPr>
        <w:t> </w:t>
      </w:r>
      <w:r>
        <w:rPr/>
        <w:t>家，全球员工数量超过</w:t>
      </w:r>
      <w:r>
        <w:rPr>
          <w:spacing w:val="-50"/>
        </w:rPr>
        <w:t> </w:t>
      </w:r>
      <w:r>
        <w:rPr>
          <w:rFonts w:ascii="Times New Roman" w:hAnsi="Times New Roman" w:cs="Times New Roman" w:eastAsia="Times New Roman" w:hint="default"/>
        </w:rPr>
        <w:t>1500</w:t>
      </w:r>
      <w:r>
        <w:rPr>
          <w:rFonts w:ascii="Times New Roman" w:hAnsi="Times New Roman" w:cs="Times New Roman" w:eastAsia="Times New Roman" w:hint="default"/>
          <w:spacing w:val="-5"/>
        </w:rPr>
        <w:t> </w:t>
      </w:r>
      <w:r>
        <w:rPr>
          <w:spacing w:val="-4"/>
        </w:rPr>
        <w:t>人。随着</w:t>
      </w:r>
      <w:r>
        <w:rPr/>
        <w:t> 公司的规模及人数的逐渐增加，若不能进一步提高管理水平，有可能影响公司的正常运作以及经营目标的实现。</w:t>
      </w:r>
    </w:p>
    <w:p>
      <w:pPr>
        <w:pStyle w:val="BodyText"/>
        <w:spacing w:line="300" w:lineRule="auto" w:before="68"/>
        <w:ind w:right="1129" w:firstLine="360"/>
        <w:jc w:val="both"/>
      </w:pPr>
      <w:r>
        <w:rPr>
          <w:spacing w:val="-5"/>
        </w:rPr>
        <w:t>针对上述风险，公司拟采取如下措施：（</w:t>
      </w:r>
      <w:r>
        <w:rPr>
          <w:rFonts w:ascii="Times New Roman" w:hAnsi="Times New Roman" w:cs="Times New Roman" w:eastAsia="Times New Roman" w:hint="default"/>
          <w:spacing w:val="-5"/>
        </w:rPr>
        <w:t>1</w:t>
      </w:r>
      <w:r>
        <w:rPr>
          <w:spacing w:val="-5"/>
        </w:rPr>
        <w:t>）积极完善信息化管理平台的建设，提高管理效率及水平；（</w:t>
      </w:r>
      <w:r>
        <w:rPr>
          <w:rFonts w:ascii="Times New Roman" w:hAnsi="Times New Roman" w:cs="Times New Roman" w:eastAsia="Times New Roman" w:hint="default"/>
          <w:spacing w:val="-5"/>
        </w:rPr>
        <w:t>2</w:t>
      </w:r>
      <w:r>
        <w:rPr>
          <w:spacing w:val="-5"/>
        </w:rPr>
        <w:t>）完善法人治理</w:t>
      </w:r>
      <w:r>
        <w:rPr/>
        <w:t> </w:t>
      </w:r>
      <w:r>
        <w:rPr>
          <w:spacing w:val="-4"/>
        </w:rPr>
        <w:t>结构及内部管理流程，规范公司运作体系，加强内控与预算管理，强化各类决策的科学性；（</w:t>
      </w:r>
      <w:r>
        <w:rPr>
          <w:rFonts w:ascii="Times New Roman" w:hAnsi="Times New Roman" w:cs="Times New Roman" w:eastAsia="Times New Roman" w:hint="default"/>
          <w:spacing w:val="-4"/>
        </w:rPr>
        <w:t>3</w:t>
      </w:r>
      <w:r>
        <w:rPr>
          <w:spacing w:val="-4"/>
        </w:rPr>
        <w:t>）提高公司管理层及核心员工</w:t>
      </w:r>
      <w:r>
        <w:rPr>
          <w:spacing w:val="-44"/>
        </w:rPr>
        <w:t> </w:t>
      </w:r>
      <w:r>
        <w:rPr>
          <w:spacing w:val="-44"/>
        </w:rPr>
      </w:r>
      <w:r>
        <w:rPr/>
        <w:t>的管理能力，完善激励机制，培养后备人才，打造具有国际化视野的综合型管理团队。</w:t>
      </w:r>
    </w:p>
    <w:p>
      <w:pPr>
        <w:pStyle w:val="Heading4"/>
        <w:spacing w:line="240" w:lineRule="auto" w:before="70"/>
        <w:ind w:left="513" w:right="0"/>
        <w:jc w:val="left"/>
        <w:rPr>
          <w:b w:val="0"/>
          <w:bCs w:val="0"/>
        </w:rPr>
      </w:pPr>
      <w:r>
        <w:rPr>
          <w:rFonts w:ascii="Times New Roman" w:hAnsi="Times New Roman" w:cs="Times New Roman" w:eastAsia="Times New Roman" w:hint="default"/>
        </w:rPr>
        <w:t>4</w:t>
      </w:r>
      <w:r>
        <w:rPr/>
        <w:t>、投资并购整合风险</w:t>
      </w:r>
      <w:r>
        <w:rPr>
          <w:b w:val="0"/>
          <w:bCs w:val="0"/>
        </w:rPr>
      </w:r>
    </w:p>
    <w:p>
      <w:pPr>
        <w:pStyle w:val="BodyText"/>
        <w:spacing w:line="302" w:lineRule="auto" w:before="103"/>
        <w:ind w:right="1130" w:firstLine="360"/>
        <w:jc w:val="both"/>
      </w:pPr>
      <w:r>
        <w:rPr/>
        <w:t>报告期内，公司与深圳市立翔慧科光电科技有限公司共同投资设立奥拓立翔，</w:t>
      </w:r>
      <w:r>
        <w:rPr>
          <w:rFonts w:ascii="Times New Roman" w:hAnsi="Times New Roman" w:cs="Times New Roman" w:eastAsia="Times New Roman" w:hint="default"/>
        </w:rPr>
        <w:t>2016</w:t>
      </w:r>
      <w:r>
        <w:rPr>
          <w:rFonts w:ascii="Times New Roman" w:hAnsi="Times New Roman" w:cs="Times New Roman" w:eastAsia="Times New Roman" w:hint="default"/>
          <w:spacing w:val="8"/>
        </w:rPr>
        <w:t> </w:t>
      </w:r>
      <w:r>
        <w:rPr/>
        <w:t>年公司全资收购了千百辉，新并购 公司与公司之间可能因企业文化和管理差异等因素导致新团队融入公司存在一定的整合风险。</w:t>
      </w:r>
    </w:p>
    <w:p>
      <w:pPr>
        <w:pStyle w:val="BodyText"/>
        <w:spacing w:line="240" w:lineRule="auto" w:before="68"/>
        <w:ind w:left="513" w:right="0"/>
        <w:jc w:val="left"/>
      </w:pPr>
      <w:r>
        <w:rPr/>
        <w:t>针对上述风</w:t>
      </w:r>
      <w:r>
        <w:rPr>
          <w:spacing w:val="1"/>
        </w:rPr>
        <w:t>险</w:t>
      </w:r>
      <w:r>
        <w:rPr/>
        <w:t>，公司拟采</w:t>
      </w:r>
      <w:r>
        <w:rPr>
          <w:spacing w:val="1"/>
        </w:rPr>
        <w:t>取</w:t>
      </w:r>
      <w:r>
        <w:rPr/>
        <w:t>如下措施</w:t>
      </w:r>
      <w:r>
        <w:rPr>
          <w:spacing w:val="-90"/>
        </w:rPr>
        <w:t>：</w:t>
      </w:r>
      <w:r>
        <w:rPr/>
        <w:t>（</w:t>
      </w:r>
      <w:r>
        <w:rPr>
          <w:rFonts w:ascii="Times New Roman" w:hAnsi="Times New Roman" w:cs="Times New Roman" w:eastAsia="Times New Roman" w:hint="default"/>
          <w:spacing w:val="1"/>
        </w:rPr>
        <w:t>1</w:t>
      </w:r>
      <w:r>
        <w:rPr/>
        <w:t>）加强对新</w:t>
      </w:r>
      <w:r>
        <w:rPr>
          <w:spacing w:val="1"/>
        </w:rPr>
        <w:t>并</w:t>
      </w:r>
      <w:r>
        <w:rPr/>
        <w:t>购公司的企</w:t>
      </w:r>
      <w:r>
        <w:rPr>
          <w:spacing w:val="1"/>
        </w:rPr>
        <w:t>业</w:t>
      </w:r>
      <w:r>
        <w:rPr/>
        <w:t>文化宣贯工作</w:t>
      </w:r>
      <w:r>
        <w:rPr>
          <w:spacing w:val="-89"/>
        </w:rPr>
        <w:t>；</w:t>
      </w:r>
      <w:r>
        <w:rPr/>
        <w:t>（</w:t>
      </w:r>
      <w:r>
        <w:rPr>
          <w:rFonts w:ascii="Times New Roman" w:hAnsi="Times New Roman" w:cs="Times New Roman" w:eastAsia="Times New Roman" w:hint="default"/>
        </w:rPr>
        <w:t>2</w:t>
      </w:r>
      <w:r>
        <w:rPr/>
        <w:t>）努力完</w:t>
      </w:r>
      <w:r>
        <w:rPr>
          <w:spacing w:val="1"/>
        </w:rPr>
        <w:t>善</w:t>
      </w:r>
      <w:r>
        <w:rPr/>
        <w:t>公司投后管</w:t>
      </w:r>
      <w:r>
        <w:rPr>
          <w:spacing w:val="1"/>
        </w:rPr>
        <w:t>理</w:t>
      </w:r>
      <w:r>
        <w:rPr/>
        <w:t>制度；</w:t>
      </w:r>
    </w:p>
    <w:p>
      <w:pPr>
        <w:pStyle w:val="BodyText"/>
        <w:spacing w:line="240" w:lineRule="auto" w:before="64"/>
        <w:ind w:right="0"/>
        <w:jc w:val="left"/>
      </w:pPr>
      <w:r>
        <w:rPr/>
        <w:t>（</w:t>
      </w:r>
      <w:r>
        <w:rPr>
          <w:rFonts w:ascii="Times New Roman" w:hAnsi="Times New Roman" w:cs="Times New Roman" w:eastAsia="Times New Roman" w:hint="default"/>
        </w:rPr>
        <w:t>3</w:t>
      </w:r>
      <w:r>
        <w:rPr/>
        <w:t>）促进公司各业务板块间的交流与合作。</w:t>
      </w:r>
    </w:p>
    <w:p>
      <w:pPr>
        <w:pStyle w:val="BodyText"/>
        <w:spacing w:line="340" w:lineRule="auto" w:before="101"/>
        <w:ind w:left="514" w:right="0"/>
        <w:jc w:val="left"/>
      </w:pPr>
      <w:r>
        <w:rPr>
          <w:rFonts w:ascii="Times New Roman" w:hAnsi="Times New Roman" w:cs="Times New Roman" w:eastAsia="Times New Roman" w:hint="default"/>
          <w:b/>
          <w:bCs/>
        </w:rPr>
        <w:t>5</w:t>
      </w:r>
      <w:r>
        <w:rPr>
          <w:rFonts w:ascii="宋体" w:hAnsi="宋体" w:cs="宋体" w:eastAsia="宋体" w:hint="default"/>
          <w:b/>
          <w:bCs/>
        </w:rPr>
        <w:t>、应收账款风险</w:t>
      </w:r>
      <w:r>
        <w:rPr>
          <w:rFonts w:ascii="宋体" w:hAnsi="宋体" w:cs="宋体" w:eastAsia="宋体" w:hint="default"/>
          <w:b/>
          <w:bCs/>
          <w:w w:val="99"/>
        </w:rPr>
        <w:t> </w:t>
      </w:r>
      <w:r>
        <w:rPr>
          <w:spacing w:val="-2"/>
        </w:rPr>
        <w:t>随着公司的业务规模持续扩大，应收账款额度也持续增加，未来可能由于各类不利因素的影响，形成呆账和烂账，对公</w:t>
      </w:r>
    </w:p>
    <w:p>
      <w:pPr>
        <w:pStyle w:val="BodyText"/>
        <w:spacing w:line="357" w:lineRule="auto" w:before="2"/>
        <w:ind w:left="514" w:right="1122" w:hanging="360"/>
        <w:jc w:val="left"/>
      </w:pPr>
      <w:r>
        <w:rPr/>
        <w:t>司的资金成本带来压力，从而影响公司盈利水平。 </w:t>
      </w:r>
      <w:r>
        <w:rPr>
          <w:spacing w:val="-5"/>
        </w:rPr>
        <w:t>针对上述风险，公司拟采取如下措施：（</w:t>
      </w:r>
      <w:r>
        <w:rPr>
          <w:rFonts w:ascii="Times New Roman" w:hAnsi="Times New Roman" w:cs="Times New Roman" w:eastAsia="Times New Roman" w:hint="default"/>
          <w:spacing w:val="-5"/>
        </w:rPr>
        <w:t>1</w:t>
      </w:r>
      <w:r>
        <w:rPr>
          <w:spacing w:val="-5"/>
        </w:rPr>
        <w:t>）建立全面的信用管理制度，加强赊账和欠账的监控及催收；（</w:t>
      </w:r>
      <w:r>
        <w:rPr>
          <w:rFonts w:ascii="Times New Roman" w:hAnsi="Times New Roman" w:cs="Times New Roman" w:eastAsia="Times New Roman" w:hint="default"/>
          <w:spacing w:val="-5"/>
        </w:rPr>
        <w:t>2</w:t>
      </w:r>
      <w:r>
        <w:rPr>
          <w:spacing w:val="-5"/>
        </w:rPr>
        <w:t>）建立客户信</w:t>
      </w:r>
    </w:p>
    <w:p>
      <w:pPr>
        <w:pStyle w:val="BodyText"/>
        <w:spacing w:line="214" w:lineRule="exact"/>
        <w:ind w:right="0"/>
        <w:jc w:val="left"/>
      </w:pPr>
      <w:r>
        <w:rPr/>
        <w:t>用评估体系，针对不同信用等级客户给予不同的账期</w:t>
      </w:r>
      <w:r>
        <w:rPr>
          <w:spacing w:val="-90"/>
        </w:rPr>
        <w:t>；</w:t>
      </w:r>
      <w:r>
        <w:rPr/>
        <w:t>（</w:t>
      </w:r>
      <w:r>
        <w:rPr>
          <w:rFonts w:ascii="Times New Roman" w:hAnsi="Times New Roman" w:cs="Times New Roman" w:eastAsia="Times New Roman" w:hint="default"/>
        </w:rPr>
        <w:t>3</w:t>
      </w:r>
      <w:r>
        <w:rPr/>
        <w:t>）加强与中信保合作以减少坏账的产生。</w:t>
      </w:r>
    </w:p>
    <w:p>
      <w:pPr>
        <w:spacing w:line="340" w:lineRule="auto" w:before="63"/>
        <w:ind w:left="514" w:right="4272"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6</w:t>
      </w:r>
      <w:r>
        <w:rPr>
          <w:rFonts w:ascii="宋体" w:hAnsi="宋体" w:cs="宋体" w:eastAsia="宋体" w:hint="default"/>
          <w:b/>
          <w:bCs/>
          <w:sz w:val="18"/>
          <w:szCs w:val="18"/>
        </w:rPr>
        <w:t>、产品质量风险</w:t>
      </w:r>
      <w:r>
        <w:rPr>
          <w:rFonts w:ascii="宋体" w:hAnsi="宋体" w:cs="宋体" w:eastAsia="宋体" w:hint="default"/>
          <w:b/>
          <w:bCs/>
          <w:w w:val="99"/>
          <w:sz w:val="18"/>
          <w:szCs w:val="18"/>
        </w:rPr>
        <w:t> </w:t>
      </w:r>
      <w:r>
        <w:rPr>
          <w:rFonts w:ascii="宋体" w:hAnsi="宋体" w:cs="宋体" w:eastAsia="宋体" w:hint="default"/>
          <w:sz w:val="18"/>
          <w:szCs w:val="18"/>
        </w:rPr>
        <w:t>随着公司的业务规模的扩大，产能持续上升，可能带来一定的产品质量问题。</w:t>
      </w:r>
    </w:p>
    <w:p>
      <w:pPr>
        <w:pStyle w:val="BodyText"/>
        <w:spacing w:line="300" w:lineRule="auto" w:before="41"/>
        <w:ind w:right="1130" w:firstLine="360"/>
        <w:jc w:val="both"/>
      </w:pPr>
      <w:r>
        <w:rPr/>
        <w:t>针对上述风险</w:t>
      </w:r>
      <w:r>
        <w:rPr>
          <w:spacing w:val="-14"/>
        </w:rPr>
        <w:t>，</w:t>
      </w:r>
      <w:r>
        <w:rPr/>
        <w:t>公司拟采取如下措施</w:t>
      </w:r>
      <w:r>
        <w:rPr>
          <w:spacing w:val="-104"/>
        </w:rPr>
        <w:t>：</w:t>
      </w:r>
      <w:r>
        <w:rPr/>
        <w:t>（</w:t>
      </w:r>
      <w:r>
        <w:rPr>
          <w:rFonts w:ascii="Times New Roman" w:hAnsi="Times New Roman" w:cs="Times New Roman" w:eastAsia="Times New Roman" w:hint="default"/>
        </w:rPr>
        <w:t>1</w:t>
      </w:r>
      <w:r>
        <w:rPr>
          <w:spacing w:val="-14"/>
        </w:rPr>
        <w:t>）</w:t>
      </w:r>
      <w:r>
        <w:rPr/>
        <w:t>加强公</w:t>
      </w:r>
      <w:r>
        <w:rPr>
          <w:spacing w:val="-2"/>
        </w:rPr>
        <w:t>司</w:t>
      </w:r>
      <w:r>
        <w:rPr/>
        <w:t>员工质量意识培训</w:t>
      </w:r>
      <w:r>
        <w:rPr>
          <w:spacing w:val="-14"/>
        </w:rPr>
        <w:t>，</w:t>
      </w:r>
      <w:r>
        <w:rPr/>
        <w:t>健全质量风险控制制度</w:t>
      </w:r>
      <w:r>
        <w:rPr>
          <w:spacing w:val="-104"/>
        </w:rPr>
        <w:t>；</w:t>
      </w:r>
      <w:r>
        <w:rPr/>
        <w:t>（</w:t>
      </w:r>
      <w:r>
        <w:rPr>
          <w:rFonts w:ascii="Times New Roman" w:hAnsi="Times New Roman" w:cs="Times New Roman" w:eastAsia="Times New Roman" w:hint="default"/>
        </w:rPr>
        <w:t>2</w:t>
      </w:r>
      <w:r>
        <w:rPr>
          <w:spacing w:val="-14"/>
        </w:rPr>
        <w:t>）</w:t>
      </w:r>
      <w:r>
        <w:rPr/>
        <w:t>全</w:t>
      </w:r>
      <w:r>
        <w:rPr>
          <w:spacing w:val="-2"/>
        </w:rPr>
        <w:t>面</w:t>
      </w:r>
      <w:r>
        <w:rPr/>
        <w:t>购置生产员</w:t>
      </w:r>
      <w:r>
        <w:rPr/>
        <w:t> 工及设备保险</w:t>
      </w:r>
      <w:r>
        <w:rPr>
          <w:spacing w:val="-90"/>
        </w:rPr>
        <w:t>；</w:t>
      </w:r>
      <w:r>
        <w:rPr/>
        <w:t>（</w:t>
      </w:r>
      <w:r>
        <w:rPr>
          <w:rFonts w:ascii="Times New Roman" w:hAnsi="Times New Roman" w:cs="Times New Roman" w:eastAsia="Times New Roman" w:hint="default"/>
        </w:rPr>
        <w:t>3</w:t>
      </w:r>
      <w:r>
        <w:rPr/>
        <w:t>）积极引进生产质量监督人才。</w:t>
      </w:r>
    </w:p>
    <w:p>
      <w:pPr>
        <w:pStyle w:val="BodyText"/>
        <w:spacing w:line="340" w:lineRule="auto" w:before="13"/>
        <w:ind w:left="514" w:right="0"/>
        <w:jc w:val="left"/>
      </w:pPr>
      <w:r>
        <w:rPr>
          <w:rFonts w:ascii="Times New Roman" w:hAnsi="Times New Roman" w:cs="Times New Roman" w:eastAsia="Times New Roman" w:hint="default"/>
          <w:b/>
          <w:bCs/>
        </w:rPr>
        <w:t>7</w:t>
      </w:r>
      <w:r>
        <w:rPr>
          <w:rFonts w:ascii="宋体" w:hAnsi="宋体" w:cs="宋体" w:eastAsia="宋体" w:hint="default"/>
          <w:b/>
          <w:bCs/>
        </w:rPr>
        <w:t>、贸易摩擦风险</w:t>
      </w:r>
      <w:r>
        <w:rPr>
          <w:rFonts w:ascii="宋体" w:hAnsi="宋体" w:cs="宋体" w:eastAsia="宋体" w:hint="default"/>
          <w:b/>
          <w:bCs/>
          <w:w w:val="99"/>
        </w:rPr>
        <w:t> </w:t>
      </w:r>
      <w:r>
        <w:rPr>
          <w:spacing w:val="-2"/>
        </w:rPr>
        <w:t>由于近年来国际政治及经济环境的不稳定性，公司部分海外市场，如北美市场存在较大的不确定性，尤其近日中美贸易</w:t>
      </w:r>
    </w:p>
    <w:p>
      <w:pPr>
        <w:pStyle w:val="BodyText"/>
        <w:spacing w:line="357" w:lineRule="auto" w:before="1"/>
        <w:ind w:left="573" w:right="0" w:hanging="420"/>
        <w:jc w:val="left"/>
      </w:pPr>
      <w:r>
        <w:rPr/>
        <w:t>政策发生变化，若贸易保护政策逐渐实施，可能对公司北美地区业务开展造成一定影响。 </w:t>
      </w:r>
      <w:r>
        <w:rPr>
          <w:spacing w:val="-2"/>
        </w:rPr>
        <w:t>针对上述风险，公司拟采取如下措施：（</w:t>
      </w:r>
      <w:r>
        <w:rPr>
          <w:rFonts w:ascii="Times New Roman" w:hAnsi="Times New Roman" w:cs="Times New Roman" w:eastAsia="Times New Roman" w:hint="default"/>
          <w:spacing w:val="-2"/>
        </w:rPr>
        <w:t>1</w:t>
      </w:r>
      <w:r>
        <w:rPr>
          <w:spacing w:val="-2"/>
        </w:rPr>
        <w:t>）加大对政治及经济环境稳定的地区市场的开拓，分散由于贸易摩擦带来的</w:t>
      </w:r>
    </w:p>
    <w:p>
      <w:pPr>
        <w:pStyle w:val="BodyText"/>
        <w:spacing w:line="214" w:lineRule="exact"/>
        <w:ind w:right="0"/>
        <w:jc w:val="left"/>
      </w:pPr>
      <w:r>
        <w:rPr/>
        <w:t>潜在风险</w:t>
      </w:r>
      <w:r>
        <w:rPr>
          <w:spacing w:val="-107"/>
        </w:rPr>
        <w:t>；</w:t>
      </w:r>
      <w:r>
        <w:rPr/>
        <w:t>（</w:t>
      </w:r>
      <w:r>
        <w:rPr>
          <w:rFonts w:ascii="Times New Roman" w:hAnsi="Times New Roman" w:cs="Times New Roman" w:eastAsia="Times New Roman" w:hint="default"/>
        </w:rPr>
        <w:t>2</w:t>
      </w:r>
      <w:r>
        <w:rPr>
          <w:spacing w:val="-16"/>
        </w:rPr>
        <w:t>）</w:t>
      </w:r>
      <w:r>
        <w:rPr/>
        <w:t>加强海外市场本地化服务网络的建设</w:t>
      </w:r>
      <w:r>
        <w:rPr>
          <w:spacing w:val="-17"/>
        </w:rPr>
        <w:t>，</w:t>
      </w:r>
      <w:r>
        <w:rPr/>
        <w:t>网罗优秀管理及营销人才</w:t>
      </w:r>
      <w:r>
        <w:rPr>
          <w:spacing w:val="-17"/>
        </w:rPr>
        <w:t>，</w:t>
      </w:r>
      <w:r>
        <w:rPr/>
        <w:t>实时跟踪政治及经济政策变化</w:t>
      </w:r>
      <w:r>
        <w:rPr>
          <w:spacing w:val="-17"/>
        </w:rPr>
        <w:t>，</w:t>
      </w:r>
      <w:r>
        <w:rPr/>
        <w:t>加强管理</w:t>
      </w:r>
    </w:p>
    <w:p>
      <w:pPr>
        <w:pStyle w:val="BodyText"/>
        <w:spacing w:line="240" w:lineRule="auto" w:before="64"/>
        <w:ind w:right="0"/>
        <w:jc w:val="left"/>
      </w:pPr>
      <w:r>
        <w:rPr/>
        <w:t>运营能力，提前做好应对措施。</w:t>
      </w:r>
    </w:p>
    <w:p>
      <w:pPr>
        <w:pStyle w:val="BodyText"/>
        <w:spacing w:line="300" w:lineRule="auto" w:before="116"/>
        <w:ind w:left="154" w:right="1130" w:firstLine="420"/>
        <w:jc w:val="both"/>
      </w:pPr>
      <w:r>
        <w:rPr/>
        <w:t>公司通过相关渠道获悉，</w:t>
      </w:r>
      <w:r>
        <w:rPr>
          <w:rFonts w:ascii="Times New Roman" w:hAnsi="Times New Roman" w:cs="Times New Roman" w:eastAsia="Times New Roman" w:hint="default"/>
        </w:rPr>
        <w:t>2018 </w:t>
      </w:r>
      <w:r>
        <w:rPr/>
        <w:t>年</w:t>
      </w:r>
      <w:r>
        <w:rPr>
          <w:spacing w:val="-45"/>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t>月</w:t>
      </w:r>
      <w:r>
        <w:rPr>
          <w:spacing w:val="-45"/>
        </w:rPr>
        <w:t> </w:t>
      </w:r>
      <w:r>
        <w:rPr>
          <w:rFonts w:ascii="Times New Roman" w:hAnsi="Times New Roman" w:cs="Times New Roman" w:eastAsia="Times New Roman" w:hint="default"/>
        </w:rPr>
        <w:t>27 </w:t>
      </w:r>
      <w:r>
        <w:rPr/>
        <w:t>日，美国</w:t>
      </w:r>
      <w:r>
        <w:rPr>
          <w:spacing w:val="-44"/>
        </w:rPr>
        <w:t> </w:t>
      </w:r>
      <w:r>
        <w:rPr>
          <w:rFonts w:ascii="Times New Roman" w:hAnsi="Times New Roman" w:cs="Times New Roman" w:eastAsia="Times New Roman" w:hint="default"/>
        </w:rPr>
        <w:t>Ultravision</w:t>
      </w:r>
      <w:r>
        <w:rPr>
          <w:rFonts w:ascii="Times New Roman" w:hAnsi="Times New Roman" w:cs="Times New Roman" w:eastAsia="Times New Roman" w:hint="default"/>
          <w:spacing w:val="42"/>
        </w:rPr>
        <w:t> </w:t>
      </w:r>
      <w:r>
        <w:rPr>
          <w:rFonts w:ascii="Times New Roman" w:hAnsi="Times New Roman" w:cs="Times New Roman" w:eastAsia="Times New Roman" w:hint="default"/>
        </w:rPr>
        <w:t>Technologies </w:t>
      </w:r>
      <w:r>
        <w:rPr/>
        <w:t>公司依据《美国</w:t>
      </w:r>
      <w:r>
        <w:rPr>
          <w:spacing w:val="-44"/>
        </w:rPr>
        <w:t> </w:t>
      </w:r>
      <w:r>
        <w:rPr>
          <w:rFonts w:ascii="Times New Roman" w:hAnsi="Times New Roman" w:cs="Times New Roman" w:eastAsia="Times New Roman" w:hint="default"/>
        </w:rPr>
        <w:t>1930 </w:t>
      </w:r>
      <w:r>
        <w:rPr/>
        <w:t>年关税法》第</w:t>
      </w:r>
      <w:r>
        <w:rPr>
          <w:spacing w:val="-45"/>
        </w:rPr>
        <w:t> </w:t>
      </w:r>
      <w:r>
        <w:rPr>
          <w:rFonts w:ascii="Times New Roman" w:hAnsi="Times New Roman" w:cs="Times New Roman" w:eastAsia="Times New Roman" w:hint="default"/>
        </w:rPr>
        <w:t>337 </w:t>
      </w:r>
      <w:r>
        <w:rPr/>
        <w:t>节 规定向美国际贸易委员会提出申请，指控我公司及我国部分同行公司对美出口、在美进口或在美销售的 </w:t>
      </w:r>
      <w:r>
        <w:rPr>
          <w:rFonts w:ascii="Times New Roman" w:hAnsi="Times New Roman" w:cs="Times New Roman" w:eastAsia="Times New Roman" w:hint="default"/>
        </w:rPr>
        <w:t>LED</w:t>
      </w:r>
      <w:r>
        <w:rPr>
          <w:rFonts w:ascii="Times New Roman" w:hAnsi="Times New Roman" w:cs="Times New Roman" w:eastAsia="Times New Roman" w:hint="default"/>
          <w:spacing w:val="-27"/>
        </w:rPr>
        <w:t> </w:t>
      </w:r>
      <w:r>
        <w:rPr/>
        <w:t>灯驱动及其组 件 </w:t>
      </w:r>
      <w:r>
        <w:rPr>
          <w:rFonts w:ascii="Times New Roman" w:hAnsi="Times New Roman" w:cs="Times New Roman" w:eastAsia="Times New Roman" w:hint="default"/>
        </w:rPr>
        <w:t>( CertainLight Engines and Components Thereof)</w:t>
      </w:r>
      <w:r>
        <w:rPr/>
        <w:t>侵犯其专利权。为维护公司声誉，公司 </w:t>
      </w:r>
      <w:r>
        <w:rPr>
          <w:rFonts w:ascii="Times New Roman" w:hAnsi="Times New Roman" w:cs="Times New Roman" w:eastAsia="Times New Roman" w:hint="default"/>
        </w:rPr>
        <w:t>2018 </w:t>
      </w:r>
      <w:r>
        <w:rPr/>
        <w:t>年 </w:t>
      </w:r>
      <w:r>
        <w:rPr>
          <w:rFonts w:ascii="Times New Roman" w:hAnsi="Times New Roman" w:cs="Times New Roman" w:eastAsia="Times New Roman" w:hint="default"/>
        </w:rPr>
        <w:t>3 </w:t>
      </w:r>
      <w:r>
        <w:rPr/>
        <w:t>月 </w:t>
      </w:r>
      <w:r>
        <w:rPr>
          <w:rFonts w:ascii="Times New Roman" w:hAnsi="Times New Roman" w:cs="Times New Roman" w:eastAsia="Times New Roman" w:hint="default"/>
        </w:rPr>
        <w:t>29 </w:t>
      </w:r>
      <w:r>
        <w:rPr>
          <w:rFonts w:ascii="Times New Roman" w:hAnsi="Times New Roman" w:cs="Times New Roman" w:eastAsia="Times New Roman" w:hint="default"/>
          <w:spacing w:val="14"/>
        </w:rPr>
        <w:t> </w:t>
      </w:r>
      <w:r>
        <w:rPr/>
        <w:t>日在巨潮资讯网</w:t>
      </w:r>
    </w:p>
    <w:p>
      <w:pPr>
        <w:pStyle w:val="BodyText"/>
        <w:spacing w:line="309" w:lineRule="auto" w:before="13"/>
        <w:ind w:left="154" w:right="1133"/>
        <w:jc w:val="both"/>
      </w:pPr>
      <w:r>
        <w:rPr/>
        <w:t>（</w:t>
      </w:r>
      <w:hyperlink r:id="rId13">
        <w:r>
          <w:rPr>
            <w:rFonts w:ascii="Times New Roman" w:hAnsi="Times New Roman" w:cs="Times New Roman" w:eastAsia="Times New Roman" w:hint="default"/>
          </w:rPr>
          <w:t>www.cninfo.com.cn</w:t>
        </w:r>
      </w:hyperlink>
      <w:r>
        <w:rPr/>
        <w:t>）发布了公司声明公告。针对上述消息，公司十分重视，正在积极开展相关调查，截止目前，公司未</w:t>
      </w:r>
      <w:r>
        <w:rPr>
          <w:spacing w:val="-32"/>
        </w:rPr>
        <w:t> </w:t>
      </w:r>
      <w:r>
        <w:rPr>
          <w:spacing w:val="-32"/>
        </w:rPr>
      </w:r>
      <w:r>
        <w:rPr>
          <w:spacing w:val="-2"/>
        </w:rPr>
        <w:t>收到正式应诉通知书等相关文件。后期公司将会密切关注相关事项发展，协同国家相关行业协会和组织，采用一切必要的法</w:t>
      </w:r>
      <w:r>
        <w:rPr>
          <w:spacing w:val="-66"/>
        </w:rPr>
        <w:t> </w:t>
      </w:r>
      <w:r>
        <w:rPr>
          <w:spacing w:val="-66"/>
        </w:rPr>
      </w:r>
      <w:r>
        <w:rPr/>
        <w:t>律手段维护公司合法权益。</w:t>
      </w:r>
    </w:p>
    <w:p>
      <w:pPr>
        <w:pStyle w:val="Heading4"/>
        <w:spacing w:line="240" w:lineRule="auto" w:before="62"/>
        <w:ind w:right="0"/>
        <w:jc w:val="left"/>
        <w:rPr>
          <w:b w:val="0"/>
          <w:bCs w:val="0"/>
        </w:rPr>
      </w:pPr>
      <w:r>
        <w:rPr/>
        <w:t>（六）公司</w:t>
      </w:r>
      <w:r>
        <w:rPr>
          <w:rFonts w:ascii="Times New Roman" w:hAnsi="Times New Roman" w:cs="Times New Roman" w:eastAsia="Times New Roman" w:hint="default"/>
        </w:rPr>
        <w:t>2017</w:t>
      </w:r>
      <w:r>
        <w:rPr/>
        <w:t>年经营计划完成情况</w:t>
      </w:r>
      <w:r>
        <w:rPr>
          <w:b w:val="0"/>
          <w:bCs w:val="0"/>
        </w:rPr>
      </w:r>
    </w:p>
    <w:p>
      <w:pPr>
        <w:pStyle w:val="BodyText"/>
        <w:spacing w:line="307" w:lineRule="auto" w:before="103"/>
        <w:ind w:right="1130" w:firstLine="420"/>
        <w:jc w:val="both"/>
      </w:pPr>
      <w:r>
        <w:rPr>
          <w:rFonts w:ascii="Times New Roman" w:hAnsi="Times New Roman" w:cs="Times New Roman" w:eastAsia="Times New Roman" w:hint="default"/>
        </w:rPr>
        <w:t>1</w:t>
      </w:r>
      <w:r>
        <w:rPr/>
        <w:t>、报告期内，公司 </w:t>
      </w:r>
      <w:r>
        <w:rPr>
          <w:rFonts w:ascii="Times New Roman" w:hAnsi="Times New Roman" w:cs="Times New Roman" w:eastAsia="Times New Roman" w:hint="default"/>
        </w:rPr>
        <w:t>LED</w:t>
      </w:r>
      <w:r>
        <w:rPr>
          <w:rFonts w:ascii="Times New Roman" w:hAnsi="Times New Roman" w:cs="Times New Roman" w:eastAsia="Times New Roman" w:hint="default"/>
          <w:spacing w:val="1"/>
        </w:rPr>
        <w:t> </w:t>
      </w:r>
      <w:r>
        <w:rPr/>
        <w:t>应用业务规模大幅增长，新产品市场反响良好，产品核心竞争力进一步强化，子公司间战略 </w:t>
      </w:r>
      <w:r>
        <w:rPr>
          <w:spacing w:val="-2"/>
        </w:rPr>
        <w:t>协同进一步加强，行业地位进一步提升，市场份额进一步扩大，为公司实现跨越式发展的目标作出重大贡献。金融科技业务</w:t>
      </w:r>
      <w:r>
        <w:rPr>
          <w:spacing w:val="-66"/>
        </w:rPr>
        <w:t> </w:t>
      </w:r>
      <w:r>
        <w:rPr>
          <w:spacing w:val="-66"/>
        </w:rPr>
      </w:r>
      <w:r>
        <w:rPr>
          <w:spacing w:val="-2"/>
        </w:rPr>
        <w:t>规模达到历史新高，智慧银行业务进一步提升，初步完成银行智能服务型机器人的研发工作。体育新业务迈出重要一步，体</w:t>
      </w:r>
      <w:r>
        <w:rPr>
          <w:spacing w:val="-66"/>
        </w:rPr>
        <w:t> </w:t>
      </w:r>
      <w:r>
        <w:rPr>
          <w:spacing w:val="-66"/>
        </w:rPr>
      </w:r>
      <w:r>
        <w:rPr/>
        <w:t>育场馆改造业务逐渐落地，创新商业模式逐步成型。报告期内，公司实现营业收入</w:t>
      </w:r>
      <w:r>
        <w:rPr>
          <w:spacing w:val="-65"/>
        </w:rPr>
        <w:t> </w:t>
      </w:r>
      <w:r>
        <w:rPr>
          <w:rFonts w:ascii="Times New Roman" w:hAnsi="Times New Roman" w:cs="Times New Roman" w:eastAsia="Times New Roman" w:hint="default"/>
        </w:rPr>
        <w:t>104,112.40</w:t>
      </w:r>
      <w:r>
        <w:rPr>
          <w:rFonts w:ascii="Times New Roman" w:hAnsi="Times New Roman" w:cs="Times New Roman" w:eastAsia="Times New Roman" w:hint="default"/>
          <w:spacing w:val="-19"/>
        </w:rPr>
        <w:t> </w:t>
      </w:r>
      <w:r>
        <w:rPr/>
        <w:t>万元，同比增长</w:t>
      </w:r>
      <w:r>
        <w:rPr>
          <w:spacing w:val="-65"/>
        </w:rPr>
        <w:t> </w:t>
      </w:r>
      <w:r>
        <w:rPr>
          <w:rFonts w:ascii="Times New Roman" w:hAnsi="Times New Roman" w:cs="Times New Roman" w:eastAsia="Times New Roman" w:hint="default"/>
        </w:rPr>
        <w:t>127.78%</w:t>
      </w:r>
      <w:r>
        <w:rPr/>
        <w:t>；实</w:t>
      </w:r>
      <w:r>
        <w:rPr>
          <w:spacing w:val="-9"/>
        </w:rPr>
        <w:t> </w:t>
      </w:r>
      <w:r>
        <w:rPr/>
        <w:t>现营业利润</w:t>
      </w:r>
      <w:r>
        <w:rPr>
          <w:spacing w:val="-50"/>
        </w:rPr>
        <w:t> </w:t>
      </w:r>
      <w:r>
        <w:rPr>
          <w:rFonts w:ascii="Times New Roman" w:hAnsi="Times New Roman" w:cs="Times New Roman" w:eastAsia="Times New Roman" w:hint="default"/>
        </w:rPr>
        <w:t>14,009.53</w:t>
      </w:r>
      <w:r>
        <w:rPr>
          <w:rFonts w:ascii="Times New Roman" w:hAnsi="Times New Roman" w:cs="Times New Roman" w:eastAsia="Times New Roman" w:hint="default"/>
          <w:spacing w:val="-5"/>
        </w:rPr>
        <w:t> </w:t>
      </w:r>
      <w:r>
        <w:rPr/>
        <w:t>万元，同比增长</w:t>
      </w:r>
      <w:r>
        <w:rPr>
          <w:spacing w:val="-50"/>
        </w:rPr>
        <w:t> </w:t>
      </w:r>
      <w:r>
        <w:rPr>
          <w:rFonts w:ascii="Times New Roman" w:hAnsi="Times New Roman" w:cs="Times New Roman" w:eastAsia="Times New Roman" w:hint="default"/>
        </w:rPr>
        <w:t>50.56%</w:t>
      </w:r>
      <w:r>
        <w:rPr/>
        <w:t>；实现归属于上市公司股东的净利润</w:t>
      </w:r>
      <w:r>
        <w:rPr>
          <w:spacing w:val="-50"/>
        </w:rPr>
        <w:t> </w:t>
      </w:r>
      <w:r>
        <w:rPr>
          <w:rFonts w:ascii="Times New Roman" w:hAnsi="Times New Roman" w:cs="Times New Roman" w:eastAsia="Times New Roman" w:hint="default"/>
        </w:rPr>
        <w:t>13,201.41</w:t>
      </w:r>
      <w:r>
        <w:rPr>
          <w:rFonts w:ascii="Times New Roman" w:hAnsi="Times New Roman" w:cs="Times New Roman" w:eastAsia="Times New Roman" w:hint="default"/>
          <w:spacing w:val="-4"/>
        </w:rPr>
        <w:t> </w:t>
      </w:r>
      <w:r>
        <w:rPr/>
        <w:t>万元，同比增长</w:t>
      </w:r>
      <w:r>
        <w:rPr>
          <w:spacing w:val="-50"/>
        </w:rPr>
        <w:t> </w:t>
      </w:r>
      <w:r>
        <w:rPr>
          <w:rFonts w:ascii="Times New Roman" w:hAnsi="Times New Roman" w:cs="Times New Roman" w:eastAsia="Times New Roman" w:hint="default"/>
        </w:rPr>
        <w:t>53.00%</w:t>
      </w:r>
      <w:r>
        <w:rPr/>
        <w:t>。基本</w:t>
      </w:r>
      <w:r>
        <w:rPr>
          <w:spacing w:val="1"/>
        </w:rPr>
        <w:t> </w:t>
      </w:r>
      <w:r>
        <w:rPr/>
        <w:t>实现</w:t>
      </w:r>
      <w:r>
        <w:rPr>
          <w:spacing w:val="-46"/>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年年初制定的目标。</w:t>
      </w:r>
    </w:p>
    <w:p>
      <w:pPr>
        <w:spacing w:after="0" w:line="307" w:lineRule="auto"/>
        <w:jc w:val="both"/>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02" w:lineRule="auto" w:before="44"/>
        <w:ind w:right="1129" w:firstLine="420"/>
        <w:jc w:val="both"/>
      </w:pPr>
      <w:r>
        <w:rPr>
          <w:rFonts w:ascii="Times New Roman" w:hAnsi="Times New Roman" w:cs="Times New Roman" w:eastAsia="Times New Roman" w:hint="default"/>
        </w:rPr>
        <w:t>2</w:t>
      </w:r>
      <w:r>
        <w:rPr/>
        <w:t>、报告期内，公司实施人才高地战略，并实施了</w:t>
      </w:r>
      <w:r>
        <w:rPr>
          <w:spacing w:val="-38"/>
        </w:rPr>
        <w:t> </w:t>
      </w:r>
      <w:r>
        <w:rPr>
          <w:rFonts w:ascii="Times New Roman" w:hAnsi="Times New Roman" w:cs="Times New Roman" w:eastAsia="Times New Roman" w:hint="default"/>
        </w:rPr>
        <w:t>2017</w:t>
      </w:r>
      <w:r>
        <w:rPr>
          <w:rFonts w:ascii="Times New Roman" w:hAnsi="Times New Roman" w:cs="Times New Roman" w:eastAsia="Times New Roman" w:hint="default"/>
          <w:spacing w:val="6"/>
        </w:rPr>
        <w:t> </w:t>
      </w:r>
      <w:r>
        <w:rPr/>
        <w:t>年股票期权激励计划，向</w:t>
      </w:r>
      <w:r>
        <w:rPr>
          <w:spacing w:val="-39"/>
        </w:rPr>
        <w:t> </w:t>
      </w:r>
      <w:r>
        <w:rPr>
          <w:rFonts w:ascii="Times New Roman" w:hAnsi="Times New Roman" w:cs="Times New Roman" w:eastAsia="Times New Roman" w:hint="default"/>
        </w:rPr>
        <w:t>172</w:t>
      </w:r>
      <w:r>
        <w:rPr>
          <w:rFonts w:ascii="Times New Roman" w:hAnsi="Times New Roman" w:cs="Times New Roman" w:eastAsia="Times New Roman" w:hint="default"/>
          <w:spacing w:val="7"/>
        </w:rPr>
        <w:t> </w:t>
      </w:r>
      <w:r>
        <w:rPr/>
        <w:t>名员工授予</w:t>
      </w:r>
      <w:r>
        <w:rPr>
          <w:spacing w:val="-39"/>
        </w:rPr>
        <w:t> </w:t>
      </w:r>
      <w:r>
        <w:rPr>
          <w:rFonts w:ascii="Times New Roman" w:hAnsi="Times New Roman" w:cs="Times New Roman" w:eastAsia="Times New Roman" w:hint="default"/>
        </w:rPr>
        <w:t>500</w:t>
      </w:r>
      <w:r>
        <w:rPr>
          <w:rFonts w:ascii="Times New Roman" w:hAnsi="Times New Roman" w:cs="Times New Roman" w:eastAsia="Times New Roman" w:hint="default"/>
          <w:spacing w:val="6"/>
        </w:rPr>
        <w:t> </w:t>
      </w:r>
      <w:r>
        <w:rPr/>
        <w:t>万份股票期权， 有效促进核心员工的工作积极性，增强员工与公司的粘性，为未来发展打下良好基础。</w:t>
      </w:r>
    </w:p>
    <w:p>
      <w:pPr>
        <w:pStyle w:val="BodyText"/>
        <w:spacing w:line="302" w:lineRule="auto" w:before="68"/>
        <w:ind w:right="1131" w:firstLine="420"/>
        <w:jc w:val="both"/>
      </w:pPr>
      <w:r>
        <w:rPr>
          <w:rFonts w:ascii="Times New Roman" w:hAnsi="Times New Roman" w:cs="Times New Roman" w:eastAsia="Times New Roman" w:hint="default"/>
          <w:spacing w:val="-1"/>
        </w:rPr>
        <w:t>3</w:t>
      </w:r>
      <w:r>
        <w:rPr>
          <w:spacing w:val="-1"/>
        </w:rPr>
        <w:t>、企业文化建设成果显著，</w:t>
      </w:r>
      <w:r>
        <w:rPr>
          <w:rFonts w:ascii="Times New Roman" w:hAnsi="Times New Roman" w:cs="Times New Roman" w:eastAsia="Times New Roman" w:hint="default"/>
          <w:spacing w:val="-1"/>
        </w:rPr>
        <w:t>24</w:t>
      </w:r>
      <w:r>
        <w:rPr>
          <w:rFonts w:ascii="Times New Roman" w:hAnsi="Times New Roman" w:cs="Times New Roman" w:eastAsia="Times New Roman" w:hint="default"/>
          <w:spacing w:val="21"/>
        </w:rPr>
        <w:t> </w:t>
      </w:r>
      <w:r>
        <w:rPr>
          <w:spacing w:val="-3"/>
        </w:rPr>
        <w:t>周年庆活动增强员工凝聚力，《奥拓人》期刊和奥拓学院加强员工对公司核心价值观的</w:t>
      </w:r>
      <w:r>
        <w:rPr/>
        <w:t> 认可度，对千百辉、奥拓立翔的投后整合初见成效。</w:t>
      </w:r>
    </w:p>
    <w:p>
      <w:pPr>
        <w:pStyle w:val="BodyText"/>
        <w:spacing w:line="302" w:lineRule="auto" w:before="69"/>
        <w:ind w:left="154" w:right="1131" w:firstLine="420"/>
        <w:jc w:val="both"/>
      </w:pPr>
      <w:r>
        <w:rPr>
          <w:rFonts w:ascii="Times New Roman" w:hAnsi="Times New Roman" w:cs="Times New Roman" w:eastAsia="Times New Roman" w:hint="default"/>
        </w:rPr>
        <w:t>4</w:t>
      </w:r>
      <w:r>
        <w:rPr/>
        <w:t>、集团化管理持续完善，</w:t>
      </w:r>
      <w:r>
        <w:rPr>
          <w:spacing w:val="-28"/>
        </w:rPr>
        <w:t> </w:t>
      </w:r>
      <w:r>
        <w:rPr>
          <w:rFonts w:ascii="Times New Roman" w:hAnsi="Times New Roman" w:cs="Times New Roman" w:eastAsia="Times New Roman" w:hint="default"/>
        </w:rPr>
        <w:t>ERP</w:t>
      </w:r>
      <w:r>
        <w:rPr>
          <w:rFonts w:ascii="Times New Roman" w:hAnsi="Times New Roman" w:cs="Times New Roman" w:eastAsia="Times New Roman" w:hint="default"/>
          <w:spacing w:val="-11"/>
        </w:rPr>
        <w:t> </w:t>
      </w:r>
      <w:r>
        <w:rPr>
          <w:spacing w:val="-3"/>
        </w:rPr>
        <w:t>系统、</w:t>
      </w:r>
      <w:r>
        <w:rPr>
          <w:rFonts w:ascii="Times New Roman" w:hAnsi="Times New Roman" w:cs="Times New Roman" w:eastAsia="Times New Roman" w:hint="default"/>
          <w:spacing w:val="-3"/>
        </w:rPr>
        <w:t>CRM</w:t>
      </w:r>
      <w:r>
        <w:rPr>
          <w:rFonts w:ascii="Times New Roman" w:hAnsi="Times New Roman" w:cs="Times New Roman" w:eastAsia="Times New Roman" w:hint="default"/>
          <w:spacing w:val="-10"/>
        </w:rPr>
        <w:t> </w:t>
      </w:r>
      <w:r>
        <w:rPr/>
        <w:t>系统推进实施，信息化管理平台有效提高公司运营效率，增强各业务板块 间的战略协同。</w:t>
      </w:r>
    </w:p>
    <w:p>
      <w:pPr>
        <w:pStyle w:val="BodyText"/>
        <w:spacing w:line="300" w:lineRule="auto" w:before="68"/>
        <w:ind w:left="154" w:right="1130" w:firstLine="420"/>
        <w:jc w:val="both"/>
      </w:pPr>
      <w:r>
        <w:rPr>
          <w:rFonts w:ascii="Times New Roman" w:hAnsi="Times New Roman" w:cs="Times New Roman" w:eastAsia="Times New Roman" w:hint="default"/>
          <w:spacing w:val="-2"/>
        </w:rPr>
        <w:t>5</w:t>
      </w:r>
      <w:r>
        <w:rPr>
          <w:spacing w:val="-2"/>
        </w:rPr>
        <w:t>、加快推进外延式发展，整合行业优质资源。报告期内，公司与深圳市立翔慧科光电科技有限公司共同投资设立奥拓</w:t>
      </w:r>
      <w:r>
        <w:rPr/>
        <w:t> </w:t>
      </w:r>
      <w:r>
        <w:rPr>
          <w:spacing w:val="-3"/>
        </w:rPr>
        <w:t>立翔，强化公司</w:t>
      </w:r>
      <w:r>
        <w:rPr>
          <w:spacing w:val="-56"/>
        </w:rPr>
        <w:t> </w:t>
      </w:r>
      <w:r>
        <w:rPr>
          <w:rFonts w:ascii="Times New Roman" w:hAnsi="Times New Roman" w:cs="Times New Roman" w:eastAsia="Times New Roman" w:hint="default"/>
        </w:rPr>
        <w:t>LED</w:t>
      </w:r>
      <w:r>
        <w:rPr>
          <w:rFonts w:ascii="Times New Roman" w:hAnsi="Times New Roman" w:cs="Times New Roman" w:eastAsia="Times New Roman" w:hint="default"/>
          <w:spacing w:val="-11"/>
        </w:rPr>
        <w:t> </w:t>
      </w:r>
      <w:r>
        <w:rPr/>
        <w:t>创意显示领域的竞争力，有效提升了公司</w:t>
      </w:r>
      <w:r>
        <w:rPr>
          <w:spacing w:val="-56"/>
        </w:rPr>
        <w:t> </w:t>
      </w:r>
      <w:r>
        <w:rPr>
          <w:rFonts w:ascii="Times New Roman" w:hAnsi="Times New Roman" w:cs="Times New Roman" w:eastAsia="Times New Roman" w:hint="default"/>
        </w:rPr>
        <w:t>LED</w:t>
      </w:r>
      <w:r>
        <w:rPr>
          <w:rFonts w:ascii="Times New Roman" w:hAnsi="Times New Roman" w:cs="Times New Roman" w:eastAsia="Times New Roman" w:hint="default"/>
          <w:spacing w:val="-11"/>
        </w:rPr>
        <w:t> </w:t>
      </w:r>
      <w:r>
        <w:rPr/>
        <w:t>应用业务的规模及地位；同时，公司全资孙公司深圳前 海奥拓体育文化投资有限公司参股投资了深圳市热炼控股有限责任公司，进一步推动公司体育场馆改造业务的快速发展。</w:t>
      </w:r>
    </w:p>
    <w:p>
      <w:pPr>
        <w:spacing w:line="240" w:lineRule="auto" w:before="7"/>
        <w:rPr>
          <w:rFonts w:ascii="宋体" w:hAnsi="宋体" w:cs="宋体" w:eastAsia="宋体" w:hint="default"/>
          <w:sz w:val="21"/>
          <w:szCs w:val="21"/>
        </w:rPr>
      </w:pPr>
    </w:p>
    <w:p>
      <w:pPr>
        <w:pStyle w:val="Heading2"/>
        <w:spacing w:line="240" w:lineRule="auto"/>
        <w:ind w:right="0"/>
        <w:jc w:val="left"/>
        <w:rPr>
          <w:b w:val="0"/>
          <w:bCs w:val="0"/>
        </w:rPr>
      </w:pPr>
      <w:bookmarkStart w:name="十、接待调研、沟通、采访等活动" w:id="59"/>
      <w:bookmarkEnd w:id="59"/>
      <w:r>
        <w:rPr>
          <w:b w:val="0"/>
          <w:bCs w:val="0"/>
        </w:rPr>
      </w:r>
      <w:r>
        <w:rPr/>
        <w:t>十、接待调研、沟通、采访等活动</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left="153" w:right="0"/>
        <w:jc w:val="left"/>
        <w:rPr>
          <w:b w:val="0"/>
          <w:bCs w:val="0"/>
        </w:rPr>
      </w:pPr>
      <w:bookmarkStart w:name="1、报告期内接待调研、沟通、采访等活动登记表" w:id="60"/>
      <w:bookmarkEnd w:id="60"/>
      <w:r>
        <w:rPr>
          <w:b w:val="0"/>
          <w:bCs w:val="0"/>
        </w:rPr>
      </w:r>
      <w:r>
        <w:rPr>
          <w:rFonts w:ascii="Times New Roman" w:hAnsi="Times New Roman" w:cs="Times New Roman" w:eastAsia="Times New Roman" w:hint="default"/>
        </w:rPr>
        <w:t>1</w:t>
      </w:r>
      <w:r>
        <w:rPr/>
        <w:t>、报告期内接待调研、沟通、采访等活动登记表</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3"/>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2178"/>
        <w:gridCol w:w="2177"/>
        <w:gridCol w:w="2177"/>
        <w:gridCol w:w="3038"/>
      </w:tblGrid>
      <w:tr>
        <w:trPr>
          <w:trHeight w:val="401" w:hRule="exact"/>
        </w:trPr>
        <w:tc>
          <w:tcPr>
            <w:tcW w:w="21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接待时间</w:t>
            </w:r>
          </w:p>
        </w:tc>
        <w:tc>
          <w:tcPr>
            <w:tcW w:w="2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接待方式</w:t>
            </w:r>
          </w:p>
        </w:tc>
        <w:tc>
          <w:tcPr>
            <w:tcW w:w="2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43" w:right="0"/>
              <w:jc w:val="left"/>
              <w:rPr>
                <w:rFonts w:ascii="宋体" w:hAnsi="宋体" w:cs="宋体" w:eastAsia="宋体" w:hint="default"/>
                <w:sz w:val="18"/>
                <w:szCs w:val="18"/>
              </w:rPr>
            </w:pPr>
            <w:r>
              <w:rPr>
                <w:rFonts w:ascii="宋体" w:hAnsi="宋体" w:cs="宋体" w:eastAsia="宋体" w:hint="default"/>
                <w:sz w:val="18"/>
                <w:szCs w:val="18"/>
              </w:rPr>
              <w:t>接待对象类型</w:t>
            </w:r>
          </w:p>
        </w:tc>
        <w:tc>
          <w:tcPr>
            <w:tcW w:w="30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04" w:right="0"/>
              <w:jc w:val="left"/>
              <w:rPr>
                <w:rFonts w:ascii="宋体" w:hAnsi="宋体" w:cs="宋体" w:eastAsia="宋体" w:hint="default"/>
                <w:sz w:val="18"/>
                <w:szCs w:val="18"/>
              </w:rPr>
            </w:pPr>
            <w:r>
              <w:rPr>
                <w:rFonts w:ascii="宋体" w:hAnsi="宋体" w:cs="宋体" w:eastAsia="宋体" w:hint="default"/>
                <w:sz w:val="18"/>
                <w:szCs w:val="18"/>
              </w:rPr>
              <w:t>调研的基本情况索引</w:t>
            </w:r>
          </w:p>
        </w:tc>
      </w:tr>
      <w:tr>
        <w:trPr>
          <w:trHeight w:val="1026"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3" w:right="20"/>
              <w:jc w:val="both"/>
              <w:rPr>
                <w:rFonts w:ascii="宋体" w:hAnsi="宋体" w:cs="宋体" w:eastAsia="宋体" w:hint="default"/>
                <w:sz w:val="18"/>
                <w:szCs w:val="18"/>
              </w:rPr>
            </w:pPr>
            <w:r>
              <w:rPr>
                <w:rFonts w:ascii="宋体" w:hAnsi="宋体" w:cs="宋体" w:eastAsia="宋体" w:hint="default"/>
                <w:spacing w:val="-5"/>
                <w:w w:val="99"/>
                <w:sz w:val="18"/>
                <w:szCs w:val="18"/>
              </w:rPr>
              <w:t>巨潮资讯网（</w:t>
            </w:r>
            <w:hyperlink r:id="rId13">
              <w:r>
                <w:rPr>
                  <w:rFonts w:ascii="Times New Roman" w:hAnsi="Times New Roman" w:cs="Times New Roman" w:eastAsia="Times New Roman" w:hint="default"/>
                  <w:spacing w:val="-5"/>
                  <w:w w:val="99"/>
                  <w:sz w:val="18"/>
                  <w:szCs w:val="18"/>
                </w:rPr>
                <w:t>www.cninfo.com.cn</w:t>
              </w:r>
            </w:hyperlink>
            <w:r>
              <w:rPr>
                <w:rFonts w:ascii="宋体" w:hAnsi="宋体" w:cs="宋体" w:eastAsia="宋体" w:hint="default"/>
                <w:spacing w:val="-5"/>
                <w:w w:val="99"/>
                <w:sz w:val="18"/>
                <w:szCs w:val="18"/>
              </w:rPr>
              <w:t>）《奥</w:t>
            </w:r>
            <w:r>
              <w:rPr>
                <w:rFonts w:ascii="宋体" w:hAnsi="宋体" w:cs="宋体" w:eastAsia="宋体" w:hint="default"/>
                <w:spacing w:val="-69"/>
                <w:w w:val="99"/>
                <w:sz w:val="18"/>
                <w:szCs w:val="18"/>
              </w:rPr>
              <w:t> </w:t>
            </w:r>
            <w:r>
              <w:rPr>
                <w:rFonts w:ascii="宋体" w:hAnsi="宋体" w:cs="宋体" w:eastAsia="宋体" w:hint="default"/>
                <w:spacing w:val="-69"/>
                <w:w w:val="99"/>
                <w:sz w:val="18"/>
                <w:szCs w:val="18"/>
              </w:rPr>
            </w:r>
            <w:r>
              <w:rPr>
                <w:rFonts w:ascii="宋体" w:hAnsi="宋体" w:cs="宋体" w:eastAsia="宋体" w:hint="default"/>
                <w:spacing w:val="-5"/>
                <w:sz w:val="18"/>
                <w:szCs w:val="18"/>
              </w:rPr>
              <w:t>拓电子：</w:t>
            </w:r>
            <w:r>
              <w:rPr>
                <w:rFonts w:ascii="Times New Roman" w:hAnsi="Times New Roman" w:cs="Times New Roman" w:eastAsia="Times New Roman" w:hint="default"/>
                <w:spacing w:val="-5"/>
                <w:sz w:val="18"/>
                <w:szCs w:val="18"/>
              </w:rPr>
              <w:t>2017</w:t>
            </w:r>
            <w:r>
              <w:rPr>
                <w:rFonts w:ascii="Times New Roman" w:hAnsi="Times New Roman" w:cs="Times New Roman" w:eastAsia="Times New Roman" w:hint="default"/>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 </w:t>
            </w:r>
            <w:r>
              <w:rPr>
                <w:rFonts w:ascii="宋体" w:hAnsi="宋体" w:cs="宋体" w:eastAsia="宋体" w:hint="default"/>
                <w:sz w:val="18"/>
                <w:szCs w:val="18"/>
              </w:rPr>
              <w:t>日投资者关系 活动记录表》</w:t>
            </w:r>
          </w:p>
        </w:tc>
      </w:tr>
      <w:tr>
        <w:trPr>
          <w:trHeight w:val="1026"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3" w:right="20"/>
              <w:jc w:val="both"/>
              <w:rPr>
                <w:rFonts w:ascii="宋体" w:hAnsi="宋体" w:cs="宋体" w:eastAsia="宋体" w:hint="default"/>
                <w:sz w:val="18"/>
                <w:szCs w:val="18"/>
              </w:rPr>
            </w:pPr>
            <w:r>
              <w:rPr>
                <w:rFonts w:ascii="宋体" w:hAnsi="宋体" w:cs="宋体" w:eastAsia="宋体" w:hint="default"/>
                <w:spacing w:val="-5"/>
                <w:w w:val="99"/>
                <w:sz w:val="18"/>
                <w:szCs w:val="18"/>
              </w:rPr>
              <w:t>巨潮资讯网（</w:t>
            </w:r>
            <w:hyperlink r:id="rId13">
              <w:r>
                <w:rPr>
                  <w:rFonts w:ascii="Times New Roman" w:hAnsi="Times New Roman" w:cs="Times New Roman" w:eastAsia="Times New Roman" w:hint="default"/>
                  <w:spacing w:val="-5"/>
                  <w:w w:val="99"/>
                  <w:sz w:val="18"/>
                  <w:szCs w:val="18"/>
                </w:rPr>
                <w:t>www.cninfo.com.cn</w:t>
              </w:r>
            </w:hyperlink>
            <w:r>
              <w:rPr>
                <w:rFonts w:ascii="宋体" w:hAnsi="宋体" w:cs="宋体" w:eastAsia="宋体" w:hint="default"/>
                <w:spacing w:val="-5"/>
                <w:w w:val="99"/>
                <w:sz w:val="18"/>
                <w:szCs w:val="18"/>
              </w:rPr>
              <w:t>）《奥</w:t>
            </w:r>
            <w:r>
              <w:rPr>
                <w:rFonts w:ascii="宋体" w:hAnsi="宋体" w:cs="宋体" w:eastAsia="宋体" w:hint="default"/>
                <w:spacing w:val="-69"/>
                <w:w w:val="99"/>
                <w:sz w:val="18"/>
                <w:szCs w:val="18"/>
              </w:rPr>
              <w:t> </w:t>
            </w:r>
            <w:r>
              <w:rPr>
                <w:rFonts w:ascii="宋体" w:hAnsi="宋体" w:cs="宋体" w:eastAsia="宋体" w:hint="default"/>
                <w:spacing w:val="-69"/>
                <w:w w:val="99"/>
                <w:sz w:val="18"/>
                <w:szCs w:val="18"/>
              </w:rPr>
            </w:r>
            <w:r>
              <w:rPr>
                <w:rFonts w:ascii="宋体" w:hAnsi="宋体" w:cs="宋体" w:eastAsia="宋体" w:hint="default"/>
                <w:spacing w:val="-5"/>
                <w:sz w:val="18"/>
                <w:szCs w:val="18"/>
              </w:rPr>
              <w:t>拓电子：</w:t>
            </w:r>
            <w:r>
              <w:rPr>
                <w:rFonts w:ascii="Times New Roman" w:hAnsi="Times New Roman" w:cs="Times New Roman" w:eastAsia="Times New Roman" w:hint="default"/>
                <w:spacing w:val="-5"/>
                <w:sz w:val="18"/>
                <w:szCs w:val="18"/>
              </w:rPr>
              <w:t>2017</w:t>
            </w:r>
            <w:r>
              <w:rPr>
                <w:rFonts w:ascii="Times New Roman" w:hAnsi="Times New Roman" w:cs="Times New Roman" w:eastAsia="Times New Roman" w:hint="default"/>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日投资者关系 活动记录表》</w:t>
            </w:r>
          </w:p>
        </w:tc>
      </w:tr>
      <w:tr>
        <w:trPr>
          <w:trHeight w:val="1026"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3" w:right="20"/>
              <w:jc w:val="both"/>
              <w:rPr>
                <w:rFonts w:ascii="宋体" w:hAnsi="宋体" w:cs="宋体" w:eastAsia="宋体" w:hint="default"/>
                <w:sz w:val="18"/>
                <w:szCs w:val="18"/>
              </w:rPr>
            </w:pPr>
            <w:r>
              <w:rPr>
                <w:rFonts w:ascii="宋体" w:hAnsi="宋体" w:cs="宋体" w:eastAsia="宋体" w:hint="default"/>
                <w:spacing w:val="-5"/>
                <w:w w:val="99"/>
                <w:sz w:val="18"/>
                <w:szCs w:val="18"/>
              </w:rPr>
              <w:t>巨潮资讯网（</w:t>
            </w:r>
            <w:hyperlink r:id="rId13">
              <w:r>
                <w:rPr>
                  <w:rFonts w:ascii="Times New Roman" w:hAnsi="Times New Roman" w:cs="Times New Roman" w:eastAsia="Times New Roman" w:hint="default"/>
                  <w:spacing w:val="-5"/>
                  <w:w w:val="99"/>
                  <w:sz w:val="18"/>
                  <w:szCs w:val="18"/>
                </w:rPr>
                <w:t>www.cninfo.com.cn</w:t>
              </w:r>
            </w:hyperlink>
            <w:r>
              <w:rPr>
                <w:rFonts w:ascii="宋体" w:hAnsi="宋体" w:cs="宋体" w:eastAsia="宋体" w:hint="default"/>
                <w:spacing w:val="-5"/>
                <w:w w:val="99"/>
                <w:sz w:val="18"/>
                <w:szCs w:val="18"/>
              </w:rPr>
              <w:t>）《奥</w:t>
            </w:r>
            <w:r>
              <w:rPr>
                <w:rFonts w:ascii="宋体" w:hAnsi="宋体" w:cs="宋体" w:eastAsia="宋体" w:hint="default"/>
                <w:spacing w:val="-69"/>
                <w:w w:val="99"/>
                <w:sz w:val="18"/>
                <w:szCs w:val="18"/>
              </w:rPr>
              <w:t> </w:t>
            </w:r>
            <w:r>
              <w:rPr>
                <w:rFonts w:ascii="宋体" w:hAnsi="宋体" w:cs="宋体" w:eastAsia="宋体" w:hint="default"/>
                <w:spacing w:val="-69"/>
                <w:w w:val="99"/>
                <w:sz w:val="18"/>
                <w:szCs w:val="18"/>
              </w:rPr>
            </w:r>
            <w:r>
              <w:rPr>
                <w:rFonts w:ascii="宋体" w:hAnsi="宋体" w:cs="宋体" w:eastAsia="宋体" w:hint="default"/>
                <w:sz w:val="18"/>
                <w:szCs w:val="18"/>
              </w:rPr>
              <w:t>拓电子：</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日投资者关系 活动记录表》</w:t>
            </w:r>
          </w:p>
        </w:tc>
      </w:tr>
      <w:tr>
        <w:trPr>
          <w:trHeight w:val="1026"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3" w:right="20"/>
              <w:jc w:val="both"/>
              <w:rPr>
                <w:rFonts w:ascii="宋体" w:hAnsi="宋体" w:cs="宋体" w:eastAsia="宋体" w:hint="default"/>
                <w:sz w:val="18"/>
                <w:szCs w:val="18"/>
              </w:rPr>
            </w:pPr>
            <w:r>
              <w:rPr>
                <w:rFonts w:ascii="宋体" w:hAnsi="宋体" w:cs="宋体" w:eastAsia="宋体" w:hint="default"/>
                <w:spacing w:val="-5"/>
                <w:w w:val="99"/>
                <w:sz w:val="18"/>
                <w:szCs w:val="18"/>
              </w:rPr>
              <w:t>巨潮资讯网（</w:t>
            </w:r>
            <w:hyperlink r:id="rId13">
              <w:r>
                <w:rPr>
                  <w:rFonts w:ascii="Times New Roman" w:hAnsi="Times New Roman" w:cs="Times New Roman" w:eastAsia="Times New Roman" w:hint="default"/>
                  <w:spacing w:val="-5"/>
                  <w:w w:val="99"/>
                  <w:sz w:val="18"/>
                  <w:szCs w:val="18"/>
                </w:rPr>
                <w:t>www.cninfo.com.cn</w:t>
              </w:r>
            </w:hyperlink>
            <w:r>
              <w:rPr>
                <w:rFonts w:ascii="宋体" w:hAnsi="宋体" w:cs="宋体" w:eastAsia="宋体" w:hint="default"/>
                <w:spacing w:val="-5"/>
                <w:w w:val="99"/>
                <w:sz w:val="18"/>
                <w:szCs w:val="18"/>
              </w:rPr>
              <w:t>）《奥</w:t>
            </w:r>
            <w:r>
              <w:rPr>
                <w:rFonts w:ascii="宋体" w:hAnsi="宋体" w:cs="宋体" w:eastAsia="宋体" w:hint="default"/>
                <w:spacing w:val="-69"/>
                <w:w w:val="99"/>
                <w:sz w:val="18"/>
                <w:szCs w:val="18"/>
              </w:rPr>
              <w:t> </w:t>
            </w:r>
            <w:r>
              <w:rPr>
                <w:rFonts w:ascii="宋体" w:hAnsi="宋体" w:cs="宋体" w:eastAsia="宋体" w:hint="default"/>
                <w:spacing w:val="-69"/>
                <w:w w:val="99"/>
                <w:sz w:val="18"/>
                <w:szCs w:val="18"/>
              </w:rPr>
            </w:r>
            <w:r>
              <w:rPr>
                <w:rFonts w:ascii="宋体" w:hAnsi="宋体" w:cs="宋体" w:eastAsia="宋体" w:hint="default"/>
                <w:spacing w:val="-5"/>
                <w:sz w:val="18"/>
                <w:szCs w:val="18"/>
              </w:rPr>
              <w:t>拓电子：</w:t>
            </w:r>
            <w:r>
              <w:rPr>
                <w:rFonts w:ascii="Times New Roman" w:hAnsi="Times New Roman" w:cs="Times New Roman" w:eastAsia="Times New Roman" w:hint="default"/>
                <w:spacing w:val="-5"/>
                <w:sz w:val="18"/>
                <w:szCs w:val="18"/>
              </w:rPr>
              <w:t>2017</w:t>
            </w:r>
            <w:r>
              <w:rPr>
                <w:rFonts w:ascii="Times New Roman" w:hAnsi="Times New Roman" w:cs="Times New Roman" w:eastAsia="Times New Roman" w:hint="default"/>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日投资者关系 活动记录表》</w:t>
            </w:r>
          </w:p>
        </w:tc>
      </w:tr>
      <w:tr>
        <w:trPr>
          <w:trHeight w:val="1026"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3" w:right="20"/>
              <w:jc w:val="both"/>
              <w:rPr>
                <w:rFonts w:ascii="宋体" w:hAnsi="宋体" w:cs="宋体" w:eastAsia="宋体" w:hint="default"/>
                <w:sz w:val="18"/>
                <w:szCs w:val="18"/>
              </w:rPr>
            </w:pPr>
            <w:r>
              <w:rPr>
                <w:rFonts w:ascii="宋体" w:hAnsi="宋体" w:cs="宋体" w:eastAsia="宋体" w:hint="default"/>
                <w:spacing w:val="-5"/>
                <w:w w:val="99"/>
                <w:sz w:val="18"/>
                <w:szCs w:val="18"/>
              </w:rPr>
              <w:t>巨潮资讯网（</w:t>
            </w:r>
            <w:hyperlink r:id="rId13">
              <w:r>
                <w:rPr>
                  <w:rFonts w:ascii="Times New Roman" w:hAnsi="Times New Roman" w:cs="Times New Roman" w:eastAsia="Times New Roman" w:hint="default"/>
                  <w:spacing w:val="-5"/>
                  <w:w w:val="99"/>
                  <w:sz w:val="18"/>
                  <w:szCs w:val="18"/>
                </w:rPr>
                <w:t>www.cninfo.com.cn</w:t>
              </w:r>
            </w:hyperlink>
            <w:r>
              <w:rPr>
                <w:rFonts w:ascii="宋体" w:hAnsi="宋体" w:cs="宋体" w:eastAsia="宋体" w:hint="default"/>
                <w:spacing w:val="-5"/>
                <w:w w:val="99"/>
                <w:sz w:val="18"/>
                <w:szCs w:val="18"/>
              </w:rPr>
              <w:t>）《奥</w:t>
            </w:r>
            <w:r>
              <w:rPr>
                <w:rFonts w:ascii="宋体" w:hAnsi="宋体" w:cs="宋体" w:eastAsia="宋体" w:hint="default"/>
                <w:spacing w:val="-69"/>
                <w:w w:val="99"/>
                <w:sz w:val="18"/>
                <w:szCs w:val="18"/>
              </w:rPr>
              <w:t> </w:t>
            </w:r>
            <w:r>
              <w:rPr>
                <w:rFonts w:ascii="宋体" w:hAnsi="宋体" w:cs="宋体" w:eastAsia="宋体" w:hint="default"/>
                <w:spacing w:val="-69"/>
                <w:w w:val="99"/>
                <w:sz w:val="18"/>
                <w:szCs w:val="18"/>
              </w:rPr>
            </w:r>
            <w:r>
              <w:rPr>
                <w:rFonts w:ascii="宋体" w:hAnsi="宋体" w:cs="宋体" w:eastAsia="宋体" w:hint="default"/>
                <w:sz w:val="18"/>
                <w:szCs w:val="18"/>
              </w:rPr>
              <w:t>拓电子：</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日投资者关系 活动记录表》</w:t>
            </w:r>
          </w:p>
        </w:tc>
      </w:tr>
      <w:tr>
        <w:trPr>
          <w:trHeight w:val="1026"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3" w:right="20"/>
              <w:jc w:val="left"/>
              <w:rPr>
                <w:rFonts w:ascii="宋体" w:hAnsi="宋体" w:cs="宋体" w:eastAsia="宋体" w:hint="default"/>
                <w:sz w:val="18"/>
                <w:szCs w:val="18"/>
              </w:rPr>
            </w:pPr>
            <w:r>
              <w:rPr>
                <w:rFonts w:ascii="宋体" w:hAnsi="宋体" w:cs="宋体" w:eastAsia="宋体" w:hint="default"/>
                <w:spacing w:val="-5"/>
                <w:w w:val="99"/>
                <w:sz w:val="18"/>
                <w:szCs w:val="18"/>
              </w:rPr>
              <w:t>巨潮资讯网（</w:t>
            </w:r>
            <w:hyperlink r:id="rId13">
              <w:r>
                <w:rPr>
                  <w:rFonts w:ascii="Times New Roman" w:hAnsi="Times New Roman" w:cs="Times New Roman" w:eastAsia="Times New Roman" w:hint="default"/>
                  <w:spacing w:val="-5"/>
                  <w:w w:val="99"/>
                  <w:sz w:val="18"/>
                  <w:szCs w:val="18"/>
                </w:rPr>
                <w:t>www.cninfo.com.cn</w:t>
              </w:r>
            </w:hyperlink>
            <w:r>
              <w:rPr>
                <w:rFonts w:ascii="宋体" w:hAnsi="宋体" w:cs="宋体" w:eastAsia="宋体" w:hint="default"/>
                <w:spacing w:val="-5"/>
                <w:w w:val="99"/>
                <w:sz w:val="18"/>
                <w:szCs w:val="18"/>
              </w:rPr>
              <w:t>）《奥</w:t>
            </w:r>
            <w:r>
              <w:rPr>
                <w:rFonts w:ascii="宋体" w:hAnsi="宋体" w:cs="宋体" w:eastAsia="宋体" w:hint="default"/>
                <w:spacing w:val="-69"/>
                <w:w w:val="99"/>
                <w:sz w:val="18"/>
                <w:szCs w:val="18"/>
              </w:rPr>
              <w:t> </w:t>
            </w:r>
            <w:r>
              <w:rPr>
                <w:rFonts w:ascii="宋体" w:hAnsi="宋体" w:cs="宋体" w:eastAsia="宋体" w:hint="default"/>
                <w:spacing w:val="-69"/>
                <w:w w:val="99"/>
                <w:sz w:val="18"/>
                <w:szCs w:val="18"/>
              </w:rPr>
            </w:r>
            <w:r>
              <w:rPr>
                <w:rFonts w:ascii="宋体" w:hAnsi="宋体" w:cs="宋体" w:eastAsia="宋体" w:hint="default"/>
                <w:sz w:val="18"/>
                <w:szCs w:val="18"/>
              </w:rPr>
              <w:t>拓电子：</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日投资者关 系活动记录表》</w:t>
            </w:r>
          </w:p>
        </w:tc>
      </w:tr>
      <w:tr>
        <w:trPr>
          <w:trHeight w:val="1027"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3" w:right="20"/>
              <w:jc w:val="both"/>
              <w:rPr>
                <w:rFonts w:ascii="宋体" w:hAnsi="宋体" w:cs="宋体" w:eastAsia="宋体" w:hint="default"/>
                <w:sz w:val="18"/>
                <w:szCs w:val="18"/>
              </w:rPr>
            </w:pPr>
            <w:r>
              <w:rPr>
                <w:rFonts w:ascii="宋体" w:hAnsi="宋体" w:cs="宋体" w:eastAsia="宋体" w:hint="default"/>
                <w:spacing w:val="-5"/>
                <w:w w:val="99"/>
                <w:sz w:val="18"/>
                <w:szCs w:val="18"/>
              </w:rPr>
              <w:t>巨潮资讯网（</w:t>
            </w:r>
            <w:hyperlink r:id="rId13">
              <w:r>
                <w:rPr>
                  <w:rFonts w:ascii="Times New Roman" w:hAnsi="Times New Roman" w:cs="Times New Roman" w:eastAsia="Times New Roman" w:hint="default"/>
                  <w:spacing w:val="-5"/>
                  <w:w w:val="99"/>
                  <w:sz w:val="18"/>
                  <w:szCs w:val="18"/>
                </w:rPr>
                <w:t>www.cninfo.com.cn</w:t>
              </w:r>
            </w:hyperlink>
            <w:r>
              <w:rPr>
                <w:rFonts w:ascii="宋体" w:hAnsi="宋体" w:cs="宋体" w:eastAsia="宋体" w:hint="default"/>
                <w:spacing w:val="-5"/>
                <w:w w:val="99"/>
                <w:sz w:val="18"/>
                <w:szCs w:val="18"/>
              </w:rPr>
              <w:t>）《奥</w:t>
            </w:r>
            <w:r>
              <w:rPr>
                <w:rFonts w:ascii="宋体" w:hAnsi="宋体" w:cs="宋体" w:eastAsia="宋体" w:hint="default"/>
                <w:spacing w:val="-69"/>
                <w:w w:val="99"/>
                <w:sz w:val="18"/>
                <w:szCs w:val="18"/>
              </w:rPr>
              <w:t> </w:t>
            </w:r>
            <w:r>
              <w:rPr>
                <w:rFonts w:ascii="宋体" w:hAnsi="宋体" w:cs="宋体" w:eastAsia="宋体" w:hint="default"/>
                <w:spacing w:val="-69"/>
                <w:w w:val="99"/>
                <w:sz w:val="18"/>
                <w:szCs w:val="18"/>
              </w:rPr>
            </w:r>
            <w:r>
              <w:rPr>
                <w:rFonts w:ascii="宋体" w:hAnsi="宋体" w:cs="宋体" w:eastAsia="宋体" w:hint="default"/>
                <w:sz w:val="18"/>
                <w:szCs w:val="18"/>
              </w:rPr>
              <w:t>拓电子：</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日投资者关 系活动记录表》</w:t>
            </w:r>
          </w:p>
        </w:tc>
      </w:tr>
    </w:tbl>
    <w:p>
      <w:pPr>
        <w:spacing w:after="0" w:line="300" w:lineRule="auto"/>
        <w:jc w:val="both"/>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left="3064" w:right="4042"/>
        <w:jc w:val="center"/>
        <w:rPr>
          <w:b w:val="0"/>
          <w:bCs w:val="0"/>
        </w:rPr>
      </w:pPr>
      <w:bookmarkStart w:name="第五节 重要事项" w:id="61"/>
      <w:bookmarkEnd w:id="61"/>
      <w:r>
        <w:rPr>
          <w:b w:val="0"/>
          <w:bCs w:val="0"/>
        </w:rPr>
      </w:r>
      <w:bookmarkStart w:name="_bookmark3" w:id="62"/>
      <w:bookmarkEnd w:id="62"/>
      <w:r>
        <w:rPr>
          <w:b w:val="0"/>
          <w:bCs w:val="0"/>
        </w:rPr>
      </w:r>
      <w:r>
        <w:rPr/>
        <w:t>第五节</w:t>
      </w:r>
      <w:r>
        <w:rPr>
          <w:spacing w:val="-5"/>
        </w:rPr>
        <w:t> </w:t>
      </w:r>
      <w:r>
        <w:rPr/>
        <w:t>重要事项</w:t>
      </w:r>
      <w:r>
        <w:rPr>
          <w:b w:val="0"/>
          <w:bCs w:val="0"/>
        </w:rPr>
      </w:r>
    </w:p>
    <w:p>
      <w:pPr>
        <w:spacing w:line="240" w:lineRule="auto" w:before="12"/>
        <w:rPr>
          <w:rFonts w:ascii="宋体" w:hAnsi="宋体" w:cs="宋体" w:eastAsia="宋体" w:hint="default"/>
          <w:b/>
          <w:bCs/>
          <w:sz w:val="38"/>
          <w:szCs w:val="38"/>
        </w:rPr>
      </w:pPr>
    </w:p>
    <w:p>
      <w:pPr>
        <w:pStyle w:val="Heading2"/>
        <w:spacing w:line="240" w:lineRule="auto"/>
        <w:ind w:right="0"/>
        <w:jc w:val="left"/>
        <w:rPr>
          <w:b w:val="0"/>
          <w:bCs w:val="0"/>
        </w:rPr>
      </w:pPr>
      <w:bookmarkStart w:name="一、公司普通股利润分配及资本公积金转增股本情况" w:id="63"/>
      <w:bookmarkEnd w:id="63"/>
      <w:r>
        <w:rPr>
          <w:b w:val="0"/>
          <w:bCs w:val="0"/>
        </w:rPr>
      </w:r>
      <w:r>
        <w:rPr/>
        <w:t>一、公司普通股利润分配及资本公积金转增股本情况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报告期内普通股利润分配政策，特别是现金分红政策的制定、执行或调整情况</w:t>
      </w:r>
    </w:p>
    <w:p>
      <w:pPr>
        <w:pStyle w:val="BodyText"/>
        <w:spacing w:line="338" w:lineRule="auto" w:before="117"/>
        <w:ind w:right="625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公司严格执行了《公司章程》中与利润分配相关的条款。</w:t>
      </w:r>
    </w:p>
    <w:tbl>
      <w:tblPr>
        <w:tblW w:w="0" w:type="auto"/>
        <w:jc w:val="left"/>
        <w:tblInd w:w="160" w:type="dxa"/>
        <w:tblLayout w:type="fixed"/>
        <w:tblCellMar>
          <w:top w:w="0" w:type="dxa"/>
          <w:left w:w="0" w:type="dxa"/>
          <w:bottom w:w="0" w:type="dxa"/>
          <w:right w:w="0" w:type="dxa"/>
        </w:tblCellMar>
        <w:tblLook w:val="01E0"/>
      </w:tblPr>
      <w:tblGrid>
        <w:gridCol w:w="4762"/>
        <w:gridCol w:w="4796"/>
      </w:tblGrid>
      <w:tr>
        <w:trPr>
          <w:trHeight w:val="397" w:hRule="exact"/>
        </w:trPr>
        <w:tc>
          <w:tcPr>
            <w:tcW w:w="955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3"/>
              <w:ind w:left="-1" w:right="10"/>
              <w:jc w:val="center"/>
              <w:rPr>
                <w:rFonts w:ascii="宋体" w:hAnsi="宋体" w:cs="宋体" w:eastAsia="宋体" w:hint="default"/>
                <w:sz w:val="18"/>
                <w:szCs w:val="18"/>
              </w:rPr>
            </w:pPr>
            <w:r>
              <w:rPr>
                <w:rFonts w:ascii="宋体" w:hAnsi="宋体" w:cs="宋体" w:eastAsia="宋体" w:hint="default"/>
                <w:sz w:val="18"/>
                <w:szCs w:val="18"/>
              </w:rPr>
              <w:t>现金分红政策的专项说明</w:t>
            </w:r>
          </w:p>
        </w:tc>
      </w:tr>
      <w:tr>
        <w:trPr>
          <w:trHeight w:val="407" w:hRule="exact"/>
        </w:trPr>
        <w:tc>
          <w:tcPr>
            <w:tcW w:w="4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8"/>
              <w:ind w:left="11" w:right="0"/>
              <w:jc w:val="left"/>
              <w:rPr>
                <w:rFonts w:ascii="宋体" w:hAnsi="宋体" w:cs="宋体" w:eastAsia="宋体" w:hint="default"/>
                <w:sz w:val="18"/>
                <w:szCs w:val="18"/>
              </w:rPr>
            </w:pPr>
            <w:r>
              <w:rPr>
                <w:rFonts w:ascii="宋体" w:hAnsi="宋体" w:cs="宋体" w:eastAsia="宋体" w:hint="default"/>
                <w:sz w:val="18"/>
                <w:szCs w:val="18"/>
              </w:rPr>
              <w:t>是否符合公司章程的规定或股东大会决议的要求：</w:t>
            </w:r>
          </w:p>
        </w:tc>
        <w:tc>
          <w:tcPr>
            <w:tcW w:w="479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4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3"/>
              <w:ind w:left="11" w:right="0"/>
              <w:jc w:val="left"/>
              <w:rPr>
                <w:rFonts w:ascii="宋体" w:hAnsi="宋体" w:cs="宋体" w:eastAsia="宋体" w:hint="default"/>
                <w:sz w:val="18"/>
                <w:szCs w:val="18"/>
              </w:rPr>
            </w:pPr>
            <w:r>
              <w:rPr>
                <w:rFonts w:ascii="宋体" w:hAnsi="宋体" w:cs="宋体" w:eastAsia="宋体" w:hint="default"/>
                <w:sz w:val="18"/>
                <w:szCs w:val="18"/>
              </w:rPr>
              <w:t>分红标准和比例是否明确和清晰：</w:t>
            </w:r>
          </w:p>
        </w:tc>
        <w:tc>
          <w:tcPr>
            <w:tcW w:w="479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3"/>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4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3"/>
              <w:ind w:left="11" w:right="0"/>
              <w:jc w:val="left"/>
              <w:rPr>
                <w:rFonts w:ascii="宋体" w:hAnsi="宋体" w:cs="宋体" w:eastAsia="宋体" w:hint="default"/>
                <w:sz w:val="18"/>
                <w:szCs w:val="18"/>
              </w:rPr>
            </w:pPr>
            <w:r>
              <w:rPr>
                <w:rFonts w:ascii="宋体" w:hAnsi="宋体" w:cs="宋体" w:eastAsia="宋体" w:hint="default"/>
                <w:sz w:val="18"/>
                <w:szCs w:val="18"/>
              </w:rPr>
              <w:t>相关的决策程序和机制是否完备：</w:t>
            </w:r>
          </w:p>
        </w:tc>
        <w:tc>
          <w:tcPr>
            <w:tcW w:w="479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3"/>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4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3"/>
              <w:ind w:left="11" w:right="0"/>
              <w:jc w:val="left"/>
              <w:rPr>
                <w:rFonts w:ascii="宋体" w:hAnsi="宋体" w:cs="宋体" w:eastAsia="宋体" w:hint="default"/>
                <w:sz w:val="18"/>
                <w:szCs w:val="18"/>
              </w:rPr>
            </w:pPr>
            <w:r>
              <w:rPr>
                <w:rFonts w:ascii="宋体" w:hAnsi="宋体" w:cs="宋体" w:eastAsia="宋体" w:hint="default"/>
                <w:sz w:val="18"/>
                <w:szCs w:val="18"/>
              </w:rPr>
              <w:t>独立董事是否履职尽责并发挥了应有的作用：</w:t>
            </w:r>
          </w:p>
        </w:tc>
        <w:tc>
          <w:tcPr>
            <w:tcW w:w="479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3"/>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4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3"/>
              <w:ind w:left="11" w:right="58"/>
              <w:jc w:val="left"/>
              <w:rPr>
                <w:rFonts w:ascii="宋体" w:hAnsi="宋体" w:cs="宋体" w:eastAsia="宋体" w:hint="default"/>
                <w:sz w:val="18"/>
                <w:szCs w:val="18"/>
              </w:rPr>
            </w:pPr>
            <w:r>
              <w:rPr>
                <w:rFonts w:ascii="宋体" w:hAnsi="宋体" w:cs="宋体" w:eastAsia="宋体" w:hint="default"/>
                <w:sz w:val="18"/>
                <w:szCs w:val="18"/>
              </w:rPr>
              <w:t>中小股东是否有充分表达意见和诉求的机会，其合法权益是 否得到了充分保护：</w:t>
            </w:r>
          </w:p>
        </w:tc>
        <w:tc>
          <w:tcPr>
            <w:tcW w:w="479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4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3"/>
              <w:ind w:left="11" w:right="58"/>
              <w:jc w:val="left"/>
              <w:rPr>
                <w:rFonts w:ascii="宋体" w:hAnsi="宋体" w:cs="宋体" w:eastAsia="宋体" w:hint="default"/>
                <w:sz w:val="18"/>
                <w:szCs w:val="18"/>
              </w:rPr>
            </w:pPr>
            <w:r>
              <w:rPr>
                <w:rFonts w:ascii="宋体" w:hAnsi="宋体" w:cs="宋体" w:eastAsia="宋体" w:hint="default"/>
                <w:sz w:val="18"/>
                <w:szCs w:val="18"/>
              </w:rPr>
              <w:t>现金分红政策进行调整或变更的，条件及程序是否合规、透 明：</w:t>
            </w:r>
          </w:p>
        </w:tc>
        <w:tc>
          <w:tcPr>
            <w:tcW w:w="479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bl>
    <w:p>
      <w:pPr>
        <w:pStyle w:val="BodyText"/>
        <w:spacing w:line="319" w:lineRule="auto" w:before="43"/>
        <w:ind w:left="154" w:right="1131"/>
        <w:jc w:val="both"/>
      </w:pPr>
      <w:r>
        <w:rPr>
          <w:spacing w:val="-2"/>
        </w:rPr>
        <w:t>注：公司应当披露报告期内普通股利润分配政策，特别是现金分红政策的制定、执行或调整情况，说明利润分配政策是否符</w:t>
      </w:r>
      <w:r>
        <w:rPr>
          <w:spacing w:val="-66"/>
        </w:rPr>
        <w:t> </w:t>
      </w:r>
      <w:r>
        <w:rPr>
          <w:spacing w:val="-66"/>
        </w:rPr>
      </w:r>
      <w:r>
        <w:rPr>
          <w:spacing w:val="-2"/>
        </w:rPr>
        <w:t>合公司章程及审议程序的规定，是否充分保护中小投资者的合法权益，是否由独立董事发表意见，是否有明确的分红标准和</w:t>
      </w:r>
      <w:r>
        <w:rPr>
          <w:spacing w:val="-66"/>
        </w:rPr>
        <w:t> </w:t>
      </w:r>
      <w:r>
        <w:rPr>
          <w:spacing w:val="-66"/>
        </w:rPr>
      </w:r>
      <w:r>
        <w:rPr/>
        <w:t>分红比例；以及利润分配政策调整或变更的条件和程序是否合规、透明。</w:t>
      </w:r>
    </w:p>
    <w:p>
      <w:pPr>
        <w:pStyle w:val="BodyText"/>
        <w:spacing w:line="319" w:lineRule="auto" w:before="56"/>
        <w:ind w:right="1168"/>
        <w:jc w:val="left"/>
      </w:pPr>
      <w:r>
        <w:rPr/>
        <w:t>公司近</w:t>
      </w:r>
      <w:r>
        <w:rPr>
          <w:spacing w:val="-46"/>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spacing w:val="-3"/>
        </w:rPr>
        <w:t>年（包括本报告期）的普通股股利分配方案（预案）、资本公积金转增股本方案（预案）情况</w:t>
      </w:r>
      <w:r>
        <w:rPr>
          <w:spacing w:val="-58"/>
        </w:rPr>
        <w:t> </w:t>
      </w:r>
      <w:r>
        <w:rPr>
          <w:spacing w:val="-58"/>
        </w:rPr>
      </w:r>
      <w:r>
        <w:rPr>
          <w:rFonts w:ascii="Times New Roman" w:hAnsi="Times New Roman" w:cs="Times New Roman" w:eastAsia="Times New Roman" w:hint="default"/>
        </w:rPr>
        <w:t>1</w:t>
      </w:r>
      <w:r>
        <w:rPr/>
        <w:t>、公司</w:t>
      </w:r>
      <w:r>
        <w:rPr>
          <w:rFonts w:ascii="Times New Roman" w:hAnsi="Times New Roman" w:cs="Times New Roman" w:eastAsia="Times New Roman" w:hint="default"/>
        </w:rPr>
        <w:t>2015</w:t>
      </w:r>
      <w:r>
        <w:rPr/>
        <w:t>年年度权益分配方案为：以公司总股本</w:t>
      </w:r>
      <w:r>
        <w:rPr>
          <w:rFonts w:ascii="Times New Roman" w:hAnsi="Times New Roman" w:cs="Times New Roman" w:eastAsia="Times New Roman" w:hint="default"/>
        </w:rPr>
        <w:t>378,430,947</w:t>
      </w:r>
      <w:r>
        <w:rPr/>
        <w:t>股为基数，向全体股东每</w:t>
      </w:r>
      <w:r>
        <w:rPr>
          <w:rFonts w:ascii="Times New Roman" w:hAnsi="Times New Roman" w:cs="Times New Roman" w:eastAsia="Times New Roman" w:hint="default"/>
        </w:rPr>
        <w:t>10</w:t>
      </w:r>
      <w:r>
        <w:rPr/>
        <w:t>股派发现金股利人民币</w:t>
      </w:r>
      <w:r>
        <w:rPr>
          <w:rFonts w:ascii="Times New Roman" w:hAnsi="Times New Roman" w:cs="Times New Roman" w:eastAsia="Times New Roman" w:hint="default"/>
        </w:rPr>
        <w:t>0.298313 </w:t>
      </w:r>
      <w:r>
        <w:rPr/>
        <w:t>元（含税）。</w:t>
      </w:r>
    </w:p>
    <w:p>
      <w:pPr>
        <w:pStyle w:val="BodyText"/>
        <w:spacing w:line="240" w:lineRule="auto" w:before="17"/>
        <w:ind w:right="0"/>
        <w:jc w:val="both"/>
      </w:pPr>
      <w:r>
        <w:rPr>
          <w:rFonts w:ascii="Times New Roman" w:hAnsi="Times New Roman" w:cs="Times New Roman" w:eastAsia="Times New Roman" w:hint="default"/>
          <w:spacing w:val="-5"/>
        </w:rPr>
        <w:t>2</w:t>
      </w:r>
      <w:r>
        <w:rPr>
          <w:spacing w:val="-5"/>
        </w:rPr>
        <w:t>、公司</w:t>
      </w:r>
      <w:r>
        <w:rPr>
          <w:rFonts w:ascii="Times New Roman" w:hAnsi="Times New Roman" w:cs="Times New Roman" w:eastAsia="Times New Roman" w:hint="default"/>
          <w:spacing w:val="-5"/>
        </w:rPr>
        <w:t>2016</w:t>
      </w:r>
      <w:r>
        <w:rPr>
          <w:spacing w:val="-5"/>
        </w:rPr>
        <w:t>年年度权益分配方案为：以公司总股本 </w:t>
      </w:r>
      <w:r>
        <w:rPr>
          <w:rFonts w:ascii="Times New Roman" w:hAnsi="Times New Roman" w:cs="Times New Roman" w:eastAsia="Times New Roman" w:hint="default"/>
        </w:rPr>
        <w:t>407,590,556  </w:t>
      </w:r>
      <w:r>
        <w:rPr>
          <w:spacing w:val="-5"/>
        </w:rPr>
        <w:t>股为基数，向全体股东每 </w:t>
      </w:r>
      <w:r>
        <w:rPr>
          <w:rFonts w:ascii="Times New Roman" w:hAnsi="Times New Roman" w:cs="Times New Roman" w:eastAsia="Times New Roman" w:hint="default"/>
        </w:rPr>
        <w:t>10  </w:t>
      </w:r>
      <w:r>
        <w:rPr/>
        <w:t>股派</w:t>
      </w:r>
      <w:r>
        <w:rPr>
          <w:spacing w:val="-50"/>
        </w:rPr>
        <w:t> </w:t>
      </w:r>
      <w:r>
        <w:rPr>
          <w:rFonts w:ascii="Times New Roman" w:hAnsi="Times New Roman" w:cs="Times New Roman" w:eastAsia="Times New Roman" w:hint="default"/>
          <w:spacing w:val="-10"/>
        </w:rPr>
        <w:t>1</w:t>
      </w:r>
      <w:r>
        <w:rPr>
          <w:spacing w:val="-10"/>
        </w:rPr>
        <w:t>元人民币现金（含税）；</w:t>
      </w:r>
    </w:p>
    <w:p>
      <w:pPr>
        <w:pStyle w:val="BodyText"/>
        <w:spacing w:line="240" w:lineRule="auto" w:before="63"/>
        <w:ind w:right="0"/>
        <w:jc w:val="both"/>
      </w:pPr>
      <w:r>
        <w:rPr/>
        <w:t>同时，以资本公积金向全体股东每 </w:t>
      </w:r>
      <w:r>
        <w:rPr>
          <w:rFonts w:ascii="Times New Roman" w:hAnsi="Times New Roman" w:cs="Times New Roman" w:eastAsia="Times New Roman" w:hint="default"/>
        </w:rPr>
        <w:t>10 </w:t>
      </w:r>
      <w:r>
        <w:rPr/>
        <w:t>股转增 </w:t>
      </w:r>
      <w:r>
        <w:rPr>
          <w:rFonts w:ascii="Times New Roman" w:hAnsi="Times New Roman" w:cs="Times New Roman" w:eastAsia="Times New Roman" w:hint="default"/>
        </w:rPr>
        <w:t>5</w:t>
      </w:r>
      <w:r>
        <w:rPr>
          <w:rFonts w:ascii="Times New Roman" w:hAnsi="Times New Roman" w:cs="Times New Roman" w:eastAsia="Times New Roman" w:hint="default"/>
          <w:spacing w:val="17"/>
        </w:rPr>
        <w:t> </w:t>
      </w:r>
      <w:r>
        <w:rPr/>
        <w:t>股。</w:t>
      </w:r>
    </w:p>
    <w:p>
      <w:pPr>
        <w:pStyle w:val="BodyText"/>
        <w:spacing w:line="240" w:lineRule="auto" w:before="63"/>
        <w:ind w:right="0"/>
        <w:jc w:val="both"/>
      </w:pPr>
      <w:r>
        <w:rPr>
          <w:rFonts w:ascii="Times New Roman" w:hAnsi="Times New Roman" w:cs="Times New Roman" w:eastAsia="Times New Roman" w:hint="default"/>
        </w:rPr>
        <w:t>3</w:t>
      </w:r>
      <w:r>
        <w:rPr/>
        <w:t>、公司</w:t>
      </w:r>
      <w:r>
        <w:rPr>
          <w:rFonts w:ascii="Times New Roman" w:hAnsi="Times New Roman" w:cs="Times New Roman" w:eastAsia="Times New Roman" w:hint="default"/>
        </w:rPr>
        <w:t>2017</w:t>
      </w:r>
      <w:r>
        <w:rPr/>
        <w:t>年年度权益分配预案为：公司拟以未来实施分配方案时股权登记日的总股本</w:t>
      </w:r>
      <w:r>
        <w:rPr>
          <w:rFonts w:ascii="Times New Roman" w:hAnsi="Times New Roman" w:cs="Times New Roman" w:eastAsia="Times New Roman" w:hint="default"/>
        </w:rPr>
        <w:t>611,214,834</w:t>
      </w:r>
      <w:r>
        <w:rPr/>
        <w:t>股为基数</w:t>
      </w:r>
      <w:r>
        <w:rPr>
          <w:rFonts w:ascii="Times New Roman" w:hAnsi="Times New Roman" w:cs="Times New Roman" w:eastAsia="Times New Roman" w:hint="default"/>
        </w:rPr>
        <w:t>,</w:t>
      </w:r>
      <w:r>
        <w:rPr/>
        <w:t>向全体股东每</w:t>
      </w:r>
    </w:p>
    <w:p>
      <w:pPr>
        <w:pStyle w:val="BodyText"/>
        <w:spacing w:line="300" w:lineRule="auto" w:before="63"/>
        <w:ind w:right="1132"/>
        <w:jc w:val="both"/>
      </w:pPr>
      <w:r>
        <w:rPr>
          <w:rFonts w:ascii="Times New Roman" w:hAnsi="Times New Roman" w:cs="Times New Roman" w:eastAsia="Times New Roman" w:hint="default"/>
        </w:rPr>
        <w:t>10</w:t>
      </w:r>
      <w:r>
        <w:rPr/>
        <w:t>股派发现金股利人民币</w:t>
      </w:r>
      <w:r>
        <w:rPr>
          <w:rFonts w:ascii="Times New Roman" w:hAnsi="Times New Roman" w:cs="Times New Roman" w:eastAsia="Times New Roman" w:hint="default"/>
        </w:rPr>
        <w:t>1.00</w:t>
      </w:r>
      <w:r>
        <w:rPr/>
        <w:t>元（含税）。上述利润分配预案尚待提交本公司股东大会审议。公司回购注销</w:t>
      </w:r>
      <w:r>
        <w:rPr>
          <w:rFonts w:ascii="Times New Roman" w:hAnsi="Times New Roman" w:cs="Times New Roman" w:eastAsia="Times New Roman" w:hint="default"/>
        </w:rPr>
        <w:t>17.1</w:t>
      </w:r>
      <w:r>
        <w:rPr/>
        <w:t>万股</w:t>
      </w:r>
      <w:r>
        <w:rPr>
          <w:rFonts w:ascii="Times New Roman" w:hAnsi="Times New Roman" w:cs="Times New Roman" w:eastAsia="Times New Roman" w:hint="default"/>
        </w:rPr>
        <w:t>2016</w:t>
      </w:r>
      <w:r>
        <w:rPr/>
        <w:t>年 </w:t>
      </w:r>
      <w:r>
        <w:rPr>
          <w:spacing w:val="-5"/>
        </w:rPr>
        <w:t>限制性股票激励计划授予的限制性股票事宜，如未能在公司实施</w:t>
      </w:r>
      <w:r>
        <w:rPr>
          <w:rFonts w:ascii="Times New Roman" w:hAnsi="Times New Roman" w:cs="Times New Roman" w:eastAsia="Times New Roman" w:hint="default"/>
          <w:spacing w:val="-5"/>
        </w:rPr>
        <w:t>2017</w:t>
      </w:r>
      <w:r>
        <w:rPr>
          <w:spacing w:val="-5"/>
        </w:rPr>
        <w:t>年度利润分配方案的股权登记日前完成，公司将按照《深</w:t>
      </w:r>
      <w:r>
        <w:rPr>
          <w:spacing w:val="-69"/>
        </w:rPr>
        <w:t> </w:t>
      </w:r>
      <w:r>
        <w:rPr>
          <w:spacing w:val="-69"/>
        </w:rPr>
      </w:r>
      <w:r>
        <w:rPr/>
        <w:t>圳证券交易所中小企业板上市公司规范运作指引（</w:t>
      </w:r>
      <w:r>
        <w:rPr>
          <w:rFonts w:ascii="Times New Roman" w:hAnsi="Times New Roman" w:cs="Times New Roman" w:eastAsia="Times New Roman" w:hint="default"/>
        </w:rPr>
        <w:t>2015</w:t>
      </w:r>
      <w:r>
        <w:rPr/>
        <w:t>年修订）》所规定的</w:t>
      </w:r>
      <w:r>
        <w:rPr>
          <w:rFonts w:ascii="Times New Roman" w:hAnsi="Times New Roman" w:cs="Times New Roman" w:eastAsia="Times New Roman" w:hint="default"/>
        </w:rPr>
        <w:t>“</w:t>
      </w:r>
      <w:r>
        <w:rPr/>
        <w:t>现金分红金额、送红股金额、转增股本金额固 定不变</w:t>
      </w:r>
      <w:r>
        <w:rPr>
          <w:rFonts w:ascii="Times New Roman" w:hAnsi="Times New Roman" w:cs="Times New Roman" w:eastAsia="Times New Roman" w:hint="default"/>
        </w:rPr>
        <w:t>”</w:t>
      </w:r>
      <w:r>
        <w:rPr/>
        <w:t>的原则，对上述利润分配预案进行调整。</w:t>
      </w:r>
    </w:p>
    <w:p>
      <w:pPr>
        <w:spacing w:line="240" w:lineRule="auto" w:before="7"/>
        <w:rPr>
          <w:rFonts w:ascii="宋体" w:hAnsi="宋体" w:cs="宋体" w:eastAsia="宋体" w:hint="default"/>
          <w:sz w:val="24"/>
          <w:szCs w:val="24"/>
        </w:rPr>
      </w:pPr>
    </w:p>
    <w:p>
      <w:pPr>
        <w:pStyle w:val="BodyText"/>
        <w:spacing w:line="240" w:lineRule="auto" w:before="44"/>
        <w:ind w:right="0"/>
        <w:jc w:val="left"/>
      </w:pPr>
      <w:r>
        <w:rPr/>
        <w:t>公司近三年（包括本报告期）普通股现金分红情况表</w:t>
      </w:r>
    </w:p>
    <w:p>
      <w:pPr>
        <w:pStyle w:val="BodyText"/>
        <w:spacing w:line="240" w:lineRule="auto" w:before="117"/>
        <w:ind w:left="0" w:right="1130"/>
        <w:jc w:val="right"/>
      </w:pPr>
      <w:r>
        <w:rPr/>
        <w:t>单位：元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596"/>
        <w:gridCol w:w="1594"/>
        <w:gridCol w:w="1594"/>
        <w:gridCol w:w="1583"/>
        <w:gridCol w:w="1605"/>
        <w:gridCol w:w="1595"/>
      </w:tblGrid>
      <w:tr>
        <w:trPr>
          <w:trHeight w:val="318" w:hRule="exact"/>
        </w:trPr>
        <w:tc>
          <w:tcPr>
            <w:tcW w:w="1596" w:type="dxa"/>
            <w:vMerge w:val="restart"/>
            <w:tcBorders>
              <w:top w:val="single" w:sz="4" w:space="0" w:color="000000"/>
              <w:left w:val="single" w:sz="4" w:space="0" w:color="000000"/>
              <w:right w:val="single" w:sz="4" w:space="0" w:color="000000"/>
            </w:tcBorders>
            <w:shd w:val="clear" w:color="auto" w:fill="D2D2D2"/>
          </w:tcPr>
          <w:p>
            <w:pPr/>
          </w:p>
        </w:tc>
        <w:tc>
          <w:tcPr>
            <w:tcW w:w="1594" w:type="dxa"/>
            <w:tcBorders>
              <w:top w:val="single" w:sz="4" w:space="0" w:color="000000"/>
              <w:left w:val="single" w:sz="4" w:space="0" w:color="000000"/>
              <w:bottom w:val="nil" w:sz="6" w:space="0" w:color="auto"/>
              <w:right w:val="single" w:sz="4" w:space="0" w:color="000000"/>
            </w:tcBorders>
            <w:shd w:val="clear" w:color="auto" w:fill="D2D2D2"/>
          </w:tcPr>
          <w:p>
            <w:pP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2"/>
              <w:ind w:left="72" w:right="69"/>
              <w:jc w:val="center"/>
              <w:rPr>
                <w:rFonts w:ascii="宋体" w:hAnsi="宋体" w:cs="宋体" w:eastAsia="宋体" w:hint="default"/>
                <w:sz w:val="18"/>
                <w:szCs w:val="18"/>
              </w:rPr>
            </w:pPr>
            <w:r>
              <w:rPr>
                <w:rFonts w:ascii="宋体" w:hAnsi="宋体" w:cs="宋体" w:eastAsia="宋体" w:hint="default"/>
                <w:sz w:val="18"/>
                <w:szCs w:val="18"/>
              </w:rPr>
              <w:t>分红年度合并报表 中归属于上市公司 普通股股东的净利 润</w:t>
            </w:r>
          </w:p>
        </w:tc>
        <w:tc>
          <w:tcPr>
            <w:tcW w:w="1583"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2"/>
              <w:ind w:left="72" w:right="58"/>
              <w:jc w:val="center"/>
              <w:rPr>
                <w:rFonts w:ascii="宋体" w:hAnsi="宋体" w:cs="宋体" w:eastAsia="宋体" w:hint="default"/>
                <w:sz w:val="18"/>
                <w:szCs w:val="18"/>
              </w:rPr>
            </w:pPr>
            <w:r>
              <w:rPr>
                <w:rFonts w:ascii="宋体" w:hAnsi="宋体" w:cs="宋体" w:eastAsia="宋体" w:hint="default"/>
                <w:sz w:val="18"/>
                <w:szCs w:val="18"/>
              </w:rPr>
              <w:t>占合并报表中归属 于上市公司普通股 股东的净利润的比 率</w:t>
            </w:r>
          </w:p>
        </w:tc>
        <w:tc>
          <w:tcPr>
            <w:tcW w:w="1605" w:type="dxa"/>
            <w:tcBorders>
              <w:top w:val="single" w:sz="4" w:space="0" w:color="000000"/>
              <w:left w:val="single" w:sz="4" w:space="0" w:color="000000"/>
              <w:bottom w:val="nil" w:sz="6" w:space="0" w:color="auto"/>
              <w:right w:val="single" w:sz="4" w:space="0" w:color="000000"/>
            </w:tcBorders>
            <w:shd w:val="clear" w:color="auto" w:fill="D2D2D2"/>
          </w:tcPr>
          <w:p>
            <w:pPr/>
          </w:p>
        </w:tc>
        <w:tc>
          <w:tcPr>
            <w:tcW w:w="1595"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55" w:hRule="exact"/>
        </w:trPr>
        <w:tc>
          <w:tcPr>
            <w:tcW w:w="1596" w:type="dxa"/>
            <w:vMerge/>
            <w:tcBorders>
              <w:left w:val="single" w:sz="4" w:space="0" w:color="000000"/>
              <w:bottom w:val="nil" w:sz="6" w:space="0" w:color="auto"/>
              <w:right w:val="single" w:sz="4" w:space="0" w:color="000000"/>
            </w:tcBorders>
            <w:shd w:val="clear" w:color="auto" w:fill="D2D2D2"/>
          </w:tcPr>
          <w:p>
            <w:pPr/>
          </w:p>
        </w:tc>
        <w:tc>
          <w:tcPr>
            <w:tcW w:w="1594"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612" w:right="70" w:hanging="540"/>
              <w:jc w:val="left"/>
              <w:rPr>
                <w:rFonts w:ascii="宋体" w:hAnsi="宋体" w:cs="宋体" w:eastAsia="宋体" w:hint="default"/>
                <w:sz w:val="18"/>
                <w:szCs w:val="18"/>
              </w:rPr>
            </w:pPr>
            <w:r>
              <w:rPr>
                <w:rFonts w:ascii="宋体" w:hAnsi="宋体" w:cs="宋体" w:eastAsia="宋体" w:hint="default"/>
                <w:sz w:val="18"/>
                <w:szCs w:val="18"/>
              </w:rPr>
              <w:t>现金分红金额（含 税）</w:t>
            </w:r>
          </w:p>
        </w:tc>
        <w:tc>
          <w:tcPr>
            <w:tcW w:w="1594" w:type="dxa"/>
            <w:vMerge/>
            <w:tcBorders>
              <w:left w:val="single" w:sz="4" w:space="0" w:color="000000"/>
              <w:right w:val="single" w:sz="4" w:space="0" w:color="000000"/>
            </w:tcBorders>
            <w:shd w:val="clear" w:color="auto" w:fill="D2D2D2"/>
          </w:tcPr>
          <w:p>
            <w:pPr/>
          </w:p>
        </w:tc>
        <w:tc>
          <w:tcPr>
            <w:tcW w:w="1583" w:type="dxa"/>
            <w:vMerge/>
            <w:tcBorders>
              <w:left w:val="single" w:sz="4" w:space="0" w:color="000000"/>
              <w:right w:val="single" w:sz="4" w:space="0" w:color="000000"/>
            </w:tcBorders>
            <w:shd w:val="clear" w:color="auto" w:fill="D2D2D2"/>
          </w:tcPr>
          <w:p>
            <w:pPr/>
          </w:p>
        </w:tc>
        <w:tc>
          <w:tcPr>
            <w:tcW w:w="1605"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443" w:right="70" w:hanging="360"/>
              <w:jc w:val="left"/>
              <w:rPr>
                <w:rFonts w:ascii="宋体" w:hAnsi="宋体" w:cs="宋体" w:eastAsia="宋体" w:hint="default"/>
                <w:sz w:val="18"/>
                <w:szCs w:val="18"/>
              </w:rPr>
            </w:pPr>
            <w:r>
              <w:rPr>
                <w:rFonts w:ascii="宋体" w:hAnsi="宋体" w:cs="宋体" w:eastAsia="宋体" w:hint="default"/>
                <w:sz w:val="18"/>
                <w:szCs w:val="18"/>
              </w:rPr>
              <w:t>以其他方式现金分 红的金额</w:t>
            </w:r>
          </w:p>
        </w:tc>
        <w:tc>
          <w:tcPr>
            <w:tcW w:w="1595"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433" w:right="71" w:hanging="360"/>
              <w:jc w:val="left"/>
              <w:rPr>
                <w:rFonts w:ascii="宋体" w:hAnsi="宋体" w:cs="宋体" w:eastAsia="宋体" w:hint="default"/>
                <w:sz w:val="18"/>
                <w:szCs w:val="18"/>
              </w:rPr>
            </w:pPr>
            <w:r>
              <w:rPr>
                <w:rFonts w:ascii="宋体" w:hAnsi="宋体" w:cs="宋体" w:eastAsia="宋体" w:hint="default"/>
                <w:sz w:val="18"/>
                <w:szCs w:val="18"/>
              </w:rPr>
              <w:t>以其他方式现金分 红的比例</w:t>
            </w:r>
          </w:p>
        </w:tc>
      </w:tr>
      <w:tr>
        <w:trPr>
          <w:trHeight w:val="392" w:hRule="exact"/>
        </w:trPr>
        <w:tc>
          <w:tcPr>
            <w:tcW w:w="159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432" w:right="0"/>
              <w:jc w:val="left"/>
              <w:rPr>
                <w:rFonts w:ascii="宋体" w:hAnsi="宋体" w:cs="宋体" w:eastAsia="宋体" w:hint="default"/>
                <w:sz w:val="18"/>
                <w:szCs w:val="18"/>
              </w:rPr>
            </w:pPr>
            <w:r>
              <w:rPr>
                <w:rFonts w:ascii="宋体" w:hAnsi="宋体" w:cs="宋体" w:eastAsia="宋体" w:hint="default"/>
                <w:sz w:val="18"/>
                <w:szCs w:val="18"/>
              </w:rPr>
              <w:t>分红年度</w:t>
            </w:r>
          </w:p>
        </w:tc>
        <w:tc>
          <w:tcPr>
            <w:tcW w:w="1594" w:type="dxa"/>
            <w:vMerge/>
            <w:tcBorders>
              <w:left w:val="single" w:sz="4" w:space="0" w:color="000000"/>
              <w:right w:val="single" w:sz="4" w:space="0" w:color="000000"/>
            </w:tcBorders>
            <w:shd w:val="clear" w:color="auto" w:fill="D2D2D2"/>
          </w:tcPr>
          <w:p>
            <w:pPr/>
          </w:p>
        </w:tc>
        <w:tc>
          <w:tcPr>
            <w:tcW w:w="1594" w:type="dxa"/>
            <w:vMerge/>
            <w:tcBorders>
              <w:left w:val="single" w:sz="4" w:space="0" w:color="000000"/>
              <w:right w:val="single" w:sz="4" w:space="0" w:color="000000"/>
            </w:tcBorders>
            <w:shd w:val="clear" w:color="auto" w:fill="D2D2D2"/>
          </w:tcPr>
          <w:p>
            <w:pPr/>
          </w:p>
        </w:tc>
        <w:tc>
          <w:tcPr>
            <w:tcW w:w="1583" w:type="dxa"/>
            <w:vMerge/>
            <w:tcBorders>
              <w:left w:val="single" w:sz="4" w:space="0" w:color="000000"/>
              <w:right w:val="single" w:sz="4" w:space="0" w:color="000000"/>
            </w:tcBorders>
            <w:shd w:val="clear" w:color="auto" w:fill="D2D2D2"/>
          </w:tcPr>
          <w:p>
            <w:pPr/>
          </w:p>
        </w:tc>
        <w:tc>
          <w:tcPr>
            <w:tcW w:w="1605" w:type="dxa"/>
            <w:vMerge/>
            <w:tcBorders>
              <w:left w:val="single" w:sz="4" w:space="0" w:color="000000"/>
              <w:right w:val="single" w:sz="4" w:space="0" w:color="000000"/>
            </w:tcBorders>
            <w:shd w:val="clear" w:color="auto" w:fill="D2D2D2"/>
          </w:tcPr>
          <w:p>
            <w:pPr/>
          </w:p>
        </w:tc>
        <w:tc>
          <w:tcPr>
            <w:tcW w:w="1595" w:type="dxa"/>
            <w:vMerge/>
            <w:tcBorders>
              <w:left w:val="single" w:sz="4" w:space="0" w:color="000000"/>
              <w:right w:val="single" w:sz="4" w:space="0" w:color="000000"/>
            </w:tcBorders>
            <w:shd w:val="clear" w:color="auto" w:fill="D2D2D2"/>
          </w:tcPr>
          <w:p>
            <w:pPr/>
          </w:p>
        </w:tc>
      </w:tr>
      <w:tr>
        <w:trPr>
          <w:trHeight w:val="156" w:hRule="exact"/>
        </w:trPr>
        <w:tc>
          <w:tcPr>
            <w:tcW w:w="1596" w:type="dxa"/>
            <w:vMerge w:val="restart"/>
            <w:tcBorders>
              <w:top w:val="nil" w:sz="6" w:space="0" w:color="auto"/>
              <w:left w:val="single" w:sz="4" w:space="0" w:color="000000"/>
              <w:right w:val="single" w:sz="4" w:space="0" w:color="000000"/>
            </w:tcBorders>
            <w:shd w:val="clear" w:color="auto" w:fill="D2D2D2"/>
          </w:tcPr>
          <w:p>
            <w:pPr/>
          </w:p>
        </w:tc>
        <w:tc>
          <w:tcPr>
            <w:tcW w:w="1594" w:type="dxa"/>
            <w:vMerge/>
            <w:tcBorders>
              <w:left w:val="single" w:sz="4" w:space="0" w:color="000000"/>
              <w:bottom w:val="nil" w:sz="6" w:space="0" w:color="auto"/>
              <w:right w:val="single" w:sz="4" w:space="0" w:color="000000"/>
            </w:tcBorders>
            <w:shd w:val="clear" w:color="auto" w:fill="D2D2D2"/>
          </w:tcPr>
          <w:p>
            <w:pPr/>
          </w:p>
        </w:tc>
        <w:tc>
          <w:tcPr>
            <w:tcW w:w="1594" w:type="dxa"/>
            <w:vMerge/>
            <w:tcBorders>
              <w:left w:val="single" w:sz="4" w:space="0" w:color="000000"/>
              <w:right w:val="single" w:sz="4" w:space="0" w:color="000000"/>
            </w:tcBorders>
            <w:shd w:val="clear" w:color="auto" w:fill="D2D2D2"/>
          </w:tcPr>
          <w:p>
            <w:pPr/>
          </w:p>
        </w:tc>
        <w:tc>
          <w:tcPr>
            <w:tcW w:w="1583" w:type="dxa"/>
            <w:vMerge/>
            <w:tcBorders>
              <w:left w:val="single" w:sz="4" w:space="0" w:color="000000"/>
              <w:right w:val="single" w:sz="4" w:space="0" w:color="000000"/>
            </w:tcBorders>
            <w:shd w:val="clear" w:color="auto" w:fill="D2D2D2"/>
          </w:tcPr>
          <w:p>
            <w:pPr/>
          </w:p>
        </w:tc>
        <w:tc>
          <w:tcPr>
            <w:tcW w:w="1605" w:type="dxa"/>
            <w:vMerge/>
            <w:tcBorders>
              <w:left w:val="single" w:sz="4" w:space="0" w:color="000000"/>
              <w:bottom w:val="nil" w:sz="6" w:space="0" w:color="auto"/>
              <w:right w:val="single" w:sz="4" w:space="0" w:color="000000"/>
            </w:tcBorders>
            <w:shd w:val="clear" w:color="auto" w:fill="D2D2D2"/>
          </w:tcPr>
          <w:p>
            <w:pPr/>
          </w:p>
        </w:tc>
        <w:tc>
          <w:tcPr>
            <w:tcW w:w="1595" w:type="dxa"/>
            <w:vMerge/>
            <w:tcBorders>
              <w:left w:val="single" w:sz="4" w:space="0" w:color="000000"/>
              <w:bottom w:val="nil" w:sz="6" w:space="0" w:color="auto"/>
              <w:right w:val="single" w:sz="4" w:space="0" w:color="000000"/>
            </w:tcBorders>
            <w:shd w:val="clear" w:color="auto" w:fill="D2D2D2"/>
          </w:tcPr>
          <w:p>
            <w:pPr/>
          </w:p>
        </w:tc>
      </w:tr>
      <w:tr>
        <w:trPr>
          <w:trHeight w:val="317" w:hRule="exact"/>
        </w:trPr>
        <w:tc>
          <w:tcPr>
            <w:tcW w:w="1596" w:type="dxa"/>
            <w:vMerge/>
            <w:tcBorders>
              <w:left w:val="single" w:sz="4" w:space="0" w:color="000000"/>
              <w:bottom w:val="single" w:sz="4" w:space="0" w:color="000000"/>
              <w:right w:val="single" w:sz="4" w:space="0" w:color="000000"/>
            </w:tcBorders>
            <w:shd w:val="clear" w:color="auto" w:fill="D2D2D2"/>
          </w:tcPr>
          <w:p>
            <w:pPr/>
          </w:p>
        </w:tc>
        <w:tc>
          <w:tcPr>
            <w:tcW w:w="1594" w:type="dxa"/>
            <w:tcBorders>
              <w:top w:val="nil" w:sz="6" w:space="0" w:color="auto"/>
              <w:left w:val="single" w:sz="4" w:space="0" w:color="000000"/>
              <w:bottom w:val="single" w:sz="4" w:space="0" w:color="000000"/>
              <w:right w:val="single" w:sz="4" w:space="0" w:color="000000"/>
            </w:tcBorders>
            <w:shd w:val="clear" w:color="auto" w:fill="D2D2D2"/>
          </w:tcPr>
          <w:p>
            <w:pPr/>
          </w:p>
        </w:tc>
        <w:tc>
          <w:tcPr>
            <w:tcW w:w="1594" w:type="dxa"/>
            <w:vMerge/>
            <w:tcBorders>
              <w:left w:val="single" w:sz="4" w:space="0" w:color="000000"/>
              <w:bottom w:val="single" w:sz="4" w:space="0" w:color="000000"/>
              <w:right w:val="single" w:sz="4" w:space="0" w:color="000000"/>
            </w:tcBorders>
            <w:shd w:val="clear" w:color="auto" w:fill="D2D2D2"/>
          </w:tcPr>
          <w:p>
            <w:pPr/>
          </w:p>
        </w:tc>
        <w:tc>
          <w:tcPr>
            <w:tcW w:w="1583" w:type="dxa"/>
            <w:vMerge/>
            <w:tcBorders>
              <w:left w:val="single" w:sz="4" w:space="0" w:color="000000"/>
              <w:bottom w:val="single" w:sz="4" w:space="0" w:color="000000"/>
              <w:right w:val="single" w:sz="4" w:space="0" w:color="000000"/>
            </w:tcBorders>
            <w:shd w:val="clear" w:color="auto" w:fill="D2D2D2"/>
          </w:tcPr>
          <w:p>
            <w:pPr/>
          </w:p>
        </w:tc>
        <w:tc>
          <w:tcPr>
            <w:tcW w:w="1605" w:type="dxa"/>
            <w:tcBorders>
              <w:top w:val="nil" w:sz="6" w:space="0" w:color="auto"/>
              <w:left w:val="single" w:sz="4" w:space="0" w:color="000000"/>
              <w:bottom w:val="single" w:sz="4" w:space="0" w:color="000000"/>
              <w:right w:val="single" w:sz="4" w:space="0" w:color="000000"/>
            </w:tcBorders>
            <w:shd w:val="clear" w:color="auto" w:fill="D2D2D2"/>
          </w:tcPr>
          <w:p>
            <w:pPr/>
          </w:p>
        </w:tc>
        <w:tc>
          <w:tcPr>
            <w:tcW w:w="1595"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61,121,483.40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132,014,114.22</w:t>
            </w:r>
          </w:p>
        </w:tc>
        <w:tc>
          <w:tcPr>
            <w:tcW w:w="1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8"/>
              <w:jc w:val="right"/>
              <w:rPr>
                <w:rFonts w:ascii="Times New Roman" w:hAnsi="Times New Roman" w:cs="Times New Roman" w:eastAsia="Times New Roman" w:hint="default"/>
                <w:sz w:val="18"/>
                <w:szCs w:val="18"/>
              </w:rPr>
            </w:pPr>
            <w:r>
              <w:rPr>
                <w:rFonts w:ascii="Times New Roman"/>
                <w:sz w:val="18"/>
              </w:rPr>
              <w:t>46.30%</w:t>
            </w:r>
          </w:p>
        </w:tc>
        <w:tc>
          <w:tcPr>
            <w:tcW w:w="16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40,759,055.60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86,282,371.38</w:t>
            </w:r>
          </w:p>
        </w:tc>
        <w:tc>
          <w:tcPr>
            <w:tcW w:w="1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8"/>
              <w:jc w:val="right"/>
              <w:rPr>
                <w:rFonts w:ascii="Times New Roman" w:hAnsi="Times New Roman" w:cs="Times New Roman" w:eastAsia="Times New Roman" w:hint="default"/>
                <w:sz w:val="18"/>
                <w:szCs w:val="18"/>
              </w:rPr>
            </w:pPr>
            <w:r>
              <w:rPr>
                <w:rFonts w:ascii="Times New Roman"/>
                <w:sz w:val="18"/>
              </w:rPr>
              <w:t>47.24%</w:t>
            </w:r>
          </w:p>
        </w:tc>
        <w:tc>
          <w:tcPr>
            <w:tcW w:w="16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596"/>
        <w:gridCol w:w="1594"/>
        <w:gridCol w:w="1595"/>
        <w:gridCol w:w="1594"/>
        <w:gridCol w:w="1594"/>
        <w:gridCol w:w="1595"/>
      </w:tblGrid>
      <w:tr>
        <w:trPr>
          <w:trHeight w:val="402"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40" w:right="0"/>
              <w:jc w:val="left"/>
              <w:rPr>
                <w:rFonts w:ascii="Times New Roman" w:hAnsi="Times New Roman" w:cs="Times New Roman" w:eastAsia="Times New Roman" w:hint="default"/>
                <w:sz w:val="18"/>
                <w:szCs w:val="18"/>
              </w:rPr>
            </w:pPr>
            <w:r>
              <w:rPr>
                <w:rFonts w:ascii="Times New Roman"/>
                <w:sz w:val="18"/>
              </w:rPr>
              <w:t>11,289,119.88</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28" w:right="0"/>
              <w:jc w:val="left"/>
              <w:rPr>
                <w:rFonts w:ascii="Times New Roman" w:hAnsi="Times New Roman" w:cs="Times New Roman" w:eastAsia="Times New Roman" w:hint="default"/>
                <w:sz w:val="18"/>
                <w:szCs w:val="18"/>
              </w:rPr>
            </w:pPr>
            <w:r>
              <w:rPr>
                <w:rFonts w:ascii="Times New Roman"/>
                <w:sz w:val="18"/>
              </w:rPr>
              <w:t>21,416,141.79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06" w:right="0"/>
              <w:jc w:val="left"/>
              <w:rPr>
                <w:rFonts w:ascii="Times New Roman" w:hAnsi="Times New Roman" w:cs="Times New Roman" w:eastAsia="Times New Roman" w:hint="default"/>
                <w:sz w:val="18"/>
                <w:szCs w:val="18"/>
              </w:rPr>
            </w:pPr>
            <w:r>
              <w:rPr>
                <w:rFonts w:ascii="Times New Roman"/>
                <w:sz w:val="18"/>
              </w:rPr>
              <w:t>52.71%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r>
    </w:tbl>
    <w:p>
      <w:pPr>
        <w:pStyle w:val="BodyText"/>
        <w:spacing w:line="240" w:lineRule="auto" w:before="51"/>
        <w:ind w:left="154" w:right="0"/>
        <w:jc w:val="left"/>
      </w:pPr>
      <w:r>
        <w:rPr/>
        <w:t>公司报告期内盈利且母公司可供普通股股东分配利润为正但未提出普通股现金红利分配预案</w:t>
      </w:r>
    </w:p>
    <w:p>
      <w:pPr>
        <w:pStyle w:val="BodyText"/>
        <w:spacing w:line="240" w:lineRule="auto" w:before="117"/>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3"/>
        <w:rPr>
          <w:rFonts w:ascii="宋体" w:hAnsi="宋体" w:cs="宋体" w:eastAsia="宋体" w:hint="default"/>
          <w:sz w:val="23"/>
          <w:szCs w:val="23"/>
        </w:rPr>
      </w:pPr>
    </w:p>
    <w:p>
      <w:pPr>
        <w:pStyle w:val="Heading2"/>
        <w:spacing w:line="240" w:lineRule="auto"/>
        <w:ind w:right="0"/>
        <w:jc w:val="left"/>
        <w:rPr>
          <w:b w:val="0"/>
          <w:bCs w:val="0"/>
        </w:rPr>
      </w:pPr>
      <w:bookmarkStart w:name="二、本报告期利润分配及资本公积金转增股本预案" w:id="64"/>
      <w:bookmarkEnd w:id="64"/>
      <w:r>
        <w:rPr>
          <w:b w:val="0"/>
          <w:bCs w:val="0"/>
        </w:rPr>
      </w:r>
      <w:r>
        <w:rPr/>
        <w:t>二、本报告期利润分配及资本公积金转增股本预案</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2"/>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3784"/>
        <w:gridCol w:w="5784"/>
      </w:tblGrid>
      <w:tr>
        <w:trPr>
          <w:trHeight w:val="403" w:hRule="exact"/>
        </w:trPr>
        <w:tc>
          <w:tcPr>
            <w:tcW w:w="3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股送红股数（股）</w:t>
            </w:r>
          </w:p>
        </w:tc>
        <w:tc>
          <w:tcPr>
            <w:tcW w:w="578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股派息</w:t>
            </w:r>
            <w:r>
              <w:rPr>
                <w:rFonts w:ascii="宋体" w:hAnsi="宋体" w:cs="宋体" w:eastAsia="宋体" w:hint="default"/>
                <w:spacing w:val="1"/>
                <w:sz w:val="18"/>
                <w:szCs w:val="18"/>
              </w:rPr>
              <w:t>数</w:t>
            </w:r>
            <w:r>
              <w:rPr>
                <w:rFonts w:ascii="宋体" w:hAnsi="宋体" w:cs="宋体" w:eastAsia="宋体" w:hint="default"/>
                <w:sz w:val="18"/>
                <w:szCs w:val="18"/>
              </w:rPr>
              <w:t>（元</w:t>
            </w:r>
            <w:r>
              <w:rPr>
                <w:rFonts w:ascii="宋体" w:hAnsi="宋体" w:cs="宋体" w:eastAsia="宋体" w:hint="default"/>
                <w:spacing w:val="-90"/>
                <w:sz w:val="18"/>
                <w:szCs w:val="18"/>
              </w:rPr>
              <w:t>）</w:t>
            </w:r>
            <w:r>
              <w:rPr>
                <w:rFonts w:ascii="宋体" w:hAnsi="宋体" w:cs="宋体" w:eastAsia="宋体" w:hint="default"/>
                <w:sz w:val="18"/>
                <w:szCs w:val="18"/>
              </w:rPr>
              <w:t>（含税）</w:t>
            </w:r>
          </w:p>
        </w:tc>
        <w:tc>
          <w:tcPr>
            <w:tcW w:w="578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w:t>
            </w:r>
          </w:p>
        </w:tc>
      </w:tr>
      <w:tr>
        <w:trPr>
          <w:trHeight w:val="402" w:hRule="exact"/>
        </w:trPr>
        <w:tc>
          <w:tcPr>
            <w:tcW w:w="3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股转增数（股）</w:t>
            </w:r>
          </w:p>
        </w:tc>
        <w:tc>
          <w:tcPr>
            <w:tcW w:w="578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分配预案的股本基数（股）</w:t>
            </w:r>
          </w:p>
        </w:tc>
        <w:tc>
          <w:tcPr>
            <w:tcW w:w="578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611,214,834</w:t>
            </w:r>
          </w:p>
        </w:tc>
      </w:tr>
      <w:tr>
        <w:trPr>
          <w:trHeight w:val="402" w:hRule="exact"/>
        </w:trPr>
        <w:tc>
          <w:tcPr>
            <w:tcW w:w="3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现金分红总额（元</w:t>
            </w:r>
            <w:r>
              <w:rPr>
                <w:rFonts w:ascii="宋体" w:hAnsi="宋体" w:cs="宋体" w:eastAsia="宋体" w:hint="default"/>
                <w:spacing w:val="-90"/>
                <w:sz w:val="18"/>
                <w:szCs w:val="18"/>
              </w:rPr>
              <w:t>）</w:t>
            </w:r>
            <w:r>
              <w:rPr>
                <w:rFonts w:ascii="宋体" w:hAnsi="宋体" w:cs="宋体" w:eastAsia="宋体" w:hint="default"/>
                <w:sz w:val="18"/>
                <w:szCs w:val="18"/>
              </w:rPr>
              <w:t>（含税）</w:t>
            </w:r>
          </w:p>
        </w:tc>
        <w:tc>
          <w:tcPr>
            <w:tcW w:w="578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61,121,483.4</w:t>
            </w:r>
          </w:p>
        </w:tc>
      </w:tr>
      <w:tr>
        <w:trPr>
          <w:trHeight w:val="402" w:hRule="exact"/>
        </w:trPr>
        <w:tc>
          <w:tcPr>
            <w:tcW w:w="3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可分配利润（元）</w:t>
            </w:r>
          </w:p>
        </w:tc>
        <w:tc>
          <w:tcPr>
            <w:tcW w:w="578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199,955,528.48</w:t>
            </w:r>
          </w:p>
        </w:tc>
      </w:tr>
      <w:tr>
        <w:trPr>
          <w:trHeight w:val="402" w:hRule="exact"/>
        </w:trPr>
        <w:tc>
          <w:tcPr>
            <w:tcW w:w="3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现金分红占利润分配总额的比例</w:t>
            </w:r>
          </w:p>
        </w:tc>
        <w:tc>
          <w:tcPr>
            <w:tcW w:w="578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100%</w:t>
            </w:r>
          </w:p>
        </w:tc>
      </w:tr>
      <w:tr>
        <w:trPr>
          <w:trHeight w:val="401" w:hRule="exact"/>
        </w:trPr>
        <w:tc>
          <w:tcPr>
            <w:tcW w:w="95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本次现金分红情况</w:t>
            </w:r>
          </w:p>
        </w:tc>
      </w:tr>
      <w:tr>
        <w:trPr>
          <w:trHeight w:val="403" w:hRule="exact"/>
        </w:trPr>
        <w:tc>
          <w:tcPr>
            <w:tcW w:w="95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pacing w:val="-2"/>
                <w:sz w:val="18"/>
                <w:szCs w:val="18"/>
              </w:rPr>
              <w:t>公司发展阶段属成长期且有重大资金支出安排的，进行利润分配时，现金分红在本次利润分配中所占比例最低应达到</w:t>
            </w:r>
            <w:r>
              <w:rPr>
                <w:rFonts w:ascii="宋体" w:hAnsi="宋体" w:cs="宋体" w:eastAsia="宋体" w:hint="default"/>
                <w:spacing w:val="-15"/>
                <w:sz w:val="18"/>
                <w:szCs w:val="18"/>
              </w:rPr>
              <w:t> </w:t>
            </w:r>
            <w:r>
              <w:rPr>
                <w:rFonts w:ascii="Times New Roman" w:hAnsi="Times New Roman" w:cs="Times New Roman" w:eastAsia="Times New Roman" w:hint="default"/>
                <w:sz w:val="18"/>
                <w:szCs w:val="18"/>
              </w:rPr>
              <w:t>20</w:t>
            </w:r>
            <w:r>
              <w:rPr>
                <w:rFonts w:ascii="宋体" w:hAnsi="宋体" w:cs="宋体" w:eastAsia="宋体" w:hint="default"/>
                <w:sz w:val="18"/>
                <w:szCs w:val="18"/>
              </w:rPr>
              <w:t>％</w:t>
            </w:r>
          </w:p>
        </w:tc>
      </w:tr>
      <w:tr>
        <w:trPr>
          <w:trHeight w:val="401" w:hRule="exact"/>
        </w:trPr>
        <w:tc>
          <w:tcPr>
            <w:tcW w:w="95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888" w:right="0"/>
              <w:jc w:val="left"/>
              <w:rPr>
                <w:rFonts w:ascii="宋体" w:hAnsi="宋体" w:cs="宋体" w:eastAsia="宋体" w:hint="default"/>
                <w:sz w:val="18"/>
                <w:szCs w:val="18"/>
              </w:rPr>
            </w:pPr>
            <w:r>
              <w:rPr>
                <w:rFonts w:ascii="宋体" w:hAnsi="宋体" w:cs="宋体" w:eastAsia="宋体" w:hint="default"/>
                <w:sz w:val="18"/>
                <w:szCs w:val="18"/>
              </w:rPr>
              <w:t>利润分配或资本公积金转增预案的详细情况说明</w:t>
            </w:r>
          </w:p>
        </w:tc>
      </w:tr>
      <w:tr>
        <w:trPr>
          <w:trHeight w:val="2588" w:hRule="exact"/>
        </w:trPr>
        <w:tc>
          <w:tcPr>
            <w:tcW w:w="9569" w:type="dxa"/>
            <w:gridSpan w:val="2"/>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2" w:right="19"/>
              <w:jc w:val="left"/>
              <w:rPr>
                <w:rFonts w:ascii="宋体" w:hAnsi="宋体" w:cs="宋体" w:eastAsia="宋体" w:hint="default"/>
                <w:sz w:val="18"/>
                <w:szCs w:val="18"/>
              </w:rPr>
            </w:pPr>
            <w:r>
              <w:rPr>
                <w:rFonts w:ascii="宋体" w:hAnsi="宋体" w:cs="宋体" w:eastAsia="宋体" w:hint="default"/>
                <w:sz w:val="18"/>
                <w:szCs w:val="18"/>
              </w:rPr>
              <w:t>经瑞华会计师事务所（特殊普通合伙）审计，</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年度归属于上市公司股东的净利润为</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132,014,114.22</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元，母公司净利润 为 </w:t>
            </w:r>
            <w:r>
              <w:rPr>
                <w:rFonts w:ascii="Times New Roman" w:hAnsi="Times New Roman" w:cs="Times New Roman" w:eastAsia="Times New Roman" w:hint="default"/>
                <w:sz w:val="18"/>
                <w:szCs w:val="18"/>
              </w:rPr>
              <w:t>31,686,288.93 </w:t>
            </w:r>
            <w:r>
              <w:rPr>
                <w:rFonts w:ascii="Times New Roman" w:hAnsi="Times New Roman" w:cs="Times New Roman" w:eastAsia="Times New Roman" w:hint="default"/>
                <w:spacing w:val="1"/>
                <w:sz w:val="18"/>
                <w:szCs w:val="18"/>
              </w:rPr>
              <w:t> </w:t>
            </w:r>
            <w:r>
              <w:rPr>
                <w:rFonts w:ascii="宋体" w:hAnsi="宋体" w:cs="宋体" w:eastAsia="宋体" w:hint="default"/>
                <w:spacing w:val="-10"/>
                <w:sz w:val="18"/>
                <w:szCs w:val="18"/>
              </w:rPr>
              <w:t>元。以</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年度母公司净利润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31,686,288.93 </w:t>
            </w:r>
            <w:r>
              <w:rPr>
                <w:rFonts w:ascii="宋体" w:hAnsi="宋体" w:cs="宋体" w:eastAsia="宋体" w:hint="default"/>
                <w:spacing w:val="-5"/>
                <w:sz w:val="18"/>
                <w:szCs w:val="18"/>
              </w:rPr>
              <w:t>元为基数，提取</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法定公积金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3,168,628.89 </w:t>
            </w:r>
            <w:r>
              <w:rPr>
                <w:rFonts w:ascii="宋体" w:hAnsi="宋体" w:cs="宋体" w:eastAsia="宋体" w:hint="default"/>
                <w:spacing w:val="-5"/>
                <w:sz w:val="18"/>
                <w:szCs w:val="18"/>
              </w:rPr>
              <w:t>元，加期初未</w:t>
            </w:r>
          </w:p>
          <w:p>
            <w:pPr>
              <w:pStyle w:val="TableParagraph"/>
              <w:spacing w:line="240" w:lineRule="auto" w:before="13"/>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分配利润</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212,196,924.04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元后，减去报告期内分配利润</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40,759,055.60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年度可供股东分配的利润为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199,955,528.48</w:t>
            </w:r>
          </w:p>
          <w:p>
            <w:pPr>
              <w:pStyle w:val="TableParagraph"/>
              <w:spacing w:line="240" w:lineRule="auto" w:before="63"/>
              <w:ind w:left="22" w:right="0"/>
              <w:jc w:val="left"/>
              <w:rPr>
                <w:rFonts w:ascii="Times New Roman" w:hAnsi="Times New Roman" w:cs="Times New Roman" w:eastAsia="Times New Roman" w:hint="default"/>
                <w:sz w:val="18"/>
                <w:szCs w:val="18"/>
              </w:rPr>
            </w:pPr>
            <w:r>
              <w:rPr>
                <w:rFonts w:ascii="宋体" w:hAnsi="宋体" w:cs="宋体" w:eastAsia="宋体" w:hint="default"/>
                <w:spacing w:val="-6"/>
                <w:sz w:val="18"/>
                <w:szCs w:val="18"/>
              </w:rPr>
              <w:t>元。</w:t>
            </w:r>
            <w:r>
              <w:rPr>
                <w:rFonts w:ascii="Times New Roman" w:hAnsi="Times New Roman" w:cs="Times New Roman" w:eastAsia="Times New Roman" w:hint="default"/>
                <w:spacing w:val="-6"/>
                <w:sz w:val="18"/>
                <w:szCs w:val="18"/>
              </w:rPr>
              <w:t>2017</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年度利润分配预案为：公司拟以未来实施分配方案时股权登记日的总股本</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611,214,834</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股为基数</w:t>
            </w:r>
            <w:r>
              <w:rPr>
                <w:rFonts w:ascii="Times New Roman" w:hAnsi="Times New Roman" w:cs="Times New Roman" w:eastAsia="Times New Roman" w:hint="default"/>
                <w:sz w:val="18"/>
                <w:szCs w:val="18"/>
              </w:rPr>
              <w:t>,</w:t>
            </w:r>
            <w:r>
              <w:rPr>
                <w:rFonts w:ascii="宋体" w:hAnsi="宋体" w:cs="宋体" w:eastAsia="宋体" w:hint="default"/>
                <w:sz w:val="18"/>
                <w:szCs w:val="18"/>
              </w:rPr>
              <w:t>向全体股东每</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股派发现金股利人民币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元（含税</w:t>
            </w:r>
            <w:r>
              <w:rPr>
                <w:rFonts w:ascii="宋体" w:hAnsi="宋体" w:cs="宋体" w:eastAsia="宋体" w:hint="default"/>
                <w:spacing w:val="-90"/>
                <w:sz w:val="18"/>
                <w:szCs w:val="18"/>
              </w:rPr>
              <w:t>）</w:t>
            </w:r>
            <w:r>
              <w:rPr>
                <w:rFonts w:ascii="宋体" w:hAnsi="宋体" w:cs="宋体" w:eastAsia="宋体" w:hint="default"/>
                <w:sz w:val="18"/>
                <w:szCs w:val="18"/>
              </w:rPr>
              <w:t>。上述利润分配预案尚待提交本公司股东大会审议。公司回购注销</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2016</w:t>
            </w:r>
          </w:p>
          <w:p>
            <w:pPr>
              <w:pStyle w:val="TableParagraph"/>
              <w:spacing w:line="300" w:lineRule="auto" w:before="63"/>
              <w:ind w:left="22" w:right="21"/>
              <w:jc w:val="left"/>
              <w:rPr>
                <w:rFonts w:ascii="宋体" w:hAnsi="宋体" w:cs="宋体" w:eastAsia="宋体" w:hint="default"/>
                <w:sz w:val="18"/>
                <w:szCs w:val="18"/>
              </w:rPr>
            </w:pPr>
            <w:r>
              <w:rPr>
                <w:rFonts w:ascii="宋体" w:hAnsi="宋体" w:cs="宋体" w:eastAsia="宋体" w:hint="default"/>
                <w:sz w:val="18"/>
                <w:szCs w:val="18"/>
              </w:rPr>
              <w:t>年限制性股票激励计划授予的限制性股票事宜，如未能在公司实施</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年度利润分配方案的股权登记日前完成，公司将 </w:t>
            </w:r>
            <w:r>
              <w:rPr>
                <w:rFonts w:ascii="宋体" w:hAnsi="宋体" w:cs="宋体" w:eastAsia="宋体" w:hint="default"/>
                <w:spacing w:val="-1"/>
                <w:sz w:val="18"/>
                <w:szCs w:val="18"/>
              </w:rPr>
              <w:t>按照《深圳证券交易所中小企业板上市公司规范运作指引（</w:t>
            </w:r>
            <w:r>
              <w:rPr>
                <w:rFonts w:ascii="Times New Roman" w:hAnsi="Times New Roman" w:cs="Times New Roman" w:eastAsia="Times New Roman" w:hint="default"/>
                <w:spacing w:val="-1"/>
                <w:sz w:val="18"/>
                <w:szCs w:val="18"/>
              </w:rPr>
              <w:t>2015</w:t>
            </w:r>
            <w:r>
              <w:rPr>
                <w:rFonts w:ascii="Times New Roman" w:hAnsi="Times New Roman" w:cs="Times New Roman" w:eastAsia="Times New Roman" w:hint="default"/>
                <w:sz w:val="18"/>
                <w:szCs w:val="18"/>
              </w:rPr>
              <w:t> </w:t>
            </w:r>
            <w:r>
              <w:rPr>
                <w:rFonts w:ascii="宋体" w:hAnsi="宋体" w:cs="宋体" w:eastAsia="宋体" w:hint="default"/>
                <w:spacing w:val="-6"/>
                <w:w w:val="100"/>
                <w:sz w:val="18"/>
                <w:szCs w:val="18"/>
              </w:rPr>
              <w:t>年修订）》所规定的</w:t>
            </w:r>
            <w:r>
              <w:rPr>
                <w:rFonts w:ascii="Times New Roman" w:hAnsi="Times New Roman" w:cs="Times New Roman" w:eastAsia="Times New Roman" w:hint="default"/>
                <w:spacing w:val="-6"/>
                <w:w w:val="100"/>
                <w:sz w:val="18"/>
                <w:szCs w:val="18"/>
              </w:rPr>
              <w:t>“</w:t>
            </w:r>
            <w:r>
              <w:rPr>
                <w:rFonts w:ascii="宋体" w:hAnsi="宋体" w:cs="宋体" w:eastAsia="宋体" w:hint="default"/>
                <w:spacing w:val="-6"/>
                <w:w w:val="100"/>
                <w:sz w:val="18"/>
                <w:szCs w:val="18"/>
              </w:rPr>
              <w:t>现金分红金额、送红股金额、转增股</w:t>
            </w:r>
            <w:r>
              <w:rPr>
                <w:rFonts w:ascii="宋体" w:hAnsi="宋体" w:cs="宋体" w:eastAsia="宋体" w:hint="default"/>
                <w:spacing w:val="-65"/>
                <w:w w:val="100"/>
                <w:sz w:val="18"/>
                <w:szCs w:val="18"/>
              </w:rPr>
              <w:t> </w:t>
            </w:r>
            <w:r>
              <w:rPr>
                <w:rFonts w:ascii="宋体" w:hAnsi="宋体" w:cs="宋体" w:eastAsia="宋体" w:hint="default"/>
                <w:spacing w:val="-65"/>
                <w:w w:val="100"/>
                <w:sz w:val="18"/>
                <w:szCs w:val="18"/>
              </w:rPr>
            </w:r>
            <w:r>
              <w:rPr>
                <w:rFonts w:ascii="宋体" w:hAnsi="宋体" w:cs="宋体" w:eastAsia="宋体" w:hint="default"/>
                <w:sz w:val="18"/>
                <w:szCs w:val="18"/>
              </w:rPr>
              <w:t>本金额固定不变</w:t>
            </w:r>
            <w:r>
              <w:rPr>
                <w:rFonts w:ascii="Times New Roman" w:hAnsi="Times New Roman" w:cs="Times New Roman" w:eastAsia="Times New Roman" w:hint="default"/>
                <w:sz w:val="18"/>
                <w:szCs w:val="18"/>
              </w:rPr>
              <w:t>”</w:t>
            </w:r>
            <w:r>
              <w:rPr>
                <w:rFonts w:ascii="宋体" w:hAnsi="宋体" w:cs="宋体" w:eastAsia="宋体" w:hint="default"/>
                <w:sz w:val="18"/>
                <w:szCs w:val="18"/>
              </w:rPr>
              <w:t>的原则，对上述利润分配预案进行调整。</w:t>
            </w:r>
          </w:p>
        </w:tc>
      </w:tr>
    </w:tbl>
    <w:p>
      <w:pPr>
        <w:spacing w:line="240" w:lineRule="auto" w:before="2"/>
        <w:rPr>
          <w:rFonts w:ascii="宋体" w:hAnsi="宋体" w:cs="宋体" w:eastAsia="宋体" w:hint="default"/>
          <w:sz w:val="18"/>
          <w:szCs w:val="18"/>
        </w:rPr>
      </w:pPr>
    </w:p>
    <w:p>
      <w:pPr>
        <w:pStyle w:val="Heading2"/>
        <w:spacing w:line="240" w:lineRule="auto" w:before="26"/>
        <w:ind w:left="154" w:right="0"/>
        <w:jc w:val="left"/>
        <w:rPr>
          <w:b w:val="0"/>
          <w:bCs w:val="0"/>
        </w:rPr>
      </w:pPr>
      <w:bookmarkStart w:name="三、承诺事项履行情况" w:id="65"/>
      <w:bookmarkEnd w:id="65"/>
      <w:r>
        <w:rPr>
          <w:b w:val="0"/>
          <w:bCs w:val="0"/>
        </w:rPr>
      </w:r>
      <w:r>
        <w:rPr/>
        <w:t>三、承诺事项履行情况</w:t>
      </w:r>
      <w:r>
        <w:rPr>
          <w:b w:val="0"/>
          <w:bCs w:val="0"/>
        </w:rPr>
      </w:r>
    </w:p>
    <w:p>
      <w:pPr>
        <w:spacing w:line="240" w:lineRule="auto" w:before="8"/>
        <w:rPr>
          <w:rFonts w:ascii="宋体" w:hAnsi="宋体" w:cs="宋体" w:eastAsia="宋体" w:hint="default"/>
          <w:b/>
          <w:bCs/>
          <w:sz w:val="24"/>
          <w:szCs w:val="24"/>
        </w:rPr>
      </w:pPr>
    </w:p>
    <w:p>
      <w:pPr>
        <w:pStyle w:val="Heading3"/>
        <w:spacing w:line="259" w:lineRule="auto"/>
        <w:ind w:left="153" w:right="0"/>
        <w:jc w:val="left"/>
        <w:rPr>
          <w:b w:val="0"/>
          <w:bCs w:val="0"/>
        </w:rPr>
      </w:pPr>
      <w:bookmarkStart w:name="1、公司实际控制人、股东、关联方、收购人以及公司等承诺相关方在报告期内履行完毕及" w:id="66"/>
      <w:bookmarkEnd w:id="66"/>
      <w:r>
        <w:rPr>
          <w:b w:val="0"/>
          <w:bCs w:val="0"/>
        </w:rPr>
      </w:r>
      <w:r>
        <w:rPr>
          <w:rFonts w:ascii="Times New Roman" w:hAnsi="Times New Roman" w:cs="Times New Roman" w:eastAsia="Times New Roman" w:hint="default"/>
        </w:rPr>
        <w:t>1</w:t>
      </w:r>
      <w:r>
        <w:rPr/>
        <w:t>、公司实际控制人、股东、关联方、收购人以及公司等承诺相关方在报告期内履行完毕及截至报告期末</w:t>
      </w:r>
      <w:r>
        <w:rPr>
          <w:spacing w:val="-74"/>
        </w:rPr>
        <w:t> </w:t>
      </w:r>
      <w:r>
        <w:rPr>
          <w:spacing w:val="-74"/>
        </w:rPr>
      </w:r>
      <w:r>
        <w:rPr/>
        <w:t>尚未履行完毕的承诺事项</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2"/>
        <w:rPr>
          <w:rFonts w:ascii="宋体" w:hAnsi="宋体" w:cs="宋体" w:eastAsia="宋体" w:hint="default"/>
          <w:sz w:val="6"/>
          <w:szCs w:val="6"/>
        </w:rPr>
      </w:pPr>
    </w:p>
    <w:tbl>
      <w:tblPr>
        <w:tblW w:w="0" w:type="auto"/>
        <w:jc w:val="left"/>
        <w:tblInd w:w="160" w:type="dxa"/>
        <w:tblLayout w:type="fixed"/>
        <w:tblCellMar>
          <w:top w:w="0" w:type="dxa"/>
          <w:left w:w="0" w:type="dxa"/>
          <w:bottom w:w="0" w:type="dxa"/>
          <w:right w:w="0" w:type="dxa"/>
        </w:tblCellMar>
        <w:tblLook w:val="01E0"/>
      </w:tblPr>
      <w:tblGrid>
        <w:gridCol w:w="2825"/>
        <w:gridCol w:w="1126"/>
        <w:gridCol w:w="1126"/>
        <w:gridCol w:w="1127"/>
        <w:gridCol w:w="1126"/>
        <w:gridCol w:w="1121"/>
        <w:gridCol w:w="1108"/>
      </w:tblGrid>
      <w:tr>
        <w:trPr>
          <w:trHeight w:val="402" w:hRule="exact"/>
        </w:trPr>
        <w:tc>
          <w:tcPr>
            <w:tcW w:w="28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0"/>
              <w:jc w:val="center"/>
              <w:rPr>
                <w:rFonts w:ascii="宋体" w:hAnsi="宋体" w:cs="宋体" w:eastAsia="宋体" w:hint="default"/>
                <w:sz w:val="18"/>
                <w:szCs w:val="18"/>
              </w:rPr>
            </w:pPr>
            <w:r>
              <w:rPr>
                <w:rFonts w:ascii="宋体" w:hAnsi="宋体" w:cs="宋体" w:eastAsia="宋体" w:hint="default"/>
                <w:sz w:val="18"/>
                <w:szCs w:val="18"/>
              </w:rPr>
              <w:t>承诺事由</w:t>
            </w:r>
          </w:p>
        </w:tc>
        <w:tc>
          <w:tcPr>
            <w:tcW w:w="11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87" w:right="0"/>
              <w:jc w:val="left"/>
              <w:rPr>
                <w:rFonts w:ascii="宋体" w:hAnsi="宋体" w:cs="宋体" w:eastAsia="宋体" w:hint="default"/>
                <w:sz w:val="18"/>
                <w:szCs w:val="18"/>
              </w:rPr>
            </w:pPr>
            <w:r>
              <w:rPr>
                <w:rFonts w:ascii="宋体" w:hAnsi="宋体" w:cs="宋体" w:eastAsia="宋体" w:hint="default"/>
                <w:sz w:val="18"/>
                <w:szCs w:val="18"/>
              </w:rPr>
              <w:t>承诺方</w:t>
            </w:r>
          </w:p>
        </w:tc>
        <w:tc>
          <w:tcPr>
            <w:tcW w:w="11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97" w:right="0"/>
              <w:jc w:val="left"/>
              <w:rPr>
                <w:rFonts w:ascii="宋体" w:hAnsi="宋体" w:cs="宋体" w:eastAsia="宋体" w:hint="default"/>
                <w:sz w:val="18"/>
                <w:szCs w:val="18"/>
              </w:rPr>
            </w:pPr>
            <w:r>
              <w:rPr>
                <w:rFonts w:ascii="宋体" w:hAnsi="宋体" w:cs="宋体" w:eastAsia="宋体" w:hint="default"/>
                <w:sz w:val="18"/>
                <w:szCs w:val="18"/>
              </w:rPr>
              <w:t>承诺类型</w:t>
            </w:r>
          </w:p>
        </w:tc>
        <w:tc>
          <w:tcPr>
            <w:tcW w:w="11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98" w:right="0"/>
              <w:jc w:val="left"/>
              <w:rPr>
                <w:rFonts w:ascii="宋体" w:hAnsi="宋体" w:cs="宋体" w:eastAsia="宋体" w:hint="default"/>
                <w:sz w:val="18"/>
                <w:szCs w:val="18"/>
              </w:rPr>
            </w:pPr>
            <w:r>
              <w:rPr>
                <w:rFonts w:ascii="宋体" w:hAnsi="宋体" w:cs="宋体" w:eastAsia="宋体" w:hint="default"/>
                <w:sz w:val="18"/>
                <w:szCs w:val="18"/>
              </w:rPr>
              <w:t>承诺内容</w:t>
            </w:r>
          </w:p>
        </w:tc>
        <w:tc>
          <w:tcPr>
            <w:tcW w:w="11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97" w:right="0"/>
              <w:jc w:val="left"/>
              <w:rPr>
                <w:rFonts w:ascii="宋体" w:hAnsi="宋体" w:cs="宋体" w:eastAsia="宋体" w:hint="default"/>
                <w:sz w:val="18"/>
                <w:szCs w:val="18"/>
              </w:rPr>
            </w:pPr>
            <w:r>
              <w:rPr>
                <w:rFonts w:ascii="宋体" w:hAnsi="宋体" w:cs="宋体" w:eastAsia="宋体" w:hint="default"/>
                <w:sz w:val="18"/>
                <w:szCs w:val="18"/>
              </w:rPr>
              <w:t>承诺时间</w:t>
            </w:r>
          </w:p>
        </w:tc>
        <w:tc>
          <w:tcPr>
            <w:tcW w:w="11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95" w:right="0"/>
              <w:jc w:val="left"/>
              <w:rPr>
                <w:rFonts w:ascii="宋体" w:hAnsi="宋体" w:cs="宋体" w:eastAsia="宋体" w:hint="default"/>
                <w:sz w:val="18"/>
                <w:szCs w:val="18"/>
              </w:rPr>
            </w:pPr>
            <w:r>
              <w:rPr>
                <w:rFonts w:ascii="宋体" w:hAnsi="宋体" w:cs="宋体" w:eastAsia="宋体" w:hint="default"/>
                <w:sz w:val="18"/>
                <w:szCs w:val="18"/>
              </w:rPr>
              <w:t>承诺期限</w:t>
            </w:r>
          </w:p>
        </w:tc>
        <w:tc>
          <w:tcPr>
            <w:tcW w:w="11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88" w:right="0"/>
              <w:jc w:val="left"/>
              <w:rPr>
                <w:rFonts w:ascii="宋体" w:hAnsi="宋体" w:cs="宋体" w:eastAsia="宋体" w:hint="default"/>
                <w:sz w:val="18"/>
                <w:szCs w:val="18"/>
              </w:rPr>
            </w:pPr>
            <w:r>
              <w:rPr>
                <w:rFonts w:ascii="宋体" w:hAnsi="宋体" w:cs="宋体" w:eastAsia="宋体" w:hint="default"/>
                <w:sz w:val="18"/>
                <w:szCs w:val="18"/>
              </w:rPr>
              <w:t>履行情况</w:t>
            </w:r>
          </w:p>
        </w:tc>
      </w:tr>
      <w:tr>
        <w:trPr>
          <w:trHeight w:val="402" w:hRule="exact"/>
        </w:trPr>
        <w:tc>
          <w:tcPr>
            <w:tcW w:w="28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股改承诺</w:t>
            </w:r>
          </w:p>
        </w:tc>
        <w:tc>
          <w:tcPr>
            <w:tcW w:w="1126" w:type="dxa"/>
            <w:tcBorders>
              <w:top w:val="single" w:sz="4" w:space="0" w:color="000000"/>
              <w:left w:val="single" w:sz="13" w:space="0" w:color="D2D2D2"/>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0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8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2"/>
              <w:ind w:left="11" w:right="101"/>
              <w:jc w:val="left"/>
              <w:rPr>
                <w:rFonts w:ascii="宋体" w:hAnsi="宋体" w:cs="宋体" w:eastAsia="宋体" w:hint="default"/>
                <w:sz w:val="18"/>
                <w:szCs w:val="18"/>
              </w:rPr>
            </w:pPr>
            <w:r>
              <w:rPr>
                <w:rFonts w:ascii="宋体" w:hAnsi="宋体" w:cs="宋体" w:eastAsia="宋体" w:hint="default"/>
                <w:sz w:val="18"/>
                <w:szCs w:val="18"/>
              </w:rPr>
              <w:t>收购报告书或权益变动报告书中所 作承诺</w:t>
            </w:r>
          </w:p>
        </w:tc>
        <w:tc>
          <w:tcPr>
            <w:tcW w:w="1126" w:type="dxa"/>
            <w:tcBorders>
              <w:top w:val="single" w:sz="4" w:space="0" w:color="000000"/>
              <w:left w:val="single" w:sz="13" w:space="0" w:color="D2D2D2"/>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08" w:type="dxa"/>
            <w:tcBorders>
              <w:top w:val="single" w:sz="4" w:space="0" w:color="000000"/>
              <w:left w:val="single" w:sz="4" w:space="0" w:color="000000"/>
              <w:bottom w:val="single" w:sz="4" w:space="0" w:color="000000"/>
              <w:right w:val="single" w:sz="4" w:space="0" w:color="000000"/>
            </w:tcBorders>
          </w:tcPr>
          <w:p>
            <w:pPr/>
          </w:p>
        </w:tc>
      </w:tr>
      <w:tr>
        <w:trPr>
          <w:trHeight w:val="318" w:hRule="exact"/>
        </w:trPr>
        <w:tc>
          <w:tcPr>
            <w:tcW w:w="2825" w:type="dxa"/>
            <w:tcBorders>
              <w:top w:val="single" w:sz="4" w:space="0" w:color="000000"/>
              <w:left w:val="single" w:sz="4" w:space="0" w:color="000000"/>
              <w:bottom w:val="nil" w:sz="6" w:space="0" w:color="auto"/>
              <w:right w:val="single" w:sz="4" w:space="0" w:color="000000"/>
            </w:tcBorders>
            <w:shd w:val="clear" w:color="auto" w:fill="D2D2D2"/>
          </w:tcPr>
          <w:p>
            <w:pPr/>
          </w:p>
        </w:tc>
        <w:tc>
          <w:tcPr>
            <w:tcW w:w="1126" w:type="dxa"/>
            <w:vMerge w:val="restart"/>
            <w:tcBorders>
              <w:top w:val="single" w:sz="4" w:space="0" w:color="000000"/>
              <w:left w:val="single" w:sz="9" w:space="0" w:color="D2D2D2"/>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17" w:right="21"/>
              <w:jc w:val="left"/>
              <w:rPr>
                <w:rFonts w:ascii="宋体" w:hAnsi="宋体" w:cs="宋体" w:eastAsia="宋体" w:hint="default"/>
                <w:sz w:val="18"/>
                <w:szCs w:val="18"/>
              </w:rPr>
            </w:pPr>
            <w:r>
              <w:rPr>
                <w:rFonts w:ascii="宋体" w:hAnsi="宋体" w:cs="宋体" w:eastAsia="宋体" w:hint="default"/>
                <w:sz w:val="18"/>
                <w:szCs w:val="18"/>
              </w:rPr>
              <w:t>沈永健、周维 君</w:t>
            </w:r>
          </w:p>
        </w:tc>
        <w:tc>
          <w:tcPr>
            <w:tcW w:w="1126" w:type="dxa"/>
            <w:vMerge w:val="restart"/>
            <w:tcBorders>
              <w:top w:val="single" w:sz="4" w:space="0" w:color="000000"/>
              <w:left w:val="single" w:sz="4" w:space="0" w:color="000000"/>
              <w:right w:val="single" w:sz="4" w:space="0" w:color="000000"/>
            </w:tcBorders>
          </w:tcPr>
          <w:p>
            <w:pPr/>
          </w:p>
        </w:tc>
        <w:tc>
          <w:tcPr>
            <w:tcW w:w="1127" w:type="dxa"/>
            <w:vMerge w:val="restart"/>
            <w:tcBorders>
              <w:top w:val="single" w:sz="4" w:space="0" w:color="000000"/>
              <w:left w:val="single" w:sz="4" w:space="0" w:color="000000"/>
              <w:right w:val="single" w:sz="4" w:space="0" w:color="000000"/>
            </w:tcBorders>
          </w:tcPr>
          <w:p>
            <w:pPr>
              <w:pStyle w:val="TableParagraph"/>
              <w:spacing w:line="316" w:lineRule="auto" w:before="71"/>
              <w:ind w:left="22" w:right="21"/>
              <w:jc w:val="left"/>
              <w:rPr>
                <w:rFonts w:ascii="宋体" w:hAnsi="宋体" w:cs="宋体" w:eastAsia="宋体" w:hint="default"/>
                <w:sz w:val="18"/>
                <w:szCs w:val="18"/>
              </w:rPr>
            </w:pPr>
            <w:r>
              <w:rPr>
                <w:rFonts w:ascii="宋体" w:hAnsi="宋体" w:cs="宋体" w:eastAsia="宋体" w:hint="default"/>
                <w:spacing w:val="-2"/>
                <w:sz w:val="18"/>
                <w:szCs w:val="18"/>
              </w:rPr>
              <w:t>沈永健、周维</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君承诺自该 等股份于证</w:t>
            </w:r>
          </w:p>
        </w:tc>
        <w:tc>
          <w:tcPr>
            <w:tcW w:w="112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21" w:type="dxa"/>
            <w:vMerge w:val="restart"/>
            <w:tcBorders>
              <w:top w:val="single" w:sz="4" w:space="0" w:color="000000"/>
              <w:left w:val="single" w:sz="4" w:space="0" w:color="000000"/>
              <w:right w:val="single" w:sz="4" w:space="0" w:color="000000"/>
            </w:tcBorders>
          </w:tcPr>
          <w:p>
            <w:pPr>
              <w:pStyle w:val="TableParagraph"/>
              <w:spacing w:line="309" w:lineRule="auto" w:before="52"/>
              <w:ind w:left="22" w:right="143"/>
              <w:jc w:val="both"/>
              <w:rPr>
                <w:rFonts w:ascii="宋体" w:hAnsi="宋体" w:cs="宋体" w:eastAsia="宋体" w:hint="default"/>
                <w:sz w:val="18"/>
                <w:szCs w:val="18"/>
              </w:rPr>
            </w:pPr>
            <w:r>
              <w:rPr>
                <w:rFonts w:ascii="宋体" w:hAnsi="宋体" w:cs="宋体" w:eastAsia="宋体" w:hint="default"/>
                <w:sz w:val="18"/>
                <w:szCs w:val="18"/>
              </w:rPr>
              <w:t>承诺结束日 期：</w:t>
            </w: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0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正在履行</w:t>
            </w:r>
          </w:p>
        </w:tc>
      </w:tr>
      <w:tr>
        <w:trPr>
          <w:trHeight w:val="391" w:hRule="exact"/>
        </w:trPr>
        <w:tc>
          <w:tcPr>
            <w:tcW w:w="282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资产重组时所作承诺</w:t>
            </w:r>
          </w:p>
        </w:tc>
        <w:tc>
          <w:tcPr>
            <w:tcW w:w="1126" w:type="dxa"/>
            <w:vMerge/>
            <w:tcBorders>
              <w:left w:val="single" w:sz="9" w:space="0" w:color="D2D2D2"/>
              <w:right w:val="single" w:sz="4" w:space="0" w:color="000000"/>
            </w:tcBorders>
          </w:tcPr>
          <w:p>
            <w:pPr/>
          </w:p>
        </w:tc>
        <w:tc>
          <w:tcPr>
            <w:tcW w:w="1126" w:type="dxa"/>
            <w:vMerge/>
            <w:tcBorders>
              <w:left w:val="single" w:sz="4" w:space="0" w:color="000000"/>
              <w:right w:val="single" w:sz="4" w:space="0" w:color="000000"/>
            </w:tcBorders>
          </w:tcPr>
          <w:p>
            <w:pPr/>
          </w:p>
        </w:tc>
        <w:tc>
          <w:tcPr>
            <w:tcW w:w="1127"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8" w:hRule="exact"/>
        </w:trPr>
        <w:tc>
          <w:tcPr>
            <w:tcW w:w="2825" w:type="dxa"/>
            <w:tcBorders>
              <w:top w:val="nil" w:sz="6" w:space="0" w:color="auto"/>
              <w:left w:val="single" w:sz="4" w:space="0" w:color="000000"/>
              <w:bottom w:val="single" w:sz="4" w:space="0" w:color="000000"/>
              <w:right w:val="single" w:sz="4" w:space="0" w:color="000000"/>
            </w:tcBorders>
            <w:shd w:val="clear" w:color="auto" w:fill="D2D2D2"/>
          </w:tcPr>
          <w:p>
            <w:pPr/>
          </w:p>
        </w:tc>
        <w:tc>
          <w:tcPr>
            <w:tcW w:w="1126" w:type="dxa"/>
            <w:vMerge/>
            <w:tcBorders>
              <w:left w:val="single" w:sz="9" w:space="0" w:color="D2D2D2"/>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1127" w:type="dxa"/>
            <w:vMerge/>
            <w:tcBorders>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1121" w:type="dxa"/>
            <w:vMerge/>
            <w:tcBorders>
              <w:left w:val="single" w:sz="4" w:space="0" w:color="000000"/>
              <w:bottom w:val="single" w:sz="4" w:space="0" w:color="000000"/>
              <w:right w:val="single" w:sz="4" w:space="0" w:color="000000"/>
            </w:tcBorders>
          </w:tcPr>
          <w:p>
            <w:pPr/>
          </w:p>
        </w:tc>
        <w:tc>
          <w:tcPr>
            <w:tcW w:w="1108" w:type="dxa"/>
            <w:vMerge/>
            <w:tcBorders>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r>
        <w:rPr/>
        <w:pict>
          <v:shape style="position:absolute;margin-left:334.483002pt;margin-top:72.47998pt;width:89pt;height:686.5pt;mso-position-horizontal-relative:page;mso-position-vertical-relative:page;z-index:-1254256"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10"/>
                    <w:rPr>
                      <w:rFonts w:ascii="Times New Roman" w:hAnsi="Times New Roman" w:cs="Times New Roman" w:eastAsia="Times New Roman" w:hint="default"/>
                      <w:sz w:val="14"/>
                      <w:szCs w:val="14"/>
                    </w:rPr>
                  </w:pPr>
                </w:p>
                <w:p>
                  <w:pPr>
                    <w:pStyle w:val="BodyText"/>
                    <w:spacing w:line="240" w:lineRule="auto"/>
                    <w:ind w:left="0" w:right="0"/>
                    <w:jc w:val="left"/>
                  </w:pPr>
                  <w:r>
                    <w:rPr/>
                    <w:t>沈永健、</w:t>
                  </w:r>
                </w:p>
              </w:txbxContent>
            </v:textbox>
            <w10:wrap type="none"/>
          </v:shape>
        </w:pict>
      </w: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317"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vMerge w:val="restart"/>
            <w:tcBorders>
              <w:top w:val="single" w:sz="4" w:space="0" w:color="000000"/>
              <w:left w:val="single" w:sz="4" w:space="0" w:color="000000"/>
              <w:right w:val="single" w:sz="4" w:space="0" w:color="000000"/>
            </w:tcBorders>
          </w:tcPr>
          <w:p>
            <w:pPr/>
          </w:p>
        </w:tc>
        <w:tc>
          <w:tcPr>
            <w:tcW w:w="1126" w:type="dxa"/>
            <w:vMerge w:val="restart"/>
            <w:tcBorders>
              <w:top w:val="single" w:sz="4" w:space="0" w:color="000000"/>
              <w:left w:val="single" w:sz="4" w:space="0" w:color="000000"/>
              <w:right w:val="single" w:sz="4" w:space="0" w:color="000000"/>
            </w:tcBorders>
          </w:tcPr>
          <w:p>
            <w:pPr/>
          </w:p>
        </w:tc>
        <w:tc>
          <w:tcPr>
            <w:tcW w:w="112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券登记结算</w:t>
            </w:r>
          </w:p>
        </w:tc>
        <w:tc>
          <w:tcPr>
            <w:tcW w:w="1126" w:type="dxa"/>
            <w:vMerge w:val="restart"/>
            <w:tcBorders>
              <w:top w:val="single" w:sz="4" w:space="0" w:color="000000"/>
              <w:left w:val="single" w:sz="4" w:space="0" w:color="000000"/>
              <w:right w:val="single" w:sz="4" w:space="0" w:color="000000"/>
            </w:tcBorders>
          </w:tcPr>
          <w:p>
            <w:pPr>
              <w:pStyle w:val="TableParagraph"/>
              <w:spacing w:line="13729"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74"/>
                <w:sz w:val="20"/>
                <w:szCs w:val="20"/>
              </w:rPr>
              <w:pict>
                <v:group style="width:55.85pt;height:686.5pt;mso-position-horizontal-relative:char;mso-position-vertical-relative:line" coordorigin="0,0" coordsize="1117,13730">
                  <v:group style="position:absolute;left:0;top:0;width:1117;height:13730" coordorigin="0,0" coordsize="1117,13730">
                    <v:shape style="position:absolute;left:0;top:0;width:1117;height:13730" coordorigin="0,0" coordsize="1117,13730" path="m0,13729l1116,13729,1116,0,0,0,0,13729xe" filled="true" fillcolor="#ffffff" stroked="false">
                      <v:path arrowok="t"/>
                      <v:fill type="solid"/>
                    </v:shape>
                  </v:group>
                </v:group>
              </w:pict>
            </w:r>
            <w:r>
              <w:rPr>
                <w:rFonts w:ascii="Times New Roman" w:hAnsi="Times New Roman" w:cs="Times New Roman" w:eastAsia="Times New Roman" w:hint="default"/>
                <w:position w:val="-274"/>
                <w:sz w:val="20"/>
                <w:szCs w:val="20"/>
              </w:rPr>
            </w:r>
          </w:p>
        </w:tc>
        <w:tc>
          <w:tcPr>
            <w:tcW w:w="1121" w:type="dxa"/>
            <w:vMerge w:val="restart"/>
            <w:tcBorders>
              <w:top w:val="single" w:sz="4" w:space="0" w:color="000000"/>
              <w:left w:val="single" w:sz="4" w:space="0" w:color="000000"/>
              <w:right w:val="single" w:sz="4" w:space="0" w:color="000000"/>
            </w:tcBorders>
          </w:tcPr>
          <w:p>
            <w:pPr/>
          </w:p>
        </w:tc>
        <w:tc>
          <w:tcPr>
            <w:tcW w:w="1108" w:type="dxa"/>
            <w:vMerge w:val="restart"/>
            <w:tcBorders>
              <w:top w:val="single" w:sz="4" w:space="0" w:color="000000"/>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公司登记至</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沈永健、周维</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君名下之日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个月内</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不转让。上述</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法定限售期</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限届满后，沈</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永健、周维君</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所取得的对</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价股份在满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足《发行股份</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及支付现金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购买资产协</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议》及《盈利</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预测补偿协</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议》约定的以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下条件后分</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四期解禁：第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一期：沈永</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健、周维君因</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本次发行获</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得奥拓电子</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的股份于证</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券登记结算</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公司登记至</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沈永健、周维</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君名下之日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起已满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月；且沈永</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健、周维君各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自已履行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部标的公司</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业绩补偿承</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诺之日（以最</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晚发生的为</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准</w:t>
            </w:r>
            <w:r>
              <w:rPr>
                <w:rFonts w:ascii="宋体" w:hAnsi="宋体" w:cs="宋体" w:eastAsia="宋体" w:hint="default"/>
                <w:spacing w:val="-90"/>
                <w:sz w:val="18"/>
                <w:szCs w:val="18"/>
              </w:rPr>
              <w:t>）</w:t>
            </w:r>
            <w:r>
              <w:rPr>
                <w:rFonts w:ascii="宋体" w:hAnsi="宋体" w:cs="宋体" w:eastAsia="宋体" w:hint="default"/>
                <w:sz w:val="18"/>
                <w:szCs w:val="18"/>
              </w:rPr>
              <w:t>。</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周维君各自</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因本次发行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获得奥拓电</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子的全部股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份的</w:t>
            </w:r>
            <w:r>
              <w:rPr>
                <w:rFonts w:ascii="宋体" w:hAnsi="宋体" w:cs="宋体" w:eastAsia="宋体" w:hint="default"/>
                <w:spacing w:val="-42"/>
                <w:sz w:val="18"/>
                <w:szCs w:val="18"/>
              </w:rPr>
              <w:t> </w:t>
            </w:r>
            <w:r>
              <w:rPr>
                <w:rFonts w:ascii="Times New Roman" w:hAnsi="Times New Roman" w:cs="Times New Roman" w:eastAsia="Times New Roman" w:hint="default"/>
                <w:spacing w:val="-6"/>
                <w:sz w:val="18"/>
                <w:szCs w:val="18"/>
              </w:rPr>
              <w:t>25%</w:t>
            </w:r>
            <w:r>
              <w:rPr>
                <w:rFonts w:ascii="宋体" w:hAnsi="宋体" w:cs="宋体" w:eastAsia="宋体" w:hint="default"/>
                <w:spacing w:val="-6"/>
                <w:sz w:val="18"/>
                <w:szCs w:val="18"/>
              </w:rPr>
              <w:t>（需</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3"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vMerge/>
            <w:tcBorders>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112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减去各自根</w:t>
            </w:r>
          </w:p>
        </w:tc>
        <w:tc>
          <w:tcPr>
            <w:tcW w:w="1126" w:type="dxa"/>
            <w:vMerge/>
            <w:tcBorders>
              <w:left w:val="single" w:sz="4" w:space="0" w:color="000000"/>
              <w:bottom w:val="single" w:sz="4" w:space="0" w:color="000000"/>
              <w:right w:val="single" w:sz="4" w:space="0" w:color="000000"/>
            </w:tcBorders>
          </w:tcPr>
          <w:p>
            <w:pPr/>
          </w:p>
        </w:tc>
        <w:tc>
          <w:tcPr>
            <w:tcW w:w="1121" w:type="dxa"/>
            <w:vMerge/>
            <w:tcBorders>
              <w:left w:val="single" w:sz="4" w:space="0" w:color="000000"/>
              <w:bottom w:val="single" w:sz="4" w:space="0" w:color="000000"/>
              <w:right w:val="single" w:sz="4" w:space="0" w:color="000000"/>
            </w:tcBorders>
          </w:tcPr>
          <w:p>
            <w:pPr/>
          </w:p>
        </w:tc>
        <w:tc>
          <w:tcPr>
            <w:tcW w:w="1108" w:type="dxa"/>
            <w:vMerge/>
            <w:tcBorders>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r>
        <w:rPr/>
        <w:pict>
          <v:shape style="position:absolute;margin-left:334.483002pt;margin-top:72.47998pt;width:89pt;height:686.5pt;mso-position-horizontal-relative:page;mso-position-vertical-relative:page;z-index:-1254208"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5"/>
                    <w:rPr>
                      <w:rFonts w:ascii="Times New Roman" w:hAnsi="Times New Roman" w:cs="Times New Roman" w:eastAsia="Times New Roman" w:hint="default"/>
                      <w:sz w:val="22"/>
                      <w:szCs w:val="22"/>
                    </w:rPr>
                  </w:pPr>
                </w:p>
                <w:p>
                  <w:pPr>
                    <w:pStyle w:val="BodyText"/>
                    <w:spacing w:line="240" w:lineRule="auto"/>
                    <w:ind w:left="0" w:right="0"/>
                    <w:jc w:val="left"/>
                  </w:pPr>
                  <w:r>
                    <w:rPr/>
                    <w:t>沈永健、</w:t>
                  </w:r>
                </w:p>
              </w:txbxContent>
            </v:textbox>
            <w10:wrap type="none"/>
          </v:shape>
        </w:pict>
      </w: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317"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vMerge w:val="restart"/>
            <w:tcBorders>
              <w:top w:val="single" w:sz="4" w:space="0" w:color="000000"/>
              <w:left w:val="single" w:sz="4" w:space="0" w:color="000000"/>
              <w:right w:val="single" w:sz="4" w:space="0" w:color="000000"/>
            </w:tcBorders>
          </w:tcPr>
          <w:p>
            <w:pPr/>
          </w:p>
        </w:tc>
        <w:tc>
          <w:tcPr>
            <w:tcW w:w="1126" w:type="dxa"/>
            <w:vMerge w:val="restart"/>
            <w:tcBorders>
              <w:top w:val="single" w:sz="4" w:space="0" w:color="000000"/>
              <w:left w:val="single" w:sz="4" w:space="0" w:color="000000"/>
              <w:right w:val="single" w:sz="4" w:space="0" w:color="000000"/>
            </w:tcBorders>
          </w:tcPr>
          <w:p>
            <w:pPr/>
          </w:p>
        </w:tc>
        <w:tc>
          <w:tcPr>
            <w:tcW w:w="112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据《发行股份</w:t>
            </w:r>
          </w:p>
        </w:tc>
        <w:tc>
          <w:tcPr>
            <w:tcW w:w="1126" w:type="dxa"/>
            <w:vMerge w:val="restart"/>
            <w:tcBorders>
              <w:top w:val="single" w:sz="4" w:space="0" w:color="000000"/>
              <w:left w:val="single" w:sz="4" w:space="0" w:color="000000"/>
              <w:right w:val="single" w:sz="4" w:space="0" w:color="000000"/>
            </w:tcBorders>
          </w:tcPr>
          <w:p>
            <w:pPr>
              <w:pStyle w:val="TableParagraph"/>
              <w:spacing w:line="13729"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74"/>
                <w:sz w:val="20"/>
                <w:szCs w:val="20"/>
              </w:rPr>
              <w:pict>
                <v:group style="width:55.85pt;height:686.5pt;mso-position-horizontal-relative:char;mso-position-vertical-relative:line" coordorigin="0,0" coordsize="1117,13730">
                  <v:group style="position:absolute;left:0;top:0;width:1117;height:13730" coordorigin="0,0" coordsize="1117,13730">
                    <v:shape style="position:absolute;left:0;top:0;width:1117;height:13730" coordorigin="0,0" coordsize="1117,13730" path="m0,13729l1116,13729,1116,0,0,0,0,13729xe" filled="true" fillcolor="#ffffff" stroked="false">
                      <v:path arrowok="t"/>
                      <v:fill type="solid"/>
                    </v:shape>
                  </v:group>
                </v:group>
              </w:pict>
            </w:r>
            <w:r>
              <w:rPr>
                <w:rFonts w:ascii="Times New Roman" w:hAnsi="Times New Roman" w:cs="Times New Roman" w:eastAsia="Times New Roman" w:hint="default"/>
                <w:position w:val="-274"/>
                <w:sz w:val="20"/>
                <w:szCs w:val="20"/>
              </w:rPr>
            </w:r>
          </w:p>
        </w:tc>
        <w:tc>
          <w:tcPr>
            <w:tcW w:w="1121" w:type="dxa"/>
            <w:vMerge w:val="restart"/>
            <w:tcBorders>
              <w:top w:val="single" w:sz="4" w:space="0" w:color="000000"/>
              <w:left w:val="single" w:sz="4" w:space="0" w:color="000000"/>
              <w:right w:val="single" w:sz="4" w:space="0" w:color="000000"/>
            </w:tcBorders>
          </w:tcPr>
          <w:p>
            <w:pPr/>
          </w:p>
        </w:tc>
        <w:tc>
          <w:tcPr>
            <w:tcW w:w="1108" w:type="dxa"/>
            <w:vMerge w:val="restart"/>
            <w:tcBorders>
              <w:top w:val="single" w:sz="4" w:space="0" w:color="000000"/>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及支付现金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购买资产协</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议》及《盈利</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预测补偿协</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议》的约定应</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补偿的股份</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数）可解除锁</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定；第二期：</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沈永健、周维</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君因本次发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行获得奥拓</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电子的股份</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于证券登记</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结算公司登</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记至沈永健、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周维君名下</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之日起已满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3"/>
                <w:sz w:val="18"/>
                <w:szCs w:val="18"/>
              </w:rPr>
              <w:t> </w:t>
            </w:r>
            <w:r>
              <w:rPr>
                <w:rFonts w:ascii="宋体" w:hAnsi="宋体" w:cs="宋体" w:eastAsia="宋体" w:hint="default"/>
                <w:spacing w:val="-12"/>
                <w:sz w:val="18"/>
                <w:szCs w:val="18"/>
              </w:rPr>
              <w:t>个月；且沈</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永健、周维君</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各自已履行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部标的公司</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业绩补偿承</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诺之日（以最</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晚发生的为</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准</w:t>
            </w:r>
            <w:r>
              <w:rPr>
                <w:rFonts w:ascii="宋体" w:hAnsi="宋体" w:cs="宋体" w:eastAsia="宋体" w:hint="default"/>
                <w:spacing w:val="-90"/>
                <w:sz w:val="18"/>
                <w:szCs w:val="18"/>
              </w:rPr>
              <w:t>）</w:t>
            </w:r>
            <w:r>
              <w:rPr>
                <w:rFonts w:ascii="宋体" w:hAnsi="宋体" w:cs="宋体" w:eastAsia="宋体" w:hint="default"/>
                <w:sz w:val="18"/>
                <w:szCs w:val="18"/>
              </w:rPr>
              <w:t>。</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周维君各自</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因本次发行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获得奥拓电</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子的全部股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份的</w:t>
            </w:r>
            <w:r>
              <w:rPr>
                <w:rFonts w:ascii="宋体" w:hAnsi="宋体" w:cs="宋体" w:eastAsia="宋体" w:hint="default"/>
                <w:spacing w:val="-42"/>
                <w:sz w:val="18"/>
                <w:szCs w:val="18"/>
              </w:rPr>
              <w:t> </w:t>
            </w:r>
            <w:r>
              <w:rPr>
                <w:rFonts w:ascii="Times New Roman" w:hAnsi="Times New Roman" w:cs="Times New Roman" w:eastAsia="Times New Roman" w:hint="default"/>
                <w:spacing w:val="-6"/>
                <w:sz w:val="18"/>
                <w:szCs w:val="18"/>
              </w:rPr>
              <w:t>25%</w:t>
            </w:r>
            <w:r>
              <w:rPr>
                <w:rFonts w:ascii="宋体" w:hAnsi="宋体" w:cs="宋体" w:eastAsia="宋体" w:hint="default"/>
                <w:spacing w:val="-6"/>
                <w:sz w:val="18"/>
                <w:szCs w:val="18"/>
              </w:rPr>
              <w:t>（需</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减去各自根</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据《发行股份</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及支付现金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购买资产协</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议》及《盈利</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预测补偿协</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议》的约定应</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补偿的股份</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数）可解除锁</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定；第三期：</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沈永健、周维</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8"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vMerge/>
            <w:tcBorders>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112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君因本次发</w:t>
            </w:r>
          </w:p>
        </w:tc>
        <w:tc>
          <w:tcPr>
            <w:tcW w:w="1126" w:type="dxa"/>
            <w:vMerge/>
            <w:tcBorders>
              <w:left w:val="single" w:sz="4" w:space="0" w:color="000000"/>
              <w:bottom w:val="single" w:sz="4" w:space="0" w:color="000000"/>
              <w:right w:val="single" w:sz="4" w:space="0" w:color="000000"/>
            </w:tcBorders>
          </w:tcPr>
          <w:p>
            <w:pPr/>
          </w:p>
        </w:tc>
        <w:tc>
          <w:tcPr>
            <w:tcW w:w="1121" w:type="dxa"/>
            <w:vMerge/>
            <w:tcBorders>
              <w:left w:val="single" w:sz="4" w:space="0" w:color="000000"/>
              <w:bottom w:val="single" w:sz="4" w:space="0" w:color="000000"/>
              <w:right w:val="single" w:sz="4" w:space="0" w:color="000000"/>
            </w:tcBorders>
          </w:tcPr>
          <w:p>
            <w:pPr/>
          </w:p>
        </w:tc>
        <w:tc>
          <w:tcPr>
            <w:tcW w:w="1108" w:type="dxa"/>
            <w:vMerge/>
            <w:tcBorders>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r>
        <w:rPr/>
        <w:pict>
          <v:shape style="position:absolute;margin-left:334.483002pt;margin-top:72.47998pt;width:89pt;height:686.5pt;mso-position-horizontal-relative:page;mso-position-vertical-relative:page;z-index:-1254160"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pStyle w:val="BodyText"/>
                    <w:spacing w:line="240" w:lineRule="auto" w:before="137"/>
                    <w:ind w:left="0" w:right="0"/>
                    <w:jc w:val="left"/>
                  </w:pPr>
                  <w:r>
                    <w:rPr/>
                    <w:t>沈永健、</w:t>
                  </w:r>
                </w:p>
              </w:txbxContent>
            </v:textbox>
            <w10:wrap type="none"/>
          </v:shape>
        </w:pict>
      </w: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317"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vMerge w:val="restart"/>
            <w:tcBorders>
              <w:top w:val="single" w:sz="4" w:space="0" w:color="000000"/>
              <w:left w:val="single" w:sz="4" w:space="0" w:color="000000"/>
              <w:right w:val="single" w:sz="4" w:space="0" w:color="000000"/>
            </w:tcBorders>
          </w:tcPr>
          <w:p>
            <w:pPr/>
          </w:p>
        </w:tc>
        <w:tc>
          <w:tcPr>
            <w:tcW w:w="1126" w:type="dxa"/>
            <w:vMerge w:val="restart"/>
            <w:tcBorders>
              <w:top w:val="single" w:sz="4" w:space="0" w:color="000000"/>
              <w:left w:val="single" w:sz="4" w:space="0" w:color="000000"/>
              <w:right w:val="single" w:sz="4" w:space="0" w:color="000000"/>
            </w:tcBorders>
          </w:tcPr>
          <w:p>
            <w:pPr/>
          </w:p>
        </w:tc>
        <w:tc>
          <w:tcPr>
            <w:tcW w:w="112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行获得奥拓</w:t>
            </w:r>
          </w:p>
        </w:tc>
        <w:tc>
          <w:tcPr>
            <w:tcW w:w="1126" w:type="dxa"/>
            <w:vMerge w:val="restart"/>
            <w:tcBorders>
              <w:top w:val="single" w:sz="4" w:space="0" w:color="000000"/>
              <w:left w:val="single" w:sz="4" w:space="0" w:color="000000"/>
              <w:right w:val="single" w:sz="4" w:space="0" w:color="000000"/>
            </w:tcBorders>
          </w:tcPr>
          <w:p>
            <w:pPr>
              <w:pStyle w:val="TableParagraph"/>
              <w:spacing w:line="13729"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74"/>
                <w:sz w:val="20"/>
                <w:szCs w:val="20"/>
              </w:rPr>
              <w:pict>
                <v:group style="width:55.85pt;height:686.5pt;mso-position-horizontal-relative:char;mso-position-vertical-relative:line" coordorigin="0,0" coordsize="1117,13730">
                  <v:group style="position:absolute;left:0;top:0;width:1117;height:13730" coordorigin="0,0" coordsize="1117,13730">
                    <v:shape style="position:absolute;left:0;top:0;width:1117;height:13730" coordorigin="0,0" coordsize="1117,13730" path="m0,13729l1116,13729,1116,0,0,0,0,13729xe" filled="true" fillcolor="#ffffff" stroked="false">
                      <v:path arrowok="t"/>
                      <v:fill type="solid"/>
                    </v:shape>
                  </v:group>
                </v:group>
              </w:pict>
            </w:r>
            <w:r>
              <w:rPr>
                <w:rFonts w:ascii="Times New Roman" w:hAnsi="Times New Roman" w:cs="Times New Roman" w:eastAsia="Times New Roman" w:hint="default"/>
                <w:position w:val="-274"/>
                <w:sz w:val="20"/>
                <w:szCs w:val="20"/>
              </w:rPr>
            </w:r>
          </w:p>
        </w:tc>
        <w:tc>
          <w:tcPr>
            <w:tcW w:w="1121" w:type="dxa"/>
            <w:vMerge w:val="restart"/>
            <w:tcBorders>
              <w:top w:val="single" w:sz="4" w:space="0" w:color="000000"/>
              <w:left w:val="single" w:sz="4" w:space="0" w:color="000000"/>
              <w:right w:val="single" w:sz="4" w:space="0" w:color="000000"/>
            </w:tcBorders>
          </w:tcPr>
          <w:p>
            <w:pPr/>
          </w:p>
        </w:tc>
        <w:tc>
          <w:tcPr>
            <w:tcW w:w="1108" w:type="dxa"/>
            <w:vMerge w:val="restart"/>
            <w:tcBorders>
              <w:top w:val="single" w:sz="4" w:space="0" w:color="000000"/>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电子的股份</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于证券登记</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结算公司登</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记至沈永健、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周维君名下</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之日起已满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3"/>
                <w:sz w:val="18"/>
                <w:szCs w:val="18"/>
              </w:rPr>
              <w:t> </w:t>
            </w:r>
            <w:r>
              <w:rPr>
                <w:rFonts w:ascii="宋体" w:hAnsi="宋体" w:cs="宋体" w:eastAsia="宋体" w:hint="default"/>
                <w:spacing w:val="-12"/>
                <w:sz w:val="18"/>
                <w:szCs w:val="18"/>
              </w:rPr>
              <w:t>个月；且沈</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永健、周维君</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各自已履行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部标的公司</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业绩补偿承</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诺之日（以最</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晚发生的为</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准</w:t>
            </w:r>
            <w:r>
              <w:rPr>
                <w:rFonts w:ascii="宋体" w:hAnsi="宋体" w:cs="宋体" w:eastAsia="宋体" w:hint="default"/>
                <w:spacing w:val="-90"/>
                <w:sz w:val="18"/>
                <w:szCs w:val="18"/>
              </w:rPr>
              <w:t>）</w:t>
            </w:r>
            <w:r>
              <w:rPr>
                <w:rFonts w:ascii="宋体" w:hAnsi="宋体" w:cs="宋体" w:eastAsia="宋体" w:hint="default"/>
                <w:sz w:val="18"/>
                <w:szCs w:val="18"/>
              </w:rPr>
              <w:t>。</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周维君各自</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因本次发行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获得奥拓电</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子的全部股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份的</w:t>
            </w:r>
            <w:r>
              <w:rPr>
                <w:rFonts w:ascii="宋体" w:hAnsi="宋体" w:cs="宋体" w:eastAsia="宋体" w:hint="default"/>
                <w:spacing w:val="-42"/>
                <w:sz w:val="18"/>
                <w:szCs w:val="18"/>
              </w:rPr>
              <w:t> </w:t>
            </w:r>
            <w:r>
              <w:rPr>
                <w:rFonts w:ascii="Times New Roman" w:hAnsi="Times New Roman" w:cs="Times New Roman" w:eastAsia="Times New Roman" w:hint="default"/>
                <w:spacing w:val="-6"/>
                <w:sz w:val="18"/>
                <w:szCs w:val="18"/>
              </w:rPr>
              <w:t>25%</w:t>
            </w:r>
            <w:r>
              <w:rPr>
                <w:rFonts w:ascii="宋体" w:hAnsi="宋体" w:cs="宋体" w:eastAsia="宋体" w:hint="default"/>
                <w:spacing w:val="-6"/>
                <w:sz w:val="18"/>
                <w:szCs w:val="18"/>
              </w:rPr>
              <w:t>（需</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减去各自根</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据《发行股份</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及支付现金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购买资产协</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议》及《盈利</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预测补偿协</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议》的约定应</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补偿的股份</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数）可解除锁</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定。第四期：</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沈永健、周维</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君因本次发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行获得奥拓</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电子的股份</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于证券登记</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结算公司登</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记至沈永健、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周维君名下</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之日起已满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48</w:t>
            </w:r>
            <w:r>
              <w:rPr>
                <w:rFonts w:ascii="Times New Roman" w:hAnsi="Times New Roman" w:cs="Times New Roman" w:eastAsia="Times New Roman" w:hint="default"/>
                <w:spacing w:val="3"/>
                <w:sz w:val="18"/>
                <w:szCs w:val="18"/>
              </w:rPr>
              <w:t> </w:t>
            </w:r>
            <w:r>
              <w:rPr>
                <w:rFonts w:ascii="宋体" w:hAnsi="宋体" w:cs="宋体" w:eastAsia="宋体" w:hint="default"/>
                <w:spacing w:val="-12"/>
                <w:sz w:val="18"/>
                <w:szCs w:val="18"/>
              </w:rPr>
              <w:t>个月；且沈</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永健、周维君</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各自已履行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8"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vMerge/>
            <w:tcBorders>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112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其相应全部</w:t>
            </w:r>
          </w:p>
        </w:tc>
        <w:tc>
          <w:tcPr>
            <w:tcW w:w="1126" w:type="dxa"/>
            <w:vMerge/>
            <w:tcBorders>
              <w:left w:val="single" w:sz="4" w:space="0" w:color="000000"/>
              <w:bottom w:val="single" w:sz="4" w:space="0" w:color="000000"/>
              <w:right w:val="single" w:sz="4" w:space="0" w:color="000000"/>
            </w:tcBorders>
          </w:tcPr>
          <w:p>
            <w:pPr/>
          </w:p>
        </w:tc>
        <w:tc>
          <w:tcPr>
            <w:tcW w:w="1121" w:type="dxa"/>
            <w:vMerge/>
            <w:tcBorders>
              <w:left w:val="single" w:sz="4" w:space="0" w:color="000000"/>
              <w:bottom w:val="single" w:sz="4" w:space="0" w:color="000000"/>
              <w:right w:val="single" w:sz="4" w:space="0" w:color="000000"/>
            </w:tcBorders>
          </w:tcPr>
          <w:p>
            <w:pPr/>
          </w:p>
        </w:tc>
        <w:tc>
          <w:tcPr>
            <w:tcW w:w="1108" w:type="dxa"/>
            <w:vMerge/>
            <w:tcBorders>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r>
        <w:rPr/>
        <w:pict>
          <v:shape style="position:absolute;margin-left:334.483002pt;margin-top:72.47998pt;width:89pt;height:407.7pt;mso-position-horizontal-relative:page;mso-position-vertical-relative:page;z-index:-1254088"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6"/>
                    <w:rPr>
                      <w:rFonts w:ascii="Times New Roman" w:hAnsi="Times New Roman" w:cs="Times New Roman" w:eastAsia="Times New Roman" w:hint="default"/>
                      <w:sz w:val="19"/>
                      <w:szCs w:val="19"/>
                    </w:rPr>
                  </w:pPr>
                </w:p>
                <w:p>
                  <w:pPr>
                    <w:pStyle w:val="BodyText"/>
                    <w:spacing w:line="240" w:lineRule="auto"/>
                    <w:ind w:left="0" w:right="0"/>
                    <w:jc w:val="left"/>
                  </w:pPr>
                  <w:r>
                    <w:rPr/>
                    <w:t>沈永健、</w:t>
                  </w:r>
                </w:p>
              </w:txbxContent>
            </v:textbox>
            <w10:wrap type="none"/>
          </v:shape>
        </w:pict>
      </w:r>
      <w:r>
        <w:rPr/>
        <w:pict>
          <v:shape style="position:absolute;margin-left:221.899994pt;margin-top:631.839966pt;width:88.95pt;height:131.6pt;mso-position-horizontal-relative:page;mso-position-vertical-relative:page;z-index:-1254064"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9"/>
                    <w:rPr>
                      <w:rFonts w:ascii="Times New Roman" w:hAnsi="Times New Roman" w:cs="Times New Roman" w:eastAsia="Times New Roman" w:hint="default"/>
                      <w:sz w:val="15"/>
                      <w:szCs w:val="15"/>
                    </w:rPr>
                  </w:pPr>
                </w:p>
                <w:p>
                  <w:pPr>
                    <w:pStyle w:val="BodyText"/>
                    <w:spacing w:line="240" w:lineRule="auto"/>
                    <w:ind w:left="0" w:right="0"/>
                    <w:jc w:val="left"/>
                  </w:pPr>
                  <w:r>
                    <w:rPr/>
                    <w:t>王亚伟、</w:t>
                  </w:r>
                </w:p>
              </w:txbxContent>
            </v:textbox>
            <w10:wrap type="none"/>
          </v:shape>
        </w:pict>
      </w:r>
    </w:p>
    <w:p>
      <w:pPr>
        <w:spacing w:line="240" w:lineRule="auto" w:before="10"/>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836"/>
        <w:gridCol w:w="1126"/>
        <w:gridCol w:w="1126"/>
        <w:gridCol w:w="1127"/>
        <w:gridCol w:w="1126"/>
        <w:gridCol w:w="1121"/>
        <w:gridCol w:w="1110"/>
      </w:tblGrid>
      <w:tr>
        <w:trPr>
          <w:trHeight w:val="8163"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2" w:right="21"/>
              <w:jc w:val="left"/>
              <w:rPr>
                <w:rFonts w:ascii="宋体" w:hAnsi="宋体" w:cs="宋体" w:eastAsia="宋体" w:hint="default"/>
                <w:sz w:val="18"/>
                <w:szCs w:val="18"/>
              </w:rPr>
            </w:pPr>
            <w:r>
              <w:rPr>
                <w:rFonts w:ascii="宋体" w:hAnsi="宋体" w:cs="宋体" w:eastAsia="宋体" w:hint="default"/>
                <w:sz w:val="18"/>
                <w:szCs w:val="18"/>
              </w:rPr>
              <w:t>标的公司业 绩补偿承诺 </w:t>
            </w:r>
            <w:r>
              <w:rPr>
                <w:rFonts w:ascii="宋体" w:hAnsi="宋体" w:cs="宋体" w:eastAsia="宋体" w:hint="default"/>
                <w:spacing w:val="-2"/>
                <w:sz w:val="18"/>
                <w:szCs w:val="18"/>
              </w:rPr>
              <w:t>之日（以最晚</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发生的为 </w:t>
            </w:r>
            <w:r>
              <w:rPr>
                <w:rFonts w:ascii="宋体" w:hAnsi="宋体" w:cs="宋体" w:eastAsia="宋体" w:hint="default"/>
                <w:spacing w:val="-30"/>
                <w:sz w:val="18"/>
                <w:szCs w:val="18"/>
              </w:rPr>
              <w:t>准）。</w:t>
            </w:r>
            <w:r>
              <w:rPr>
                <w:rFonts w:ascii="宋体" w:hAnsi="宋体" w:cs="宋体" w:eastAsia="宋体" w:hint="default"/>
                <w:sz w:val="18"/>
                <w:szCs w:val="18"/>
              </w:rPr>
              <w:t> 周维君各自 因本次发行 获得奥拓电 子的全部股 份的</w:t>
            </w:r>
            <w:r>
              <w:rPr>
                <w:rFonts w:ascii="宋体" w:hAnsi="宋体" w:cs="宋体" w:eastAsia="宋体" w:hint="default"/>
                <w:spacing w:val="-44"/>
                <w:sz w:val="18"/>
                <w:szCs w:val="18"/>
              </w:rPr>
              <w:t> </w:t>
            </w:r>
            <w:r>
              <w:rPr>
                <w:rFonts w:ascii="Times New Roman" w:hAnsi="Times New Roman" w:cs="Times New Roman" w:eastAsia="Times New Roman" w:hint="default"/>
                <w:spacing w:val="-6"/>
                <w:sz w:val="18"/>
                <w:szCs w:val="18"/>
              </w:rPr>
              <w:t>25%</w:t>
            </w:r>
            <w:r>
              <w:rPr>
                <w:rFonts w:ascii="宋体" w:hAnsi="宋体" w:cs="宋体" w:eastAsia="宋体" w:hint="default"/>
                <w:spacing w:val="-6"/>
                <w:sz w:val="18"/>
                <w:szCs w:val="18"/>
              </w:rPr>
              <w:t>（需</w:t>
            </w:r>
            <w:r>
              <w:rPr>
                <w:rFonts w:ascii="宋体" w:hAnsi="宋体" w:cs="宋体" w:eastAsia="宋体" w:hint="default"/>
                <w:sz w:val="18"/>
                <w:szCs w:val="18"/>
              </w:rPr>
              <w:t> 减去各自根 据本协议及</w:t>
            </w:r>
          </w:p>
          <w:p>
            <w:pPr>
              <w:pStyle w:val="TableParagraph"/>
              <w:spacing w:line="319" w:lineRule="auto" w:before="19"/>
              <w:ind w:left="22" w:right="21"/>
              <w:jc w:val="left"/>
              <w:rPr>
                <w:rFonts w:ascii="宋体" w:hAnsi="宋体" w:cs="宋体" w:eastAsia="宋体" w:hint="default"/>
                <w:sz w:val="18"/>
                <w:szCs w:val="18"/>
              </w:rPr>
            </w:pPr>
            <w:r>
              <w:rPr>
                <w:rFonts w:ascii="宋体" w:hAnsi="宋体" w:cs="宋体" w:eastAsia="宋体" w:hint="default"/>
                <w:sz w:val="18"/>
                <w:szCs w:val="18"/>
              </w:rPr>
              <w:t>《盈利预测 </w:t>
            </w:r>
            <w:r>
              <w:rPr>
                <w:rFonts w:ascii="宋体" w:hAnsi="宋体" w:cs="宋体" w:eastAsia="宋体" w:hint="default"/>
                <w:spacing w:val="-2"/>
                <w:sz w:val="18"/>
                <w:szCs w:val="18"/>
              </w:rPr>
              <w:t>补偿协议》的</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约定应补偿 </w:t>
            </w:r>
            <w:r>
              <w:rPr>
                <w:rFonts w:ascii="宋体" w:hAnsi="宋体" w:cs="宋体" w:eastAsia="宋体" w:hint="default"/>
                <w:spacing w:val="-2"/>
                <w:sz w:val="18"/>
                <w:szCs w:val="18"/>
              </w:rPr>
              <w:t>的股份数）可</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2"/>
                <w:sz w:val="18"/>
                <w:szCs w:val="18"/>
              </w:rPr>
              <w:t>解除锁定。上</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述法定限售 期限届满之 日起至对价 股份最后一 期解禁之日 </w:t>
            </w:r>
            <w:r>
              <w:rPr>
                <w:rFonts w:ascii="宋体" w:hAnsi="宋体" w:cs="宋体" w:eastAsia="宋体" w:hint="default"/>
                <w:spacing w:val="-2"/>
                <w:sz w:val="18"/>
                <w:szCs w:val="18"/>
              </w:rPr>
              <w:t>的期间内，未</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解禁的对价 股份不得进 行转让。</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8153"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62"/>
                <w:sz w:val="20"/>
                <w:szCs w:val="20"/>
              </w:rPr>
              <w:pict>
                <v:group style="width:55.85pt;height:407.7pt;mso-position-horizontal-relative:char;mso-position-vertical-relative:line" coordorigin="0,0" coordsize="1117,8154">
                  <v:group style="position:absolute;left:0;top:0;width:1117;height:8154" coordorigin="0,0" coordsize="1117,8154">
                    <v:shape style="position:absolute;left:0;top:0;width:1117;height:8154" coordorigin="0,0" coordsize="1117,8154" path="m0,8154l1116,8154,1116,0,0,0,0,8154xe" filled="true" fillcolor="#ffffff" stroked="false">
                      <v:path arrowok="t"/>
                      <v:fill type="solid"/>
                    </v:shape>
                  </v:group>
                </v:group>
              </w:pict>
            </w:r>
            <w:r>
              <w:rPr>
                <w:rFonts w:ascii="Times New Roman" w:hAnsi="Times New Roman" w:cs="Times New Roman" w:eastAsia="Times New Roman" w:hint="default"/>
                <w:position w:val="-162"/>
                <w:sz w:val="20"/>
                <w:szCs w:val="20"/>
              </w:rPr>
            </w:r>
          </w:p>
        </w:tc>
        <w:tc>
          <w:tcPr>
            <w:tcW w:w="1121"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
        </w:tc>
      </w:tr>
      <w:tr>
        <w:trPr>
          <w:trHeight w:val="5667"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spacing w:line="316" w:lineRule="auto"/>
              <w:ind w:left="23" w:right="21"/>
              <w:jc w:val="left"/>
              <w:rPr>
                <w:rFonts w:ascii="宋体" w:hAnsi="宋体" w:cs="宋体" w:eastAsia="宋体" w:hint="default"/>
                <w:sz w:val="18"/>
                <w:szCs w:val="18"/>
              </w:rPr>
            </w:pPr>
            <w:r>
              <w:rPr>
                <w:rFonts w:ascii="宋体" w:hAnsi="宋体" w:cs="宋体" w:eastAsia="宋体" w:hint="default"/>
                <w:sz w:val="18"/>
                <w:szCs w:val="18"/>
              </w:rPr>
              <w:t>广州中照龙 腾资产管理 </w:t>
            </w:r>
            <w:r>
              <w:rPr>
                <w:rFonts w:ascii="宋体" w:hAnsi="宋体" w:cs="宋体" w:eastAsia="宋体" w:hint="default"/>
                <w:spacing w:val="-2"/>
                <w:sz w:val="18"/>
                <w:szCs w:val="18"/>
              </w:rPr>
              <w:t>合伙企业（有</w:t>
            </w:r>
            <w:r>
              <w:rPr>
                <w:rFonts w:ascii="宋体" w:hAnsi="宋体" w:cs="宋体" w:eastAsia="宋体" w:hint="default"/>
                <w:sz w:val="18"/>
                <w:szCs w:val="18"/>
              </w:rPr>
              <w:t> </w:t>
            </w:r>
            <w:r>
              <w:rPr>
                <w:rFonts w:ascii="宋体" w:hAnsi="宋体" w:cs="宋体" w:eastAsia="宋体" w:hint="default"/>
                <w:spacing w:val="-15"/>
                <w:sz w:val="18"/>
                <w:szCs w:val="18"/>
              </w:rPr>
              <w:t>限合伙）、深</w:t>
            </w:r>
            <w:r>
              <w:rPr>
                <w:rFonts w:ascii="宋体" w:hAnsi="宋体" w:cs="宋体" w:eastAsia="宋体" w:hint="default"/>
                <w:sz w:val="18"/>
                <w:szCs w:val="18"/>
              </w:rPr>
              <w:t> 圳前海汉华 源投资企业</w:t>
            </w:r>
          </w:p>
          <w:p>
            <w:pPr>
              <w:pStyle w:val="TableParagraph"/>
              <w:spacing w:line="319" w:lineRule="auto" w:before="19"/>
              <w:ind w:left="23" w:right="370"/>
              <w:jc w:val="left"/>
              <w:rPr>
                <w:rFonts w:ascii="宋体" w:hAnsi="宋体" w:cs="宋体" w:eastAsia="宋体" w:hint="default"/>
                <w:sz w:val="18"/>
                <w:szCs w:val="18"/>
              </w:rPr>
            </w:pPr>
            <w:r>
              <w:rPr>
                <w:rFonts w:ascii="宋体" w:hAnsi="宋体" w:cs="宋体" w:eastAsia="宋体" w:hint="default"/>
                <w:sz w:val="18"/>
                <w:szCs w:val="18"/>
              </w:rPr>
              <w:t>（有限合 </w:t>
            </w:r>
            <w:r>
              <w:rPr>
                <w:rFonts w:ascii="宋体" w:hAnsi="宋体" w:cs="宋体" w:eastAsia="宋体" w:hint="default"/>
                <w:spacing w:val="-30"/>
                <w:sz w:val="18"/>
                <w:szCs w:val="18"/>
              </w:rPr>
              <w:t>伙）、</w:t>
            </w:r>
            <w:r>
              <w:rPr>
                <w:rFonts w:ascii="宋体" w:hAnsi="宋体" w:cs="宋体" w:eastAsia="宋体" w:hint="default"/>
                <w:sz w:val="18"/>
                <w:szCs w:val="18"/>
              </w:rPr>
              <w:t> 罗晓珊</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
              <w:ind w:right="0"/>
              <w:jc w:val="left"/>
              <w:rPr>
                <w:rFonts w:ascii="Times New Roman" w:hAnsi="Times New Roman" w:cs="Times New Roman" w:eastAsia="Times New Roman" w:hint="default"/>
                <w:sz w:val="22"/>
                <w:szCs w:val="22"/>
              </w:rPr>
            </w:pPr>
          </w:p>
          <w:p>
            <w:pPr>
              <w:pStyle w:val="TableParagraph"/>
              <w:spacing w:line="2632" w:lineRule="exact"/>
              <w:ind w:right="-5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52"/>
                <w:sz w:val="20"/>
                <w:szCs w:val="20"/>
              </w:rPr>
              <w:pict>
                <v:group style="width:55.8pt;height:131.6pt;mso-position-horizontal-relative:char;mso-position-vertical-relative:line" coordorigin="0,0" coordsize="1116,2632">
                  <v:group style="position:absolute;left:0;top:0;width:1116;height:2632" coordorigin="0,0" coordsize="1116,2632">
                    <v:shape style="position:absolute;left:0;top:0;width:1116;height:2632" coordorigin="0,0" coordsize="1116,2632" path="m0,2632l1116,2632,1116,0,0,0,0,2632xe" filled="true" fillcolor="#ffffff" stroked="false">
                      <v:path arrowok="t"/>
                      <v:fill type="solid"/>
                    </v:shape>
                  </v:group>
                </v:group>
              </w:pict>
            </w:r>
            <w:r>
              <w:rPr>
                <w:rFonts w:ascii="Times New Roman" w:hAnsi="Times New Roman" w:cs="Times New Roman" w:eastAsia="Times New Roman" w:hint="default"/>
                <w:position w:val="-52"/>
                <w:sz w:val="20"/>
                <w:szCs w:val="20"/>
              </w:rPr>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2"/>
              <w:jc w:val="left"/>
              <w:rPr>
                <w:rFonts w:ascii="宋体" w:hAnsi="宋体" w:cs="宋体" w:eastAsia="宋体" w:hint="default"/>
                <w:sz w:val="18"/>
                <w:szCs w:val="18"/>
              </w:rPr>
            </w:pPr>
            <w:r>
              <w:rPr>
                <w:rFonts w:ascii="宋体" w:hAnsi="宋体" w:cs="宋体" w:eastAsia="宋体" w:hint="default"/>
                <w:sz w:val="18"/>
                <w:szCs w:val="18"/>
              </w:rPr>
              <w:t>王亚伟、罗晓 珊、中照龙 腾、汉华源投 资承诺自该 等股份上市 之日起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 月内不转让。 上述限售期 限届满后，王 亚伟、罗晓 珊、中照龙 腾、汉华源投 资各自所取 得的对价股 份在满足《发 行股份及支 付现金购买 资产协议》及</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309" w:lineRule="auto"/>
              <w:ind w:left="22" w:right="143"/>
              <w:jc w:val="both"/>
              <w:rPr>
                <w:rFonts w:ascii="宋体" w:hAnsi="宋体" w:cs="宋体" w:eastAsia="宋体" w:hint="default"/>
                <w:sz w:val="18"/>
                <w:szCs w:val="18"/>
              </w:rPr>
            </w:pPr>
            <w:r>
              <w:rPr>
                <w:rFonts w:ascii="宋体" w:hAnsi="宋体" w:cs="宋体" w:eastAsia="宋体" w:hint="default"/>
                <w:sz w:val="18"/>
                <w:szCs w:val="18"/>
              </w:rPr>
              <w:t>承诺结束日 期：</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正在履行</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r>
        <w:rPr/>
        <w:pict>
          <v:shape style="position:absolute;margin-left:343.420013pt;margin-top:72.47998pt;width:80.1pt;height:686.5pt;mso-position-horizontal-relative:page;mso-position-vertical-relative:page;z-index:-1254016"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5"/>
                    <w:rPr>
                      <w:rFonts w:ascii="Times New Roman" w:hAnsi="Times New Roman" w:cs="Times New Roman" w:eastAsia="Times New Roman" w:hint="default"/>
                      <w:sz w:val="22"/>
                      <w:szCs w:val="22"/>
                    </w:rPr>
                  </w:pPr>
                </w:p>
                <w:p>
                  <w:pPr>
                    <w:pStyle w:val="BodyText"/>
                    <w:spacing w:line="240" w:lineRule="auto"/>
                    <w:ind w:left="0" w:right="0"/>
                    <w:jc w:val="left"/>
                  </w:pPr>
                  <w:r>
                    <w:rPr/>
                    <w:t>年度、</w:t>
                  </w:r>
                </w:p>
              </w:txbxContent>
            </v:textbox>
            <w10:wrap type="none"/>
          </v:shape>
        </w:pict>
      </w: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317"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vMerge w:val="restart"/>
            <w:tcBorders>
              <w:top w:val="single" w:sz="4" w:space="0" w:color="000000"/>
              <w:left w:val="single" w:sz="4" w:space="0" w:color="000000"/>
              <w:right w:val="single" w:sz="4" w:space="0" w:color="000000"/>
            </w:tcBorders>
          </w:tcPr>
          <w:p>
            <w:pPr/>
          </w:p>
        </w:tc>
        <w:tc>
          <w:tcPr>
            <w:tcW w:w="1126" w:type="dxa"/>
            <w:vMerge w:val="restart"/>
            <w:tcBorders>
              <w:top w:val="single" w:sz="4" w:space="0" w:color="000000"/>
              <w:left w:val="single" w:sz="4" w:space="0" w:color="000000"/>
              <w:right w:val="single" w:sz="4" w:space="0" w:color="000000"/>
            </w:tcBorders>
          </w:tcPr>
          <w:p>
            <w:pPr/>
          </w:p>
        </w:tc>
        <w:tc>
          <w:tcPr>
            <w:tcW w:w="112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《盈利预测</w:t>
            </w:r>
          </w:p>
        </w:tc>
        <w:tc>
          <w:tcPr>
            <w:tcW w:w="1126" w:type="dxa"/>
            <w:vMerge w:val="restart"/>
            <w:tcBorders>
              <w:top w:val="single" w:sz="4" w:space="0" w:color="000000"/>
              <w:left w:val="single" w:sz="4" w:space="0" w:color="000000"/>
              <w:right w:val="single" w:sz="4" w:space="0" w:color="000000"/>
            </w:tcBorders>
          </w:tcPr>
          <w:p>
            <w:pPr>
              <w:pStyle w:val="TableParagraph"/>
              <w:spacing w:line="13729"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74"/>
                <w:sz w:val="20"/>
                <w:szCs w:val="20"/>
              </w:rPr>
              <w:pict>
                <v:group style="width:55.85pt;height:686.5pt;mso-position-horizontal-relative:char;mso-position-vertical-relative:line" coordorigin="0,0" coordsize="1117,13730">
                  <v:group style="position:absolute;left:0;top:0;width:1117;height:13730" coordorigin="0,0" coordsize="1117,13730">
                    <v:shape style="position:absolute;left:0;top:0;width:1117;height:13730" coordorigin="0,0" coordsize="1117,13730" path="m0,13729l1116,13729,1116,0,0,0,0,13729xe" filled="true" fillcolor="#ffffff" stroked="false">
                      <v:path arrowok="t"/>
                      <v:fill type="solid"/>
                    </v:shape>
                  </v:group>
                </v:group>
              </w:pict>
            </w:r>
            <w:r>
              <w:rPr>
                <w:rFonts w:ascii="Times New Roman" w:hAnsi="Times New Roman" w:cs="Times New Roman" w:eastAsia="Times New Roman" w:hint="default"/>
                <w:position w:val="-274"/>
                <w:sz w:val="20"/>
                <w:szCs w:val="20"/>
              </w:rPr>
            </w:r>
          </w:p>
        </w:tc>
        <w:tc>
          <w:tcPr>
            <w:tcW w:w="1121" w:type="dxa"/>
            <w:vMerge w:val="restart"/>
            <w:tcBorders>
              <w:top w:val="single" w:sz="4" w:space="0" w:color="000000"/>
              <w:left w:val="single" w:sz="4" w:space="0" w:color="000000"/>
              <w:right w:val="single" w:sz="4" w:space="0" w:color="000000"/>
            </w:tcBorders>
          </w:tcPr>
          <w:p>
            <w:pPr/>
          </w:p>
        </w:tc>
        <w:tc>
          <w:tcPr>
            <w:tcW w:w="1108" w:type="dxa"/>
            <w:vMerge w:val="restart"/>
            <w:tcBorders>
              <w:top w:val="single" w:sz="4" w:space="0" w:color="000000"/>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补偿协议》约</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定的以下条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件后一次性</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解禁。王亚</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伟、罗晓珊、</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中照龙腾、汉</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华源投资因</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本次发行获</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得公司的股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份于证券登</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记结算公司</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登记至王亚</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伟、罗晓珊、</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中照龙腾、汉</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华源投资名</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下之日起已</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且王亚伟、罗</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晓珊、中照龙</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腾、汉华源投</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资各自已履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行其相应《发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行股份及支</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付现金购买</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资产协议》约</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定</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2016</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年度千</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百辉业绩补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偿承诺之日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（以最晚发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生的为准</w:t>
            </w:r>
            <w:r>
              <w:rPr>
                <w:rFonts w:ascii="宋体" w:hAnsi="宋体" w:cs="宋体" w:eastAsia="宋体" w:hint="default"/>
                <w:spacing w:val="-90"/>
                <w:sz w:val="18"/>
                <w:szCs w:val="18"/>
              </w:rPr>
              <w:t>）</w:t>
            </w:r>
            <w:r>
              <w:rPr>
                <w:rFonts w:ascii="宋体" w:hAnsi="宋体" w:cs="宋体" w:eastAsia="宋体" w:hint="default"/>
                <w:sz w:val="18"/>
                <w:szCs w:val="18"/>
              </w:rPr>
              <w:t>。</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王亚伟、罗晓</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珊、中照龙</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腾、汉华源投</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资各自因本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次发行获得</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公司的全部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股份（需减去</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各自根据《发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行股份及支</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付现金购买</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8"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vMerge/>
            <w:tcBorders>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112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资产协议》及</w:t>
            </w:r>
          </w:p>
        </w:tc>
        <w:tc>
          <w:tcPr>
            <w:tcW w:w="1126" w:type="dxa"/>
            <w:vMerge/>
            <w:tcBorders>
              <w:left w:val="single" w:sz="4" w:space="0" w:color="000000"/>
              <w:bottom w:val="single" w:sz="4" w:space="0" w:color="000000"/>
              <w:right w:val="single" w:sz="4" w:space="0" w:color="000000"/>
            </w:tcBorders>
          </w:tcPr>
          <w:p>
            <w:pPr/>
          </w:p>
        </w:tc>
        <w:tc>
          <w:tcPr>
            <w:tcW w:w="1121" w:type="dxa"/>
            <w:vMerge/>
            <w:tcBorders>
              <w:left w:val="single" w:sz="4" w:space="0" w:color="000000"/>
              <w:bottom w:val="single" w:sz="4" w:space="0" w:color="000000"/>
              <w:right w:val="single" w:sz="4" w:space="0" w:color="000000"/>
            </w:tcBorders>
          </w:tcPr>
          <w:p>
            <w:pPr/>
          </w:p>
        </w:tc>
        <w:tc>
          <w:tcPr>
            <w:tcW w:w="1108" w:type="dxa"/>
            <w:vMerge/>
            <w:tcBorders>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r>
        <w:rPr/>
        <w:pict>
          <v:shape style="position:absolute;margin-left:343.420013pt;margin-top:277.819977pt;width:80.1pt;height:225.2pt;mso-position-horizontal-relative:page;mso-position-vertical-relative:page;z-index:-1253992"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10"/>
                    <w:rPr>
                      <w:rFonts w:ascii="Times New Roman" w:hAnsi="Times New Roman" w:cs="Times New Roman" w:eastAsia="Times New Roman" w:hint="default"/>
                      <w:sz w:val="14"/>
                      <w:szCs w:val="14"/>
                    </w:rPr>
                  </w:pPr>
                </w:p>
                <w:p>
                  <w:pPr>
                    <w:pStyle w:val="BodyText"/>
                    <w:spacing w:line="240" w:lineRule="auto"/>
                    <w:ind w:left="0" w:right="0"/>
                    <w:jc w:val="left"/>
                  </w:pPr>
                  <w:r>
                    <w:rPr/>
                    <w:t>年度。</w:t>
                  </w:r>
                </w:p>
              </w:txbxContent>
            </v:textbox>
            <w10:wrap type="none"/>
          </v:shape>
        </w:pict>
      </w:r>
      <w:r>
        <w:rPr/>
        <w:pict>
          <v:group style="position:absolute;margin-left:367.660004pt;margin-top:277.819977pt;width:55.85pt;height:225.2pt;mso-position-horizontal-relative:page;mso-position-vertical-relative:page;z-index:-1253968" coordorigin="7353,5556" coordsize="1117,4504">
            <v:shape style="position:absolute;left:7353;top:5556;width:1117;height:4504" coordorigin="7353,5556" coordsize="1117,4504" path="m7353,10060l8470,10060,8470,5556,7353,5556,7353,10060xe" filled="true" fillcolor="#ffffff" stroked="false">
              <v:path arrowok="t"/>
              <v:fill type="solid"/>
            </v:shape>
            <w10:wrap type="none"/>
          </v:group>
        </w:pict>
      </w: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317"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vMerge w:val="restart"/>
            <w:tcBorders>
              <w:top w:val="single" w:sz="4" w:space="0" w:color="000000"/>
              <w:left w:val="single" w:sz="4" w:space="0" w:color="000000"/>
              <w:right w:val="single" w:sz="4" w:space="0" w:color="000000"/>
            </w:tcBorders>
          </w:tcPr>
          <w:p>
            <w:pPr/>
          </w:p>
        </w:tc>
        <w:tc>
          <w:tcPr>
            <w:tcW w:w="1126" w:type="dxa"/>
            <w:vMerge w:val="restart"/>
            <w:tcBorders>
              <w:top w:val="single" w:sz="4" w:space="0" w:color="000000"/>
              <w:left w:val="single" w:sz="4" w:space="0" w:color="000000"/>
              <w:right w:val="single" w:sz="4" w:space="0" w:color="000000"/>
            </w:tcBorders>
          </w:tcPr>
          <w:p>
            <w:pPr/>
          </w:p>
        </w:tc>
        <w:tc>
          <w:tcPr>
            <w:tcW w:w="112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《盈利预测</w:t>
            </w:r>
          </w:p>
        </w:tc>
        <w:tc>
          <w:tcPr>
            <w:tcW w:w="1126" w:type="dxa"/>
            <w:vMerge w:val="restart"/>
            <w:tcBorders>
              <w:top w:val="single" w:sz="4" w:space="0" w:color="000000"/>
              <w:left w:val="single" w:sz="4" w:space="0" w:color="000000"/>
              <w:right w:val="single" w:sz="4" w:space="0" w:color="000000"/>
            </w:tcBorders>
          </w:tcPr>
          <w:p>
            <w:pPr/>
          </w:p>
        </w:tc>
        <w:tc>
          <w:tcPr>
            <w:tcW w:w="1121" w:type="dxa"/>
            <w:vMerge w:val="restart"/>
            <w:tcBorders>
              <w:top w:val="single" w:sz="4" w:space="0" w:color="000000"/>
              <w:left w:val="single" w:sz="4" w:space="0" w:color="000000"/>
              <w:right w:val="single" w:sz="4" w:space="0" w:color="000000"/>
            </w:tcBorders>
          </w:tcPr>
          <w:p>
            <w:pPr/>
          </w:p>
        </w:tc>
        <w:tc>
          <w:tcPr>
            <w:tcW w:w="1108" w:type="dxa"/>
            <w:vMerge w:val="restart"/>
            <w:tcBorders>
              <w:top w:val="single" w:sz="4" w:space="0" w:color="000000"/>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补偿协议》的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约定应补偿</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的股份数）可</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解除锁定。本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次交易完成</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后，前述股份</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由于公司送</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股、转增股本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等原因增加</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的股份，亦应</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3"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遵守上述约</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5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112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定。</w:t>
            </w:r>
          </w:p>
        </w:tc>
        <w:tc>
          <w:tcPr>
            <w:tcW w:w="1126" w:type="dxa"/>
            <w:vMerge/>
            <w:tcBorders>
              <w:left w:val="single" w:sz="4" w:space="0" w:color="000000"/>
              <w:bottom w:val="single" w:sz="4" w:space="0" w:color="000000"/>
              <w:right w:val="single" w:sz="4" w:space="0" w:color="000000"/>
            </w:tcBorders>
          </w:tcPr>
          <w:p>
            <w:pPr/>
          </w:p>
        </w:tc>
        <w:tc>
          <w:tcPr>
            <w:tcW w:w="1121" w:type="dxa"/>
            <w:vMerge/>
            <w:tcBorders>
              <w:left w:val="single" w:sz="4" w:space="0" w:color="000000"/>
              <w:bottom w:val="single" w:sz="4" w:space="0" w:color="000000"/>
              <w:right w:val="single" w:sz="4" w:space="0" w:color="000000"/>
            </w:tcBorders>
          </w:tcPr>
          <w:p>
            <w:pPr/>
          </w:p>
        </w:tc>
        <w:tc>
          <w:tcPr>
            <w:tcW w:w="1108" w:type="dxa"/>
            <w:vMerge/>
            <w:tcBorders>
              <w:left w:val="single" w:sz="4" w:space="0" w:color="000000"/>
              <w:bottom w:val="single" w:sz="4" w:space="0" w:color="000000"/>
              <w:right w:val="single" w:sz="4" w:space="0" w:color="000000"/>
            </w:tcBorders>
          </w:tcPr>
          <w:p>
            <w:pPr/>
          </w:p>
        </w:tc>
      </w:tr>
      <w:tr>
        <w:trPr>
          <w:trHeight w:val="357" w:hRule="exact"/>
        </w:trPr>
        <w:tc>
          <w:tcPr>
            <w:tcW w:w="2836" w:type="dxa"/>
            <w:vMerge/>
            <w:tcBorders>
              <w:left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nil" w:sz="6" w:space="0" w:color="auto"/>
              <w:right w:val="single" w:sz="4" w:space="0" w:color="000000"/>
            </w:tcBorders>
          </w:tcPr>
          <w:p>
            <w:pPr/>
          </w:p>
        </w:tc>
        <w:tc>
          <w:tcPr>
            <w:tcW w:w="1126" w:type="dxa"/>
            <w:vMerge w:val="restart"/>
            <w:tcBorders>
              <w:top w:val="single" w:sz="4" w:space="0" w:color="000000"/>
              <w:left w:val="single" w:sz="4" w:space="0" w:color="000000"/>
              <w:right w:val="single" w:sz="4" w:space="0" w:color="000000"/>
            </w:tcBorders>
          </w:tcPr>
          <w:p>
            <w:pPr/>
          </w:p>
        </w:tc>
        <w:tc>
          <w:tcPr>
            <w:tcW w:w="112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根据《盈利预</w:t>
            </w:r>
          </w:p>
        </w:tc>
        <w:tc>
          <w:tcPr>
            <w:tcW w:w="1126" w:type="dxa"/>
            <w:tcBorders>
              <w:top w:val="single" w:sz="4" w:space="0" w:color="000000"/>
              <w:left w:val="single" w:sz="4" w:space="0" w:color="000000"/>
              <w:bottom w:val="nil" w:sz="6" w:space="0" w:color="auto"/>
              <w:right w:val="single" w:sz="4" w:space="0" w:color="000000"/>
            </w:tcBorders>
          </w:tcPr>
          <w:p>
            <w:pPr/>
          </w:p>
        </w:tc>
        <w:tc>
          <w:tcPr>
            <w:tcW w:w="1121" w:type="dxa"/>
            <w:tcBorders>
              <w:top w:val="single" w:sz="4" w:space="0" w:color="000000"/>
              <w:left w:val="single" w:sz="4" w:space="0" w:color="000000"/>
              <w:bottom w:val="nil" w:sz="6" w:space="0" w:color="auto"/>
              <w:right w:val="single" w:sz="4" w:space="0" w:color="000000"/>
            </w:tcBorders>
          </w:tcPr>
          <w:p>
            <w:pPr/>
          </w:p>
        </w:tc>
        <w:tc>
          <w:tcPr>
            <w:tcW w:w="1108" w:type="dxa"/>
            <w:tcBorders>
              <w:top w:val="single" w:sz="4" w:space="0" w:color="000000"/>
              <w:left w:val="single" w:sz="4" w:space="0" w:color="000000"/>
              <w:bottom w:val="nil" w:sz="6" w:space="0" w:color="auto"/>
              <w:right w:val="single" w:sz="4" w:space="0" w:color="000000"/>
            </w:tcBorders>
          </w:tcPr>
          <w:p>
            <w:pPr/>
          </w:p>
        </w:tc>
      </w:tr>
      <w:tr>
        <w:trPr>
          <w:trHeight w:val="311"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测补偿协议》</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作出以下承</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诺</w:t>
            </w:r>
            <w:r>
              <w:rPr>
                <w:rFonts w:ascii="宋体" w:hAnsi="宋体" w:cs="宋体" w:eastAsia="宋体" w:hint="default"/>
                <w:spacing w:val="-90"/>
                <w:sz w:val="18"/>
                <w:szCs w:val="18"/>
              </w:rPr>
              <w:t>：</w:t>
            </w:r>
            <w:r>
              <w:rPr>
                <w:rFonts w:ascii="宋体" w:hAnsi="宋体" w:cs="宋体" w:eastAsia="宋体" w:hint="default"/>
                <w:sz w:val="18"/>
                <w:szCs w:val="18"/>
              </w:rPr>
              <w:t>（一）盈</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利承诺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、盈</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利承诺期间</w:t>
            </w:r>
            <w:r>
              <w:rPr>
                <w:rFonts w:ascii="Times New Roman" w:hAnsi="Times New Roman" w:cs="Times New Roman" w:eastAsia="Times New Roman" w:hint="default"/>
                <w:sz w:val="18"/>
                <w:szCs w:val="18"/>
              </w:rPr>
              <w:t>-</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本次交易的</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盈利承诺期</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间为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度、</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3427"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316" w:lineRule="auto" w:before="142"/>
              <w:ind w:left="23" w:right="21"/>
              <w:jc w:val="left"/>
              <w:rPr>
                <w:rFonts w:ascii="宋体" w:hAnsi="宋体" w:cs="宋体" w:eastAsia="宋体" w:hint="default"/>
                <w:sz w:val="18"/>
                <w:szCs w:val="18"/>
              </w:rPr>
            </w:pPr>
            <w:r>
              <w:rPr>
                <w:rFonts w:ascii="宋体" w:hAnsi="宋体" w:cs="宋体" w:eastAsia="宋体" w:hint="default"/>
                <w:spacing w:val="-2"/>
                <w:sz w:val="18"/>
                <w:szCs w:val="18"/>
              </w:rPr>
              <w:t>沈永健、周维</w:t>
            </w:r>
            <w:r>
              <w:rPr>
                <w:rFonts w:ascii="宋体" w:hAnsi="宋体" w:cs="宋体" w:eastAsia="宋体" w:hint="default"/>
                <w:sz w:val="18"/>
                <w:szCs w:val="18"/>
              </w:rPr>
              <w:t> </w:t>
            </w:r>
            <w:r>
              <w:rPr>
                <w:rFonts w:ascii="宋体" w:hAnsi="宋体" w:cs="宋体" w:eastAsia="宋体" w:hint="default"/>
                <w:spacing w:val="-2"/>
                <w:sz w:val="18"/>
                <w:szCs w:val="18"/>
              </w:rPr>
              <w:t>君、广州中照</w:t>
            </w:r>
            <w:r>
              <w:rPr>
                <w:rFonts w:ascii="宋体" w:hAnsi="宋体" w:cs="宋体" w:eastAsia="宋体" w:hint="default"/>
                <w:sz w:val="18"/>
                <w:szCs w:val="18"/>
              </w:rPr>
              <w:t> 龙腾资产管 理合伙企业</w:t>
            </w:r>
          </w:p>
          <w:p>
            <w:pPr>
              <w:pStyle w:val="TableParagraph"/>
              <w:spacing w:line="319" w:lineRule="auto" w:before="19"/>
              <w:ind w:left="23" w:right="21"/>
              <w:jc w:val="left"/>
              <w:rPr>
                <w:rFonts w:ascii="宋体" w:hAnsi="宋体" w:cs="宋体" w:eastAsia="宋体" w:hint="default"/>
                <w:sz w:val="18"/>
                <w:szCs w:val="18"/>
              </w:rPr>
            </w:pPr>
            <w:r>
              <w:rPr>
                <w:rFonts w:ascii="宋体" w:hAnsi="宋体" w:cs="宋体" w:eastAsia="宋体" w:hint="default"/>
                <w:sz w:val="18"/>
                <w:szCs w:val="18"/>
              </w:rPr>
              <w:t>（有限合 </w:t>
            </w:r>
            <w:r>
              <w:rPr>
                <w:rFonts w:ascii="宋体" w:hAnsi="宋体" w:cs="宋体" w:eastAsia="宋体" w:hint="default"/>
                <w:spacing w:val="-15"/>
                <w:sz w:val="18"/>
                <w:szCs w:val="18"/>
              </w:rPr>
              <w:t>伙）、深圳前</w:t>
            </w:r>
            <w:r>
              <w:rPr>
                <w:rFonts w:ascii="宋体" w:hAnsi="宋体" w:cs="宋体" w:eastAsia="宋体" w:hint="default"/>
                <w:sz w:val="18"/>
                <w:szCs w:val="18"/>
              </w:rPr>
              <w:t> 海汉华源投 </w:t>
            </w:r>
            <w:r>
              <w:rPr>
                <w:rFonts w:ascii="宋体" w:hAnsi="宋体" w:cs="宋体" w:eastAsia="宋体" w:hint="default"/>
                <w:spacing w:val="-2"/>
                <w:sz w:val="18"/>
                <w:szCs w:val="18"/>
              </w:rPr>
              <w:t>资企业（有限</w:t>
            </w:r>
            <w:r>
              <w:rPr>
                <w:rFonts w:ascii="宋体" w:hAnsi="宋体" w:cs="宋体" w:eastAsia="宋体" w:hint="default"/>
                <w:sz w:val="18"/>
                <w:szCs w:val="18"/>
              </w:rPr>
              <w:t> </w:t>
            </w:r>
            <w:r>
              <w:rPr>
                <w:rFonts w:ascii="宋体" w:hAnsi="宋体" w:cs="宋体" w:eastAsia="宋体" w:hint="default"/>
                <w:spacing w:val="-15"/>
                <w:sz w:val="18"/>
                <w:szCs w:val="18"/>
              </w:rPr>
              <w:t>合伙）、王亚</w:t>
            </w:r>
            <w:r>
              <w:rPr>
                <w:rFonts w:ascii="宋体" w:hAnsi="宋体" w:cs="宋体" w:eastAsia="宋体" w:hint="default"/>
                <w:sz w:val="18"/>
                <w:szCs w:val="18"/>
              </w:rPr>
              <w:t> 伟、罗晓珊</w:t>
            </w: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300" w:lineRule="auto" w:before="5"/>
              <w:ind w:left="22" w:right="23"/>
              <w:jc w:val="left"/>
              <w:rPr>
                <w:rFonts w:ascii="Times New Roman" w:hAnsi="Times New Roman" w:cs="Times New Roman" w:eastAsia="Times New Roman" w:hint="default"/>
                <w:sz w:val="18"/>
                <w:szCs w:val="18"/>
              </w:rPr>
            </w:pPr>
            <w:r>
              <w:rPr>
                <w:rFonts w:ascii="宋体" w:hAnsi="宋体" w:cs="宋体" w:eastAsia="宋体" w:hint="default"/>
                <w:spacing w:val="-10"/>
                <w:sz w:val="18"/>
                <w:szCs w:val="18"/>
              </w:rPr>
              <w:t>度、</w:t>
            </w:r>
            <w:r>
              <w:rPr>
                <w:rFonts w:ascii="Times New Roman" w:hAnsi="Times New Roman" w:cs="Times New Roman" w:eastAsia="Times New Roman" w:hint="default"/>
                <w:spacing w:val="-10"/>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 及</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2019</w:t>
            </w:r>
          </w:p>
          <w:p>
            <w:pPr>
              <w:pStyle w:val="TableParagraph"/>
              <w:spacing w:line="307" w:lineRule="auto" w:before="13"/>
              <w:ind w:left="22" w:right="21"/>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、承诺盈利 数交易对方 </w:t>
            </w:r>
            <w:r>
              <w:rPr>
                <w:rFonts w:ascii="宋体" w:hAnsi="宋体" w:cs="宋体" w:eastAsia="宋体" w:hint="default"/>
                <w:spacing w:val="-2"/>
                <w:sz w:val="18"/>
                <w:szCs w:val="18"/>
              </w:rPr>
              <w:t>承诺，标的公</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司在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 度、</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 </w:t>
            </w:r>
            <w:r>
              <w:rPr>
                <w:rFonts w:ascii="宋体" w:hAnsi="宋体" w:cs="宋体" w:eastAsia="宋体" w:hint="default"/>
                <w:spacing w:val="-10"/>
                <w:sz w:val="18"/>
                <w:szCs w:val="18"/>
              </w:rPr>
              <w:t>度、</w:t>
            </w:r>
            <w:r>
              <w:rPr>
                <w:rFonts w:ascii="Times New Roman" w:hAnsi="Times New Roman" w:cs="Times New Roman" w:eastAsia="Times New Roman" w:hint="default"/>
                <w:spacing w:val="-10"/>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 和</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 的扣除非经 常性损益后</w:t>
            </w: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2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309" w:lineRule="auto"/>
              <w:ind w:left="22" w:right="143"/>
              <w:jc w:val="both"/>
              <w:rPr>
                <w:rFonts w:ascii="宋体" w:hAnsi="宋体" w:cs="宋体" w:eastAsia="宋体" w:hint="default"/>
                <w:sz w:val="18"/>
                <w:szCs w:val="18"/>
              </w:rPr>
            </w:pPr>
            <w:r>
              <w:rPr>
                <w:rFonts w:ascii="宋体" w:hAnsi="宋体" w:cs="宋体" w:eastAsia="宋体" w:hint="default"/>
                <w:sz w:val="18"/>
                <w:szCs w:val="18"/>
              </w:rPr>
              <w:t>承诺结束日 期：</w:t>
            </w: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正在履行</w:t>
            </w: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的归属于母</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公司所有者</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的净利润分</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别为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元、</w:t>
            </w:r>
            <w:r>
              <w:rPr>
                <w:rFonts w:ascii="Times New Roman" w:hAnsi="Times New Roman" w:cs="Times New Roman" w:eastAsia="Times New Roman" w:hint="default"/>
                <w:sz w:val="18"/>
                <w:szCs w:val="18"/>
              </w:rPr>
              <w:t>2,800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元、</w:t>
            </w:r>
            <w:r>
              <w:rPr>
                <w:rFonts w:ascii="Times New Roman" w:hAnsi="Times New Roman" w:cs="Times New Roman" w:eastAsia="Times New Roman" w:hint="default"/>
                <w:sz w:val="18"/>
                <w:szCs w:val="18"/>
              </w:rPr>
              <w:t>3,300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元、</w:t>
            </w:r>
            <w:r>
              <w:rPr>
                <w:rFonts w:ascii="Times New Roman" w:hAnsi="Times New Roman" w:cs="Times New Roman" w:eastAsia="Times New Roman" w:hint="default"/>
                <w:sz w:val="18"/>
                <w:szCs w:val="18"/>
              </w:rPr>
              <w:t>3,900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元。</w:t>
            </w:r>
            <w:r>
              <w:rPr>
                <w:rFonts w:ascii="Times New Roman" w:hAnsi="Times New Roman" w:cs="Times New Roman" w:eastAsia="Times New Roman" w:hint="default"/>
                <w:sz w:val="18"/>
                <w:szCs w:val="18"/>
              </w:rPr>
              <w:t>3</w:t>
            </w:r>
            <w:r>
              <w:rPr>
                <w:rFonts w:ascii="宋体" w:hAnsi="宋体" w:cs="宋体" w:eastAsia="宋体" w:hint="default"/>
                <w:sz w:val="18"/>
                <w:szCs w:val="18"/>
              </w:rPr>
              <w:t>、实际</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盈利数在盈</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318"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112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利承诺期间</w:t>
            </w:r>
          </w:p>
        </w:tc>
        <w:tc>
          <w:tcPr>
            <w:tcW w:w="1126" w:type="dxa"/>
            <w:tcBorders>
              <w:top w:val="nil" w:sz="6" w:space="0" w:color="auto"/>
              <w:left w:val="single" w:sz="4" w:space="0" w:color="000000"/>
              <w:bottom w:val="single" w:sz="4" w:space="0" w:color="000000"/>
              <w:right w:val="single" w:sz="4" w:space="0" w:color="000000"/>
            </w:tcBorders>
          </w:tcPr>
          <w:p>
            <w:pPr/>
          </w:p>
        </w:tc>
        <w:tc>
          <w:tcPr>
            <w:tcW w:w="1121" w:type="dxa"/>
            <w:tcBorders>
              <w:top w:val="nil" w:sz="6" w:space="0" w:color="auto"/>
              <w:left w:val="single" w:sz="4" w:space="0" w:color="000000"/>
              <w:bottom w:val="single" w:sz="4" w:space="0" w:color="000000"/>
              <w:right w:val="single" w:sz="4" w:space="0" w:color="000000"/>
            </w:tcBorders>
          </w:tcPr>
          <w:p>
            <w:pPr/>
          </w:p>
        </w:tc>
        <w:tc>
          <w:tcPr>
            <w:tcW w:w="1108" w:type="dxa"/>
            <w:tcBorders>
              <w:top w:val="nil" w:sz="6" w:space="0" w:color="auto"/>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836"/>
        <w:gridCol w:w="1126"/>
        <w:gridCol w:w="1126"/>
        <w:gridCol w:w="1127"/>
        <w:gridCol w:w="1126"/>
        <w:gridCol w:w="1121"/>
        <w:gridCol w:w="1110"/>
      </w:tblGrid>
      <w:tr>
        <w:trPr>
          <w:trHeight w:val="7227"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2" w:right="12"/>
              <w:jc w:val="left"/>
              <w:rPr>
                <w:rFonts w:ascii="宋体" w:hAnsi="宋体" w:cs="宋体" w:eastAsia="宋体" w:hint="default"/>
                <w:sz w:val="18"/>
                <w:szCs w:val="18"/>
              </w:rPr>
            </w:pPr>
            <w:r>
              <w:rPr>
                <w:rFonts w:ascii="宋体" w:hAnsi="宋体" w:cs="宋体" w:eastAsia="宋体" w:hint="default"/>
                <w:sz w:val="18"/>
                <w:szCs w:val="18"/>
              </w:rPr>
              <w:t>内每一个会 计年度结束 后，奥拓电子 将在次年会 计年度</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月</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30 </w:t>
            </w:r>
            <w:r>
              <w:rPr>
                <w:rFonts w:ascii="宋体" w:hAnsi="宋体" w:cs="宋体" w:eastAsia="宋体" w:hint="default"/>
                <w:sz w:val="18"/>
                <w:szCs w:val="18"/>
              </w:rPr>
              <w:t>日之前聘请 具有证券、期 货业务从业 资格的审计 机构对标的 公司当年实 际实现的扣 除非经常性 损益后归属 于母公司所 有者的净利 润情况出具 专项审核意 见以确定在 盈利承诺期 间内标的公 司各年度的 实际盈利数。</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
        </w:tc>
      </w:tr>
      <w:tr>
        <w:trPr>
          <w:trHeight w:val="6603"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5"/>
                <w:szCs w:val="25"/>
              </w:rPr>
            </w:pPr>
          </w:p>
          <w:p>
            <w:pPr>
              <w:pStyle w:val="TableParagraph"/>
              <w:spacing w:line="316" w:lineRule="auto"/>
              <w:ind w:left="23" w:right="21"/>
              <w:jc w:val="left"/>
              <w:rPr>
                <w:rFonts w:ascii="宋体" w:hAnsi="宋体" w:cs="宋体" w:eastAsia="宋体" w:hint="default"/>
                <w:sz w:val="18"/>
                <w:szCs w:val="18"/>
              </w:rPr>
            </w:pPr>
            <w:r>
              <w:rPr>
                <w:rFonts w:ascii="宋体" w:hAnsi="宋体" w:cs="宋体" w:eastAsia="宋体" w:hint="default"/>
                <w:spacing w:val="-2"/>
                <w:sz w:val="18"/>
                <w:szCs w:val="18"/>
              </w:rPr>
              <w:t>沈永健、周维</w:t>
            </w:r>
            <w:r>
              <w:rPr>
                <w:rFonts w:ascii="宋体" w:hAnsi="宋体" w:cs="宋体" w:eastAsia="宋体" w:hint="default"/>
                <w:sz w:val="18"/>
                <w:szCs w:val="18"/>
              </w:rPr>
              <w:t> </w:t>
            </w:r>
            <w:r>
              <w:rPr>
                <w:rFonts w:ascii="宋体" w:hAnsi="宋体" w:cs="宋体" w:eastAsia="宋体" w:hint="default"/>
                <w:spacing w:val="-2"/>
                <w:sz w:val="18"/>
                <w:szCs w:val="18"/>
              </w:rPr>
              <w:t>君、广州中照</w:t>
            </w:r>
            <w:r>
              <w:rPr>
                <w:rFonts w:ascii="宋体" w:hAnsi="宋体" w:cs="宋体" w:eastAsia="宋体" w:hint="default"/>
                <w:sz w:val="18"/>
                <w:szCs w:val="18"/>
              </w:rPr>
              <w:t> 龙腾资产管 理合伙企业</w:t>
            </w:r>
          </w:p>
          <w:p>
            <w:pPr>
              <w:pStyle w:val="TableParagraph"/>
              <w:spacing w:line="319" w:lineRule="auto" w:before="19"/>
              <w:ind w:left="23" w:right="21"/>
              <w:jc w:val="left"/>
              <w:rPr>
                <w:rFonts w:ascii="宋体" w:hAnsi="宋体" w:cs="宋体" w:eastAsia="宋体" w:hint="default"/>
                <w:sz w:val="18"/>
                <w:szCs w:val="18"/>
              </w:rPr>
            </w:pPr>
            <w:r>
              <w:rPr>
                <w:rFonts w:ascii="宋体" w:hAnsi="宋体" w:cs="宋体" w:eastAsia="宋体" w:hint="default"/>
                <w:sz w:val="18"/>
                <w:szCs w:val="18"/>
              </w:rPr>
              <w:t>（有限合 </w:t>
            </w:r>
            <w:r>
              <w:rPr>
                <w:rFonts w:ascii="宋体" w:hAnsi="宋体" w:cs="宋体" w:eastAsia="宋体" w:hint="default"/>
                <w:spacing w:val="-15"/>
                <w:sz w:val="18"/>
                <w:szCs w:val="18"/>
              </w:rPr>
              <w:t>伙）、深圳前</w:t>
            </w:r>
            <w:r>
              <w:rPr>
                <w:rFonts w:ascii="宋体" w:hAnsi="宋体" w:cs="宋体" w:eastAsia="宋体" w:hint="default"/>
                <w:sz w:val="18"/>
                <w:szCs w:val="18"/>
              </w:rPr>
              <w:t> 海汉华源投 </w:t>
            </w:r>
            <w:r>
              <w:rPr>
                <w:rFonts w:ascii="宋体" w:hAnsi="宋体" w:cs="宋体" w:eastAsia="宋体" w:hint="default"/>
                <w:spacing w:val="-2"/>
                <w:sz w:val="18"/>
                <w:szCs w:val="18"/>
              </w:rPr>
              <w:t>资企业（有限</w:t>
            </w:r>
            <w:r>
              <w:rPr>
                <w:rFonts w:ascii="宋体" w:hAnsi="宋体" w:cs="宋体" w:eastAsia="宋体" w:hint="default"/>
                <w:sz w:val="18"/>
                <w:szCs w:val="18"/>
              </w:rPr>
              <w:t> </w:t>
            </w:r>
            <w:r>
              <w:rPr>
                <w:rFonts w:ascii="宋体" w:hAnsi="宋体" w:cs="宋体" w:eastAsia="宋体" w:hint="default"/>
                <w:spacing w:val="-15"/>
                <w:sz w:val="18"/>
                <w:szCs w:val="18"/>
              </w:rPr>
              <w:t>合伙）、王亚</w:t>
            </w:r>
            <w:r>
              <w:rPr>
                <w:rFonts w:ascii="宋体" w:hAnsi="宋体" w:cs="宋体" w:eastAsia="宋体" w:hint="default"/>
                <w:sz w:val="18"/>
                <w:szCs w:val="18"/>
              </w:rPr>
              <w:t> 伟、罗晓珊</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2"/>
              <w:jc w:val="left"/>
              <w:rPr>
                <w:rFonts w:ascii="宋体" w:hAnsi="宋体" w:cs="宋体" w:eastAsia="宋体" w:hint="default"/>
                <w:sz w:val="18"/>
                <w:szCs w:val="18"/>
              </w:rPr>
            </w:pPr>
            <w:r>
              <w:rPr>
                <w:rFonts w:ascii="宋体" w:hAnsi="宋体" w:cs="宋体" w:eastAsia="宋体" w:hint="default"/>
                <w:sz w:val="18"/>
                <w:szCs w:val="18"/>
              </w:rPr>
              <w:t>一、关于避免 同业竞争的 承诺为了避 免与奥拓电 子可能产生 的同业竞争， 沈永健、周维 君、王亚伟、 罗晓珊、汉华 源投资出具 了《关于避免 同业竞争的 </w:t>
            </w:r>
            <w:r>
              <w:rPr>
                <w:rFonts w:ascii="宋体" w:hAnsi="宋体" w:cs="宋体" w:eastAsia="宋体" w:hint="default"/>
                <w:spacing w:val="-15"/>
                <w:sz w:val="18"/>
                <w:szCs w:val="18"/>
              </w:rPr>
              <w:t>承诺函》，具</w:t>
            </w:r>
            <w:r>
              <w:rPr>
                <w:rFonts w:ascii="宋体" w:hAnsi="宋体" w:cs="宋体" w:eastAsia="宋体" w:hint="default"/>
                <w:sz w:val="18"/>
                <w:szCs w:val="18"/>
              </w:rPr>
              <w:t> 体内容如下： </w:t>
            </w:r>
            <w:r>
              <w:rPr>
                <w:rFonts w:ascii="Times New Roman" w:hAnsi="Times New Roman" w:cs="Times New Roman" w:eastAsia="Times New Roman" w:hint="default"/>
                <w:sz w:val="18"/>
                <w:szCs w:val="18"/>
              </w:rPr>
              <w:t>“1</w:t>
            </w:r>
            <w:r>
              <w:rPr>
                <w:rFonts w:ascii="宋体" w:hAnsi="宋体" w:cs="宋体" w:eastAsia="宋体" w:hint="default"/>
                <w:sz w:val="18"/>
                <w:szCs w:val="18"/>
              </w:rPr>
              <w:t>、截至本承 诺函出具之 </w:t>
            </w:r>
            <w:r>
              <w:rPr>
                <w:rFonts w:ascii="宋体" w:hAnsi="宋体" w:cs="宋体" w:eastAsia="宋体" w:hint="default"/>
                <w:spacing w:val="-9"/>
                <w:sz w:val="18"/>
                <w:szCs w:val="18"/>
              </w:rPr>
              <w:t>日，本人</w:t>
            </w:r>
            <w:r>
              <w:rPr>
                <w:rFonts w:ascii="Times New Roman" w:hAnsi="Times New Roman" w:cs="Times New Roman" w:eastAsia="Times New Roman" w:hint="default"/>
                <w:spacing w:val="-9"/>
                <w:sz w:val="18"/>
                <w:szCs w:val="18"/>
              </w:rPr>
              <w:t>/</w:t>
            </w:r>
            <w:r>
              <w:rPr>
                <w:rFonts w:ascii="宋体" w:hAnsi="宋体" w:cs="宋体" w:eastAsia="宋体" w:hint="default"/>
                <w:spacing w:val="-9"/>
                <w:sz w:val="18"/>
                <w:szCs w:val="18"/>
              </w:rPr>
              <w:t>本企</w:t>
            </w:r>
            <w:r>
              <w:rPr>
                <w:rFonts w:ascii="宋体" w:hAnsi="宋体" w:cs="宋体" w:eastAsia="宋体" w:hint="default"/>
                <w:spacing w:val="-88"/>
                <w:sz w:val="18"/>
                <w:szCs w:val="18"/>
              </w:rPr>
              <w:t> </w:t>
            </w:r>
            <w:r>
              <w:rPr>
                <w:rFonts w:ascii="宋体" w:hAnsi="宋体" w:cs="宋体" w:eastAsia="宋体" w:hint="default"/>
                <w:sz w:val="18"/>
                <w:szCs w:val="18"/>
              </w:rPr>
              <w:t>业的经营业 务均系通过 千百辉进行， 没有在与奥</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长期有效</w:t>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正在履行</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317"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vMerge w:val="restart"/>
            <w:tcBorders>
              <w:top w:val="single" w:sz="4" w:space="0" w:color="000000"/>
              <w:left w:val="single" w:sz="4" w:space="0" w:color="000000"/>
              <w:right w:val="single" w:sz="4" w:space="0" w:color="000000"/>
            </w:tcBorders>
          </w:tcPr>
          <w:p>
            <w:pPr/>
          </w:p>
        </w:tc>
        <w:tc>
          <w:tcPr>
            <w:tcW w:w="1126" w:type="dxa"/>
            <w:vMerge w:val="restart"/>
            <w:tcBorders>
              <w:top w:val="single" w:sz="4" w:space="0" w:color="000000"/>
              <w:left w:val="single" w:sz="4" w:space="0" w:color="000000"/>
              <w:right w:val="single" w:sz="4" w:space="0" w:color="000000"/>
            </w:tcBorders>
          </w:tcPr>
          <w:p>
            <w:pPr/>
          </w:p>
        </w:tc>
        <w:tc>
          <w:tcPr>
            <w:tcW w:w="112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拓电子或千</w:t>
            </w:r>
          </w:p>
        </w:tc>
        <w:tc>
          <w:tcPr>
            <w:tcW w:w="1126" w:type="dxa"/>
            <w:vMerge w:val="restart"/>
            <w:tcBorders>
              <w:top w:val="single" w:sz="4" w:space="0" w:color="000000"/>
              <w:left w:val="single" w:sz="4" w:space="0" w:color="000000"/>
              <w:right w:val="single" w:sz="4" w:space="0" w:color="000000"/>
            </w:tcBorders>
          </w:tcPr>
          <w:p>
            <w:pPr/>
          </w:p>
        </w:tc>
        <w:tc>
          <w:tcPr>
            <w:tcW w:w="1121" w:type="dxa"/>
            <w:vMerge w:val="restart"/>
            <w:tcBorders>
              <w:top w:val="single" w:sz="4" w:space="0" w:color="000000"/>
              <w:left w:val="single" w:sz="4" w:space="0" w:color="000000"/>
              <w:right w:val="single" w:sz="4" w:space="0" w:color="000000"/>
            </w:tcBorders>
          </w:tcPr>
          <w:p>
            <w:pPr/>
          </w:p>
        </w:tc>
        <w:tc>
          <w:tcPr>
            <w:tcW w:w="1108" w:type="dxa"/>
            <w:vMerge w:val="restart"/>
            <w:tcBorders>
              <w:top w:val="single" w:sz="4" w:space="0" w:color="000000"/>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百辉存在相</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同或类似业</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务的其他任</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何经营实体</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中担任任何</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职务，没有与</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千百辉存在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同业竞争的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情形。</w:t>
            </w:r>
            <w:r>
              <w:rPr>
                <w:rFonts w:ascii="Times New Roman" w:hAnsi="Times New Roman" w:cs="Times New Roman" w:eastAsia="Times New Roman" w:hint="default"/>
                <w:sz w:val="18"/>
                <w:szCs w:val="18"/>
              </w:rPr>
              <w:t>2</w:t>
            </w:r>
            <w:r>
              <w:rPr>
                <w:rFonts w:ascii="宋体" w:hAnsi="宋体" w:cs="宋体" w:eastAsia="宋体" w:hint="default"/>
                <w:sz w:val="18"/>
                <w:szCs w:val="18"/>
              </w:rPr>
              <w:t>、在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本企业</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作为奥拓电</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子的股东或</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董事期间，本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人</w:t>
            </w:r>
            <w:r>
              <w:rPr>
                <w:rFonts w:ascii="Times New Roman" w:hAnsi="Times New Roman" w:cs="Times New Roman" w:eastAsia="Times New Roman" w:hint="default"/>
                <w:sz w:val="18"/>
                <w:szCs w:val="18"/>
              </w:rPr>
              <w:t>/</w:t>
            </w:r>
            <w:r>
              <w:rPr>
                <w:rFonts w:ascii="宋体" w:hAnsi="宋体" w:cs="宋体" w:eastAsia="宋体" w:hint="default"/>
                <w:sz w:val="18"/>
                <w:szCs w:val="18"/>
              </w:rPr>
              <w:t>本企业及</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本企业</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的关联方将</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不拥有、管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理、控制、投</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资、从事其他</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任何与奥拓</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电子及千百</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辉从事业务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相同或相近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的任何业务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或项目，亦不</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参与拥有、管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理、控制、投</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资其他任何</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与奥拓电子</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及千百辉从</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事业务相同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或相近的任</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何业务或项</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目，亦不谋求</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通过与任何</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第三人合资、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合作、联营或</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采取租赁经</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营、承包经</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营、委托管理</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等方式直接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或间接从事</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8"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vMerge/>
            <w:tcBorders>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112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与奥拓电子</w:t>
            </w:r>
          </w:p>
        </w:tc>
        <w:tc>
          <w:tcPr>
            <w:tcW w:w="1126" w:type="dxa"/>
            <w:vMerge/>
            <w:tcBorders>
              <w:left w:val="single" w:sz="4" w:space="0" w:color="000000"/>
              <w:bottom w:val="single" w:sz="4" w:space="0" w:color="000000"/>
              <w:right w:val="single" w:sz="4" w:space="0" w:color="000000"/>
            </w:tcBorders>
          </w:tcPr>
          <w:p>
            <w:pPr/>
          </w:p>
        </w:tc>
        <w:tc>
          <w:tcPr>
            <w:tcW w:w="1121" w:type="dxa"/>
            <w:vMerge/>
            <w:tcBorders>
              <w:left w:val="single" w:sz="4" w:space="0" w:color="000000"/>
              <w:bottom w:val="single" w:sz="4" w:space="0" w:color="000000"/>
              <w:right w:val="single" w:sz="4" w:space="0" w:color="000000"/>
            </w:tcBorders>
          </w:tcPr>
          <w:p>
            <w:pPr/>
          </w:p>
        </w:tc>
        <w:tc>
          <w:tcPr>
            <w:tcW w:w="1108" w:type="dxa"/>
            <w:vMerge/>
            <w:tcBorders>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317"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vMerge w:val="restart"/>
            <w:tcBorders>
              <w:top w:val="single" w:sz="4" w:space="0" w:color="000000"/>
              <w:left w:val="single" w:sz="4" w:space="0" w:color="000000"/>
              <w:right w:val="single" w:sz="4" w:space="0" w:color="000000"/>
            </w:tcBorders>
          </w:tcPr>
          <w:p>
            <w:pPr/>
          </w:p>
        </w:tc>
        <w:tc>
          <w:tcPr>
            <w:tcW w:w="1126" w:type="dxa"/>
            <w:vMerge w:val="restart"/>
            <w:tcBorders>
              <w:top w:val="single" w:sz="4" w:space="0" w:color="000000"/>
              <w:left w:val="single" w:sz="4" w:space="0" w:color="000000"/>
              <w:right w:val="single" w:sz="4" w:space="0" w:color="000000"/>
            </w:tcBorders>
          </w:tcPr>
          <w:p>
            <w:pPr/>
          </w:p>
        </w:tc>
        <w:tc>
          <w:tcPr>
            <w:tcW w:w="112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及千百辉构</w:t>
            </w:r>
          </w:p>
        </w:tc>
        <w:tc>
          <w:tcPr>
            <w:tcW w:w="1126" w:type="dxa"/>
            <w:vMerge w:val="restart"/>
            <w:tcBorders>
              <w:top w:val="single" w:sz="4" w:space="0" w:color="000000"/>
              <w:left w:val="single" w:sz="4" w:space="0" w:color="000000"/>
              <w:right w:val="single" w:sz="4" w:space="0" w:color="000000"/>
            </w:tcBorders>
          </w:tcPr>
          <w:p>
            <w:pPr/>
          </w:p>
        </w:tc>
        <w:tc>
          <w:tcPr>
            <w:tcW w:w="1121" w:type="dxa"/>
            <w:vMerge w:val="restart"/>
            <w:tcBorders>
              <w:top w:val="single" w:sz="4" w:space="0" w:color="000000"/>
              <w:left w:val="single" w:sz="4" w:space="0" w:color="000000"/>
              <w:right w:val="single" w:sz="4" w:space="0" w:color="000000"/>
            </w:tcBorders>
          </w:tcPr>
          <w:p>
            <w:pPr/>
          </w:p>
        </w:tc>
        <w:tc>
          <w:tcPr>
            <w:tcW w:w="1108" w:type="dxa"/>
            <w:vMerge w:val="restart"/>
            <w:tcBorders>
              <w:top w:val="single" w:sz="4" w:space="0" w:color="000000"/>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成竞争的业</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务。</w:t>
            </w:r>
            <w:r>
              <w:rPr>
                <w:rFonts w:ascii="Times New Roman" w:hAnsi="Times New Roman" w:cs="Times New Roman" w:eastAsia="Times New Roman" w:hint="default"/>
                <w:sz w:val="18"/>
                <w:szCs w:val="18"/>
              </w:rPr>
              <w:t>3</w:t>
            </w:r>
            <w:r>
              <w:rPr>
                <w:rFonts w:ascii="宋体" w:hAnsi="宋体" w:cs="宋体" w:eastAsia="宋体" w:hint="default"/>
                <w:sz w:val="18"/>
                <w:szCs w:val="18"/>
              </w:rPr>
              <w:t>、如本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人</w:t>
            </w:r>
            <w:r>
              <w:rPr>
                <w:rFonts w:ascii="Times New Roman" w:hAnsi="Times New Roman" w:cs="Times New Roman" w:eastAsia="Times New Roman" w:hint="default"/>
                <w:sz w:val="18"/>
                <w:szCs w:val="18"/>
              </w:rPr>
              <w:t>/</w:t>
            </w:r>
            <w:r>
              <w:rPr>
                <w:rFonts w:ascii="宋体" w:hAnsi="宋体" w:cs="宋体" w:eastAsia="宋体" w:hint="default"/>
                <w:sz w:val="18"/>
                <w:szCs w:val="18"/>
              </w:rPr>
              <w:t>本企业及</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本企业</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的关联方违</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反上述承诺</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的，将立即停</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止与奥拓电</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子及千百辉</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构成竞争之</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业务，并采取</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必要措施予</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以纠正补救。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、如因本人</w:t>
            </w:r>
            <w:r>
              <w:rPr>
                <w:rFonts w:ascii="Times New Roman" w:hAnsi="Times New Roman" w:cs="Times New Roman" w:eastAsia="Times New Roman" w:hint="default"/>
                <w:sz w:val="18"/>
                <w:szCs w:val="18"/>
              </w:rPr>
              <w:t>/</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本企业及本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人</w:t>
            </w:r>
            <w:r>
              <w:rPr>
                <w:rFonts w:ascii="Times New Roman" w:hAnsi="Times New Roman" w:cs="Times New Roman" w:eastAsia="Times New Roman" w:hint="default"/>
                <w:sz w:val="18"/>
                <w:szCs w:val="18"/>
              </w:rPr>
              <w:t>/</w:t>
            </w:r>
            <w:r>
              <w:rPr>
                <w:rFonts w:ascii="宋体" w:hAnsi="宋体" w:cs="宋体" w:eastAsia="宋体" w:hint="default"/>
                <w:sz w:val="18"/>
                <w:szCs w:val="18"/>
              </w:rPr>
              <w:t>本企业的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关联方未履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行本承诺函</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所作的承诺</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而给奥拓电</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子造成的一</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切损失和后</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果，由本人</w:t>
            </w:r>
            <w:r>
              <w:rPr>
                <w:rFonts w:ascii="Times New Roman" w:hAnsi="Times New Roman" w:cs="Times New Roman" w:eastAsia="Times New Roman" w:hint="default"/>
                <w:sz w:val="18"/>
                <w:szCs w:val="18"/>
              </w:rPr>
              <w:t>/</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本企业承担</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赔偿责任。</w:t>
            </w:r>
            <w:r>
              <w:rPr>
                <w:rFonts w:ascii="Times New Roman" w:hAnsi="Times New Roman" w:cs="Times New Roman" w:eastAsia="Times New Roman" w:hint="default"/>
                <w:sz w:val="18"/>
                <w:szCs w:val="18"/>
              </w:rPr>
              <w:t>”</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二、关于减少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和规范关联</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交易的承诺</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为减少和规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范可能与上</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市公司发生</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的关联交易，</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充分保护上</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市公司的利</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益，沈永健、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周维君、王亚</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伟、罗晓珊、</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中照龙腾、汉</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华源投资出</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具如下承诺：</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Times New Roman" w:hAnsi="Times New Roman" w:cs="Times New Roman" w:eastAsia="Times New Roman" w:hint="default"/>
                <w:spacing w:val="-7"/>
                <w:sz w:val="18"/>
                <w:szCs w:val="18"/>
              </w:rPr>
              <w:t>“1</w:t>
            </w:r>
            <w:r>
              <w:rPr>
                <w:rFonts w:ascii="宋体" w:hAnsi="宋体" w:cs="宋体" w:eastAsia="宋体" w:hint="default"/>
                <w:spacing w:val="-7"/>
                <w:sz w:val="18"/>
                <w:szCs w:val="18"/>
              </w:rPr>
              <w:t>、本人</w:t>
            </w:r>
            <w:r>
              <w:rPr>
                <w:rFonts w:ascii="Times New Roman" w:hAnsi="Times New Roman" w:cs="Times New Roman" w:eastAsia="Times New Roman" w:hint="default"/>
                <w:spacing w:val="-7"/>
                <w:sz w:val="18"/>
                <w:szCs w:val="18"/>
              </w:rPr>
              <w:t>/</w:t>
            </w:r>
            <w:r>
              <w:rPr>
                <w:rFonts w:ascii="宋体" w:hAnsi="宋体" w:cs="宋体" w:eastAsia="宋体" w:hint="default"/>
                <w:spacing w:val="-7"/>
                <w:sz w:val="18"/>
                <w:szCs w:val="18"/>
              </w:rPr>
              <w:t>本企</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业将按照《公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8"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vMerge/>
            <w:tcBorders>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112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司法》等法律</w:t>
            </w:r>
          </w:p>
        </w:tc>
        <w:tc>
          <w:tcPr>
            <w:tcW w:w="1126" w:type="dxa"/>
            <w:vMerge/>
            <w:tcBorders>
              <w:left w:val="single" w:sz="4" w:space="0" w:color="000000"/>
              <w:bottom w:val="single" w:sz="4" w:space="0" w:color="000000"/>
              <w:right w:val="single" w:sz="4" w:space="0" w:color="000000"/>
            </w:tcBorders>
          </w:tcPr>
          <w:p>
            <w:pPr/>
          </w:p>
        </w:tc>
        <w:tc>
          <w:tcPr>
            <w:tcW w:w="1121" w:type="dxa"/>
            <w:vMerge/>
            <w:tcBorders>
              <w:left w:val="single" w:sz="4" w:space="0" w:color="000000"/>
              <w:bottom w:val="single" w:sz="4" w:space="0" w:color="000000"/>
              <w:right w:val="single" w:sz="4" w:space="0" w:color="000000"/>
            </w:tcBorders>
          </w:tcPr>
          <w:p>
            <w:pPr/>
          </w:p>
        </w:tc>
        <w:tc>
          <w:tcPr>
            <w:tcW w:w="1108" w:type="dxa"/>
            <w:vMerge/>
            <w:tcBorders>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317"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vMerge w:val="restart"/>
            <w:tcBorders>
              <w:top w:val="single" w:sz="4" w:space="0" w:color="000000"/>
              <w:left w:val="single" w:sz="4" w:space="0" w:color="000000"/>
              <w:right w:val="single" w:sz="4" w:space="0" w:color="000000"/>
            </w:tcBorders>
          </w:tcPr>
          <w:p>
            <w:pPr/>
          </w:p>
        </w:tc>
        <w:tc>
          <w:tcPr>
            <w:tcW w:w="1126" w:type="dxa"/>
            <w:vMerge w:val="restart"/>
            <w:tcBorders>
              <w:top w:val="single" w:sz="4" w:space="0" w:color="000000"/>
              <w:left w:val="single" w:sz="4" w:space="0" w:color="000000"/>
              <w:right w:val="single" w:sz="4" w:space="0" w:color="000000"/>
            </w:tcBorders>
          </w:tcPr>
          <w:p>
            <w:pPr/>
          </w:p>
        </w:tc>
        <w:tc>
          <w:tcPr>
            <w:tcW w:w="112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法规以及奥</w:t>
            </w:r>
          </w:p>
        </w:tc>
        <w:tc>
          <w:tcPr>
            <w:tcW w:w="1126" w:type="dxa"/>
            <w:vMerge w:val="restart"/>
            <w:tcBorders>
              <w:top w:val="single" w:sz="4" w:space="0" w:color="000000"/>
              <w:left w:val="single" w:sz="4" w:space="0" w:color="000000"/>
              <w:right w:val="single" w:sz="4" w:space="0" w:color="000000"/>
            </w:tcBorders>
          </w:tcPr>
          <w:p>
            <w:pPr/>
          </w:p>
        </w:tc>
        <w:tc>
          <w:tcPr>
            <w:tcW w:w="1121" w:type="dxa"/>
            <w:vMerge w:val="restart"/>
            <w:tcBorders>
              <w:top w:val="single" w:sz="4" w:space="0" w:color="000000"/>
              <w:left w:val="single" w:sz="4" w:space="0" w:color="000000"/>
              <w:right w:val="single" w:sz="4" w:space="0" w:color="000000"/>
            </w:tcBorders>
          </w:tcPr>
          <w:p>
            <w:pPr/>
          </w:p>
        </w:tc>
        <w:tc>
          <w:tcPr>
            <w:tcW w:w="1108" w:type="dxa"/>
            <w:vMerge w:val="restart"/>
            <w:tcBorders>
              <w:top w:val="single" w:sz="4" w:space="0" w:color="000000"/>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拓电子公司</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章程、千百辉</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章程的有关</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规定行使股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东权利；在董</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事会、股东大</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会</w:t>
            </w:r>
            <w:r>
              <w:rPr>
                <w:rFonts w:ascii="Times New Roman" w:hAnsi="Times New Roman" w:cs="Times New Roman" w:eastAsia="Times New Roman" w:hint="default"/>
                <w:sz w:val="18"/>
                <w:szCs w:val="18"/>
              </w:rPr>
              <w:t>/</w:t>
            </w:r>
            <w:r>
              <w:rPr>
                <w:rFonts w:ascii="宋体" w:hAnsi="宋体" w:cs="宋体" w:eastAsia="宋体" w:hint="default"/>
                <w:sz w:val="18"/>
                <w:szCs w:val="18"/>
              </w:rPr>
              <w:t>股东会对</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涉及本人本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企业的关联</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交易进行表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决时，履行回</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避表决的义</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务。</w:t>
            </w:r>
            <w:r>
              <w:rPr>
                <w:rFonts w:ascii="Times New Roman" w:hAnsi="Times New Roman" w:cs="Times New Roman" w:eastAsia="Times New Roman" w:hint="default"/>
                <w:sz w:val="18"/>
                <w:szCs w:val="18"/>
              </w:rPr>
              <w:t>2</w:t>
            </w:r>
            <w:r>
              <w:rPr>
                <w:rFonts w:ascii="宋体" w:hAnsi="宋体" w:cs="宋体" w:eastAsia="宋体" w:hint="default"/>
                <w:sz w:val="18"/>
                <w:szCs w:val="18"/>
              </w:rPr>
              <w:t>、本人</w:t>
            </w:r>
            <w:r>
              <w:rPr>
                <w:rFonts w:ascii="Times New Roman" w:hAnsi="Times New Roman" w:cs="Times New Roman" w:eastAsia="Times New Roman" w:hint="default"/>
                <w:sz w:val="18"/>
                <w:szCs w:val="18"/>
              </w:rPr>
              <w:t>/</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本企业及本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人</w:t>
            </w:r>
            <w:r>
              <w:rPr>
                <w:rFonts w:ascii="Times New Roman" w:hAnsi="Times New Roman" w:cs="Times New Roman" w:eastAsia="Times New Roman" w:hint="default"/>
                <w:sz w:val="18"/>
                <w:szCs w:val="18"/>
              </w:rPr>
              <w:t>/</w:t>
            </w:r>
            <w:r>
              <w:rPr>
                <w:rFonts w:ascii="宋体" w:hAnsi="宋体" w:cs="宋体" w:eastAsia="宋体" w:hint="default"/>
                <w:sz w:val="18"/>
                <w:szCs w:val="18"/>
              </w:rPr>
              <w:t>本企业的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关联方将杜</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绝一切非法</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占用奥拓电</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子及千百辉</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的资金、资产</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及其他资源</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的行为，在任</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何情况下，不</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要求奥拓电</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子及千百辉</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向本人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本企</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业及本人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企业投资或</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控制的其他</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企业提供任</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何形式的担</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保。</w:t>
            </w:r>
            <w:r>
              <w:rPr>
                <w:rFonts w:ascii="Times New Roman" w:hAnsi="Times New Roman" w:cs="Times New Roman" w:eastAsia="Times New Roman" w:hint="default"/>
                <w:sz w:val="18"/>
                <w:szCs w:val="18"/>
              </w:rPr>
              <w:t>3</w:t>
            </w:r>
            <w:r>
              <w:rPr>
                <w:rFonts w:ascii="宋体" w:hAnsi="宋体" w:cs="宋体" w:eastAsia="宋体" w:hint="default"/>
                <w:sz w:val="18"/>
                <w:szCs w:val="18"/>
              </w:rPr>
              <w:t>、本人</w:t>
            </w:r>
            <w:r>
              <w:rPr>
                <w:rFonts w:ascii="Times New Roman" w:hAnsi="Times New Roman" w:cs="Times New Roman" w:eastAsia="Times New Roman" w:hint="default"/>
                <w:sz w:val="18"/>
                <w:szCs w:val="18"/>
              </w:rPr>
              <w:t>/</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本企业及本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人</w:t>
            </w:r>
            <w:r>
              <w:rPr>
                <w:rFonts w:ascii="Times New Roman" w:hAnsi="Times New Roman" w:cs="Times New Roman" w:eastAsia="Times New Roman" w:hint="default"/>
                <w:sz w:val="18"/>
                <w:szCs w:val="18"/>
              </w:rPr>
              <w:t>/</w:t>
            </w:r>
            <w:r>
              <w:rPr>
                <w:rFonts w:ascii="宋体" w:hAnsi="宋体" w:cs="宋体" w:eastAsia="宋体" w:hint="default"/>
                <w:sz w:val="18"/>
                <w:szCs w:val="18"/>
              </w:rPr>
              <w:t>本企业的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关联方将尽</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可能地避免</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和减少与奥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拓电子及千</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百辉的关联</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交易，对于无</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法避免或者</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有合理原因</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8"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vMerge/>
            <w:tcBorders>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112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而发生的关</w:t>
            </w:r>
          </w:p>
        </w:tc>
        <w:tc>
          <w:tcPr>
            <w:tcW w:w="1126" w:type="dxa"/>
            <w:vMerge/>
            <w:tcBorders>
              <w:left w:val="single" w:sz="4" w:space="0" w:color="000000"/>
              <w:bottom w:val="single" w:sz="4" w:space="0" w:color="000000"/>
              <w:right w:val="single" w:sz="4" w:space="0" w:color="000000"/>
            </w:tcBorders>
          </w:tcPr>
          <w:p>
            <w:pPr/>
          </w:p>
        </w:tc>
        <w:tc>
          <w:tcPr>
            <w:tcW w:w="1121" w:type="dxa"/>
            <w:vMerge/>
            <w:tcBorders>
              <w:left w:val="single" w:sz="4" w:space="0" w:color="000000"/>
              <w:bottom w:val="single" w:sz="4" w:space="0" w:color="000000"/>
              <w:right w:val="single" w:sz="4" w:space="0" w:color="000000"/>
            </w:tcBorders>
          </w:tcPr>
          <w:p>
            <w:pPr/>
          </w:p>
        </w:tc>
        <w:tc>
          <w:tcPr>
            <w:tcW w:w="1108" w:type="dxa"/>
            <w:vMerge/>
            <w:tcBorders>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836"/>
        <w:gridCol w:w="1126"/>
        <w:gridCol w:w="1126"/>
        <w:gridCol w:w="1127"/>
        <w:gridCol w:w="1126"/>
        <w:gridCol w:w="1121"/>
        <w:gridCol w:w="1110"/>
      </w:tblGrid>
      <w:tr>
        <w:trPr>
          <w:trHeight w:val="10971"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10"/>
              <w:ind w:left="22" w:right="12"/>
              <w:jc w:val="left"/>
              <w:rPr>
                <w:rFonts w:ascii="Times New Roman" w:hAnsi="Times New Roman" w:cs="Times New Roman" w:eastAsia="Times New Roman" w:hint="default"/>
                <w:sz w:val="18"/>
                <w:szCs w:val="18"/>
              </w:rPr>
            </w:pPr>
            <w:r>
              <w:rPr>
                <w:rFonts w:ascii="宋体" w:hAnsi="宋体" w:cs="宋体" w:eastAsia="宋体" w:hint="default"/>
                <w:sz w:val="18"/>
                <w:szCs w:val="18"/>
              </w:rPr>
              <w:t>联交易，将遵 循市场公正、 公平、公开的 原则，并依法 签订协议，履 行合法程序， 按照奥拓电 子公司章程、 有关法律法 规和《上市规 则》等有关规 定履行信息 披露义务和 办理有关报 批程序。</w:t>
            </w:r>
            <w:r>
              <w:rPr>
                <w:rFonts w:ascii="Times New Roman" w:hAnsi="Times New Roman" w:cs="Times New Roman" w:eastAsia="Times New Roman" w:hint="default"/>
                <w:sz w:val="18"/>
                <w:szCs w:val="18"/>
              </w:rPr>
              <w:t>4</w:t>
            </w:r>
            <w:r>
              <w:rPr>
                <w:rFonts w:ascii="宋体" w:hAnsi="宋体" w:cs="宋体" w:eastAsia="宋体" w:hint="default"/>
                <w:sz w:val="18"/>
                <w:szCs w:val="18"/>
              </w:rPr>
              <w:t>、 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本企业 及本人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本企 业的关联方 保证不通过 关联交易损 害奥拓电子 及其他股东 的合法权益。 </w:t>
            </w:r>
            <w:r>
              <w:rPr>
                <w:rFonts w:ascii="Times New Roman" w:hAnsi="Times New Roman" w:cs="Times New Roman" w:eastAsia="Times New Roman" w:hint="default"/>
                <w:sz w:val="18"/>
                <w:szCs w:val="18"/>
              </w:rPr>
              <w:t>5</w:t>
            </w:r>
            <w:r>
              <w:rPr>
                <w:rFonts w:ascii="宋体" w:hAnsi="宋体" w:cs="宋体" w:eastAsia="宋体" w:hint="default"/>
                <w:sz w:val="18"/>
                <w:szCs w:val="18"/>
              </w:rPr>
              <w:t>、如因本人</w:t>
            </w:r>
            <w:r>
              <w:rPr>
                <w:rFonts w:ascii="Times New Roman" w:hAnsi="Times New Roman" w:cs="Times New Roman" w:eastAsia="Times New Roman" w:hint="default"/>
                <w:sz w:val="18"/>
                <w:szCs w:val="18"/>
              </w:rPr>
              <w:t>/ </w:t>
            </w:r>
            <w:r>
              <w:rPr>
                <w:rFonts w:ascii="宋体" w:hAnsi="宋体" w:cs="宋体" w:eastAsia="宋体" w:hint="default"/>
                <w:sz w:val="18"/>
                <w:szCs w:val="18"/>
              </w:rPr>
              <w:t>本企业及本 人</w:t>
            </w:r>
            <w:r>
              <w:rPr>
                <w:rFonts w:ascii="Times New Roman" w:hAnsi="Times New Roman" w:cs="Times New Roman" w:eastAsia="Times New Roman" w:hint="default"/>
                <w:sz w:val="18"/>
                <w:szCs w:val="18"/>
              </w:rPr>
              <w:t>/</w:t>
            </w:r>
            <w:r>
              <w:rPr>
                <w:rFonts w:ascii="宋体" w:hAnsi="宋体" w:cs="宋体" w:eastAsia="宋体" w:hint="default"/>
                <w:sz w:val="18"/>
                <w:szCs w:val="18"/>
              </w:rPr>
              <w:t>本企业的 关联方未履 行本承诺函 所作的承诺 而给奥拓电 子造成的一 切损失和后 果，由本人</w:t>
            </w:r>
            <w:r>
              <w:rPr>
                <w:rFonts w:ascii="Times New Roman" w:hAnsi="Times New Roman" w:cs="Times New Roman" w:eastAsia="Times New Roman" w:hint="default"/>
                <w:sz w:val="18"/>
                <w:szCs w:val="18"/>
              </w:rPr>
              <w:t>/ </w:t>
            </w:r>
            <w:r>
              <w:rPr>
                <w:rFonts w:ascii="宋体" w:hAnsi="宋体" w:cs="宋体" w:eastAsia="宋体" w:hint="default"/>
                <w:sz w:val="18"/>
                <w:szCs w:val="18"/>
              </w:rPr>
              <w:t>本企业承担 赔偿责任。</w:t>
            </w:r>
            <w:r>
              <w:rPr>
                <w:rFonts w:ascii="Times New Roman" w:hAnsi="Times New Roman" w:cs="Times New Roman" w:eastAsia="Times New Roman" w:hint="default"/>
                <w:sz w:val="18"/>
                <w:szCs w:val="18"/>
              </w:rPr>
              <w:t>”</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
        </w:tc>
      </w:tr>
      <w:tr>
        <w:trPr>
          <w:trHeight w:val="2859"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21"/>
              <w:jc w:val="left"/>
              <w:rPr>
                <w:rFonts w:ascii="宋体" w:hAnsi="宋体" w:cs="宋体" w:eastAsia="宋体" w:hint="default"/>
                <w:sz w:val="18"/>
                <w:szCs w:val="18"/>
              </w:rPr>
            </w:pPr>
            <w:r>
              <w:rPr>
                <w:rFonts w:ascii="宋体" w:hAnsi="宋体" w:cs="宋体" w:eastAsia="宋体" w:hint="default"/>
                <w:spacing w:val="-2"/>
                <w:sz w:val="18"/>
                <w:szCs w:val="18"/>
              </w:rPr>
              <w:t>沈永健、周维</w:t>
            </w:r>
            <w:r>
              <w:rPr>
                <w:rFonts w:ascii="宋体" w:hAnsi="宋体" w:cs="宋体" w:eastAsia="宋体" w:hint="default"/>
                <w:sz w:val="18"/>
                <w:szCs w:val="18"/>
              </w:rPr>
              <w:t> </w:t>
            </w:r>
            <w:r>
              <w:rPr>
                <w:rFonts w:ascii="宋体" w:hAnsi="宋体" w:cs="宋体" w:eastAsia="宋体" w:hint="default"/>
                <w:spacing w:val="-2"/>
                <w:sz w:val="18"/>
                <w:szCs w:val="18"/>
              </w:rPr>
              <w:t>君、广州中照</w:t>
            </w:r>
            <w:r>
              <w:rPr>
                <w:rFonts w:ascii="宋体" w:hAnsi="宋体" w:cs="宋体" w:eastAsia="宋体" w:hint="default"/>
                <w:sz w:val="18"/>
                <w:szCs w:val="18"/>
              </w:rPr>
              <w:t> 龙腾资产管 理合伙企业</w:t>
            </w:r>
          </w:p>
          <w:p>
            <w:pPr>
              <w:pStyle w:val="TableParagraph"/>
              <w:spacing w:line="319" w:lineRule="auto" w:before="19"/>
              <w:ind w:left="23" w:right="21"/>
              <w:jc w:val="left"/>
              <w:rPr>
                <w:rFonts w:ascii="宋体" w:hAnsi="宋体" w:cs="宋体" w:eastAsia="宋体" w:hint="default"/>
                <w:sz w:val="18"/>
                <w:szCs w:val="18"/>
              </w:rPr>
            </w:pPr>
            <w:r>
              <w:rPr>
                <w:rFonts w:ascii="宋体" w:hAnsi="宋体" w:cs="宋体" w:eastAsia="宋体" w:hint="default"/>
                <w:sz w:val="18"/>
                <w:szCs w:val="18"/>
              </w:rPr>
              <w:t>（有限合 </w:t>
            </w:r>
            <w:r>
              <w:rPr>
                <w:rFonts w:ascii="宋体" w:hAnsi="宋体" w:cs="宋体" w:eastAsia="宋体" w:hint="default"/>
                <w:spacing w:val="-15"/>
                <w:sz w:val="18"/>
                <w:szCs w:val="18"/>
              </w:rPr>
              <w:t>伙）、深圳前</w:t>
            </w:r>
            <w:r>
              <w:rPr>
                <w:rFonts w:ascii="宋体" w:hAnsi="宋体" w:cs="宋体" w:eastAsia="宋体" w:hint="default"/>
                <w:sz w:val="18"/>
                <w:szCs w:val="18"/>
              </w:rPr>
              <w:t> 海汉华源投 </w:t>
            </w:r>
            <w:r>
              <w:rPr>
                <w:rFonts w:ascii="宋体" w:hAnsi="宋体" w:cs="宋体" w:eastAsia="宋体" w:hint="default"/>
                <w:spacing w:val="-2"/>
                <w:sz w:val="18"/>
                <w:szCs w:val="18"/>
              </w:rPr>
              <w:t>资企业（有限</w:t>
            </w:r>
            <w:r>
              <w:rPr>
                <w:rFonts w:ascii="宋体" w:hAnsi="宋体" w:cs="宋体" w:eastAsia="宋体" w:hint="default"/>
                <w:sz w:val="18"/>
                <w:szCs w:val="18"/>
              </w:rPr>
              <w:t> </w:t>
            </w:r>
            <w:r>
              <w:rPr>
                <w:rFonts w:ascii="宋体" w:hAnsi="宋体" w:cs="宋体" w:eastAsia="宋体" w:hint="default"/>
                <w:spacing w:val="-15"/>
                <w:sz w:val="18"/>
                <w:szCs w:val="18"/>
              </w:rPr>
              <w:t>合伙）、王亚</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2" w:right="12"/>
              <w:jc w:val="left"/>
              <w:rPr>
                <w:rFonts w:ascii="宋体" w:hAnsi="宋体" w:cs="宋体" w:eastAsia="宋体" w:hint="default"/>
                <w:sz w:val="18"/>
                <w:szCs w:val="18"/>
              </w:rPr>
            </w:pPr>
            <w:r>
              <w:rPr>
                <w:rFonts w:ascii="宋体" w:hAnsi="宋体" w:cs="宋体" w:eastAsia="宋体" w:hint="default"/>
                <w:sz w:val="18"/>
                <w:szCs w:val="18"/>
              </w:rPr>
              <w:t>一、关于所提 供信息真实、 准确、完整的 承诺：</w:t>
            </w:r>
            <w:r>
              <w:rPr>
                <w:rFonts w:ascii="Times New Roman" w:hAnsi="Times New Roman" w:cs="Times New Roman" w:eastAsia="Times New Roman" w:hint="default"/>
                <w:sz w:val="18"/>
                <w:szCs w:val="18"/>
              </w:rPr>
              <w:t>“1</w:t>
            </w:r>
            <w:r>
              <w:rPr>
                <w:rFonts w:ascii="宋体" w:hAnsi="宋体" w:cs="宋体" w:eastAsia="宋体" w:hint="default"/>
                <w:sz w:val="18"/>
                <w:szCs w:val="18"/>
              </w:rPr>
              <w:t>、本 人</w:t>
            </w:r>
            <w:r>
              <w:rPr>
                <w:rFonts w:ascii="Times New Roman" w:hAnsi="Times New Roman" w:cs="Times New Roman" w:eastAsia="Times New Roman" w:hint="default"/>
                <w:sz w:val="18"/>
                <w:szCs w:val="18"/>
              </w:rPr>
              <w:t>/</w:t>
            </w:r>
            <w:r>
              <w:rPr>
                <w:rFonts w:ascii="宋体" w:hAnsi="宋体" w:cs="宋体" w:eastAsia="宋体" w:hint="default"/>
                <w:sz w:val="18"/>
                <w:szCs w:val="18"/>
              </w:rPr>
              <w:t>本企业保 证为本次交 易所提供信 息的真实性、 准确性和完</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5"/>
                <w:szCs w:val="2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长期有效</w:t>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正在履行</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13740" w:hRule="exact"/>
        </w:trPr>
        <w:tc>
          <w:tcPr>
            <w:tcW w:w="283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伟、罗晓珊</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2" w:right="12"/>
              <w:jc w:val="left"/>
              <w:rPr>
                <w:rFonts w:ascii="宋体" w:hAnsi="宋体" w:cs="宋体" w:eastAsia="宋体" w:hint="default"/>
                <w:sz w:val="18"/>
                <w:szCs w:val="18"/>
              </w:rPr>
            </w:pPr>
            <w:r>
              <w:rPr>
                <w:rFonts w:ascii="宋体" w:hAnsi="宋体" w:cs="宋体" w:eastAsia="宋体" w:hint="default"/>
                <w:sz w:val="18"/>
                <w:szCs w:val="18"/>
              </w:rPr>
              <w:t>整性，保证不 存在虚假记 载、误导性陈 述或者重大 遗漏，并声明 承担个别和 连带的法律 责任；同时， 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本企业 不存在泄漏 本次重大资 产重组内幕 信息以及利 用本次重大 资产重组信 息进行内幕 交易的情形。 </w:t>
            </w:r>
            <w:r>
              <w:rPr>
                <w:rFonts w:ascii="Times New Roman" w:hAnsi="Times New Roman" w:cs="Times New Roman" w:eastAsia="Times New Roman" w:hint="default"/>
                <w:sz w:val="18"/>
                <w:szCs w:val="18"/>
              </w:rPr>
              <w:t>2</w:t>
            </w:r>
            <w:r>
              <w:rPr>
                <w:rFonts w:ascii="宋体" w:hAnsi="宋体" w:cs="宋体" w:eastAsia="宋体" w:hint="default"/>
                <w:sz w:val="18"/>
                <w:szCs w:val="18"/>
              </w:rPr>
              <w:t>、本人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本企 业保证向参 与本次交易 的各中介机 构所提供的 资料均为真 实、准确、完 整的原始书 面资料或副 本资料，资料 副本或复印 件与其原始 资料或原件 一致；所有文 件的签名、印 章均是真实 的，不存在任 何虚假记载、 误导性陈述 或者重大遗 漏；</w:t>
            </w:r>
            <w:r>
              <w:rPr>
                <w:rFonts w:ascii="Times New Roman" w:hAnsi="Times New Roman" w:cs="Times New Roman" w:eastAsia="Times New Roman" w:hint="default"/>
                <w:sz w:val="18"/>
                <w:szCs w:val="18"/>
              </w:rPr>
              <w:t>3</w:t>
            </w:r>
            <w:r>
              <w:rPr>
                <w:rFonts w:ascii="宋体" w:hAnsi="宋体" w:cs="宋体" w:eastAsia="宋体" w:hint="default"/>
                <w:sz w:val="18"/>
                <w:szCs w:val="18"/>
              </w:rPr>
              <w:t>、本人</w:t>
            </w:r>
            <w:r>
              <w:rPr>
                <w:rFonts w:ascii="Times New Roman" w:hAnsi="Times New Roman" w:cs="Times New Roman" w:eastAsia="Times New Roman" w:hint="default"/>
                <w:sz w:val="18"/>
                <w:szCs w:val="18"/>
              </w:rPr>
              <w:t>/ </w:t>
            </w:r>
            <w:r>
              <w:rPr>
                <w:rFonts w:ascii="宋体" w:hAnsi="宋体" w:cs="宋体" w:eastAsia="宋体" w:hint="default"/>
                <w:sz w:val="18"/>
                <w:szCs w:val="18"/>
              </w:rPr>
              <w:t>本企业保证 为本次交易 所出具的说 明及确认均 为真实、准确 和完整的，不</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0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r>
        <w:rPr/>
        <w:pict>
          <v:shape style="position:absolute;margin-left:352.480011pt;margin-top:72.47998pt;width:71pt;height:686.5pt;mso-position-horizontal-relative:page;mso-position-vertical-relative:page;z-index:-1253920"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pStyle w:val="BodyText"/>
                    <w:spacing w:line="240" w:lineRule="auto" w:before="118"/>
                    <w:ind w:left="0" w:right="0" w:firstLine="180"/>
                    <w:jc w:val="left"/>
                  </w:pPr>
                  <w:r>
                    <w:rPr/>
                    <w:t>、</w:t>
                  </w: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2"/>
                    <w:rPr>
                      <w:rFonts w:ascii="Times New Roman" w:hAnsi="Times New Roman" w:cs="Times New Roman" w:eastAsia="Times New Roman" w:hint="default"/>
                      <w:sz w:val="25"/>
                      <w:szCs w:val="25"/>
                    </w:rPr>
                  </w:pPr>
                </w:p>
                <w:p>
                  <w:pPr>
                    <w:pStyle w:val="BodyText"/>
                    <w:spacing w:line="240" w:lineRule="auto"/>
                    <w:ind w:left="0" w:right="0"/>
                    <w:jc w:val="left"/>
                  </w:pPr>
                  <w:r>
                    <w:rPr/>
                    <w:t>二、</w:t>
                  </w:r>
                </w:p>
              </w:txbxContent>
            </v:textbox>
            <w10:wrap type="none"/>
          </v:shape>
        </w:pict>
      </w: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317"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vMerge w:val="restart"/>
            <w:tcBorders>
              <w:top w:val="single" w:sz="4" w:space="0" w:color="000000"/>
              <w:left w:val="single" w:sz="4" w:space="0" w:color="000000"/>
              <w:right w:val="single" w:sz="4" w:space="0" w:color="000000"/>
            </w:tcBorders>
          </w:tcPr>
          <w:p>
            <w:pPr/>
          </w:p>
        </w:tc>
        <w:tc>
          <w:tcPr>
            <w:tcW w:w="1126" w:type="dxa"/>
            <w:vMerge w:val="restart"/>
            <w:tcBorders>
              <w:top w:val="single" w:sz="4" w:space="0" w:color="000000"/>
              <w:left w:val="single" w:sz="4" w:space="0" w:color="000000"/>
              <w:right w:val="single" w:sz="4" w:space="0" w:color="000000"/>
            </w:tcBorders>
          </w:tcPr>
          <w:p>
            <w:pPr/>
          </w:p>
        </w:tc>
        <w:tc>
          <w:tcPr>
            <w:tcW w:w="112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存在任何虚</w:t>
            </w:r>
          </w:p>
        </w:tc>
        <w:tc>
          <w:tcPr>
            <w:tcW w:w="1126" w:type="dxa"/>
            <w:vMerge w:val="restart"/>
            <w:tcBorders>
              <w:top w:val="single" w:sz="4" w:space="0" w:color="000000"/>
              <w:left w:val="single" w:sz="4" w:space="0" w:color="000000"/>
              <w:right w:val="single" w:sz="4" w:space="0" w:color="000000"/>
            </w:tcBorders>
          </w:tcPr>
          <w:p>
            <w:pPr>
              <w:pStyle w:val="TableParagraph"/>
              <w:spacing w:line="13729"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74"/>
                <w:sz w:val="20"/>
                <w:szCs w:val="20"/>
              </w:rPr>
              <w:pict>
                <v:group style="width:55.85pt;height:686.5pt;mso-position-horizontal-relative:char;mso-position-vertical-relative:line" coordorigin="0,0" coordsize="1117,13730">
                  <v:group style="position:absolute;left:0;top:0;width:1117;height:13730" coordorigin="0,0" coordsize="1117,13730">
                    <v:shape style="position:absolute;left:0;top:0;width:1117;height:13730" coordorigin="0,0" coordsize="1117,13730" path="m0,13729l1116,13729,1116,0,0,0,0,13729xe" filled="true" fillcolor="#ffffff" stroked="false">
                      <v:path arrowok="t"/>
                      <v:fill type="solid"/>
                    </v:shape>
                  </v:group>
                </v:group>
              </w:pict>
            </w:r>
            <w:r>
              <w:rPr>
                <w:rFonts w:ascii="Times New Roman" w:hAnsi="Times New Roman" w:cs="Times New Roman" w:eastAsia="Times New Roman" w:hint="default"/>
                <w:position w:val="-274"/>
                <w:sz w:val="20"/>
                <w:szCs w:val="20"/>
              </w:rPr>
            </w:r>
          </w:p>
        </w:tc>
        <w:tc>
          <w:tcPr>
            <w:tcW w:w="1121" w:type="dxa"/>
            <w:vMerge w:val="restart"/>
            <w:tcBorders>
              <w:top w:val="single" w:sz="4" w:space="0" w:color="000000"/>
              <w:left w:val="single" w:sz="4" w:space="0" w:color="000000"/>
              <w:right w:val="single" w:sz="4" w:space="0" w:color="000000"/>
            </w:tcBorders>
          </w:tcPr>
          <w:p>
            <w:pPr/>
          </w:p>
        </w:tc>
        <w:tc>
          <w:tcPr>
            <w:tcW w:w="1108" w:type="dxa"/>
            <w:vMerge w:val="restart"/>
            <w:tcBorders>
              <w:top w:val="single" w:sz="4" w:space="0" w:color="000000"/>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假记载、误导</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性陈述或者</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重大遗漏；</w:t>
            </w:r>
            <w:r>
              <w:rPr>
                <w:rFonts w:ascii="Times New Roman" w:hAnsi="Times New Roman" w:cs="Times New Roman" w:eastAsia="Times New Roman" w:hint="default"/>
                <w:sz w:val="18"/>
                <w:szCs w:val="18"/>
              </w:rPr>
              <w:t>4</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本企业</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承诺，如违反</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上述保证，将</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依法承担全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部责任。</w:t>
            </w:r>
            <w:r>
              <w:rPr>
                <w:rFonts w:ascii="Times New Roman" w:hAnsi="Times New Roman" w:cs="Times New Roman" w:eastAsia="Times New Roman" w:hint="default"/>
                <w:sz w:val="18"/>
                <w:szCs w:val="18"/>
              </w:rPr>
              <w:t>”</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关于拟出售</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资产之权属</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状况的承诺：</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Times New Roman" w:hAnsi="Times New Roman" w:cs="Times New Roman" w:eastAsia="Times New Roman" w:hint="default"/>
                <w:spacing w:val="-7"/>
                <w:sz w:val="18"/>
                <w:szCs w:val="18"/>
              </w:rPr>
              <w:t>“1</w:t>
            </w:r>
            <w:r>
              <w:rPr>
                <w:rFonts w:ascii="宋体" w:hAnsi="宋体" w:cs="宋体" w:eastAsia="宋体" w:hint="default"/>
                <w:spacing w:val="-7"/>
                <w:sz w:val="18"/>
                <w:szCs w:val="18"/>
              </w:rPr>
              <w:t>、本人</w:t>
            </w:r>
            <w:r>
              <w:rPr>
                <w:rFonts w:ascii="Times New Roman" w:hAnsi="Times New Roman" w:cs="Times New Roman" w:eastAsia="Times New Roman" w:hint="default"/>
                <w:spacing w:val="-7"/>
                <w:sz w:val="18"/>
                <w:szCs w:val="18"/>
              </w:rPr>
              <w:t>/</w:t>
            </w:r>
            <w:r>
              <w:rPr>
                <w:rFonts w:ascii="宋体" w:hAnsi="宋体" w:cs="宋体" w:eastAsia="宋体" w:hint="default"/>
                <w:spacing w:val="-7"/>
                <w:sz w:val="18"/>
                <w:szCs w:val="18"/>
              </w:rPr>
              <w:t>本企</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业系深圳市</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千百辉照明</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工程有限公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司（以下简称</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千百辉</w:t>
            </w:r>
            <w:r>
              <w:rPr>
                <w:rFonts w:ascii="Times New Roman" w:hAnsi="Times New Roman" w:cs="Times New Roman" w:eastAsia="Times New Roman" w:hint="default"/>
                <w:sz w:val="18"/>
                <w:szCs w:val="18"/>
              </w:rPr>
              <w:t>”</w:t>
            </w:r>
            <w:r>
              <w:rPr>
                <w:rFonts w:ascii="宋体" w:hAnsi="宋体" w:cs="宋体" w:eastAsia="宋体" w:hint="default"/>
                <w:sz w:val="18"/>
                <w:szCs w:val="18"/>
              </w:rPr>
              <w:t>）的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股东，本人</w:t>
            </w:r>
            <w:r>
              <w:rPr>
                <w:rFonts w:ascii="Times New Roman" w:hAnsi="Times New Roman" w:cs="Times New Roman" w:eastAsia="Times New Roman" w:hint="default"/>
                <w:sz w:val="18"/>
                <w:szCs w:val="18"/>
              </w:rPr>
              <w:t>/</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本企业持有</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的千百辉的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股权权属清</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晰，不存在权</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属争议或潜</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在纠纷，不存</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在国家法律、</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法规、规章及</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规范性文件</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规定不适宜</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担任股东的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情形。</w:t>
            </w:r>
            <w:r>
              <w:rPr>
                <w:rFonts w:ascii="Times New Roman" w:hAnsi="Times New Roman" w:cs="Times New Roman" w:eastAsia="Times New Roman" w:hint="default"/>
                <w:sz w:val="18"/>
                <w:szCs w:val="18"/>
              </w:rPr>
              <w:t>2</w:t>
            </w:r>
            <w:r>
              <w:rPr>
                <w:rFonts w:ascii="宋体" w:hAnsi="宋体" w:cs="宋体" w:eastAsia="宋体" w:hint="default"/>
                <w:sz w:val="18"/>
                <w:szCs w:val="18"/>
              </w:rPr>
              <w:t>、本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人</w:t>
            </w:r>
            <w:r>
              <w:rPr>
                <w:rFonts w:ascii="Times New Roman" w:hAnsi="Times New Roman" w:cs="Times New Roman" w:eastAsia="Times New Roman" w:hint="default"/>
                <w:sz w:val="18"/>
                <w:szCs w:val="18"/>
              </w:rPr>
              <w:t>/</w:t>
            </w:r>
            <w:r>
              <w:rPr>
                <w:rFonts w:ascii="宋体" w:hAnsi="宋体" w:cs="宋体" w:eastAsia="宋体" w:hint="default"/>
                <w:sz w:val="18"/>
                <w:szCs w:val="18"/>
              </w:rPr>
              <w:t>本企业用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于出资或增</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资的资金来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源合法，以实</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物、知识产</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权、土地使用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权等非货币</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财产出资的，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已评估作价，</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办理完毕财</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产权转移手</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续。</w:t>
            </w:r>
            <w:r>
              <w:rPr>
                <w:rFonts w:ascii="Times New Roman" w:hAnsi="Times New Roman" w:cs="Times New Roman" w:eastAsia="Times New Roman" w:hint="default"/>
                <w:sz w:val="18"/>
                <w:szCs w:val="18"/>
              </w:rPr>
              <w:t>3</w:t>
            </w:r>
            <w:r>
              <w:rPr>
                <w:rFonts w:ascii="宋体" w:hAnsi="宋体" w:cs="宋体" w:eastAsia="宋体" w:hint="default"/>
                <w:sz w:val="18"/>
                <w:szCs w:val="18"/>
              </w:rPr>
              <w:t>、历次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3"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vMerge/>
            <w:tcBorders>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112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股权转让行</w:t>
            </w:r>
          </w:p>
        </w:tc>
        <w:tc>
          <w:tcPr>
            <w:tcW w:w="1126" w:type="dxa"/>
            <w:vMerge/>
            <w:tcBorders>
              <w:left w:val="single" w:sz="4" w:space="0" w:color="000000"/>
              <w:bottom w:val="single" w:sz="4" w:space="0" w:color="000000"/>
              <w:right w:val="single" w:sz="4" w:space="0" w:color="000000"/>
            </w:tcBorders>
          </w:tcPr>
          <w:p>
            <w:pPr/>
          </w:p>
        </w:tc>
        <w:tc>
          <w:tcPr>
            <w:tcW w:w="1121" w:type="dxa"/>
            <w:vMerge/>
            <w:tcBorders>
              <w:left w:val="single" w:sz="4" w:space="0" w:color="000000"/>
              <w:bottom w:val="single" w:sz="4" w:space="0" w:color="000000"/>
              <w:right w:val="single" w:sz="4" w:space="0" w:color="000000"/>
            </w:tcBorders>
          </w:tcPr>
          <w:p>
            <w:pPr/>
          </w:p>
        </w:tc>
        <w:tc>
          <w:tcPr>
            <w:tcW w:w="1108" w:type="dxa"/>
            <w:vMerge/>
            <w:tcBorders>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r>
        <w:rPr/>
        <w:pict>
          <v:shape style="position:absolute;margin-left:361.480011pt;margin-top:72.47998pt;width:62pt;height:686.5pt;mso-position-horizontal-relative:page;mso-position-vertical-relative:page;z-index:-1253872"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pStyle w:val="BodyText"/>
                    <w:spacing w:line="240" w:lineRule="auto" w:before="131"/>
                    <w:ind w:left="0" w:right="0"/>
                    <w:jc w:val="left"/>
                  </w:pPr>
                  <w:r>
                    <w:rPr/>
                    <w:t>、</w:t>
                  </w:r>
                </w:p>
              </w:txbxContent>
            </v:textbox>
            <w10:wrap type="none"/>
          </v:shape>
        </w:pict>
      </w: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322"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vMerge w:val="restart"/>
            <w:tcBorders>
              <w:top w:val="single" w:sz="4" w:space="0" w:color="000000"/>
              <w:left w:val="single" w:sz="4" w:space="0" w:color="000000"/>
              <w:right w:val="single" w:sz="4" w:space="0" w:color="000000"/>
            </w:tcBorders>
          </w:tcPr>
          <w:p>
            <w:pPr/>
          </w:p>
        </w:tc>
        <w:tc>
          <w:tcPr>
            <w:tcW w:w="1126" w:type="dxa"/>
            <w:vMerge w:val="restart"/>
            <w:tcBorders>
              <w:top w:val="single" w:sz="4" w:space="0" w:color="000000"/>
              <w:left w:val="single" w:sz="4" w:space="0" w:color="000000"/>
              <w:right w:val="single" w:sz="4" w:space="0" w:color="000000"/>
            </w:tcBorders>
          </w:tcPr>
          <w:p>
            <w:pPr/>
          </w:p>
        </w:tc>
        <w:tc>
          <w:tcPr>
            <w:tcW w:w="112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为是本人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w:t>
            </w:r>
          </w:p>
        </w:tc>
        <w:tc>
          <w:tcPr>
            <w:tcW w:w="1126" w:type="dxa"/>
            <w:vMerge w:val="restart"/>
            <w:tcBorders>
              <w:top w:val="single" w:sz="4" w:space="0" w:color="000000"/>
              <w:left w:val="single" w:sz="4" w:space="0" w:color="000000"/>
              <w:right w:val="single" w:sz="4" w:space="0" w:color="000000"/>
            </w:tcBorders>
          </w:tcPr>
          <w:p>
            <w:pPr>
              <w:pStyle w:val="TableParagraph"/>
              <w:spacing w:line="13729"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74"/>
                <w:sz w:val="20"/>
                <w:szCs w:val="20"/>
              </w:rPr>
              <w:pict>
                <v:group style="width:55.85pt;height:686.5pt;mso-position-horizontal-relative:char;mso-position-vertical-relative:line" coordorigin="0,0" coordsize="1117,13730">
                  <v:group style="position:absolute;left:0;top:0;width:1117;height:13730" coordorigin="0,0" coordsize="1117,13730">
                    <v:shape style="position:absolute;left:0;top:0;width:1117;height:13730" coordorigin="0,0" coordsize="1117,13730" path="m0,13729l1116,13729,1116,0,0,0,0,13729xe" filled="true" fillcolor="#ffffff" stroked="false">
                      <v:path arrowok="t"/>
                      <v:fill type="solid"/>
                    </v:shape>
                  </v:group>
                </v:group>
              </w:pict>
            </w:r>
            <w:r>
              <w:rPr>
                <w:rFonts w:ascii="Times New Roman" w:hAnsi="Times New Roman" w:cs="Times New Roman" w:eastAsia="Times New Roman" w:hint="default"/>
                <w:position w:val="-274"/>
                <w:sz w:val="20"/>
                <w:szCs w:val="20"/>
              </w:rPr>
            </w:r>
          </w:p>
        </w:tc>
        <w:tc>
          <w:tcPr>
            <w:tcW w:w="1121" w:type="dxa"/>
            <w:vMerge w:val="restart"/>
            <w:tcBorders>
              <w:top w:val="single" w:sz="4" w:space="0" w:color="000000"/>
              <w:left w:val="single" w:sz="4" w:space="0" w:color="000000"/>
              <w:right w:val="single" w:sz="4" w:space="0" w:color="000000"/>
            </w:tcBorders>
          </w:tcPr>
          <w:p>
            <w:pPr/>
          </w:p>
        </w:tc>
        <w:tc>
          <w:tcPr>
            <w:tcW w:w="1108" w:type="dxa"/>
            <w:vMerge w:val="restart"/>
            <w:tcBorders>
              <w:top w:val="single" w:sz="4" w:space="0" w:color="000000"/>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企业自愿做</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出的真实意</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思表示，历次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股权转让行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为真实、合</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法、有效，已</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足额支付相</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关股权转让</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价款，不存在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任何纠纷及</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纠纷隐患。</w:t>
            </w:r>
            <w:r>
              <w:rPr>
                <w:rFonts w:ascii="Times New Roman" w:hAnsi="Times New Roman" w:cs="Times New Roman" w:eastAsia="Times New Roman" w:hint="default"/>
                <w:sz w:val="18"/>
                <w:szCs w:val="18"/>
              </w:rPr>
              <w:t>4</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本企业</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所持有的千</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百辉股权为</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本企业</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真实持有，与</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其他股东及</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任何第三方</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之间不存在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任何委托持</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股、信托持股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或其他利益</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安排，不存在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纠纷或潜在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纠纷。</w:t>
            </w:r>
            <w:r>
              <w:rPr>
                <w:rFonts w:ascii="Times New Roman" w:hAnsi="Times New Roman" w:cs="Times New Roman" w:eastAsia="Times New Roman" w:hint="default"/>
                <w:sz w:val="18"/>
                <w:szCs w:val="18"/>
              </w:rPr>
              <w:t>5</w:t>
            </w:r>
            <w:r>
              <w:rPr>
                <w:rFonts w:ascii="宋体" w:hAnsi="宋体" w:cs="宋体" w:eastAsia="宋体" w:hint="default"/>
                <w:sz w:val="18"/>
                <w:szCs w:val="18"/>
              </w:rPr>
              <w:t>、本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人</w:t>
            </w:r>
            <w:r>
              <w:rPr>
                <w:rFonts w:ascii="Times New Roman" w:hAnsi="Times New Roman" w:cs="Times New Roman" w:eastAsia="Times New Roman" w:hint="default"/>
                <w:sz w:val="18"/>
                <w:szCs w:val="18"/>
              </w:rPr>
              <w:t>/</w:t>
            </w:r>
            <w:r>
              <w:rPr>
                <w:rFonts w:ascii="宋体" w:hAnsi="宋体" w:cs="宋体" w:eastAsia="宋体" w:hint="default"/>
                <w:sz w:val="18"/>
                <w:szCs w:val="18"/>
              </w:rPr>
              <w:t>本企业持</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有的千百辉</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股权均未设</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置质押，亦未</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设置任何第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三方权益，未</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对该等股权</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所含的投票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权、收益权做</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任何限制性</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安排。</w:t>
            </w:r>
            <w:r>
              <w:rPr>
                <w:rFonts w:ascii="Times New Roman" w:hAnsi="Times New Roman" w:cs="Times New Roman" w:eastAsia="Times New Roman" w:hint="default"/>
                <w:sz w:val="18"/>
                <w:szCs w:val="18"/>
              </w:rPr>
              <w:t>6</w:t>
            </w:r>
            <w:r>
              <w:rPr>
                <w:rFonts w:ascii="宋体" w:hAnsi="宋体" w:cs="宋体" w:eastAsia="宋体" w:hint="default"/>
                <w:sz w:val="18"/>
                <w:szCs w:val="18"/>
              </w:rPr>
              <w:t>、本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人</w:t>
            </w:r>
            <w:r>
              <w:rPr>
                <w:rFonts w:ascii="Times New Roman" w:hAnsi="Times New Roman" w:cs="Times New Roman" w:eastAsia="Times New Roman" w:hint="default"/>
                <w:sz w:val="18"/>
                <w:szCs w:val="18"/>
              </w:rPr>
              <w:t>/</w:t>
            </w:r>
            <w:r>
              <w:rPr>
                <w:rFonts w:ascii="宋体" w:hAnsi="宋体" w:cs="宋体" w:eastAsia="宋体" w:hint="default"/>
                <w:sz w:val="18"/>
                <w:szCs w:val="18"/>
              </w:rPr>
              <w:t>本企业持</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有的千百辉</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股权均不存</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在被司法冻</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结、查封等权</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利受限情形</w:t>
            </w:r>
            <w:r>
              <w:rPr>
                <w:rFonts w:ascii="宋体" w:hAnsi="宋体" w:cs="宋体" w:eastAsia="宋体" w:hint="default"/>
                <w:spacing w:val="-90"/>
                <w:sz w:val="18"/>
                <w:szCs w:val="18"/>
              </w:rPr>
              <w:t>。</w:t>
            </w:r>
            <w:r>
              <w:rPr>
                <w:rFonts w:ascii="Times New Roman" w:hAnsi="Times New Roman" w:cs="Times New Roman" w:eastAsia="Times New Roman" w:hint="default"/>
                <w:w w:val="100"/>
                <w:sz w:val="18"/>
                <w:szCs w:val="18"/>
              </w:rPr>
              <w:t>”</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3"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vMerge/>
            <w:tcBorders>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112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三、关于保障</w:t>
            </w:r>
          </w:p>
        </w:tc>
        <w:tc>
          <w:tcPr>
            <w:tcW w:w="1126" w:type="dxa"/>
            <w:vMerge/>
            <w:tcBorders>
              <w:left w:val="single" w:sz="4" w:space="0" w:color="000000"/>
              <w:bottom w:val="single" w:sz="4" w:space="0" w:color="000000"/>
              <w:right w:val="single" w:sz="4" w:space="0" w:color="000000"/>
            </w:tcBorders>
          </w:tcPr>
          <w:p>
            <w:pPr/>
          </w:p>
        </w:tc>
        <w:tc>
          <w:tcPr>
            <w:tcW w:w="1121" w:type="dxa"/>
            <w:vMerge/>
            <w:tcBorders>
              <w:left w:val="single" w:sz="4" w:space="0" w:color="000000"/>
              <w:bottom w:val="single" w:sz="4" w:space="0" w:color="000000"/>
              <w:right w:val="single" w:sz="4" w:space="0" w:color="000000"/>
            </w:tcBorders>
          </w:tcPr>
          <w:p>
            <w:pPr/>
          </w:p>
        </w:tc>
        <w:tc>
          <w:tcPr>
            <w:tcW w:w="1108" w:type="dxa"/>
            <w:vMerge/>
            <w:tcBorders>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317"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vMerge w:val="restart"/>
            <w:tcBorders>
              <w:top w:val="single" w:sz="4" w:space="0" w:color="000000"/>
              <w:left w:val="single" w:sz="4" w:space="0" w:color="000000"/>
              <w:right w:val="single" w:sz="4" w:space="0" w:color="000000"/>
            </w:tcBorders>
          </w:tcPr>
          <w:p>
            <w:pPr/>
          </w:p>
        </w:tc>
        <w:tc>
          <w:tcPr>
            <w:tcW w:w="1126" w:type="dxa"/>
            <w:vMerge w:val="restart"/>
            <w:tcBorders>
              <w:top w:val="single" w:sz="4" w:space="0" w:color="000000"/>
              <w:left w:val="single" w:sz="4" w:space="0" w:color="000000"/>
              <w:right w:val="single" w:sz="4" w:space="0" w:color="000000"/>
            </w:tcBorders>
          </w:tcPr>
          <w:p>
            <w:pPr/>
          </w:p>
        </w:tc>
        <w:tc>
          <w:tcPr>
            <w:tcW w:w="112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上市公司独</w:t>
            </w:r>
          </w:p>
        </w:tc>
        <w:tc>
          <w:tcPr>
            <w:tcW w:w="1126" w:type="dxa"/>
            <w:vMerge w:val="restart"/>
            <w:tcBorders>
              <w:top w:val="single" w:sz="4" w:space="0" w:color="000000"/>
              <w:left w:val="single" w:sz="4" w:space="0" w:color="000000"/>
              <w:right w:val="single" w:sz="4" w:space="0" w:color="000000"/>
            </w:tcBorders>
          </w:tcPr>
          <w:p>
            <w:pPr/>
          </w:p>
        </w:tc>
        <w:tc>
          <w:tcPr>
            <w:tcW w:w="1121" w:type="dxa"/>
            <w:vMerge w:val="restart"/>
            <w:tcBorders>
              <w:top w:val="single" w:sz="4" w:space="0" w:color="000000"/>
              <w:left w:val="single" w:sz="4" w:space="0" w:color="000000"/>
              <w:right w:val="single" w:sz="4" w:space="0" w:color="000000"/>
            </w:tcBorders>
          </w:tcPr>
          <w:p>
            <w:pPr/>
          </w:p>
        </w:tc>
        <w:tc>
          <w:tcPr>
            <w:tcW w:w="1108" w:type="dxa"/>
            <w:vMerge w:val="restart"/>
            <w:tcBorders>
              <w:top w:val="single" w:sz="4" w:space="0" w:color="000000"/>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立性的承诺：</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Times New Roman" w:hAnsi="Times New Roman" w:cs="Times New Roman" w:eastAsia="Times New Roman" w:hint="default"/>
                <w:spacing w:val="-7"/>
                <w:sz w:val="18"/>
                <w:szCs w:val="18"/>
              </w:rPr>
              <w:t>“1</w:t>
            </w:r>
            <w:r>
              <w:rPr>
                <w:rFonts w:ascii="宋体" w:hAnsi="宋体" w:cs="宋体" w:eastAsia="宋体" w:hint="default"/>
                <w:spacing w:val="-7"/>
                <w:sz w:val="18"/>
                <w:szCs w:val="18"/>
              </w:rPr>
              <w:t>、本人</w:t>
            </w:r>
            <w:r>
              <w:rPr>
                <w:rFonts w:ascii="Times New Roman" w:hAnsi="Times New Roman" w:cs="Times New Roman" w:eastAsia="Times New Roman" w:hint="default"/>
                <w:spacing w:val="-7"/>
                <w:sz w:val="18"/>
                <w:szCs w:val="18"/>
              </w:rPr>
              <w:t>/</w:t>
            </w:r>
            <w:r>
              <w:rPr>
                <w:rFonts w:ascii="宋体" w:hAnsi="宋体" w:cs="宋体" w:eastAsia="宋体" w:hint="default"/>
                <w:spacing w:val="-7"/>
                <w:sz w:val="18"/>
                <w:szCs w:val="18"/>
              </w:rPr>
              <w:t>本企</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业保证为本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次交易承诺</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在本次交易</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完成后，遵守</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相关法律、法</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规、规章、其</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他规范性文</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件及公司章</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程的规定，依</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法行使股东</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权利，不利用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其身份影响</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奥拓电子的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独立性，保持</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奥拓电子在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资产、人员、</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财务、机构和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业务方面的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完整性和独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立性。</w:t>
            </w:r>
            <w:r>
              <w:rPr>
                <w:rFonts w:ascii="Times New Roman" w:hAnsi="Times New Roman" w:cs="Times New Roman" w:eastAsia="Times New Roman" w:hint="default"/>
                <w:sz w:val="18"/>
                <w:szCs w:val="18"/>
              </w:rPr>
              <w:t>2</w:t>
            </w:r>
            <w:r>
              <w:rPr>
                <w:rFonts w:ascii="宋体" w:hAnsi="宋体" w:cs="宋体" w:eastAsia="宋体" w:hint="default"/>
                <w:sz w:val="18"/>
                <w:szCs w:val="18"/>
              </w:rPr>
              <w:t>、本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人</w:t>
            </w:r>
            <w:r>
              <w:rPr>
                <w:rFonts w:ascii="Times New Roman" w:hAnsi="Times New Roman" w:cs="Times New Roman" w:eastAsia="Times New Roman" w:hint="default"/>
                <w:sz w:val="18"/>
                <w:szCs w:val="18"/>
              </w:rPr>
              <w:t>/</w:t>
            </w:r>
            <w:r>
              <w:rPr>
                <w:rFonts w:ascii="宋体" w:hAnsi="宋体" w:cs="宋体" w:eastAsia="宋体" w:hint="default"/>
                <w:sz w:val="18"/>
                <w:szCs w:val="18"/>
              </w:rPr>
              <w:t>本企业承</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诺，如违反上</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述保证和承</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诺，将依法承</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担全部责任</w:t>
            </w:r>
            <w:r>
              <w:rPr>
                <w:rFonts w:ascii="宋体" w:hAnsi="宋体" w:cs="宋体" w:eastAsia="宋体" w:hint="default"/>
                <w:spacing w:val="-90"/>
                <w:sz w:val="18"/>
                <w:szCs w:val="18"/>
              </w:rPr>
              <w:t>。</w:t>
            </w:r>
            <w:r>
              <w:rPr>
                <w:rFonts w:ascii="Times New Roman" w:hAnsi="Times New Roman" w:cs="Times New Roman" w:eastAsia="Times New Roman" w:hint="default"/>
                <w:w w:val="100"/>
                <w:sz w:val="18"/>
                <w:szCs w:val="18"/>
              </w:rPr>
              <w:t>”</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四、关于交易</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对方无相关</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情形的承诺</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函：</w:t>
            </w:r>
            <w:r>
              <w:rPr>
                <w:rFonts w:ascii="Times New Roman" w:hAnsi="Times New Roman" w:cs="Times New Roman" w:eastAsia="Times New Roman" w:hint="default"/>
                <w:sz w:val="18"/>
                <w:szCs w:val="18"/>
              </w:rPr>
              <w:t>“1</w:t>
            </w:r>
            <w:r>
              <w:rPr>
                <w:rFonts w:ascii="宋体" w:hAnsi="宋体" w:cs="宋体" w:eastAsia="宋体" w:hint="default"/>
                <w:sz w:val="18"/>
                <w:szCs w:val="18"/>
              </w:rPr>
              <w:t>、本次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交易前，千百</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辉及股东、千</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百辉董事、监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事及高级管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理人员以及</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千百辉控制</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的其他企业</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与奥拓电子</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及本次交易</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的各中介机</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构不存在关</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8"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vMerge/>
            <w:tcBorders>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112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联关系；</w:t>
            </w:r>
            <w:r>
              <w:rPr>
                <w:rFonts w:ascii="Times New Roman" w:hAnsi="Times New Roman" w:cs="Times New Roman" w:eastAsia="Times New Roman" w:hint="default"/>
                <w:sz w:val="18"/>
                <w:szCs w:val="18"/>
              </w:rPr>
              <w:t>2</w:t>
            </w:r>
            <w:r>
              <w:rPr>
                <w:rFonts w:ascii="宋体" w:hAnsi="宋体" w:cs="宋体" w:eastAsia="宋体" w:hint="default"/>
                <w:sz w:val="18"/>
                <w:szCs w:val="18"/>
              </w:rPr>
              <w:t>、</w:t>
            </w:r>
          </w:p>
        </w:tc>
        <w:tc>
          <w:tcPr>
            <w:tcW w:w="1126" w:type="dxa"/>
            <w:vMerge/>
            <w:tcBorders>
              <w:left w:val="single" w:sz="4" w:space="0" w:color="000000"/>
              <w:bottom w:val="single" w:sz="4" w:space="0" w:color="000000"/>
              <w:right w:val="single" w:sz="4" w:space="0" w:color="000000"/>
            </w:tcBorders>
          </w:tcPr>
          <w:p>
            <w:pPr/>
          </w:p>
        </w:tc>
        <w:tc>
          <w:tcPr>
            <w:tcW w:w="1121" w:type="dxa"/>
            <w:vMerge/>
            <w:tcBorders>
              <w:left w:val="single" w:sz="4" w:space="0" w:color="000000"/>
              <w:bottom w:val="single" w:sz="4" w:space="0" w:color="000000"/>
              <w:right w:val="single" w:sz="4" w:space="0" w:color="000000"/>
            </w:tcBorders>
          </w:tcPr>
          <w:p>
            <w:pPr/>
          </w:p>
        </w:tc>
        <w:tc>
          <w:tcPr>
            <w:tcW w:w="1108" w:type="dxa"/>
            <w:vMerge/>
            <w:tcBorders>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r>
        <w:rPr/>
        <w:pict>
          <v:shape style="position:absolute;margin-left:361.480011pt;margin-top:72.47998pt;width:62pt;height:686.5pt;mso-position-horizontal-relative:page;mso-position-vertical-relative:page;z-index:-1253824"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9"/>
                    <w:rPr>
                      <w:rFonts w:ascii="Times New Roman" w:hAnsi="Times New Roman" w:cs="Times New Roman" w:eastAsia="Times New Roman" w:hint="default"/>
                      <w:sz w:val="20"/>
                      <w:szCs w:val="20"/>
                    </w:rPr>
                  </w:pPr>
                </w:p>
                <w:p>
                  <w:pPr>
                    <w:pStyle w:val="BodyText"/>
                    <w:spacing w:line="240" w:lineRule="auto"/>
                    <w:ind w:left="0" w:right="0"/>
                    <w:jc w:val="left"/>
                  </w:pPr>
                  <w:r>
                    <w:rPr/>
                    <w:t>、</w:t>
                  </w:r>
                </w:p>
              </w:txbxContent>
            </v:textbox>
            <w10:wrap type="none"/>
          </v:shape>
        </w:pict>
      </w: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317"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vMerge w:val="restart"/>
            <w:tcBorders>
              <w:top w:val="single" w:sz="4" w:space="0" w:color="000000"/>
              <w:left w:val="single" w:sz="4" w:space="0" w:color="000000"/>
              <w:right w:val="single" w:sz="4" w:space="0" w:color="000000"/>
            </w:tcBorders>
          </w:tcPr>
          <w:p>
            <w:pPr/>
          </w:p>
        </w:tc>
        <w:tc>
          <w:tcPr>
            <w:tcW w:w="1126" w:type="dxa"/>
            <w:vMerge w:val="restart"/>
            <w:tcBorders>
              <w:top w:val="single" w:sz="4" w:space="0" w:color="000000"/>
              <w:left w:val="single" w:sz="4" w:space="0" w:color="000000"/>
              <w:right w:val="single" w:sz="4" w:space="0" w:color="000000"/>
            </w:tcBorders>
          </w:tcPr>
          <w:p>
            <w:pPr/>
          </w:p>
        </w:tc>
        <w:tc>
          <w:tcPr>
            <w:tcW w:w="112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自出具本承</w:t>
            </w:r>
          </w:p>
        </w:tc>
        <w:tc>
          <w:tcPr>
            <w:tcW w:w="1126" w:type="dxa"/>
            <w:vMerge w:val="restart"/>
            <w:tcBorders>
              <w:top w:val="single" w:sz="4" w:space="0" w:color="000000"/>
              <w:left w:val="single" w:sz="4" w:space="0" w:color="000000"/>
              <w:right w:val="single" w:sz="4" w:space="0" w:color="000000"/>
            </w:tcBorders>
          </w:tcPr>
          <w:p>
            <w:pPr>
              <w:pStyle w:val="TableParagraph"/>
              <w:spacing w:line="13729"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74"/>
                <w:sz w:val="20"/>
                <w:szCs w:val="20"/>
              </w:rPr>
              <w:pict>
                <v:group style="width:55.85pt;height:686.5pt;mso-position-horizontal-relative:char;mso-position-vertical-relative:line" coordorigin="0,0" coordsize="1117,13730">
                  <v:group style="position:absolute;left:0;top:0;width:1117;height:13730" coordorigin="0,0" coordsize="1117,13730">
                    <v:shape style="position:absolute;left:0;top:0;width:1117;height:13730" coordorigin="0,0" coordsize="1117,13730" path="m0,13729l1116,13729,1116,0,0,0,0,13729xe" filled="true" fillcolor="#ffffff" stroked="false">
                      <v:path arrowok="t"/>
                      <v:fill type="solid"/>
                    </v:shape>
                  </v:group>
                </v:group>
              </w:pict>
            </w:r>
            <w:r>
              <w:rPr>
                <w:rFonts w:ascii="Times New Roman" w:hAnsi="Times New Roman" w:cs="Times New Roman" w:eastAsia="Times New Roman" w:hint="default"/>
                <w:position w:val="-274"/>
                <w:sz w:val="20"/>
                <w:szCs w:val="20"/>
              </w:rPr>
            </w:r>
          </w:p>
        </w:tc>
        <w:tc>
          <w:tcPr>
            <w:tcW w:w="1121" w:type="dxa"/>
            <w:vMerge w:val="restart"/>
            <w:tcBorders>
              <w:top w:val="single" w:sz="4" w:space="0" w:color="000000"/>
              <w:left w:val="single" w:sz="4" w:space="0" w:color="000000"/>
              <w:right w:val="single" w:sz="4" w:space="0" w:color="000000"/>
            </w:tcBorders>
          </w:tcPr>
          <w:p>
            <w:pPr/>
          </w:p>
        </w:tc>
        <w:tc>
          <w:tcPr>
            <w:tcW w:w="1108" w:type="dxa"/>
            <w:vMerge w:val="restart"/>
            <w:tcBorders>
              <w:top w:val="single" w:sz="4" w:space="0" w:color="000000"/>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诺函之日起</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的最近五年，</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千百辉及股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东、千百辉董</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事、监事及高</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级管理人员</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未受到行政</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处罚（与证券</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市场明显无</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关的除外</w:t>
            </w:r>
            <w:r>
              <w:rPr>
                <w:rFonts w:ascii="宋体" w:hAnsi="宋体" w:cs="宋体" w:eastAsia="宋体" w:hint="default"/>
                <w:spacing w:val="-90"/>
                <w:sz w:val="18"/>
                <w:szCs w:val="18"/>
              </w:rPr>
              <w:t>）</w:t>
            </w:r>
            <w:r>
              <w:rPr>
                <w:rFonts w:ascii="宋体" w:hAnsi="宋体" w:cs="宋体" w:eastAsia="宋体" w:hint="default"/>
                <w:sz w:val="18"/>
                <w:szCs w:val="18"/>
              </w:rPr>
              <w:t>、</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刑事处罚，亦</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未涉及重大</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的未决诉讼</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或者仲裁；</w:t>
            </w:r>
            <w:r>
              <w:rPr>
                <w:rFonts w:ascii="Times New Roman" w:hAnsi="Times New Roman" w:cs="Times New Roman" w:eastAsia="Times New Roman" w:hint="default"/>
                <w:sz w:val="18"/>
                <w:szCs w:val="18"/>
              </w:rPr>
              <w:t>3</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千百辉及股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东、千百辉董</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事、监事及高</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级管理人员</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以及千百辉</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控制的其他</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企业不存在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因涉嫌重大</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资产重组相</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关的内幕交</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易被立案调</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查或者立案</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侦查，最近五</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年不存在被</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中国证监会</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作出行政处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罚或者司法</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机关依法追</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究刑事责任</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的情况，不存</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在《关于加强</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与上市公司</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重大资产重</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组相关股票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异常交易监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管的暂行规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定》第十三条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规定中不得</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8"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vMerge/>
            <w:tcBorders>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112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参与任何上</w:t>
            </w:r>
          </w:p>
        </w:tc>
        <w:tc>
          <w:tcPr>
            <w:tcW w:w="1126" w:type="dxa"/>
            <w:vMerge/>
            <w:tcBorders>
              <w:left w:val="single" w:sz="4" w:space="0" w:color="000000"/>
              <w:bottom w:val="single" w:sz="4" w:space="0" w:color="000000"/>
              <w:right w:val="single" w:sz="4" w:space="0" w:color="000000"/>
            </w:tcBorders>
          </w:tcPr>
          <w:p>
            <w:pPr/>
          </w:p>
        </w:tc>
        <w:tc>
          <w:tcPr>
            <w:tcW w:w="1121" w:type="dxa"/>
            <w:vMerge/>
            <w:tcBorders>
              <w:left w:val="single" w:sz="4" w:space="0" w:color="000000"/>
              <w:bottom w:val="single" w:sz="4" w:space="0" w:color="000000"/>
              <w:right w:val="single" w:sz="4" w:space="0" w:color="000000"/>
            </w:tcBorders>
          </w:tcPr>
          <w:p>
            <w:pPr/>
          </w:p>
        </w:tc>
        <w:tc>
          <w:tcPr>
            <w:tcW w:w="1108" w:type="dxa"/>
            <w:vMerge/>
            <w:tcBorders>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r>
        <w:rPr/>
        <w:pict>
          <v:shape style="position:absolute;margin-left:334.420013pt;margin-top:418.219971pt;width:89.1pt;height:155pt;mso-position-horizontal-relative:page;mso-position-vertical-relative:page;z-index:-1253776"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8"/>
                    <w:rPr>
                      <w:rFonts w:ascii="Times New Roman" w:hAnsi="Times New Roman" w:cs="Times New Roman" w:eastAsia="Times New Roman" w:hint="default"/>
                      <w:sz w:val="22"/>
                      <w:szCs w:val="22"/>
                    </w:rPr>
                  </w:pPr>
                </w:p>
                <w:p>
                  <w:pPr>
                    <w:pStyle w:val="BodyText"/>
                    <w:spacing w:line="240" w:lineRule="auto"/>
                    <w:ind w:left="0" w:right="0"/>
                    <w:jc w:val="left"/>
                  </w:pPr>
                  <w:r>
                    <w:rPr/>
                    <w:t>个月内，</w:t>
                  </w:r>
                </w:p>
              </w:txbxContent>
            </v:textbox>
            <w10:wrap type="none"/>
          </v:shape>
        </w:pict>
      </w: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6915" w:hRule="exact"/>
        </w:trPr>
        <w:tc>
          <w:tcPr>
            <w:tcW w:w="283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2" w:right="12"/>
              <w:jc w:val="left"/>
              <w:rPr>
                <w:rFonts w:ascii="Times New Roman" w:hAnsi="Times New Roman" w:cs="Times New Roman" w:eastAsia="Times New Roman" w:hint="default"/>
                <w:sz w:val="18"/>
                <w:szCs w:val="18"/>
              </w:rPr>
            </w:pPr>
            <w:r>
              <w:rPr>
                <w:rFonts w:ascii="宋体" w:hAnsi="宋体" w:cs="宋体" w:eastAsia="宋体" w:hint="default"/>
                <w:sz w:val="18"/>
                <w:szCs w:val="18"/>
              </w:rPr>
              <w:t>市公司重大 资产重组情 形；</w:t>
            </w:r>
            <w:r>
              <w:rPr>
                <w:rFonts w:ascii="Times New Roman" w:hAnsi="Times New Roman" w:cs="Times New Roman" w:eastAsia="Times New Roman" w:hint="default"/>
                <w:sz w:val="18"/>
                <w:szCs w:val="18"/>
              </w:rPr>
              <w:t>4</w:t>
            </w:r>
            <w:r>
              <w:rPr>
                <w:rFonts w:ascii="宋体" w:hAnsi="宋体" w:cs="宋体" w:eastAsia="宋体" w:hint="default"/>
                <w:sz w:val="18"/>
                <w:szCs w:val="18"/>
              </w:rPr>
              <w:t>、千百 辉及股东、千 百辉董事、监 事及高级管 理人员最近 五年不存在 未偿还大额 债务、未履行 承诺、被中国 证监会采取 行政监管措 施或受到证 券交易所纪 律处分的情 形；</w:t>
            </w:r>
            <w:r>
              <w:rPr>
                <w:rFonts w:ascii="Times New Roman" w:hAnsi="Times New Roman" w:cs="Times New Roman" w:eastAsia="Times New Roman" w:hint="default"/>
                <w:sz w:val="18"/>
                <w:szCs w:val="18"/>
              </w:rPr>
              <w:t>5</w:t>
            </w:r>
            <w:r>
              <w:rPr>
                <w:rFonts w:ascii="宋体" w:hAnsi="宋体" w:cs="宋体" w:eastAsia="宋体" w:hint="default"/>
                <w:sz w:val="18"/>
                <w:szCs w:val="18"/>
              </w:rPr>
              <w:t>、本人</w:t>
            </w:r>
            <w:r>
              <w:rPr>
                <w:rFonts w:ascii="Times New Roman" w:hAnsi="Times New Roman" w:cs="Times New Roman" w:eastAsia="Times New Roman" w:hint="default"/>
                <w:sz w:val="18"/>
                <w:szCs w:val="18"/>
              </w:rPr>
              <w:t>/ </w:t>
            </w:r>
            <w:r>
              <w:rPr>
                <w:rFonts w:ascii="宋体" w:hAnsi="宋体" w:cs="宋体" w:eastAsia="宋体" w:hint="default"/>
                <w:sz w:val="18"/>
                <w:szCs w:val="18"/>
              </w:rPr>
              <w:t>本企业承诺， 如违反上述 保证，将依法 承担全部责 任。</w:t>
            </w:r>
            <w:r>
              <w:rPr>
                <w:rFonts w:ascii="Times New Roman" w:hAnsi="Times New Roman" w:cs="Times New Roman" w:eastAsia="Times New Roman" w:hint="default"/>
                <w:sz w:val="18"/>
                <w:szCs w:val="18"/>
              </w:rPr>
              <w:t>”</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08" w:type="dxa"/>
            <w:tcBorders>
              <w:top w:val="single" w:sz="4" w:space="0" w:color="000000"/>
              <w:left w:val="single" w:sz="4" w:space="0" w:color="000000"/>
              <w:bottom w:val="single" w:sz="4" w:space="0" w:color="000000"/>
              <w:right w:val="single" w:sz="4" w:space="0" w:color="000000"/>
            </w:tcBorders>
          </w:tcPr>
          <w:p>
            <w:pPr/>
          </w:p>
        </w:tc>
      </w:tr>
      <w:tr>
        <w:trPr>
          <w:trHeight w:val="6915" w:hRule="exact"/>
        </w:trPr>
        <w:tc>
          <w:tcPr>
            <w:tcW w:w="28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首次公开发行或再融资时所作承诺</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48"/>
              <w:ind w:left="23" w:right="21"/>
              <w:jc w:val="left"/>
              <w:rPr>
                <w:rFonts w:ascii="宋体" w:hAnsi="宋体" w:cs="宋体" w:eastAsia="宋体" w:hint="default"/>
                <w:sz w:val="18"/>
                <w:szCs w:val="18"/>
              </w:rPr>
            </w:pPr>
            <w:r>
              <w:rPr>
                <w:rFonts w:ascii="宋体" w:hAnsi="宋体" w:cs="宋体" w:eastAsia="宋体" w:hint="default"/>
                <w:sz w:val="18"/>
                <w:szCs w:val="18"/>
              </w:rPr>
              <w:t>发行人的控 股股东及实 </w:t>
            </w:r>
            <w:r>
              <w:rPr>
                <w:rFonts w:ascii="宋体" w:hAnsi="宋体" w:cs="宋体" w:eastAsia="宋体" w:hint="default"/>
                <w:spacing w:val="-2"/>
                <w:sz w:val="18"/>
                <w:szCs w:val="18"/>
              </w:rPr>
              <w:t>际控制人、董</w:t>
            </w:r>
            <w:r>
              <w:rPr>
                <w:rFonts w:ascii="宋体" w:hAnsi="宋体" w:cs="宋体" w:eastAsia="宋体" w:hint="default"/>
                <w:sz w:val="18"/>
                <w:szCs w:val="18"/>
              </w:rPr>
              <w:t> 事吴涵渠</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1"/>
              <w:jc w:val="left"/>
              <w:rPr>
                <w:rFonts w:ascii="宋体" w:hAnsi="宋体" w:cs="宋体" w:eastAsia="宋体" w:hint="default"/>
                <w:sz w:val="18"/>
                <w:szCs w:val="18"/>
              </w:rPr>
            </w:pPr>
            <w:r>
              <w:rPr>
                <w:rFonts w:ascii="宋体" w:hAnsi="宋体" w:cs="宋体" w:eastAsia="宋体" w:hint="default"/>
                <w:sz w:val="18"/>
                <w:szCs w:val="18"/>
              </w:rPr>
              <w:t>自发行人股 票上市之日 起</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36 </w:t>
            </w:r>
            <w:r>
              <w:rPr>
                <w:rFonts w:ascii="宋体" w:hAnsi="宋体" w:cs="宋体" w:eastAsia="宋体" w:hint="default"/>
                <w:sz w:val="18"/>
                <w:szCs w:val="18"/>
              </w:rPr>
              <w:t>不转让或者 委托他人管 理本人持有 的发行人公 开发行股票 前已发行的 </w:t>
            </w:r>
            <w:r>
              <w:rPr>
                <w:rFonts w:ascii="宋体" w:hAnsi="宋体" w:cs="宋体" w:eastAsia="宋体" w:hint="default"/>
                <w:spacing w:val="-2"/>
                <w:sz w:val="18"/>
                <w:szCs w:val="18"/>
              </w:rPr>
              <w:t>股份，也不由</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发行人回购 本人持有的 发行人公开 发行股票前 已发行的股 </w:t>
            </w:r>
            <w:r>
              <w:rPr>
                <w:rFonts w:ascii="宋体" w:hAnsi="宋体" w:cs="宋体" w:eastAsia="宋体" w:hint="default"/>
                <w:spacing w:val="-2"/>
                <w:sz w:val="18"/>
                <w:szCs w:val="18"/>
              </w:rPr>
              <w:t>份。上述锁定</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2"/>
                <w:sz w:val="18"/>
                <w:szCs w:val="18"/>
              </w:rPr>
              <w:t>期届满后，在</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本人任职期 </w:t>
            </w:r>
            <w:r>
              <w:rPr>
                <w:rFonts w:ascii="宋体" w:hAnsi="宋体" w:cs="宋体" w:eastAsia="宋体" w:hint="default"/>
                <w:spacing w:val="-2"/>
                <w:sz w:val="18"/>
                <w:szCs w:val="18"/>
              </w:rPr>
              <w:t>间，每年转让</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的股份不超 过本人持有 股份总数的</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3100"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61"/>
                <w:sz w:val="20"/>
                <w:szCs w:val="20"/>
              </w:rPr>
              <w:pict>
                <v:group style="width:55.85pt;height:155pt;mso-position-horizontal-relative:char;mso-position-vertical-relative:line" coordorigin="0,0" coordsize="1117,3100">
                  <v:group style="position:absolute;left:0;top:0;width:1117;height:3100" coordorigin="0,0" coordsize="1117,3100">
                    <v:shape style="position:absolute;left:0;top:0;width:1117;height:3100" coordorigin="0,0" coordsize="1117,3100" path="m0,3100l1116,3100,1116,0,0,0,0,3100xe" filled="true" fillcolor="#ffffff" stroked="false">
                      <v:path arrowok="t"/>
                      <v:fill type="solid"/>
                    </v:shape>
                  </v:group>
                </v:group>
              </w:pict>
            </w:r>
            <w:r>
              <w:rPr>
                <w:rFonts w:ascii="Times New Roman" w:hAnsi="Times New Roman" w:cs="Times New Roman" w:eastAsia="Times New Roman" w:hint="default"/>
                <w:position w:val="-61"/>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20"/>
                <w:szCs w:val="20"/>
              </w:rPr>
            </w:pP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长期有效</w:t>
            </w:r>
          </w:p>
        </w:tc>
        <w:tc>
          <w:tcPr>
            <w:tcW w:w="1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正在履行</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r>
        <w:rPr/>
        <w:pict>
          <v:shape style="position:absolute;margin-left:334.420013pt;margin-top:309.019989pt;width:89.1pt;height:209.6pt;mso-position-horizontal-relative:page;mso-position-vertical-relative:page;z-index:-1253752"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7"/>
                    <w:rPr>
                      <w:rFonts w:ascii="Times New Roman" w:hAnsi="Times New Roman" w:cs="Times New Roman" w:eastAsia="Times New Roman" w:hint="default"/>
                      <w:sz w:val="22"/>
                      <w:szCs w:val="22"/>
                    </w:rPr>
                  </w:pPr>
                </w:p>
                <w:p>
                  <w:pPr>
                    <w:pStyle w:val="BodyText"/>
                    <w:spacing w:line="240" w:lineRule="auto"/>
                    <w:ind w:left="0" w:right="0"/>
                    <w:jc w:val="left"/>
                  </w:pPr>
                  <w:r>
                    <w:rPr/>
                    <w:t>个月内，</w:t>
                  </w:r>
                </w:p>
              </w:txbxContent>
            </v:textbox>
            <w10:wrap type="none"/>
          </v:shape>
        </w:pict>
      </w:r>
      <w:r>
        <w:rPr/>
        <w:pict>
          <v:group style="position:absolute;margin-left:367.660004pt;margin-top:309.019989pt;width:55.85pt;height:209.6pt;mso-position-horizontal-relative:page;mso-position-vertical-relative:page;z-index:-1253728" coordorigin="7353,6180" coordsize="1117,4192">
            <v:shape style="position:absolute;left:7353;top:6180;width:1117;height:4192" coordorigin="7353,6180" coordsize="1117,4192" path="m7353,10372l8470,10372,8470,6180,7353,6180,7353,10372xe" filled="true" fillcolor="#ffffff" stroked="false">
              <v:path arrowok="t"/>
              <v:fill type="solid"/>
            </v:shape>
            <w10:wrap type="none"/>
          </v:group>
        </w:pict>
      </w: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322"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vMerge w:val="restart"/>
            <w:tcBorders>
              <w:top w:val="single" w:sz="4" w:space="0" w:color="000000"/>
              <w:left w:val="single" w:sz="4" w:space="0" w:color="000000"/>
              <w:right w:val="single" w:sz="4" w:space="0" w:color="000000"/>
            </w:tcBorders>
          </w:tcPr>
          <w:p>
            <w:pPr/>
          </w:p>
        </w:tc>
        <w:tc>
          <w:tcPr>
            <w:tcW w:w="1126" w:type="dxa"/>
            <w:vMerge w:val="restart"/>
            <w:tcBorders>
              <w:top w:val="single" w:sz="4" w:space="0" w:color="000000"/>
              <w:left w:val="single" w:sz="4" w:space="0" w:color="000000"/>
              <w:right w:val="single" w:sz="4" w:space="0" w:color="000000"/>
            </w:tcBorders>
          </w:tcPr>
          <w:p>
            <w:pPr/>
          </w:p>
        </w:tc>
        <w:tc>
          <w:tcPr>
            <w:tcW w:w="112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25%</w:t>
            </w:r>
            <w:r>
              <w:rPr>
                <w:rFonts w:ascii="宋体" w:hAnsi="宋体" w:cs="宋体" w:eastAsia="宋体" w:hint="default"/>
                <w:sz w:val="18"/>
                <w:szCs w:val="18"/>
              </w:rPr>
              <w:t>，且在离</w:t>
            </w:r>
          </w:p>
        </w:tc>
        <w:tc>
          <w:tcPr>
            <w:tcW w:w="1126" w:type="dxa"/>
            <w:vMerge w:val="restart"/>
            <w:tcBorders>
              <w:top w:val="single" w:sz="4" w:space="0" w:color="000000"/>
              <w:left w:val="single" w:sz="4" w:space="0" w:color="000000"/>
              <w:right w:val="single" w:sz="4" w:space="0" w:color="000000"/>
            </w:tcBorders>
          </w:tcPr>
          <w:p>
            <w:pPr/>
          </w:p>
        </w:tc>
        <w:tc>
          <w:tcPr>
            <w:tcW w:w="1121" w:type="dxa"/>
            <w:vMerge w:val="restart"/>
            <w:tcBorders>
              <w:top w:val="single" w:sz="4" w:space="0" w:color="000000"/>
              <w:left w:val="single" w:sz="4" w:space="0" w:color="000000"/>
              <w:right w:val="single" w:sz="4" w:space="0" w:color="000000"/>
            </w:tcBorders>
          </w:tcPr>
          <w:p>
            <w:pPr/>
          </w:p>
        </w:tc>
        <w:tc>
          <w:tcPr>
            <w:tcW w:w="1108" w:type="dxa"/>
            <w:vMerge w:val="restart"/>
            <w:tcBorders>
              <w:top w:val="single" w:sz="4" w:space="0" w:color="000000"/>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职后半年内，</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不转让本人</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所持有的股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份；在申报离</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职</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个月后的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个月内通</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过证券交易</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所挂牌交易</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出售公司股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票的数量占</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本人所持有</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公司股票总</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3"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数的比例不</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5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112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w:t>
            </w:r>
            <w:r>
              <w:rPr>
                <w:rFonts w:ascii="宋体" w:hAnsi="宋体" w:cs="宋体" w:eastAsia="宋体" w:hint="default"/>
                <w:sz w:val="18"/>
                <w:szCs w:val="18"/>
              </w:rPr>
              <w:t>。</w:t>
            </w:r>
          </w:p>
        </w:tc>
        <w:tc>
          <w:tcPr>
            <w:tcW w:w="1126" w:type="dxa"/>
            <w:vMerge/>
            <w:tcBorders>
              <w:left w:val="single" w:sz="4" w:space="0" w:color="000000"/>
              <w:bottom w:val="single" w:sz="4" w:space="0" w:color="000000"/>
              <w:right w:val="single" w:sz="4" w:space="0" w:color="000000"/>
            </w:tcBorders>
          </w:tcPr>
          <w:p>
            <w:pPr/>
          </w:p>
        </w:tc>
        <w:tc>
          <w:tcPr>
            <w:tcW w:w="1121" w:type="dxa"/>
            <w:vMerge/>
            <w:tcBorders>
              <w:left w:val="single" w:sz="4" w:space="0" w:color="000000"/>
              <w:bottom w:val="single" w:sz="4" w:space="0" w:color="000000"/>
              <w:right w:val="single" w:sz="4" w:space="0" w:color="000000"/>
            </w:tcBorders>
          </w:tcPr>
          <w:p>
            <w:pPr/>
          </w:p>
        </w:tc>
        <w:tc>
          <w:tcPr>
            <w:tcW w:w="1108" w:type="dxa"/>
            <w:vMerge/>
            <w:tcBorders>
              <w:left w:val="single" w:sz="4" w:space="0" w:color="000000"/>
              <w:bottom w:val="single" w:sz="4" w:space="0" w:color="000000"/>
              <w:right w:val="single" w:sz="4" w:space="0" w:color="000000"/>
            </w:tcBorders>
          </w:tcPr>
          <w:p>
            <w:pPr/>
          </w:p>
        </w:tc>
      </w:tr>
      <w:tr>
        <w:trPr>
          <w:trHeight w:val="357" w:hRule="exact"/>
        </w:trPr>
        <w:tc>
          <w:tcPr>
            <w:tcW w:w="2836" w:type="dxa"/>
            <w:vMerge/>
            <w:tcBorders>
              <w:left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nil" w:sz="6" w:space="0" w:color="auto"/>
              <w:right w:val="single" w:sz="4" w:space="0" w:color="000000"/>
            </w:tcBorders>
          </w:tcPr>
          <w:p>
            <w:pPr/>
          </w:p>
        </w:tc>
        <w:tc>
          <w:tcPr>
            <w:tcW w:w="1126" w:type="dxa"/>
            <w:vMerge w:val="restart"/>
            <w:tcBorders>
              <w:top w:val="single" w:sz="4" w:space="0" w:color="000000"/>
              <w:left w:val="single" w:sz="4" w:space="0" w:color="000000"/>
              <w:right w:val="single" w:sz="4" w:space="0" w:color="000000"/>
            </w:tcBorders>
          </w:tcPr>
          <w:p>
            <w:pPr/>
          </w:p>
        </w:tc>
        <w:tc>
          <w:tcPr>
            <w:tcW w:w="112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自发行人股</w:t>
            </w:r>
          </w:p>
        </w:tc>
        <w:tc>
          <w:tcPr>
            <w:tcW w:w="1126" w:type="dxa"/>
            <w:tcBorders>
              <w:top w:val="single" w:sz="4" w:space="0" w:color="000000"/>
              <w:left w:val="single" w:sz="4" w:space="0" w:color="000000"/>
              <w:bottom w:val="nil" w:sz="6" w:space="0" w:color="auto"/>
              <w:right w:val="single" w:sz="4" w:space="0" w:color="000000"/>
            </w:tcBorders>
          </w:tcPr>
          <w:p>
            <w:pPr/>
          </w:p>
        </w:tc>
        <w:tc>
          <w:tcPr>
            <w:tcW w:w="1121" w:type="dxa"/>
            <w:tcBorders>
              <w:top w:val="single" w:sz="4" w:space="0" w:color="000000"/>
              <w:left w:val="single" w:sz="4" w:space="0" w:color="000000"/>
              <w:bottom w:val="nil" w:sz="6" w:space="0" w:color="auto"/>
              <w:right w:val="single" w:sz="4" w:space="0" w:color="000000"/>
            </w:tcBorders>
          </w:tcPr>
          <w:p>
            <w:pPr/>
          </w:p>
        </w:tc>
        <w:tc>
          <w:tcPr>
            <w:tcW w:w="1108" w:type="dxa"/>
            <w:tcBorders>
              <w:top w:val="single" w:sz="4" w:space="0" w:color="000000"/>
              <w:left w:val="single" w:sz="4" w:space="0" w:color="000000"/>
              <w:bottom w:val="nil" w:sz="6" w:space="0" w:color="auto"/>
              <w:right w:val="single" w:sz="4" w:space="0" w:color="000000"/>
            </w:tcBorders>
          </w:tcPr>
          <w:p>
            <w:pPr/>
          </w:p>
        </w:tc>
      </w:tr>
      <w:tr>
        <w:trPr>
          <w:trHeight w:val="311"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票上市之日</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起</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12</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不转让本人</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持有的发行</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人公开发行</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股票前已发</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行的股份；上</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述锁定期届</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满后，在本人</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任职期间，每</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302"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年转让的股</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23" w:right="0"/>
              <w:jc w:val="left"/>
              <w:rPr>
                <w:rFonts w:ascii="宋体" w:hAnsi="宋体" w:cs="宋体" w:eastAsia="宋体" w:hint="default"/>
                <w:sz w:val="18"/>
                <w:szCs w:val="18"/>
              </w:rPr>
            </w:pPr>
            <w:r>
              <w:rPr>
                <w:rFonts w:ascii="宋体" w:hAnsi="宋体" w:cs="宋体" w:eastAsia="宋体" w:hint="default"/>
                <w:sz w:val="18"/>
                <w:szCs w:val="18"/>
              </w:rPr>
              <w:t>发行时持有</w:t>
            </w: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22" w:right="0"/>
              <w:jc w:val="left"/>
              <w:rPr>
                <w:rFonts w:ascii="宋体" w:hAnsi="宋体" w:cs="宋体" w:eastAsia="宋体" w:hint="default"/>
                <w:sz w:val="18"/>
                <w:szCs w:val="18"/>
              </w:rPr>
            </w:pPr>
            <w:r>
              <w:rPr>
                <w:rFonts w:ascii="宋体" w:hAnsi="宋体" w:cs="宋体" w:eastAsia="宋体" w:hint="default"/>
                <w:sz w:val="18"/>
                <w:szCs w:val="18"/>
              </w:rPr>
              <w:t>份不超过本</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937"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309" w:lineRule="auto" w:before="1"/>
              <w:ind w:left="23" w:right="87"/>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 股份的股东 同时是公司</w:t>
            </w: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309" w:lineRule="auto" w:before="20"/>
              <w:ind w:left="22" w:right="-1"/>
              <w:jc w:val="left"/>
              <w:rPr>
                <w:rFonts w:ascii="宋体" w:hAnsi="宋体" w:cs="宋体" w:eastAsia="宋体" w:hint="default"/>
                <w:sz w:val="18"/>
                <w:szCs w:val="18"/>
              </w:rPr>
            </w:pPr>
            <w:r>
              <w:rPr>
                <w:rFonts w:ascii="宋体" w:hAnsi="宋体" w:cs="宋体" w:eastAsia="宋体" w:hint="default"/>
                <w:sz w:val="18"/>
                <w:szCs w:val="18"/>
              </w:rPr>
              <w:t>人持有股份 总数的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 且在离职后</w:t>
            </w: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57"/>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2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2" w:right="0"/>
              <w:jc w:val="left"/>
              <w:rPr>
                <w:rFonts w:ascii="宋体" w:hAnsi="宋体" w:cs="宋体" w:eastAsia="宋体" w:hint="default"/>
                <w:sz w:val="18"/>
                <w:szCs w:val="18"/>
              </w:rPr>
            </w:pPr>
            <w:r>
              <w:rPr>
                <w:rFonts w:ascii="宋体" w:hAnsi="宋体" w:cs="宋体" w:eastAsia="宋体" w:hint="default"/>
                <w:sz w:val="18"/>
                <w:szCs w:val="18"/>
              </w:rPr>
              <w:t>长期有效</w:t>
            </w:r>
          </w:p>
        </w:tc>
        <w:tc>
          <w:tcPr>
            <w:tcW w:w="11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2" w:right="0"/>
              <w:jc w:val="left"/>
              <w:rPr>
                <w:rFonts w:ascii="宋体" w:hAnsi="宋体" w:cs="宋体" w:eastAsia="宋体" w:hint="default"/>
                <w:sz w:val="18"/>
                <w:szCs w:val="18"/>
              </w:rPr>
            </w:pPr>
            <w:r>
              <w:rPr>
                <w:rFonts w:ascii="宋体" w:hAnsi="宋体" w:cs="宋体" w:eastAsia="宋体" w:hint="default"/>
                <w:sz w:val="18"/>
                <w:szCs w:val="18"/>
              </w:rPr>
              <w:t>正在履行</w:t>
            </w:r>
          </w:p>
        </w:tc>
      </w:tr>
      <w:tr>
        <w:trPr>
          <w:trHeight w:val="321"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23" w:right="0"/>
              <w:jc w:val="left"/>
              <w:rPr>
                <w:rFonts w:ascii="宋体" w:hAnsi="宋体" w:cs="宋体" w:eastAsia="宋体" w:hint="default"/>
                <w:sz w:val="18"/>
                <w:szCs w:val="18"/>
              </w:rPr>
            </w:pPr>
            <w:r>
              <w:rPr>
                <w:rFonts w:ascii="宋体" w:hAnsi="宋体" w:cs="宋体" w:eastAsia="宋体" w:hint="default"/>
                <w:sz w:val="18"/>
                <w:szCs w:val="18"/>
              </w:rPr>
              <w:t>监事黄斌</w:t>
            </w: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9"/>
              <w:ind w:left="22" w:right="0"/>
              <w:jc w:val="left"/>
              <w:rPr>
                <w:rFonts w:ascii="宋体" w:hAnsi="宋体" w:cs="宋体" w:eastAsia="宋体" w:hint="default"/>
                <w:sz w:val="18"/>
                <w:szCs w:val="18"/>
              </w:rPr>
            </w:pPr>
            <w:r>
              <w:rPr>
                <w:rFonts w:ascii="宋体" w:hAnsi="宋体" w:cs="宋体" w:eastAsia="宋体" w:hint="default"/>
                <w:sz w:val="18"/>
                <w:szCs w:val="18"/>
              </w:rPr>
              <w:t>半年内，不转</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让本人所持</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有的股份；在</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申报离职</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个</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月后的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月内通过证</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券交易所挂</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牌交易出售</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公司股票的</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数量占本人</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所持有公司</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股票总数的</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318"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112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比例不超过</w:t>
            </w:r>
          </w:p>
        </w:tc>
        <w:tc>
          <w:tcPr>
            <w:tcW w:w="1126" w:type="dxa"/>
            <w:tcBorders>
              <w:top w:val="nil" w:sz="6" w:space="0" w:color="auto"/>
              <w:left w:val="single" w:sz="4" w:space="0" w:color="000000"/>
              <w:bottom w:val="single" w:sz="4" w:space="0" w:color="000000"/>
              <w:right w:val="single" w:sz="4" w:space="0" w:color="000000"/>
            </w:tcBorders>
          </w:tcPr>
          <w:p>
            <w:pPr/>
          </w:p>
        </w:tc>
        <w:tc>
          <w:tcPr>
            <w:tcW w:w="1121" w:type="dxa"/>
            <w:tcBorders>
              <w:top w:val="nil" w:sz="6" w:space="0" w:color="auto"/>
              <w:left w:val="single" w:sz="4" w:space="0" w:color="000000"/>
              <w:bottom w:val="single" w:sz="4" w:space="0" w:color="000000"/>
              <w:right w:val="single" w:sz="4" w:space="0" w:color="000000"/>
            </w:tcBorders>
          </w:tcPr>
          <w:p>
            <w:pPr/>
          </w:p>
        </w:tc>
        <w:tc>
          <w:tcPr>
            <w:tcW w:w="1108" w:type="dxa"/>
            <w:tcBorders>
              <w:top w:val="nil" w:sz="6" w:space="0" w:color="auto"/>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836"/>
        <w:gridCol w:w="1126"/>
        <w:gridCol w:w="1126"/>
        <w:gridCol w:w="1127"/>
        <w:gridCol w:w="1126"/>
        <w:gridCol w:w="1121"/>
        <w:gridCol w:w="1110"/>
      </w:tblGrid>
      <w:tr>
        <w:trPr>
          <w:trHeight w:val="362"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50%</w:t>
            </w:r>
            <w:r>
              <w:rPr>
                <w:rFonts w:ascii="宋体" w:hAnsi="宋体" w:cs="宋体" w:eastAsia="宋体" w:hint="default"/>
                <w:sz w:val="18"/>
                <w:szCs w:val="18"/>
              </w:rPr>
              <w:t>。</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
        </w:tc>
      </w:tr>
      <w:tr>
        <w:trPr>
          <w:trHeight w:val="13468"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13"/>
              <w:ind w:left="23" w:right="190"/>
              <w:jc w:val="both"/>
              <w:rPr>
                <w:rFonts w:ascii="宋体" w:hAnsi="宋体" w:cs="宋体" w:eastAsia="宋体" w:hint="default"/>
                <w:sz w:val="18"/>
                <w:szCs w:val="18"/>
              </w:rPr>
            </w:pPr>
            <w:r>
              <w:rPr>
                <w:rFonts w:ascii="宋体" w:hAnsi="宋体" w:cs="宋体" w:eastAsia="宋体" w:hint="default"/>
                <w:sz w:val="18"/>
                <w:szCs w:val="18"/>
              </w:rPr>
              <w:t>发行人的控 股股东及实 际控制人吴 涵渠</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2"/>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、本人及本 人控制的企 业均未直接 或间接经营 任何与奥拓 电子及其子 公司经营的 业务构成竞 争或可能构 成竞争的业 务，也未参与 投资任何与 奥拓电子及 其子公司经 营的业务构 成竞争或可 能构成竞争 的其他企业。 </w:t>
            </w:r>
            <w:r>
              <w:rPr>
                <w:rFonts w:ascii="Times New Roman" w:hAnsi="Times New Roman" w:cs="Times New Roman" w:eastAsia="Times New Roman" w:hint="default"/>
                <w:sz w:val="18"/>
                <w:szCs w:val="18"/>
              </w:rPr>
              <w:t>2</w:t>
            </w:r>
            <w:r>
              <w:rPr>
                <w:rFonts w:ascii="宋体" w:hAnsi="宋体" w:cs="宋体" w:eastAsia="宋体" w:hint="default"/>
                <w:sz w:val="18"/>
                <w:szCs w:val="18"/>
              </w:rPr>
              <w:t>、本人及本 人控制的企 业将不直接 或间接经营 任何与奥拓 电子及其子 公司经营的 业务构成竞 争或可能构 成竞争的业 务，也不参与 投资任何与 奥拓电子及 其子公司经 营的业务构 成竞争或可 能构成竞争 的其他企业。 </w:t>
            </w:r>
            <w:r>
              <w:rPr>
                <w:rFonts w:ascii="Times New Roman" w:hAnsi="Times New Roman" w:cs="Times New Roman" w:eastAsia="Times New Roman" w:hint="default"/>
                <w:sz w:val="18"/>
                <w:szCs w:val="18"/>
              </w:rPr>
              <w:t>3</w:t>
            </w:r>
            <w:r>
              <w:rPr>
                <w:rFonts w:ascii="宋体" w:hAnsi="宋体" w:cs="宋体" w:eastAsia="宋体" w:hint="default"/>
                <w:sz w:val="18"/>
                <w:szCs w:val="18"/>
              </w:rPr>
              <w:t>、若本人及 本人控制的 企业进一步 拓展业务范 围，本人及本 人控制的企 业将不与奥</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长期有效</w:t>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正在履行</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12531"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2" w:right="12"/>
              <w:jc w:val="left"/>
              <w:rPr>
                <w:rFonts w:ascii="宋体" w:hAnsi="宋体" w:cs="宋体" w:eastAsia="宋体" w:hint="default"/>
                <w:sz w:val="18"/>
                <w:szCs w:val="18"/>
              </w:rPr>
            </w:pPr>
            <w:r>
              <w:rPr>
                <w:rFonts w:ascii="宋体" w:hAnsi="宋体" w:cs="宋体" w:eastAsia="宋体" w:hint="default"/>
                <w:sz w:val="18"/>
                <w:szCs w:val="18"/>
              </w:rPr>
              <w:t>拓电子及其 子公司拓展 后的业务相 竞争；若与奥 拓电子及其 子公司拓展 后的业务产 生竞争，则本 人及本人控 制的企业将 以停止经营 相竞争的业 务的方式，或 者将相竞争 的业务纳入 到奥拓电子 经营的方式， 或者将相竞 争的业务转 让给无关联 关系的第三 方的方式避 免同业竞争。 </w:t>
            </w:r>
            <w:r>
              <w:rPr>
                <w:rFonts w:ascii="Times New Roman" w:hAnsi="Times New Roman" w:cs="Times New Roman" w:eastAsia="Times New Roman" w:hint="default"/>
                <w:sz w:val="18"/>
                <w:szCs w:val="18"/>
              </w:rPr>
              <w:t>4</w:t>
            </w:r>
            <w:r>
              <w:rPr>
                <w:rFonts w:ascii="宋体" w:hAnsi="宋体" w:cs="宋体" w:eastAsia="宋体" w:hint="default"/>
                <w:sz w:val="18"/>
                <w:szCs w:val="18"/>
              </w:rPr>
              <w:t>、在本人及 本人控制的 企业与奥拓 电子存在关 联关系期间， 本承诺函为 有效之承诺。 如上述承诺 被证明是不 真实的或未 被遵守</w:t>
            </w:r>
            <w:r>
              <w:rPr>
                <w:rFonts w:ascii="Times New Roman" w:hAnsi="Times New Roman" w:cs="Times New Roman" w:eastAsia="Times New Roman" w:hint="default"/>
                <w:sz w:val="18"/>
                <w:szCs w:val="18"/>
              </w:rPr>
              <w:t>,</w:t>
            </w:r>
            <w:r>
              <w:rPr>
                <w:rFonts w:ascii="宋体" w:hAnsi="宋体" w:cs="宋体" w:eastAsia="宋体" w:hint="default"/>
                <w:sz w:val="18"/>
                <w:szCs w:val="18"/>
              </w:rPr>
              <w:t>本人 将向奥拓电 子赔偿一切 直接和间接 损失，并承担 相应的法律 责任。</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08" w:type="dxa"/>
            <w:tcBorders>
              <w:top w:val="single" w:sz="4" w:space="0" w:color="000000"/>
              <w:left w:val="single" w:sz="4" w:space="0" w:color="000000"/>
              <w:bottom w:val="single" w:sz="4" w:space="0" w:color="000000"/>
              <w:right w:val="single" w:sz="4" w:space="0" w:color="000000"/>
            </w:tcBorders>
          </w:tcPr>
          <w:p>
            <w:pPr/>
          </w:p>
        </w:tc>
      </w:tr>
      <w:tr>
        <w:trPr>
          <w:trHeight w:val="1299"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130"/>
              <w:jc w:val="both"/>
              <w:rPr>
                <w:rFonts w:ascii="宋体" w:hAnsi="宋体" w:cs="宋体" w:eastAsia="宋体" w:hint="default"/>
                <w:sz w:val="18"/>
                <w:szCs w:val="18"/>
              </w:rPr>
            </w:pPr>
            <w:r>
              <w:rPr>
                <w:rFonts w:ascii="宋体" w:hAnsi="宋体" w:cs="宋体" w:eastAsia="宋体" w:hint="default"/>
                <w:sz w:val="18"/>
                <w:szCs w:val="18"/>
              </w:rPr>
              <w:t>除控股股东 之外的发起 人持有公司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以上股份</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22" w:right="102"/>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、本人及本 人控制的企 业均未直接 或间接经营</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5"/>
                <w:szCs w:val="2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长期有效</w:t>
            </w:r>
          </w:p>
        </w:tc>
        <w:tc>
          <w:tcPr>
            <w:tcW w:w="1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5"/>
                <w:szCs w:val="2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正在履行</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13740" w:hRule="exact"/>
        </w:trPr>
        <w:tc>
          <w:tcPr>
            <w:tcW w:w="283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3" w:right="10"/>
              <w:jc w:val="left"/>
              <w:rPr>
                <w:rFonts w:ascii="宋体" w:hAnsi="宋体" w:cs="宋体" w:eastAsia="宋体" w:hint="default"/>
                <w:sz w:val="18"/>
                <w:szCs w:val="18"/>
              </w:rPr>
            </w:pPr>
            <w:r>
              <w:rPr>
                <w:rFonts w:ascii="宋体" w:hAnsi="宋体" w:cs="宋体" w:eastAsia="宋体" w:hint="default"/>
                <w:sz w:val="18"/>
                <w:szCs w:val="18"/>
              </w:rPr>
              <w:t>股东：黄斌、 中检集团南 方电子产品 测试（深圳） 有限公司（原 名：深圳电子 产品质量检 </w:t>
            </w:r>
            <w:r>
              <w:rPr>
                <w:rFonts w:ascii="宋体" w:hAnsi="宋体" w:cs="宋体" w:eastAsia="宋体" w:hint="default"/>
                <w:spacing w:val="-15"/>
                <w:sz w:val="18"/>
                <w:szCs w:val="18"/>
              </w:rPr>
              <w:t>测中心）、深</w:t>
            </w:r>
            <w:r>
              <w:rPr>
                <w:rFonts w:ascii="宋体" w:hAnsi="宋体" w:cs="宋体" w:eastAsia="宋体" w:hint="default"/>
                <w:sz w:val="18"/>
                <w:szCs w:val="18"/>
              </w:rPr>
              <w:t> 圳市国成科 技投资有限 公司</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2" w:right="12"/>
              <w:jc w:val="left"/>
              <w:rPr>
                <w:rFonts w:ascii="宋体" w:hAnsi="宋体" w:cs="宋体" w:eastAsia="宋体" w:hint="default"/>
                <w:sz w:val="18"/>
                <w:szCs w:val="18"/>
              </w:rPr>
            </w:pPr>
            <w:r>
              <w:rPr>
                <w:rFonts w:ascii="宋体" w:hAnsi="宋体" w:cs="宋体" w:eastAsia="宋体" w:hint="default"/>
                <w:sz w:val="18"/>
                <w:szCs w:val="18"/>
              </w:rPr>
              <w:t>任何与奥拓 电子及其子 公司经营的 业务构成竞 争或可能构 成竞争的业 务，也未参与 投资任何与 奥拓电子及 其子公司经 营的业务构 成竞争或可 能构成竞争 的其他企业。 </w:t>
            </w:r>
            <w:r>
              <w:rPr>
                <w:rFonts w:ascii="Times New Roman" w:hAnsi="Times New Roman" w:cs="Times New Roman" w:eastAsia="Times New Roman" w:hint="default"/>
                <w:sz w:val="18"/>
                <w:szCs w:val="18"/>
              </w:rPr>
              <w:t>2</w:t>
            </w:r>
            <w:r>
              <w:rPr>
                <w:rFonts w:ascii="宋体" w:hAnsi="宋体" w:cs="宋体" w:eastAsia="宋体" w:hint="default"/>
                <w:sz w:val="18"/>
                <w:szCs w:val="18"/>
              </w:rPr>
              <w:t>、本人及本 人控制的企 业将不直接 或间接经营 任何与奥拓 电子及其子 公司经营的 业务构成竞 争或可能构 成竞争的业 务，也不参与 投资任何与 奥拓电子及 其子公司经 营的业务构 成竞争或可 能构成竞争 的其他企业。 </w:t>
            </w:r>
            <w:r>
              <w:rPr>
                <w:rFonts w:ascii="Times New Roman" w:hAnsi="Times New Roman" w:cs="Times New Roman" w:eastAsia="Times New Roman" w:hint="default"/>
                <w:sz w:val="18"/>
                <w:szCs w:val="18"/>
              </w:rPr>
              <w:t>3</w:t>
            </w:r>
            <w:r>
              <w:rPr>
                <w:rFonts w:ascii="宋体" w:hAnsi="宋体" w:cs="宋体" w:eastAsia="宋体" w:hint="default"/>
                <w:sz w:val="18"/>
                <w:szCs w:val="18"/>
              </w:rPr>
              <w:t>、若本人及 本人控制的 企业进一步 拓展业务范 围，本人及本 人控制的企 业将不与奥 拓电子及其 子公司拓展 后的业务相 竞争；若与奥 拓电子及其</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0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836"/>
        <w:gridCol w:w="1126"/>
        <w:gridCol w:w="1126"/>
        <w:gridCol w:w="1127"/>
        <w:gridCol w:w="1126"/>
        <w:gridCol w:w="1121"/>
        <w:gridCol w:w="1110"/>
      </w:tblGrid>
      <w:tr>
        <w:trPr>
          <w:trHeight w:val="10971"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2" w:right="12"/>
              <w:jc w:val="left"/>
              <w:rPr>
                <w:rFonts w:ascii="宋体" w:hAnsi="宋体" w:cs="宋体" w:eastAsia="宋体" w:hint="default"/>
                <w:sz w:val="18"/>
                <w:szCs w:val="18"/>
              </w:rPr>
            </w:pPr>
            <w:r>
              <w:rPr>
                <w:rFonts w:ascii="宋体" w:hAnsi="宋体" w:cs="宋体" w:eastAsia="宋体" w:hint="default"/>
                <w:sz w:val="18"/>
                <w:szCs w:val="18"/>
              </w:rPr>
              <w:t>子公司拓展 后的业务产 生竞争，则本 人及本人控 制的企业将 以停止经营 相竞争的业 务的方式，或 者将相竞争 的业务纳入 到奥拓电子 经营的方式， 或者将相竞 争的业务转 让给无关联 关系的第三 方的方式避 免同业竞争。 </w:t>
            </w:r>
            <w:r>
              <w:rPr>
                <w:rFonts w:ascii="Times New Roman" w:hAnsi="Times New Roman" w:cs="Times New Roman" w:eastAsia="Times New Roman" w:hint="default"/>
                <w:sz w:val="18"/>
                <w:szCs w:val="18"/>
              </w:rPr>
              <w:t>4</w:t>
            </w:r>
            <w:r>
              <w:rPr>
                <w:rFonts w:ascii="宋体" w:hAnsi="宋体" w:cs="宋体" w:eastAsia="宋体" w:hint="default"/>
                <w:sz w:val="18"/>
                <w:szCs w:val="18"/>
              </w:rPr>
              <w:t>、在本人及 本人控制的 企业与奥拓 电子存在关 联关系期间， 本承诺函为 有效之承诺。 如上述承诺 被证明是不 真实的或未 被遵守</w:t>
            </w:r>
            <w:r>
              <w:rPr>
                <w:rFonts w:ascii="Times New Roman" w:hAnsi="Times New Roman" w:cs="Times New Roman" w:eastAsia="Times New Roman" w:hint="default"/>
                <w:sz w:val="18"/>
                <w:szCs w:val="18"/>
              </w:rPr>
              <w:t>,</w:t>
            </w:r>
            <w:r>
              <w:rPr>
                <w:rFonts w:ascii="宋体" w:hAnsi="宋体" w:cs="宋体" w:eastAsia="宋体" w:hint="default"/>
                <w:sz w:val="18"/>
                <w:szCs w:val="18"/>
              </w:rPr>
              <w:t>本人 将向奥拓电 子赔偿一切 直接和间接 损失，并承担 相应的法律 责任。</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
        </w:tc>
      </w:tr>
      <w:tr>
        <w:trPr>
          <w:trHeight w:val="2859"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319" w:lineRule="auto"/>
              <w:ind w:left="23" w:right="190"/>
              <w:jc w:val="both"/>
              <w:rPr>
                <w:rFonts w:ascii="宋体" w:hAnsi="宋体" w:cs="宋体" w:eastAsia="宋体" w:hint="default"/>
                <w:sz w:val="18"/>
                <w:szCs w:val="18"/>
              </w:rPr>
            </w:pPr>
            <w:r>
              <w:rPr>
                <w:rFonts w:ascii="宋体" w:hAnsi="宋体" w:cs="宋体" w:eastAsia="宋体" w:hint="default"/>
                <w:sz w:val="18"/>
                <w:szCs w:val="18"/>
              </w:rPr>
              <w:t>发行人的控 股股东及实 际控制人吴 涵渠</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1"/>
              <w:jc w:val="left"/>
              <w:rPr>
                <w:rFonts w:ascii="宋体" w:hAnsi="宋体" w:cs="宋体" w:eastAsia="宋体" w:hint="default"/>
                <w:sz w:val="18"/>
                <w:szCs w:val="18"/>
              </w:rPr>
            </w:pPr>
            <w:r>
              <w:rPr>
                <w:rFonts w:ascii="宋体" w:hAnsi="宋体" w:cs="宋体" w:eastAsia="宋体" w:hint="default"/>
                <w:sz w:val="18"/>
                <w:szCs w:val="18"/>
              </w:rPr>
              <w:t>本人及本人 所控制的企 业将尽量避 </w:t>
            </w:r>
            <w:r>
              <w:rPr>
                <w:rFonts w:ascii="宋体" w:hAnsi="宋体" w:cs="宋体" w:eastAsia="宋体" w:hint="default"/>
                <w:spacing w:val="-2"/>
                <w:sz w:val="18"/>
                <w:szCs w:val="18"/>
              </w:rPr>
              <w:t>免、减少与发</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行人及其子 公司发生关 </w:t>
            </w:r>
            <w:r>
              <w:rPr>
                <w:rFonts w:ascii="宋体" w:hAnsi="宋体" w:cs="宋体" w:eastAsia="宋体" w:hint="default"/>
                <w:spacing w:val="-2"/>
                <w:sz w:val="18"/>
                <w:szCs w:val="18"/>
              </w:rPr>
              <w:t>联交易。如关</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联交易无法 </w:t>
            </w:r>
            <w:r>
              <w:rPr>
                <w:rFonts w:ascii="宋体" w:hAnsi="宋体" w:cs="宋体" w:eastAsia="宋体" w:hint="default"/>
                <w:spacing w:val="-2"/>
                <w:sz w:val="18"/>
                <w:szCs w:val="18"/>
              </w:rPr>
              <w:t>避免，本人及</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5"/>
                <w:szCs w:val="2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长期有效</w:t>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正在履行</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836"/>
        <w:gridCol w:w="1126"/>
        <w:gridCol w:w="1126"/>
        <w:gridCol w:w="1127"/>
        <w:gridCol w:w="1126"/>
        <w:gridCol w:w="1121"/>
        <w:gridCol w:w="1110"/>
      </w:tblGrid>
      <w:tr>
        <w:trPr>
          <w:trHeight w:val="4731"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2" w:right="21"/>
              <w:jc w:val="left"/>
              <w:rPr>
                <w:rFonts w:ascii="宋体" w:hAnsi="宋体" w:cs="宋体" w:eastAsia="宋体" w:hint="default"/>
                <w:sz w:val="18"/>
                <w:szCs w:val="18"/>
              </w:rPr>
            </w:pPr>
            <w:r>
              <w:rPr>
                <w:rFonts w:ascii="宋体" w:hAnsi="宋体" w:cs="宋体" w:eastAsia="宋体" w:hint="default"/>
                <w:sz w:val="18"/>
                <w:szCs w:val="18"/>
              </w:rPr>
              <w:t>本人所控制 的企业将严 格遵守中国 证监会和发 行人及其子 公司章程的 </w:t>
            </w:r>
            <w:r>
              <w:rPr>
                <w:rFonts w:ascii="宋体" w:hAnsi="宋体" w:cs="宋体" w:eastAsia="宋体" w:hint="default"/>
                <w:spacing w:val="-2"/>
                <w:sz w:val="18"/>
                <w:szCs w:val="18"/>
              </w:rPr>
              <w:t>规定，按照通</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常的商业准 则确定交易 价格及其他 </w:t>
            </w:r>
            <w:r>
              <w:rPr>
                <w:rFonts w:ascii="宋体" w:hAnsi="宋体" w:cs="宋体" w:eastAsia="宋体" w:hint="default"/>
                <w:spacing w:val="-2"/>
                <w:sz w:val="18"/>
                <w:szCs w:val="18"/>
              </w:rPr>
              <w:t>交易条件，并</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按照关联交 易公允决策 的程序履行 批准手续。</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
        </w:tc>
      </w:tr>
      <w:tr>
        <w:trPr>
          <w:trHeight w:val="6642" w:hRule="exact"/>
        </w:trPr>
        <w:tc>
          <w:tcPr>
            <w:tcW w:w="2836" w:type="dxa"/>
            <w:vMerge/>
            <w:tcBorders>
              <w:left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316" w:lineRule="auto"/>
              <w:ind w:left="23" w:right="21"/>
              <w:jc w:val="left"/>
              <w:rPr>
                <w:rFonts w:ascii="宋体" w:hAnsi="宋体" w:cs="宋体" w:eastAsia="宋体" w:hint="default"/>
                <w:sz w:val="18"/>
                <w:szCs w:val="18"/>
              </w:rPr>
            </w:pPr>
            <w:r>
              <w:rPr>
                <w:rFonts w:ascii="宋体" w:hAnsi="宋体" w:cs="宋体" w:eastAsia="宋体" w:hint="default"/>
                <w:spacing w:val="-2"/>
                <w:sz w:val="18"/>
                <w:szCs w:val="18"/>
              </w:rPr>
              <w:t>吴涵渠、深圳</w:t>
            </w:r>
            <w:r>
              <w:rPr>
                <w:rFonts w:ascii="宋体" w:hAnsi="宋体" w:cs="宋体" w:eastAsia="宋体" w:hint="default"/>
                <w:sz w:val="18"/>
                <w:szCs w:val="18"/>
              </w:rPr>
              <w:t> 市国成科技 投资有限公 </w:t>
            </w:r>
            <w:r>
              <w:rPr>
                <w:rFonts w:ascii="宋体" w:hAnsi="宋体" w:cs="宋体" w:eastAsia="宋体" w:hint="default"/>
                <w:spacing w:val="-2"/>
                <w:sz w:val="18"/>
                <w:szCs w:val="18"/>
              </w:rPr>
              <w:t>司、黄斌、中</w:t>
            </w:r>
            <w:r>
              <w:rPr>
                <w:rFonts w:ascii="宋体" w:hAnsi="宋体" w:cs="宋体" w:eastAsia="宋体" w:hint="default"/>
                <w:sz w:val="18"/>
                <w:szCs w:val="18"/>
              </w:rPr>
              <w:t> 检集团南方 电子产品测 </w:t>
            </w:r>
            <w:r>
              <w:rPr>
                <w:rFonts w:ascii="宋体" w:hAnsi="宋体" w:cs="宋体" w:eastAsia="宋体" w:hint="default"/>
                <w:spacing w:val="-2"/>
                <w:sz w:val="18"/>
                <w:szCs w:val="18"/>
              </w:rPr>
              <w:t>试（深圳）有</w:t>
            </w:r>
            <w:r>
              <w:rPr>
                <w:rFonts w:ascii="宋体" w:hAnsi="宋体" w:cs="宋体" w:eastAsia="宋体" w:hint="default"/>
                <w:sz w:val="18"/>
                <w:szCs w:val="18"/>
              </w:rPr>
              <w:t> 限公司（原 </w:t>
            </w:r>
            <w:r>
              <w:rPr>
                <w:rFonts w:ascii="宋体" w:hAnsi="宋体" w:cs="宋体" w:eastAsia="宋体" w:hint="default"/>
                <w:spacing w:val="-2"/>
                <w:sz w:val="18"/>
                <w:szCs w:val="18"/>
              </w:rPr>
              <w:t>名：深圳电子</w:t>
            </w:r>
            <w:r>
              <w:rPr>
                <w:rFonts w:ascii="宋体" w:hAnsi="宋体" w:cs="宋体" w:eastAsia="宋体" w:hint="default"/>
                <w:sz w:val="18"/>
                <w:szCs w:val="18"/>
              </w:rPr>
              <w:t> 产品质量检 测中心）</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2"/>
              <w:jc w:val="left"/>
              <w:rPr>
                <w:rFonts w:ascii="宋体" w:hAnsi="宋体" w:cs="宋体" w:eastAsia="宋体" w:hint="default"/>
                <w:sz w:val="18"/>
                <w:szCs w:val="18"/>
              </w:rPr>
            </w:pPr>
            <w:r>
              <w:rPr>
                <w:rFonts w:ascii="宋体" w:hAnsi="宋体" w:cs="宋体" w:eastAsia="宋体" w:hint="default"/>
                <w:sz w:val="18"/>
                <w:szCs w:val="18"/>
              </w:rPr>
              <w:t>如公司及其 子公司因以 提供免费住 房或住房补 贴方式代替 缴存部分职 工的住房公 积金而遭受 的任何经济 处罚，或有关 政府部门要 求公司及其 子公司为员 工补缴住房 公积金而发 生额外支出， 则本人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本公 司愿承担该 等经济处罚、 额外支出及 相应责任。</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8"/>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3"/>
                <w:szCs w:val="23"/>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长期有效</w:t>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3"/>
                <w:szCs w:val="23"/>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正在履行</w:t>
            </w:r>
          </w:p>
        </w:tc>
      </w:tr>
      <w:tr>
        <w:trPr>
          <w:trHeight w:val="2547"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319" w:lineRule="auto"/>
              <w:ind w:left="23" w:right="190"/>
              <w:jc w:val="both"/>
              <w:rPr>
                <w:rFonts w:ascii="宋体" w:hAnsi="宋体" w:cs="宋体" w:eastAsia="宋体" w:hint="default"/>
                <w:sz w:val="18"/>
                <w:szCs w:val="18"/>
              </w:rPr>
            </w:pPr>
            <w:r>
              <w:rPr>
                <w:rFonts w:ascii="宋体" w:hAnsi="宋体" w:cs="宋体" w:eastAsia="宋体" w:hint="default"/>
                <w:sz w:val="18"/>
                <w:szCs w:val="18"/>
              </w:rPr>
              <w:t>深圳市奥拓 电子股份有 限公司</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2" w:right="12"/>
              <w:jc w:val="left"/>
              <w:rPr>
                <w:rFonts w:ascii="宋体" w:hAnsi="宋体" w:cs="宋体" w:eastAsia="宋体" w:hint="default"/>
                <w:sz w:val="18"/>
                <w:szCs w:val="18"/>
              </w:rPr>
            </w:pPr>
            <w:r>
              <w:rPr>
                <w:rFonts w:ascii="宋体" w:hAnsi="宋体" w:cs="宋体" w:eastAsia="宋体" w:hint="default"/>
                <w:sz w:val="18"/>
                <w:szCs w:val="18"/>
              </w:rPr>
              <w:t>为拓宽</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LED </w:t>
            </w:r>
            <w:r>
              <w:rPr>
                <w:rFonts w:ascii="宋体" w:hAnsi="宋体" w:cs="宋体" w:eastAsia="宋体" w:hint="default"/>
                <w:sz w:val="18"/>
                <w:szCs w:val="18"/>
              </w:rPr>
              <w:t>器件的供应 渠道，提高成 本优势，降低 供应链风险， 深圳市奥拓 电子股份有 限公司（下称</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5"/>
                <w:szCs w:val="2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长期有效</w:t>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5"/>
                <w:szCs w:val="2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正在履行</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6603" w:hRule="exact"/>
        </w:trPr>
        <w:tc>
          <w:tcPr>
            <w:tcW w:w="283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10"/>
              <w:ind w:left="22" w:right="21"/>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奥拓电子</w:t>
            </w:r>
            <w:r>
              <w:rPr>
                <w:rFonts w:ascii="Times New Roman" w:hAnsi="Times New Roman" w:cs="Times New Roman" w:eastAsia="Times New Roman" w:hint="default"/>
                <w:sz w:val="18"/>
                <w:szCs w:val="18"/>
              </w:rPr>
              <w:t>"</w:t>
            </w:r>
            <w:r>
              <w:rPr>
                <w:rFonts w:ascii="宋体" w:hAnsi="宋体" w:cs="宋体" w:eastAsia="宋体" w:hint="default"/>
                <w:sz w:val="18"/>
                <w:szCs w:val="18"/>
              </w:rPr>
              <w:t>） 就与深圳市 奥伦德科技 股份有限公 司及其控股 </w:t>
            </w:r>
            <w:r>
              <w:rPr>
                <w:rFonts w:ascii="宋体" w:hAnsi="宋体" w:cs="宋体" w:eastAsia="宋体" w:hint="default"/>
                <w:spacing w:val="-2"/>
                <w:sz w:val="18"/>
                <w:szCs w:val="18"/>
              </w:rPr>
              <w:t>子公司（下称</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Times New Roman" w:hAnsi="Times New Roman" w:cs="Times New Roman" w:eastAsia="Times New Roman" w:hint="default"/>
                <w:sz w:val="18"/>
                <w:szCs w:val="18"/>
              </w:rPr>
              <w:t>"</w:t>
            </w:r>
            <w:r>
              <w:rPr>
                <w:rFonts w:ascii="宋体" w:hAnsi="宋体" w:cs="宋体" w:eastAsia="宋体" w:hint="default"/>
                <w:sz w:val="18"/>
                <w:szCs w:val="18"/>
              </w:rPr>
              <w:t>奥伦德股份 </w:t>
            </w:r>
            <w:r>
              <w:rPr>
                <w:rFonts w:ascii="Times New Roman" w:hAnsi="Times New Roman" w:cs="Times New Roman" w:eastAsia="Times New Roman" w:hint="default"/>
                <w:spacing w:val="-13"/>
                <w:w w:val="99"/>
                <w:sz w:val="18"/>
                <w:szCs w:val="18"/>
              </w:rPr>
              <w:t>"</w:t>
            </w:r>
            <w:r>
              <w:rPr>
                <w:rFonts w:ascii="宋体" w:hAnsi="宋体" w:cs="宋体" w:eastAsia="宋体" w:hint="default"/>
                <w:spacing w:val="-13"/>
                <w:w w:val="99"/>
                <w:sz w:val="18"/>
                <w:szCs w:val="18"/>
              </w:rPr>
              <w:t>）的关联交易</w:t>
            </w:r>
            <w:r>
              <w:rPr>
                <w:rFonts w:ascii="宋体" w:hAnsi="宋体" w:cs="宋体" w:eastAsia="宋体" w:hint="default"/>
                <w:spacing w:val="-85"/>
                <w:w w:val="99"/>
                <w:sz w:val="18"/>
                <w:szCs w:val="18"/>
              </w:rPr>
              <w:t> </w:t>
            </w:r>
            <w:r>
              <w:rPr>
                <w:rFonts w:ascii="宋体" w:hAnsi="宋体" w:cs="宋体" w:eastAsia="宋体" w:hint="default"/>
                <w:spacing w:val="-85"/>
                <w:w w:val="99"/>
                <w:sz w:val="18"/>
                <w:szCs w:val="18"/>
              </w:rPr>
            </w:r>
            <w:r>
              <w:rPr>
                <w:rFonts w:ascii="宋体" w:hAnsi="宋体" w:cs="宋体" w:eastAsia="宋体" w:hint="default"/>
                <w:sz w:val="18"/>
                <w:szCs w:val="18"/>
              </w:rPr>
              <w:t>问题承诺如 </w:t>
            </w:r>
            <w:r>
              <w:rPr>
                <w:rFonts w:ascii="宋体" w:hAnsi="宋体" w:cs="宋体" w:eastAsia="宋体" w:hint="default"/>
                <w:spacing w:val="-2"/>
                <w:sz w:val="18"/>
                <w:szCs w:val="18"/>
              </w:rPr>
              <w:t>下：自本承诺</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函出具之日 </w:t>
            </w:r>
            <w:r>
              <w:rPr>
                <w:rFonts w:ascii="宋体" w:hAnsi="宋体" w:cs="宋体" w:eastAsia="宋体" w:hint="default"/>
                <w:spacing w:val="-2"/>
                <w:sz w:val="18"/>
                <w:szCs w:val="18"/>
              </w:rPr>
              <w:t>起，每年奥拓</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电子与奥伦 德股份发生 </w:t>
            </w: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器件的 关联交易金 额占奥拓电 子当年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LED </w:t>
            </w:r>
            <w:r>
              <w:rPr>
                <w:rFonts w:ascii="宋体" w:hAnsi="宋体" w:cs="宋体" w:eastAsia="宋体" w:hint="default"/>
                <w:sz w:val="18"/>
                <w:szCs w:val="18"/>
              </w:rPr>
              <w:t>器件交易金 额的比例不 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w:t>
            </w:r>
            <w:r>
              <w:rPr>
                <w:rFonts w:ascii="宋体" w:hAnsi="宋体" w:cs="宋体" w:eastAsia="宋体" w:hint="default"/>
                <w:sz w:val="18"/>
                <w:szCs w:val="18"/>
              </w:rPr>
              <w:t>。</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08" w:type="dxa"/>
            <w:tcBorders>
              <w:top w:val="single" w:sz="4" w:space="0" w:color="000000"/>
              <w:left w:val="single" w:sz="4" w:space="0" w:color="000000"/>
              <w:bottom w:val="single" w:sz="4" w:space="0" w:color="000000"/>
              <w:right w:val="single" w:sz="4" w:space="0" w:color="000000"/>
            </w:tcBorders>
          </w:tcPr>
          <w:p>
            <w:pPr/>
          </w:p>
        </w:tc>
      </w:tr>
      <w:tr>
        <w:trPr>
          <w:trHeight w:val="3834" w:hRule="exact"/>
        </w:trPr>
        <w:tc>
          <w:tcPr>
            <w:tcW w:w="28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2"/>
              <w:ind w:left="22" w:right="0"/>
              <w:jc w:val="left"/>
              <w:rPr>
                <w:rFonts w:ascii="宋体" w:hAnsi="宋体" w:cs="宋体" w:eastAsia="宋体" w:hint="default"/>
                <w:sz w:val="18"/>
                <w:szCs w:val="18"/>
              </w:rPr>
            </w:pPr>
            <w:r>
              <w:rPr>
                <w:rFonts w:ascii="宋体" w:hAnsi="宋体" w:cs="宋体" w:eastAsia="宋体" w:hint="default"/>
                <w:sz w:val="18"/>
                <w:szCs w:val="18"/>
              </w:rPr>
              <w:t>股权激励承诺</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316" w:lineRule="auto"/>
              <w:ind w:left="23" w:right="190"/>
              <w:jc w:val="both"/>
              <w:rPr>
                <w:rFonts w:ascii="宋体" w:hAnsi="宋体" w:cs="宋体" w:eastAsia="宋体" w:hint="default"/>
                <w:sz w:val="18"/>
                <w:szCs w:val="18"/>
              </w:rPr>
            </w:pPr>
            <w:r>
              <w:rPr>
                <w:rFonts w:ascii="宋体" w:hAnsi="宋体" w:cs="宋体" w:eastAsia="宋体" w:hint="default"/>
                <w:sz w:val="18"/>
                <w:szCs w:val="18"/>
              </w:rPr>
              <w:t>深圳市奥拓 电子股份有 限公司</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2"/>
              <w:jc w:val="left"/>
              <w:rPr>
                <w:rFonts w:ascii="宋体" w:hAnsi="宋体" w:cs="宋体" w:eastAsia="宋体" w:hint="default"/>
                <w:sz w:val="18"/>
                <w:szCs w:val="18"/>
              </w:rPr>
            </w:pPr>
            <w:r>
              <w:rPr>
                <w:rFonts w:ascii="宋体" w:hAnsi="宋体" w:cs="宋体" w:eastAsia="宋体" w:hint="default"/>
                <w:sz w:val="18"/>
                <w:szCs w:val="18"/>
              </w:rPr>
              <w:t>公司承诺不 为激励对象 依据</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 限制性股票 激励计划获 取有关限制 性股票提供 贷款以及其 他任何形式 的财务资助， 包括为其贷 款提供担保。</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23"/>
                <w:szCs w:val="23"/>
              </w:rPr>
            </w:pPr>
          </w:p>
          <w:p>
            <w:pPr>
              <w:pStyle w:val="TableParagraph"/>
              <w:spacing w:line="312" w:lineRule="auto"/>
              <w:ind w:left="22" w:right="143"/>
              <w:jc w:val="both"/>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年限制 性股票激励 计划有效期 内</w:t>
            </w:r>
          </w:p>
        </w:tc>
        <w:tc>
          <w:tcPr>
            <w:tcW w:w="1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2"/>
              <w:ind w:left="22" w:right="0"/>
              <w:jc w:val="left"/>
              <w:rPr>
                <w:rFonts w:ascii="宋体" w:hAnsi="宋体" w:cs="宋体" w:eastAsia="宋体" w:hint="default"/>
                <w:sz w:val="18"/>
                <w:szCs w:val="18"/>
              </w:rPr>
            </w:pPr>
            <w:r>
              <w:rPr>
                <w:rFonts w:ascii="宋体" w:hAnsi="宋体" w:cs="宋体" w:eastAsia="宋体" w:hint="default"/>
                <w:sz w:val="18"/>
                <w:szCs w:val="18"/>
              </w:rPr>
              <w:t>正在履行</w:t>
            </w:r>
          </w:p>
        </w:tc>
      </w:tr>
      <w:tr>
        <w:trPr>
          <w:trHeight w:val="402" w:hRule="exact"/>
        </w:trPr>
        <w:tc>
          <w:tcPr>
            <w:tcW w:w="28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其他对公司中小股东所作承诺</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0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8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承诺是否按时履行</w:t>
            </w:r>
          </w:p>
        </w:tc>
        <w:tc>
          <w:tcPr>
            <w:tcW w:w="6733"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1026" w:hRule="exact"/>
        </w:trPr>
        <w:tc>
          <w:tcPr>
            <w:tcW w:w="28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101"/>
              <w:jc w:val="both"/>
              <w:rPr>
                <w:rFonts w:ascii="宋体" w:hAnsi="宋体" w:cs="宋体" w:eastAsia="宋体" w:hint="default"/>
                <w:sz w:val="18"/>
                <w:szCs w:val="18"/>
              </w:rPr>
            </w:pPr>
            <w:r>
              <w:rPr>
                <w:rFonts w:ascii="宋体" w:hAnsi="宋体" w:cs="宋体" w:eastAsia="宋体" w:hint="default"/>
                <w:sz w:val="18"/>
                <w:szCs w:val="18"/>
              </w:rPr>
              <w:t>如承诺超期未履行完毕的，应当详 细说明未完成履行的具体原因及下 一步的工作计划</w:t>
            </w:r>
          </w:p>
        </w:tc>
        <w:tc>
          <w:tcPr>
            <w:tcW w:w="6733"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3"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line="240" w:lineRule="auto" w:before="10"/>
        <w:rPr>
          <w:rFonts w:ascii="Times New Roman" w:hAnsi="Times New Roman" w:cs="Times New Roman" w:eastAsia="Times New Roman" w:hint="default"/>
          <w:sz w:val="21"/>
          <w:szCs w:val="21"/>
        </w:rPr>
      </w:pPr>
    </w:p>
    <w:p>
      <w:pPr>
        <w:pStyle w:val="Heading3"/>
        <w:spacing w:line="259" w:lineRule="auto" w:before="35"/>
        <w:ind w:right="0"/>
        <w:jc w:val="left"/>
        <w:rPr>
          <w:b w:val="0"/>
          <w:bCs w:val="0"/>
        </w:rPr>
      </w:pPr>
      <w:bookmarkStart w:name="2、公司资产或项目存在盈利预测，且报告期仍处在盈利预测期间，公司就资产或项目达到" w:id="67"/>
      <w:bookmarkEnd w:id="67"/>
      <w:r>
        <w:rPr>
          <w:b w:val="0"/>
          <w:bCs w:val="0"/>
        </w:rPr>
      </w:r>
      <w:r>
        <w:rPr>
          <w:rFonts w:ascii="Times New Roman" w:hAnsi="Times New Roman" w:cs="Times New Roman" w:eastAsia="Times New Roman" w:hint="default"/>
        </w:rPr>
        <w:t>2</w:t>
      </w:r>
      <w:r>
        <w:rPr/>
        <w:t>、公司资产或项目存在盈利预测，且报告期仍处在盈利预测期间，公司就资产或项目达到原盈利预测及</w:t>
      </w:r>
      <w:r>
        <w:rPr>
          <w:spacing w:val="-74"/>
        </w:rPr>
        <w:t> </w:t>
      </w:r>
      <w:r>
        <w:rPr>
          <w:spacing w:val="-74"/>
        </w:rPr>
      </w:r>
      <w:r>
        <w:rPr/>
        <w:t>其原因做出说明</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154"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after="0" w:line="240" w:lineRule="auto"/>
        <w:jc w:val="left"/>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306"/>
        <w:gridCol w:w="1178"/>
        <w:gridCol w:w="1181"/>
        <w:gridCol w:w="1181"/>
        <w:gridCol w:w="1180"/>
        <w:gridCol w:w="1180"/>
        <w:gridCol w:w="1182"/>
        <w:gridCol w:w="1178"/>
      </w:tblGrid>
      <w:tr>
        <w:trPr>
          <w:trHeight w:val="714"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96" w:right="107" w:hanging="90"/>
              <w:jc w:val="left"/>
              <w:rPr>
                <w:rFonts w:ascii="宋体" w:hAnsi="宋体" w:cs="宋体" w:eastAsia="宋体" w:hint="default"/>
                <w:sz w:val="18"/>
                <w:szCs w:val="18"/>
              </w:rPr>
            </w:pPr>
            <w:r>
              <w:rPr>
                <w:rFonts w:ascii="宋体" w:hAnsi="宋体" w:cs="宋体" w:eastAsia="宋体" w:hint="default"/>
                <w:sz w:val="18"/>
                <w:szCs w:val="18"/>
              </w:rPr>
              <w:t>盈利预测资产 或项目名称</w:t>
            </w:r>
          </w:p>
        </w:tc>
        <w:tc>
          <w:tcPr>
            <w:tcW w:w="11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4" w:right="0"/>
              <w:jc w:val="left"/>
              <w:rPr>
                <w:rFonts w:ascii="宋体" w:hAnsi="宋体" w:cs="宋体" w:eastAsia="宋体" w:hint="default"/>
                <w:sz w:val="18"/>
                <w:szCs w:val="18"/>
              </w:rPr>
            </w:pPr>
            <w:r>
              <w:rPr>
                <w:rFonts w:ascii="宋体" w:hAnsi="宋体" w:cs="宋体" w:eastAsia="宋体" w:hint="default"/>
                <w:sz w:val="18"/>
                <w:szCs w:val="18"/>
              </w:rPr>
              <w:t>预测起始时间</w:t>
            </w:r>
          </w:p>
        </w:tc>
        <w:tc>
          <w:tcPr>
            <w:tcW w:w="11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预测终止时间</w:t>
            </w:r>
          </w:p>
        </w:tc>
        <w:tc>
          <w:tcPr>
            <w:tcW w:w="11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当期预测业绩</w:t>
            </w:r>
          </w:p>
          <w:p>
            <w:pPr>
              <w:pStyle w:val="TableParagraph"/>
              <w:spacing w:line="240" w:lineRule="auto" w:before="77"/>
              <w:ind w:right="1"/>
              <w:jc w:val="center"/>
              <w:rPr>
                <w:rFonts w:ascii="宋体" w:hAnsi="宋体" w:cs="宋体" w:eastAsia="宋体" w:hint="default"/>
                <w:sz w:val="18"/>
                <w:szCs w:val="18"/>
              </w:rPr>
            </w:pPr>
            <w:r>
              <w:rPr>
                <w:rFonts w:ascii="宋体" w:hAnsi="宋体" w:cs="宋体" w:eastAsia="宋体" w:hint="default"/>
                <w:sz w:val="18"/>
                <w:szCs w:val="18"/>
              </w:rPr>
              <w:t>（万元）</w:t>
            </w:r>
          </w:p>
        </w:tc>
        <w:tc>
          <w:tcPr>
            <w:tcW w:w="11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当期实际业绩</w:t>
            </w:r>
          </w:p>
          <w:p>
            <w:pPr>
              <w:pStyle w:val="TableParagraph"/>
              <w:spacing w:line="240" w:lineRule="auto" w:before="77"/>
              <w:ind w:right="1"/>
              <w:jc w:val="center"/>
              <w:rPr>
                <w:rFonts w:ascii="宋体" w:hAnsi="宋体" w:cs="宋体" w:eastAsia="宋体" w:hint="default"/>
                <w:sz w:val="18"/>
                <w:szCs w:val="18"/>
              </w:rPr>
            </w:pPr>
            <w:r>
              <w:rPr>
                <w:rFonts w:ascii="宋体" w:hAnsi="宋体" w:cs="宋体" w:eastAsia="宋体" w:hint="default"/>
                <w:sz w:val="18"/>
                <w:szCs w:val="18"/>
              </w:rPr>
              <w:t>（万元）</w:t>
            </w:r>
          </w:p>
        </w:tc>
        <w:tc>
          <w:tcPr>
            <w:tcW w:w="11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44" w:right="45"/>
              <w:jc w:val="left"/>
              <w:rPr>
                <w:rFonts w:ascii="宋体" w:hAnsi="宋体" w:cs="宋体" w:eastAsia="宋体" w:hint="default"/>
                <w:sz w:val="18"/>
                <w:szCs w:val="18"/>
              </w:rPr>
            </w:pPr>
            <w:r>
              <w:rPr>
                <w:rFonts w:ascii="宋体" w:hAnsi="宋体" w:cs="宋体" w:eastAsia="宋体" w:hint="default"/>
                <w:sz w:val="18"/>
                <w:szCs w:val="18"/>
              </w:rPr>
              <w:t>未达预测的原 因（如适用）</w:t>
            </w:r>
          </w:p>
        </w:tc>
        <w:tc>
          <w:tcPr>
            <w:tcW w:w="11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495" w:right="44" w:hanging="450"/>
              <w:jc w:val="left"/>
              <w:rPr>
                <w:rFonts w:ascii="宋体" w:hAnsi="宋体" w:cs="宋体" w:eastAsia="宋体" w:hint="default"/>
                <w:sz w:val="18"/>
                <w:szCs w:val="18"/>
              </w:rPr>
            </w:pPr>
            <w:r>
              <w:rPr>
                <w:rFonts w:ascii="宋体" w:hAnsi="宋体" w:cs="宋体" w:eastAsia="宋体" w:hint="default"/>
                <w:sz w:val="18"/>
                <w:szCs w:val="18"/>
              </w:rPr>
              <w:t>原预测披露日 期</w:t>
            </w:r>
          </w:p>
        </w:tc>
        <w:tc>
          <w:tcPr>
            <w:tcW w:w="11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493" w:right="43" w:hanging="450"/>
              <w:jc w:val="left"/>
              <w:rPr>
                <w:rFonts w:ascii="宋体" w:hAnsi="宋体" w:cs="宋体" w:eastAsia="宋体" w:hint="default"/>
                <w:sz w:val="18"/>
                <w:szCs w:val="18"/>
              </w:rPr>
            </w:pPr>
            <w:r>
              <w:rPr>
                <w:rFonts w:ascii="宋体" w:hAnsi="宋体" w:cs="宋体" w:eastAsia="宋体" w:hint="default"/>
                <w:sz w:val="18"/>
                <w:szCs w:val="18"/>
              </w:rPr>
              <w:t>原预测披露索 引</w:t>
            </w:r>
          </w:p>
        </w:tc>
      </w:tr>
      <w:tr>
        <w:trPr>
          <w:trHeight w:val="3522" w:hRule="exact"/>
        </w:trPr>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2"/>
              <w:ind w:left="22" w:right="191"/>
              <w:jc w:val="both"/>
              <w:rPr>
                <w:rFonts w:ascii="宋体" w:hAnsi="宋体" w:cs="宋体" w:eastAsia="宋体" w:hint="default"/>
                <w:sz w:val="18"/>
                <w:szCs w:val="18"/>
              </w:rPr>
            </w:pPr>
            <w:r>
              <w:rPr>
                <w:rFonts w:ascii="宋体" w:hAnsi="宋体" w:cs="宋体" w:eastAsia="宋体" w:hint="default"/>
                <w:sz w:val="18"/>
                <w:szCs w:val="18"/>
              </w:rPr>
              <w:t>深圳市千百辉 照明工程有限 公司</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517" w:right="0"/>
              <w:jc w:val="left"/>
              <w:rPr>
                <w:rFonts w:ascii="Times New Roman" w:hAnsi="Times New Roman" w:cs="Times New Roman" w:eastAsia="Times New Roman" w:hint="default"/>
                <w:sz w:val="18"/>
                <w:szCs w:val="18"/>
              </w:rPr>
            </w:pPr>
            <w:r>
              <w:rPr>
                <w:rFonts w:ascii="Times New Roman"/>
                <w:sz w:val="18"/>
              </w:rPr>
              <w:t>2,688.78</w:t>
            </w:r>
          </w:p>
        </w:tc>
        <w:tc>
          <w:tcPr>
            <w:tcW w:w="1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562" w:right="0"/>
              <w:jc w:val="left"/>
              <w:rPr>
                <w:rFonts w:ascii="Times New Roman" w:hAnsi="Times New Roman" w:cs="Times New Roman" w:eastAsia="Times New Roman" w:hint="default"/>
                <w:sz w:val="18"/>
                <w:szCs w:val="18"/>
              </w:rPr>
            </w:pPr>
            <w:r>
              <w:rPr>
                <w:rFonts w:ascii="Times New Roman"/>
                <w:sz w:val="18"/>
              </w:rPr>
              <w:t>6805.17</w:t>
            </w:r>
          </w:p>
        </w:tc>
        <w:tc>
          <w:tcPr>
            <w:tcW w:w="1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1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both"/>
              <w:rPr>
                <w:rFonts w:ascii="宋体" w:hAnsi="宋体" w:cs="宋体" w:eastAsia="宋体" w:hint="default"/>
                <w:sz w:val="18"/>
                <w:szCs w:val="18"/>
              </w:rPr>
            </w:pPr>
            <w:r>
              <w:rPr>
                <w:rFonts w:ascii="宋体" w:hAnsi="宋体" w:cs="宋体" w:eastAsia="宋体" w:hint="default"/>
                <w:sz w:val="18"/>
                <w:szCs w:val="18"/>
              </w:rPr>
              <w:t>详见公司于</w:t>
            </w:r>
          </w:p>
          <w:p>
            <w:pPr>
              <w:pStyle w:val="TableParagraph"/>
              <w:spacing w:line="240" w:lineRule="auto" w:before="76"/>
              <w:ind w:left="22" w:right="0"/>
              <w:jc w:val="both"/>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年</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14</w:t>
            </w:r>
          </w:p>
          <w:p>
            <w:pPr>
              <w:pStyle w:val="TableParagraph"/>
              <w:spacing w:line="316" w:lineRule="auto" w:before="63"/>
              <w:ind w:left="22" w:right="65"/>
              <w:jc w:val="both"/>
              <w:rPr>
                <w:rFonts w:ascii="宋体" w:hAnsi="宋体" w:cs="宋体" w:eastAsia="宋体" w:hint="default"/>
                <w:sz w:val="18"/>
                <w:szCs w:val="18"/>
              </w:rPr>
            </w:pPr>
            <w:r>
              <w:rPr>
                <w:rFonts w:ascii="宋体" w:hAnsi="宋体" w:cs="宋体" w:eastAsia="宋体" w:hint="default"/>
                <w:sz w:val="18"/>
                <w:szCs w:val="18"/>
              </w:rPr>
              <w:t>日在巨潮资讯 网上披露的</w:t>
            </w:r>
          </w:p>
          <w:p>
            <w:pPr>
              <w:pStyle w:val="TableParagraph"/>
              <w:spacing w:line="319" w:lineRule="auto" w:before="19"/>
              <w:ind w:left="22" w:right="65"/>
              <w:jc w:val="both"/>
              <w:rPr>
                <w:rFonts w:ascii="宋体" w:hAnsi="宋体" w:cs="宋体" w:eastAsia="宋体" w:hint="default"/>
                <w:sz w:val="18"/>
                <w:szCs w:val="18"/>
              </w:rPr>
            </w:pPr>
            <w:r>
              <w:rPr>
                <w:rFonts w:ascii="宋体" w:hAnsi="宋体" w:cs="宋体" w:eastAsia="宋体" w:hint="default"/>
                <w:sz w:val="18"/>
                <w:szCs w:val="18"/>
              </w:rPr>
              <w:t>《深圳市奥拓 电子股份有限 公司发行股份 及支付现金购 买资产并募集 配套资金报告 </w:t>
            </w:r>
            <w:r>
              <w:rPr>
                <w:rFonts w:ascii="宋体" w:hAnsi="宋体" w:cs="宋体" w:eastAsia="宋体" w:hint="default"/>
                <w:spacing w:val="-15"/>
                <w:sz w:val="18"/>
                <w:szCs w:val="18"/>
              </w:rPr>
              <w:t>书（草案）》</w:t>
            </w:r>
          </w:p>
        </w:tc>
      </w:tr>
    </w:tbl>
    <w:p>
      <w:pPr>
        <w:pStyle w:val="BodyText"/>
        <w:spacing w:line="240" w:lineRule="auto" w:before="51"/>
        <w:ind w:left="154" w:right="0"/>
        <w:jc w:val="left"/>
      </w:pPr>
      <w:r>
        <w:rPr/>
        <w:t>公司股东、交易对手方在报告年度经营业绩做出的承诺情况</w:t>
      </w:r>
    </w:p>
    <w:p>
      <w:pPr>
        <w:pStyle w:val="BodyText"/>
        <w:spacing w:line="314" w:lineRule="auto" w:before="117"/>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w:t>
      </w:r>
      <w:r>
        <w:rPr>
          <w:spacing w:val="-2"/>
        </w:rPr>
        <w:t>根据公司与千百辉全体原股东签署的《发行股份及支付现金购买资产协议》和《盈利预测补偿协议》，千百辉全体原股东承</w:t>
      </w:r>
      <w:r>
        <w:rPr>
          <w:spacing w:val="-65"/>
        </w:rPr>
        <w:t> </w:t>
      </w:r>
      <w:r>
        <w:rPr>
          <w:spacing w:val="-65"/>
        </w:rPr>
      </w:r>
      <w:r>
        <w:rPr/>
        <w:t>诺千百辉在</w:t>
      </w:r>
      <w:r>
        <w:rPr>
          <w:rFonts w:ascii="Times New Roman" w:hAnsi="Times New Roman" w:cs="Times New Roman" w:eastAsia="Times New Roman" w:hint="default"/>
        </w:rPr>
        <w:t>2016</w:t>
      </w:r>
      <w:r>
        <w:rPr/>
        <w:t>年度、</w:t>
      </w:r>
      <w:r>
        <w:rPr>
          <w:rFonts w:ascii="Times New Roman" w:hAnsi="Times New Roman" w:cs="Times New Roman" w:eastAsia="Times New Roman" w:hint="default"/>
        </w:rPr>
        <w:t>2017</w:t>
      </w:r>
      <w:r>
        <w:rPr/>
        <w:t>年度、</w:t>
      </w:r>
      <w:r>
        <w:rPr>
          <w:rFonts w:ascii="Times New Roman" w:hAnsi="Times New Roman" w:cs="Times New Roman" w:eastAsia="Times New Roman" w:hint="default"/>
        </w:rPr>
        <w:t>2018</w:t>
      </w:r>
      <w:r>
        <w:rPr/>
        <w:t>年度和</w:t>
      </w:r>
      <w:r>
        <w:rPr>
          <w:rFonts w:ascii="Times New Roman" w:hAnsi="Times New Roman" w:cs="Times New Roman" w:eastAsia="Times New Roman" w:hint="default"/>
        </w:rPr>
        <w:t>2019</w:t>
      </w:r>
      <w:r>
        <w:rPr/>
        <w:t>年度实现的扣除非经常性损益后的归属于母公司所有者的净利润分别为 </w:t>
      </w:r>
      <w:r>
        <w:rPr>
          <w:rFonts w:ascii="Times New Roman" w:hAnsi="Times New Roman" w:cs="Times New Roman" w:eastAsia="Times New Roman" w:hint="default"/>
          <w:spacing w:val="-2"/>
        </w:rPr>
        <w:t>2,300</w:t>
      </w:r>
      <w:r>
        <w:rPr>
          <w:spacing w:val="-2"/>
        </w:rPr>
        <w:t>万元、</w:t>
      </w:r>
      <w:r>
        <w:rPr>
          <w:rFonts w:ascii="Times New Roman" w:hAnsi="Times New Roman" w:cs="Times New Roman" w:eastAsia="Times New Roman" w:hint="default"/>
          <w:spacing w:val="-2"/>
        </w:rPr>
        <w:t>2,800</w:t>
      </w:r>
      <w:r>
        <w:rPr>
          <w:spacing w:val="-2"/>
        </w:rPr>
        <w:t>万元、</w:t>
      </w:r>
      <w:r>
        <w:rPr>
          <w:rFonts w:ascii="Times New Roman" w:hAnsi="Times New Roman" w:cs="Times New Roman" w:eastAsia="Times New Roman" w:hint="default"/>
          <w:spacing w:val="-2"/>
        </w:rPr>
        <w:t>3,300</w:t>
      </w:r>
      <w:r>
        <w:rPr>
          <w:spacing w:val="-2"/>
        </w:rPr>
        <w:t>万元、</w:t>
      </w:r>
      <w:r>
        <w:rPr>
          <w:rFonts w:ascii="Times New Roman" w:hAnsi="Times New Roman" w:cs="Times New Roman" w:eastAsia="Times New Roman" w:hint="default"/>
          <w:spacing w:val="-2"/>
        </w:rPr>
        <w:t>3,900</w:t>
      </w:r>
      <w:r>
        <w:rPr>
          <w:spacing w:val="-2"/>
        </w:rPr>
        <w:t>万元。经审计，千百辉</w:t>
      </w:r>
      <w:r>
        <w:rPr>
          <w:rFonts w:ascii="Times New Roman" w:hAnsi="Times New Roman" w:cs="Times New Roman" w:eastAsia="Times New Roman" w:hint="default"/>
          <w:spacing w:val="-2"/>
        </w:rPr>
        <w:t>2017</w:t>
      </w:r>
      <w:r>
        <w:rPr>
          <w:spacing w:val="-2"/>
        </w:rPr>
        <w:t>年度扣除非经常性损益后归属于母公司所有者股东的净</w:t>
      </w:r>
      <w:r>
        <w:rPr>
          <w:spacing w:val="-42"/>
        </w:rPr>
        <w:t> </w:t>
      </w:r>
      <w:r>
        <w:rPr/>
        <w:t>利润金额为</w:t>
      </w:r>
      <w:r>
        <w:rPr>
          <w:rFonts w:ascii="Times New Roman" w:hAnsi="Times New Roman" w:cs="Times New Roman" w:eastAsia="Times New Roman" w:hint="default"/>
        </w:rPr>
        <w:t>6,640.54</w:t>
      </w:r>
      <w:r>
        <w:rPr/>
        <w:t>万元。</w:t>
      </w:r>
    </w:p>
    <w:p>
      <w:pPr>
        <w:spacing w:line="240" w:lineRule="auto" w:before="5"/>
        <w:rPr>
          <w:rFonts w:ascii="宋体" w:hAnsi="宋体" w:cs="宋体" w:eastAsia="宋体" w:hint="default"/>
          <w:sz w:val="19"/>
          <w:szCs w:val="19"/>
        </w:rPr>
      </w:pPr>
    </w:p>
    <w:p>
      <w:pPr>
        <w:pStyle w:val="Heading2"/>
        <w:spacing w:line="240" w:lineRule="auto"/>
        <w:ind w:left="154" w:right="0"/>
        <w:jc w:val="left"/>
        <w:rPr>
          <w:b w:val="0"/>
          <w:bCs w:val="0"/>
        </w:rPr>
      </w:pPr>
      <w:bookmarkStart w:name="四、控股股东及其关联方对上市公司的非经营性占用资金情况" w:id="68"/>
      <w:bookmarkEnd w:id="68"/>
      <w:r>
        <w:rPr>
          <w:b w:val="0"/>
          <w:bCs w:val="0"/>
        </w:rPr>
      </w:r>
      <w:r>
        <w:rPr/>
        <w:t>四、控股股东及其关联方对上市公司的非经营性占用资金情况</w:t>
      </w:r>
      <w:r>
        <w:rPr>
          <w:b w:val="0"/>
          <w:bCs w:val="0"/>
        </w:rPr>
      </w:r>
    </w:p>
    <w:p>
      <w:pPr>
        <w:spacing w:line="240" w:lineRule="auto" w:before="8"/>
        <w:rPr>
          <w:rFonts w:ascii="宋体" w:hAnsi="宋体" w:cs="宋体" w:eastAsia="宋体" w:hint="default"/>
          <w:b/>
          <w:bCs/>
          <w:sz w:val="26"/>
          <w:szCs w:val="26"/>
        </w:rPr>
      </w:pPr>
    </w:p>
    <w:p>
      <w:pPr>
        <w:pStyle w:val="BodyText"/>
        <w:spacing w:line="340" w:lineRule="auto"/>
        <w:ind w:right="499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公司报告期不存在控股股东及其关联方对上市公司的非经营性占用资金。</w:t>
      </w:r>
    </w:p>
    <w:p>
      <w:pPr>
        <w:spacing w:line="240" w:lineRule="auto" w:before="3"/>
        <w:rPr>
          <w:rFonts w:ascii="宋体" w:hAnsi="宋体" w:cs="宋体" w:eastAsia="宋体" w:hint="default"/>
          <w:sz w:val="19"/>
          <w:szCs w:val="19"/>
        </w:rPr>
      </w:pPr>
    </w:p>
    <w:p>
      <w:pPr>
        <w:pStyle w:val="Heading2"/>
        <w:spacing w:line="240" w:lineRule="auto"/>
        <w:ind w:right="0"/>
        <w:jc w:val="left"/>
        <w:rPr>
          <w:b w:val="0"/>
          <w:bCs w:val="0"/>
        </w:rPr>
      </w:pPr>
      <w:bookmarkStart w:name="五、董事会、监事会、独立董事（如有）对会计师事务所本报告期“非标准审计报告”的说" w:id="69"/>
      <w:bookmarkEnd w:id="69"/>
      <w:r>
        <w:rPr>
          <w:b w:val="0"/>
          <w:bCs w:val="0"/>
        </w:rPr>
      </w:r>
      <w:r>
        <w:rPr/>
        <w:t>五、董事会、监事会、独立董事（如有）对会计师事务所本报告期</w:t>
      </w:r>
      <w:r>
        <w:rPr>
          <w:rFonts w:ascii="Times New Roman" w:hAnsi="Times New Roman" w:cs="Times New Roman" w:eastAsia="Times New Roman" w:hint="default"/>
        </w:rPr>
        <w:t>“</w:t>
      </w:r>
      <w:r>
        <w:rPr/>
        <w:t>非标准审计报告</w:t>
      </w:r>
      <w:r>
        <w:rPr>
          <w:rFonts w:ascii="Times New Roman" w:hAnsi="Times New Roman" w:cs="Times New Roman" w:eastAsia="Times New Roman" w:hint="default"/>
        </w:rPr>
        <w:t>”</w:t>
      </w:r>
      <w:r>
        <w:rPr/>
        <w:t>的说明</w:t>
      </w:r>
      <w:r>
        <w:rPr>
          <w:b w:val="0"/>
          <w:bCs w:val="0"/>
        </w:rPr>
      </w:r>
    </w:p>
    <w:p>
      <w:pPr>
        <w:spacing w:line="240" w:lineRule="auto" w:before="4"/>
        <w:rPr>
          <w:rFonts w:ascii="宋体" w:hAnsi="宋体" w:cs="宋体" w:eastAsia="宋体" w:hint="default"/>
          <w:b/>
          <w:bCs/>
          <w:sz w:val="25"/>
          <w:szCs w:val="25"/>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2"/>
        <w:rPr>
          <w:rFonts w:ascii="宋体" w:hAnsi="宋体" w:cs="宋体" w:eastAsia="宋体" w:hint="default"/>
          <w:sz w:val="23"/>
          <w:szCs w:val="23"/>
        </w:rPr>
      </w:pPr>
    </w:p>
    <w:p>
      <w:pPr>
        <w:pStyle w:val="Heading2"/>
        <w:spacing w:line="240" w:lineRule="auto"/>
        <w:ind w:right="0"/>
        <w:jc w:val="left"/>
        <w:rPr>
          <w:b w:val="0"/>
          <w:bCs w:val="0"/>
        </w:rPr>
      </w:pPr>
      <w:bookmarkStart w:name="六、与上年度财务报告相比，会计政策、会计估计和核算方法发生变化的情况说明" w:id="70"/>
      <w:bookmarkEnd w:id="70"/>
      <w:r>
        <w:rPr>
          <w:b w:val="0"/>
          <w:bCs w:val="0"/>
        </w:rPr>
      </w:r>
      <w:r>
        <w:rPr/>
        <w:t>六、与上年度财务报告相比，会计政策、会计估计和核算方法发生变化的情况说明</w:t>
      </w:r>
      <w:r>
        <w:rPr>
          <w:b w:val="0"/>
          <w:bCs w:val="0"/>
        </w:rPr>
      </w:r>
    </w:p>
    <w:p>
      <w:pPr>
        <w:spacing w:line="240" w:lineRule="auto" w:before="9"/>
        <w:rPr>
          <w:rFonts w:ascii="宋体" w:hAnsi="宋体" w:cs="宋体" w:eastAsia="宋体" w:hint="default"/>
          <w:b/>
          <w:bCs/>
          <w:sz w:val="26"/>
          <w:szCs w:val="26"/>
        </w:rPr>
      </w:pPr>
    </w:p>
    <w:p>
      <w:pPr>
        <w:pStyle w:val="BodyText"/>
        <w:spacing w:line="338" w:lineRule="auto"/>
        <w:ind w:left="513" w:right="1128" w:hanging="36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w:t>
      </w:r>
      <w:r>
        <w:rPr>
          <w:spacing w:val="-5"/>
        </w:rPr>
        <w:t>执行《企业会计准则第</w:t>
      </w:r>
      <w:r>
        <w:rPr>
          <w:rFonts w:ascii="Times New Roman" w:hAnsi="Times New Roman" w:cs="Times New Roman" w:eastAsia="Times New Roman" w:hint="default"/>
          <w:spacing w:val="-5"/>
        </w:rPr>
        <w:t>42</w:t>
      </w:r>
      <w:r>
        <w:rPr>
          <w:spacing w:val="-5"/>
        </w:rPr>
        <w:t>号</w:t>
      </w:r>
      <w:r>
        <w:rPr>
          <w:rFonts w:ascii="Times New Roman" w:hAnsi="Times New Roman" w:cs="Times New Roman" w:eastAsia="Times New Roman" w:hint="default"/>
          <w:spacing w:val="-5"/>
        </w:rPr>
        <w:t>——</w:t>
      </w:r>
      <w:r>
        <w:rPr>
          <w:spacing w:val="-5"/>
        </w:rPr>
        <w:t>持有待售的非流动资产、处置组和终止经营》、《企业会计准则第</w:t>
      </w:r>
      <w:r>
        <w:rPr>
          <w:rFonts w:ascii="Times New Roman" w:hAnsi="Times New Roman" w:cs="Times New Roman" w:eastAsia="Times New Roman" w:hint="default"/>
          <w:spacing w:val="-5"/>
        </w:rPr>
        <w:t>16</w:t>
      </w:r>
      <w:r>
        <w:rPr>
          <w:spacing w:val="-5"/>
        </w:rPr>
        <w:t>号</w:t>
      </w:r>
      <w:r>
        <w:rPr>
          <w:rFonts w:ascii="Times New Roman" w:hAnsi="Times New Roman" w:cs="Times New Roman" w:eastAsia="Times New Roman" w:hint="default"/>
          <w:spacing w:val="-5"/>
        </w:rPr>
        <w:t>——</w:t>
      </w:r>
      <w:r>
        <w:rPr>
          <w:spacing w:val="-5"/>
        </w:rPr>
        <w:t>政府补助》和</w:t>
      </w:r>
    </w:p>
    <w:p>
      <w:pPr>
        <w:pStyle w:val="BodyText"/>
        <w:spacing w:line="217" w:lineRule="exact"/>
        <w:ind w:right="0"/>
        <w:jc w:val="left"/>
      </w:pPr>
      <w:r>
        <w:rPr/>
        <w:t>《财政部关于修订印发一般企业财务报表格式的通知</w:t>
      </w:r>
      <w:r>
        <w:rPr>
          <w:spacing w:val="-90"/>
        </w:rPr>
        <w:t>》</w:t>
      </w:r>
      <w:r>
        <w:rPr/>
        <w:t>。</w:t>
      </w:r>
    </w:p>
    <w:p>
      <w:pPr>
        <w:pStyle w:val="BodyText"/>
        <w:spacing w:line="300" w:lineRule="auto" w:before="76"/>
        <w:ind w:right="1132" w:firstLine="360"/>
        <w:jc w:val="both"/>
      </w:pPr>
      <w:r>
        <w:rPr>
          <w:spacing w:val="-3"/>
        </w:rPr>
        <w:t>财政部于</w:t>
      </w:r>
      <w:r>
        <w:rPr>
          <w:rFonts w:ascii="Times New Roman" w:hAnsi="Times New Roman" w:cs="Times New Roman" w:eastAsia="Times New Roman" w:hint="default"/>
          <w:spacing w:val="-3"/>
        </w:rPr>
        <w:t>2017</w:t>
      </w:r>
      <w:r>
        <w:rPr>
          <w:spacing w:val="-3"/>
        </w:rPr>
        <w:t>年度发布了《企业会计准则第</w:t>
      </w:r>
      <w:r>
        <w:rPr>
          <w:rFonts w:ascii="Times New Roman" w:hAnsi="Times New Roman" w:cs="Times New Roman" w:eastAsia="Times New Roman" w:hint="default"/>
          <w:spacing w:val="-3"/>
        </w:rPr>
        <w:t>42</w:t>
      </w:r>
      <w:r>
        <w:rPr>
          <w:spacing w:val="-3"/>
        </w:rPr>
        <w:t>号</w:t>
      </w:r>
      <w:r>
        <w:rPr>
          <w:rFonts w:ascii="Times New Roman" w:hAnsi="Times New Roman" w:cs="Times New Roman" w:eastAsia="Times New Roman" w:hint="default"/>
          <w:spacing w:val="-3"/>
        </w:rPr>
        <w:t>——</w:t>
      </w:r>
      <w:r>
        <w:rPr>
          <w:spacing w:val="-3"/>
        </w:rPr>
        <w:t>持有待售的非流动资产、处置组和终止经营》，自</w:t>
      </w:r>
      <w:r>
        <w:rPr>
          <w:rFonts w:ascii="Times New Roman" w:hAnsi="Times New Roman" w:cs="Times New Roman" w:eastAsia="Times New Roman" w:hint="default"/>
          <w:spacing w:val="-3"/>
        </w:rPr>
        <w:t>2017</w:t>
      </w:r>
      <w:r>
        <w:rPr>
          <w:spacing w:val="-3"/>
        </w:rPr>
        <w:t>年</w:t>
      </w:r>
      <w:r>
        <w:rPr>
          <w:rFonts w:ascii="Times New Roman" w:hAnsi="Times New Roman" w:cs="Times New Roman" w:eastAsia="Times New Roman" w:hint="default"/>
          <w:spacing w:val="-3"/>
        </w:rPr>
        <w:t>5</w:t>
      </w:r>
      <w:r>
        <w:rPr>
          <w:spacing w:val="-3"/>
        </w:rPr>
        <w:t>月</w:t>
      </w:r>
      <w:r>
        <w:rPr>
          <w:rFonts w:ascii="Times New Roman" w:hAnsi="Times New Roman" w:cs="Times New Roman" w:eastAsia="Times New Roman" w:hint="default"/>
          <w:spacing w:val="-3"/>
        </w:rPr>
        <w:t>28</w:t>
      </w:r>
      <w:r>
        <w:rPr>
          <w:spacing w:val="-3"/>
        </w:rPr>
        <w:t>日起</w:t>
      </w:r>
      <w:r>
        <w:rPr/>
        <w:t> 施行，对于施行日存在的持有待售的非流动资产、处置组和终止经营，要求采用未来适用法处理。</w:t>
      </w:r>
    </w:p>
    <w:p>
      <w:pPr>
        <w:pStyle w:val="BodyText"/>
        <w:spacing w:line="300" w:lineRule="auto" w:before="31"/>
        <w:ind w:right="1139" w:firstLine="360"/>
        <w:jc w:val="both"/>
      </w:pPr>
      <w:r>
        <w:rPr>
          <w:spacing w:val="-2"/>
        </w:rPr>
        <w:t>财政部于</w:t>
      </w:r>
      <w:r>
        <w:rPr>
          <w:rFonts w:ascii="Times New Roman" w:hAnsi="Times New Roman" w:cs="Times New Roman" w:eastAsia="Times New Roman" w:hint="default"/>
          <w:spacing w:val="-2"/>
        </w:rPr>
        <w:t>2017</w:t>
      </w:r>
      <w:r>
        <w:rPr>
          <w:spacing w:val="-2"/>
        </w:rPr>
        <w:t>年度修订了《企业会计准则第</w:t>
      </w:r>
      <w:r>
        <w:rPr>
          <w:rFonts w:ascii="Times New Roman" w:hAnsi="Times New Roman" w:cs="Times New Roman" w:eastAsia="Times New Roman" w:hint="default"/>
          <w:spacing w:val="-2"/>
        </w:rPr>
        <w:t>16</w:t>
      </w:r>
      <w:r>
        <w:rPr>
          <w:spacing w:val="-2"/>
        </w:rPr>
        <w:t>号</w:t>
      </w:r>
      <w:r>
        <w:rPr>
          <w:rFonts w:ascii="Times New Roman" w:hAnsi="Times New Roman" w:cs="Times New Roman" w:eastAsia="Times New Roman" w:hint="default"/>
          <w:spacing w:val="-2"/>
        </w:rPr>
        <w:t>——</w:t>
      </w:r>
      <w:r>
        <w:rPr>
          <w:spacing w:val="-2"/>
        </w:rPr>
        <w:t>政府补助》，修订后的准则自</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6</w:t>
      </w:r>
      <w:r>
        <w:rPr>
          <w:spacing w:val="-2"/>
        </w:rPr>
        <w:t>月</w:t>
      </w:r>
      <w:r>
        <w:rPr>
          <w:rFonts w:ascii="Times New Roman" w:hAnsi="Times New Roman" w:cs="Times New Roman" w:eastAsia="Times New Roman" w:hint="default"/>
          <w:spacing w:val="-2"/>
        </w:rPr>
        <w:t>12</w:t>
      </w:r>
      <w:r>
        <w:rPr>
          <w:spacing w:val="-2"/>
        </w:rPr>
        <w:t>日起施行，对于</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1</w:t>
      </w:r>
      <w:r>
        <w:rPr>
          <w:rFonts w:ascii="Times New Roman" w:hAnsi="Times New Roman" w:cs="Times New Roman" w:eastAsia="Times New Roman" w:hint="default"/>
        </w:rPr>
        <w:t> </w:t>
      </w:r>
      <w:r>
        <w:rPr/>
        <w:t>月</w:t>
      </w:r>
      <w:r>
        <w:rPr>
          <w:rFonts w:ascii="Times New Roman" w:hAnsi="Times New Roman" w:cs="Times New Roman" w:eastAsia="Times New Roman" w:hint="default"/>
        </w:rPr>
        <w:t>1</w:t>
      </w:r>
      <w:r>
        <w:rPr/>
        <w:t>日存在的政府补助，要求采用未来适用法处理；对于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w:t>
      </w:r>
      <w:r>
        <w:rPr/>
        <w:t>日至施行日新增的政府补助，也要求按照修订后的准则 进行调整。</w:t>
      </w:r>
    </w:p>
    <w:p>
      <w:pPr>
        <w:pStyle w:val="BodyText"/>
        <w:spacing w:line="300" w:lineRule="auto" w:before="32"/>
        <w:ind w:left="154" w:right="1132" w:firstLine="360"/>
        <w:jc w:val="both"/>
      </w:pPr>
      <w:r>
        <w:rPr>
          <w:spacing w:val="-5"/>
        </w:rPr>
        <w:t>财政部于</w:t>
      </w:r>
      <w:r>
        <w:rPr>
          <w:rFonts w:ascii="Times New Roman" w:hAnsi="Times New Roman" w:cs="Times New Roman" w:eastAsia="Times New Roman" w:hint="default"/>
          <w:spacing w:val="-5"/>
        </w:rPr>
        <w:t>2017</w:t>
      </w:r>
      <w:r>
        <w:rPr>
          <w:spacing w:val="-5"/>
        </w:rPr>
        <w:t>年度发布了《财政部关于修订印发一般企业财务报表格式的通知》，对一般企业财务报表格式进行了修订，</w:t>
      </w:r>
      <w:r>
        <w:rPr/>
        <w:t> 适用于</w:t>
      </w:r>
      <w:r>
        <w:rPr>
          <w:rFonts w:ascii="Times New Roman" w:hAnsi="Times New Roman" w:cs="Times New Roman" w:eastAsia="Times New Roman" w:hint="default"/>
        </w:rPr>
        <w:t>2017</w:t>
      </w:r>
      <w:r>
        <w:rPr/>
        <w:t>年度及以后期间的财务报表。</w:t>
      </w:r>
    </w:p>
    <w:p>
      <w:pPr>
        <w:pStyle w:val="BodyText"/>
        <w:spacing w:line="240" w:lineRule="auto" w:before="13"/>
        <w:ind w:left="513" w:right="0"/>
        <w:jc w:val="left"/>
      </w:pPr>
      <w:r>
        <w:rPr/>
        <w:t>本公司执行上述三项规定的主要影响如下：</w:t>
      </w:r>
    </w:p>
    <w:p>
      <w:pPr>
        <w:spacing w:line="240" w:lineRule="auto" w:before="0"/>
        <w:rPr>
          <w:rFonts w:ascii="宋体" w:hAnsi="宋体" w:cs="宋体" w:eastAsia="宋体" w:hint="default"/>
          <w:sz w:val="5"/>
          <w:szCs w:val="5"/>
        </w:rPr>
      </w:pPr>
    </w:p>
    <w:tbl>
      <w:tblPr>
        <w:tblW w:w="0" w:type="auto"/>
        <w:jc w:val="left"/>
        <w:tblInd w:w="683" w:type="dxa"/>
        <w:tblLayout w:type="fixed"/>
        <w:tblCellMar>
          <w:top w:w="0" w:type="dxa"/>
          <w:left w:w="0" w:type="dxa"/>
          <w:bottom w:w="0" w:type="dxa"/>
          <w:right w:w="0" w:type="dxa"/>
        </w:tblCellMar>
        <w:tblLook w:val="01E0"/>
      </w:tblPr>
      <w:tblGrid>
        <w:gridCol w:w="4262"/>
        <w:gridCol w:w="4260"/>
      </w:tblGrid>
      <w:tr>
        <w:trPr>
          <w:trHeight w:val="348" w:hRule="exact"/>
        </w:trPr>
        <w:tc>
          <w:tcPr>
            <w:tcW w:w="42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042" w:right="0"/>
              <w:jc w:val="left"/>
              <w:rPr>
                <w:rFonts w:ascii="宋体" w:hAnsi="宋体" w:cs="宋体" w:eastAsia="宋体" w:hint="default"/>
                <w:sz w:val="18"/>
                <w:szCs w:val="18"/>
              </w:rPr>
            </w:pPr>
            <w:r>
              <w:rPr>
                <w:rFonts w:ascii="宋体" w:hAnsi="宋体" w:cs="宋体" w:eastAsia="宋体" w:hint="default"/>
                <w:sz w:val="18"/>
                <w:szCs w:val="18"/>
              </w:rPr>
              <w:t>会计政策变更的内容和原因</w:t>
            </w:r>
          </w:p>
        </w:tc>
        <w:tc>
          <w:tcPr>
            <w:tcW w:w="4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952" w:right="0"/>
              <w:jc w:val="left"/>
              <w:rPr>
                <w:rFonts w:ascii="宋体" w:hAnsi="宋体" w:cs="宋体" w:eastAsia="宋体" w:hint="default"/>
                <w:sz w:val="18"/>
                <w:szCs w:val="18"/>
              </w:rPr>
            </w:pPr>
            <w:r>
              <w:rPr>
                <w:rFonts w:ascii="宋体" w:hAnsi="宋体" w:cs="宋体" w:eastAsia="宋体" w:hint="default"/>
                <w:sz w:val="18"/>
                <w:szCs w:val="18"/>
              </w:rPr>
              <w:t>受影响的报表项目名称和金额</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683" w:type="dxa"/>
        <w:tblLayout w:type="fixed"/>
        <w:tblCellMar>
          <w:top w:w="0" w:type="dxa"/>
          <w:left w:w="0" w:type="dxa"/>
          <w:bottom w:w="0" w:type="dxa"/>
          <w:right w:w="0" w:type="dxa"/>
        </w:tblCellMar>
        <w:tblLook w:val="01E0"/>
      </w:tblPr>
      <w:tblGrid>
        <w:gridCol w:w="4262"/>
        <w:gridCol w:w="4260"/>
      </w:tblGrid>
      <w:tr>
        <w:trPr>
          <w:trHeight w:val="659" w:hRule="exact"/>
        </w:trPr>
        <w:tc>
          <w:tcPr>
            <w:tcW w:w="4262"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1"/>
              <w:ind w:left="2" w:right="1"/>
              <w:jc w:val="left"/>
              <w:rPr>
                <w:rFonts w:ascii="宋体" w:hAnsi="宋体" w:cs="宋体" w:eastAsia="宋体" w:hint="default"/>
                <w:sz w:val="18"/>
                <w:szCs w:val="18"/>
              </w:rPr>
            </w:pP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）在利润表中分别列示</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持续经营净利润</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和</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终止经</w:t>
            </w:r>
            <w:r>
              <w:rPr>
                <w:rFonts w:ascii="宋体" w:hAnsi="宋体" w:cs="宋体" w:eastAsia="宋体" w:hint="default"/>
                <w:sz w:val="18"/>
                <w:szCs w:val="18"/>
              </w:rPr>
              <w:t> 营净利润</w:t>
            </w:r>
            <w:r>
              <w:rPr>
                <w:rFonts w:ascii="Times New Roman" w:hAnsi="Times New Roman" w:cs="Times New Roman" w:eastAsia="Times New Roman" w:hint="default"/>
                <w:sz w:val="18"/>
                <w:szCs w:val="18"/>
              </w:rPr>
              <w:t>”</w:t>
            </w:r>
            <w:r>
              <w:rPr>
                <w:rFonts w:ascii="宋体" w:hAnsi="宋体" w:cs="宋体" w:eastAsia="宋体" w:hint="default"/>
                <w:sz w:val="18"/>
                <w:szCs w:val="18"/>
              </w:rPr>
              <w:t>。比较数据相应调整。</w:t>
            </w:r>
          </w:p>
        </w:tc>
        <w:tc>
          <w:tcPr>
            <w:tcW w:w="4260"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1"/>
              <w:ind w:left="2" w:right="-1"/>
              <w:jc w:val="left"/>
              <w:rPr>
                <w:rFonts w:ascii="宋体" w:hAnsi="宋体" w:cs="宋体" w:eastAsia="宋体" w:hint="default"/>
                <w:sz w:val="18"/>
                <w:szCs w:val="18"/>
              </w:rPr>
            </w:pPr>
            <w:r>
              <w:rPr>
                <w:rFonts w:ascii="宋体" w:hAnsi="宋体" w:cs="宋体" w:eastAsia="宋体" w:hint="default"/>
                <w:sz w:val="18"/>
                <w:szCs w:val="18"/>
              </w:rPr>
              <w:t>列示持续经营净利润本年金额</w:t>
            </w:r>
            <w:r>
              <w:rPr>
                <w:rFonts w:ascii="Times New Roman" w:hAnsi="Times New Roman" w:cs="Times New Roman" w:eastAsia="Times New Roman" w:hint="default"/>
                <w:sz w:val="18"/>
                <w:szCs w:val="18"/>
              </w:rPr>
              <w:t>131,379,110.32</w:t>
            </w:r>
            <w:r>
              <w:rPr>
                <w:rFonts w:ascii="宋体" w:hAnsi="宋体" w:cs="宋体" w:eastAsia="宋体" w:hint="default"/>
                <w:sz w:val="18"/>
                <w:szCs w:val="18"/>
              </w:rPr>
              <w:t>元；列示</w:t>
            </w:r>
            <w:r>
              <w:rPr>
                <w:rFonts w:ascii="宋体" w:hAnsi="宋体" w:cs="宋体" w:eastAsia="宋体" w:hint="default"/>
                <w:spacing w:val="-45"/>
                <w:sz w:val="18"/>
                <w:szCs w:val="18"/>
              </w:rPr>
              <w:t> </w:t>
            </w:r>
            <w:r>
              <w:rPr>
                <w:rFonts w:ascii="宋体" w:hAnsi="宋体" w:cs="宋体" w:eastAsia="宋体" w:hint="default"/>
                <w:sz w:val="18"/>
                <w:szCs w:val="18"/>
              </w:rPr>
              <w:t>终止经营净利润本年金额</w:t>
            </w:r>
            <w:r>
              <w:rPr>
                <w:rFonts w:ascii="Times New Roman" w:hAnsi="Times New Roman" w:cs="Times New Roman" w:eastAsia="Times New Roman" w:hint="default"/>
                <w:sz w:val="18"/>
                <w:szCs w:val="18"/>
              </w:rPr>
              <w:t>0.00</w:t>
            </w:r>
            <w:r>
              <w:rPr>
                <w:rFonts w:ascii="宋体" w:hAnsi="宋体" w:cs="宋体" w:eastAsia="宋体" w:hint="default"/>
                <w:sz w:val="18"/>
                <w:szCs w:val="18"/>
              </w:rPr>
              <w:t>元。</w:t>
            </w:r>
          </w:p>
        </w:tc>
      </w:tr>
      <w:tr>
        <w:trPr>
          <w:trHeight w:val="660" w:hRule="exact"/>
        </w:trPr>
        <w:tc>
          <w:tcPr>
            <w:tcW w:w="4262"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1"/>
              <w:ind w:left="2" w:right="4"/>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）与本公司日常活动相关的政府补助，计入其他收</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益，不再计入营业外收入。比较数据不调整。</w:t>
            </w:r>
          </w:p>
        </w:tc>
        <w:tc>
          <w:tcPr>
            <w:tcW w:w="4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列示其他收益本年金额：</w:t>
            </w:r>
            <w:r>
              <w:rPr>
                <w:rFonts w:ascii="Times New Roman" w:hAnsi="Times New Roman" w:cs="Times New Roman" w:eastAsia="Times New Roman" w:hint="default"/>
                <w:sz w:val="18"/>
                <w:szCs w:val="18"/>
              </w:rPr>
              <w:t>18,399,376.58</w:t>
            </w:r>
            <w:r>
              <w:rPr>
                <w:rFonts w:ascii="宋体" w:hAnsi="宋体" w:cs="宋体" w:eastAsia="宋体" w:hint="default"/>
                <w:sz w:val="18"/>
                <w:szCs w:val="18"/>
              </w:rPr>
              <w:t>元</w:t>
            </w:r>
          </w:p>
        </w:tc>
      </w:tr>
    </w:tbl>
    <w:p>
      <w:pPr>
        <w:spacing w:line="240" w:lineRule="auto" w:before="2"/>
        <w:rPr>
          <w:rFonts w:ascii="宋体" w:hAnsi="宋体" w:cs="宋体" w:eastAsia="宋体" w:hint="default"/>
          <w:sz w:val="18"/>
          <w:szCs w:val="18"/>
        </w:rPr>
      </w:pPr>
    </w:p>
    <w:p>
      <w:pPr>
        <w:pStyle w:val="Heading2"/>
        <w:spacing w:line="240" w:lineRule="auto" w:before="26"/>
        <w:ind w:left="154" w:right="0"/>
        <w:jc w:val="left"/>
        <w:rPr>
          <w:b w:val="0"/>
          <w:bCs w:val="0"/>
        </w:rPr>
      </w:pPr>
      <w:bookmarkStart w:name="七、报告期内发生重大会计差错更正需追溯重述的情况说明" w:id="71"/>
      <w:bookmarkEnd w:id="71"/>
      <w:r>
        <w:rPr>
          <w:b w:val="0"/>
          <w:bCs w:val="0"/>
        </w:rPr>
      </w:r>
      <w:r>
        <w:rPr/>
        <w:t>七、报告期内发生重大会计差错更正需追溯重述的情况说明</w:t>
      </w:r>
      <w:r>
        <w:rPr>
          <w:b w:val="0"/>
          <w:bCs w:val="0"/>
        </w:rPr>
      </w:r>
    </w:p>
    <w:p>
      <w:pPr>
        <w:spacing w:line="240" w:lineRule="auto" w:before="7"/>
        <w:rPr>
          <w:rFonts w:ascii="宋体" w:hAnsi="宋体" w:cs="宋体" w:eastAsia="宋体" w:hint="default"/>
          <w:b/>
          <w:bCs/>
          <w:sz w:val="26"/>
          <w:szCs w:val="26"/>
        </w:rPr>
      </w:pPr>
    </w:p>
    <w:p>
      <w:pPr>
        <w:pStyle w:val="BodyText"/>
        <w:spacing w:line="338" w:lineRule="auto"/>
        <w:ind w:right="661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公司报告期无重大会计差错更正需追溯重述的情况。</w:t>
      </w:r>
    </w:p>
    <w:p>
      <w:pPr>
        <w:spacing w:line="240" w:lineRule="auto" w:before="6"/>
        <w:rPr>
          <w:rFonts w:ascii="宋体" w:hAnsi="宋体" w:cs="宋体" w:eastAsia="宋体" w:hint="default"/>
          <w:sz w:val="19"/>
          <w:szCs w:val="19"/>
        </w:rPr>
      </w:pPr>
    </w:p>
    <w:p>
      <w:pPr>
        <w:pStyle w:val="Heading2"/>
        <w:spacing w:line="240" w:lineRule="auto"/>
        <w:ind w:left="154" w:right="0"/>
        <w:jc w:val="left"/>
        <w:rPr>
          <w:b w:val="0"/>
          <w:bCs w:val="0"/>
        </w:rPr>
      </w:pPr>
      <w:bookmarkStart w:name="八、与上年度财务报告相比，合并报表范围发生变化的情况说明" w:id="72"/>
      <w:bookmarkEnd w:id="72"/>
      <w:r>
        <w:rPr>
          <w:b w:val="0"/>
          <w:bCs w:val="0"/>
        </w:rPr>
      </w:r>
      <w:r>
        <w:rPr/>
        <w:t>八、与上年度财务报告相比，合并报表范围发生变化的情况说明</w:t>
      </w:r>
      <w:r>
        <w:rPr>
          <w:b w:val="0"/>
          <w:bCs w:val="0"/>
        </w:rPr>
      </w:r>
    </w:p>
    <w:p>
      <w:pPr>
        <w:spacing w:line="240" w:lineRule="auto" w:before="7"/>
        <w:rPr>
          <w:rFonts w:ascii="宋体" w:hAnsi="宋体" w:cs="宋体" w:eastAsia="宋体" w:hint="default"/>
          <w:b/>
          <w:bCs/>
          <w:sz w:val="26"/>
          <w:szCs w:val="26"/>
        </w:rPr>
      </w:pPr>
    </w:p>
    <w:p>
      <w:pPr>
        <w:pStyle w:val="BodyText"/>
        <w:spacing w:line="338" w:lineRule="auto"/>
        <w:ind w:right="535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报告期内，合并范围新增子公司深圳市奥拓立翔光电科技有限公司。</w:t>
      </w:r>
    </w:p>
    <w:p>
      <w:pPr>
        <w:spacing w:line="240" w:lineRule="auto" w:before="7"/>
        <w:rPr>
          <w:rFonts w:ascii="宋体" w:hAnsi="宋体" w:cs="宋体" w:eastAsia="宋体" w:hint="default"/>
          <w:sz w:val="19"/>
          <w:szCs w:val="19"/>
        </w:rPr>
      </w:pPr>
    </w:p>
    <w:p>
      <w:pPr>
        <w:pStyle w:val="Heading2"/>
        <w:spacing w:line="240" w:lineRule="auto"/>
        <w:ind w:right="0"/>
        <w:jc w:val="left"/>
        <w:rPr>
          <w:b w:val="0"/>
          <w:bCs w:val="0"/>
        </w:rPr>
      </w:pPr>
      <w:bookmarkStart w:name="九、聘任、解聘会计师事务所情况" w:id="73"/>
      <w:bookmarkEnd w:id="73"/>
      <w:r>
        <w:rPr>
          <w:b w:val="0"/>
          <w:bCs w:val="0"/>
        </w:rPr>
      </w:r>
      <w:r>
        <w:rPr/>
        <w:t>九、聘任、解聘会计师事务所情况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现聘任的会计师事务所</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4792"/>
        <w:gridCol w:w="4777"/>
      </w:tblGrid>
      <w:tr>
        <w:trPr>
          <w:trHeight w:val="402" w:hRule="exact"/>
        </w:trPr>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境内会计师事务所名称</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hAnsi="宋体" w:cs="宋体" w:eastAsia="宋体" w:hint="default"/>
                <w:sz w:val="18"/>
                <w:szCs w:val="18"/>
              </w:rPr>
              <w:t>瑞华会计师事务所（特殊普通合伙）</w:t>
            </w:r>
          </w:p>
        </w:tc>
      </w:tr>
      <w:tr>
        <w:trPr>
          <w:trHeight w:val="402" w:hRule="exact"/>
        </w:trPr>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境内会计师事务所报酬（万元）</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55</w:t>
            </w:r>
          </w:p>
        </w:tc>
      </w:tr>
      <w:tr>
        <w:trPr>
          <w:trHeight w:val="402" w:hRule="exact"/>
        </w:trPr>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境内会计师事务所审计服务的连续年限</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w:t>
            </w:r>
          </w:p>
        </w:tc>
      </w:tr>
      <w:tr>
        <w:trPr>
          <w:trHeight w:val="402" w:hRule="exact"/>
        </w:trPr>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境内会计师事务所注册会计师姓名</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hAnsi="宋体" w:cs="宋体" w:eastAsia="宋体" w:hint="default"/>
                <w:sz w:val="18"/>
                <w:szCs w:val="18"/>
              </w:rPr>
              <w:t>刘仁芝、张丽</w:t>
            </w:r>
          </w:p>
        </w:tc>
      </w:tr>
      <w:tr>
        <w:trPr>
          <w:trHeight w:val="402" w:hRule="exact"/>
        </w:trPr>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境内会计师事务所注册会计师审计服务的连续年限</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w:t>
            </w:r>
          </w:p>
        </w:tc>
      </w:tr>
    </w:tbl>
    <w:p>
      <w:pPr>
        <w:pStyle w:val="BodyText"/>
        <w:spacing w:line="240" w:lineRule="auto" w:before="51"/>
        <w:ind w:left="154" w:right="0"/>
        <w:jc w:val="left"/>
      </w:pPr>
      <w:r>
        <w:rPr/>
        <w:t>当期是否改聘会计师事务所</w:t>
      </w:r>
    </w:p>
    <w:p>
      <w:pPr>
        <w:pStyle w:val="BodyText"/>
        <w:spacing w:line="338" w:lineRule="auto" w:before="117"/>
        <w:ind w:right="6253"/>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否 聘请内部控制审计会计师事务所、财务顾问或保荐人情况</w:t>
      </w:r>
    </w:p>
    <w:p>
      <w:pPr>
        <w:pStyle w:val="BodyText"/>
        <w:spacing w:line="338" w:lineRule="auto" w:before="43"/>
        <w:ind w:right="220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本年度，公司因重大资产重组事项，聘请广发证券股份有限公司为财务顾问，期间共支付中介费用</w:t>
      </w:r>
      <w:r>
        <w:rPr>
          <w:rFonts w:ascii="Times New Roman" w:hAnsi="Times New Roman" w:cs="Times New Roman" w:eastAsia="Times New Roman" w:hint="default"/>
        </w:rPr>
        <w:t>650</w:t>
      </w:r>
      <w:r>
        <w:rPr/>
        <w:t>万元。</w:t>
      </w:r>
    </w:p>
    <w:p>
      <w:pPr>
        <w:spacing w:line="240" w:lineRule="auto" w:before="11"/>
        <w:rPr>
          <w:rFonts w:ascii="宋体" w:hAnsi="宋体" w:cs="宋体" w:eastAsia="宋体" w:hint="default"/>
          <w:sz w:val="17"/>
          <w:szCs w:val="17"/>
        </w:rPr>
      </w:pPr>
    </w:p>
    <w:p>
      <w:pPr>
        <w:pStyle w:val="Heading2"/>
        <w:spacing w:line="240" w:lineRule="auto"/>
        <w:ind w:right="0"/>
        <w:jc w:val="left"/>
        <w:rPr>
          <w:b w:val="0"/>
          <w:bCs w:val="0"/>
        </w:rPr>
      </w:pPr>
      <w:bookmarkStart w:name="十、年度报告披露后面临暂停上市和终止上市情况" w:id="74"/>
      <w:bookmarkEnd w:id="74"/>
      <w:r>
        <w:rPr>
          <w:b w:val="0"/>
          <w:bCs w:val="0"/>
        </w:rPr>
      </w:r>
      <w:r>
        <w:rPr/>
        <w:t>十、年度报告披露后面临暂停上市和终止上市情况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2"/>
        <w:rPr>
          <w:rFonts w:ascii="宋体" w:hAnsi="宋体" w:cs="宋体" w:eastAsia="宋体" w:hint="default"/>
          <w:sz w:val="23"/>
          <w:szCs w:val="23"/>
        </w:rPr>
      </w:pPr>
    </w:p>
    <w:p>
      <w:pPr>
        <w:pStyle w:val="Heading2"/>
        <w:spacing w:line="240" w:lineRule="auto"/>
        <w:ind w:right="0"/>
        <w:jc w:val="left"/>
        <w:rPr>
          <w:b w:val="0"/>
          <w:bCs w:val="0"/>
        </w:rPr>
      </w:pPr>
      <w:bookmarkStart w:name="十一、破产重整相关事项" w:id="75"/>
      <w:bookmarkEnd w:id="75"/>
      <w:r>
        <w:rPr>
          <w:b w:val="0"/>
          <w:bCs w:val="0"/>
        </w:rPr>
      </w:r>
      <w:r>
        <w:rPr/>
        <w:t>十一、破产重整相关事项</w:t>
      </w:r>
      <w:r>
        <w:rPr>
          <w:b w:val="0"/>
          <w:bCs w:val="0"/>
        </w:rPr>
      </w:r>
    </w:p>
    <w:p>
      <w:pPr>
        <w:spacing w:line="240" w:lineRule="auto" w:before="9"/>
        <w:rPr>
          <w:rFonts w:ascii="宋体" w:hAnsi="宋体" w:cs="宋体" w:eastAsia="宋体" w:hint="default"/>
          <w:b/>
          <w:bCs/>
          <w:sz w:val="26"/>
          <w:szCs w:val="26"/>
        </w:rPr>
      </w:pPr>
    </w:p>
    <w:p>
      <w:pPr>
        <w:pStyle w:val="BodyText"/>
        <w:spacing w:line="340" w:lineRule="auto"/>
        <w:ind w:right="769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公司报告期未发生破产重整相关事项。</w:t>
      </w:r>
    </w:p>
    <w:p>
      <w:pPr>
        <w:spacing w:line="240" w:lineRule="auto" w:before="3"/>
        <w:rPr>
          <w:rFonts w:ascii="宋体" w:hAnsi="宋体" w:cs="宋体" w:eastAsia="宋体" w:hint="default"/>
          <w:sz w:val="19"/>
          <w:szCs w:val="19"/>
        </w:rPr>
      </w:pPr>
    </w:p>
    <w:p>
      <w:pPr>
        <w:pStyle w:val="Heading2"/>
        <w:spacing w:line="240" w:lineRule="auto"/>
        <w:ind w:right="0"/>
        <w:jc w:val="left"/>
        <w:rPr>
          <w:b w:val="0"/>
          <w:bCs w:val="0"/>
        </w:rPr>
      </w:pPr>
      <w:bookmarkStart w:name="十二、重大诉讼、仲裁事项" w:id="76"/>
      <w:bookmarkEnd w:id="76"/>
      <w:r>
        <w:rPr>
          <w:b w:val="0"/>
          <w:bCs w:val="0"/>
        </w:rPr>
      </w:r>
      <w:r>
        <w:rPr/>
        <w:t>十二、重大诉讼、仲裁事项</w:t>
      </w:r>
      <w:r>
        <w:rPr>
          <w:b w:val="0"/>
          <w:bCs w:val="0"/>
        </w:rPr>
      </w:r>
    </w:p>
    <w:p>
      <w:pPr>
        <w:spacing w:line="240" w:lineRule="auto" w:before="9"/>
        <w:rPr>
          <w:rFonts w:ascii="宋体" w:hAnsi="宋体" w:cs="宋体" w:eastAsia="宋体" w:hint="default"/>
          <w:b/>
          <w:bCs/>
          <w:sz w:val="26"/>
          <w:szCs w:val="26"/>
        </w:rPr>
      </w:pPr>
    </w:p>
    <w:p>
      <w:pPr>
        <w:pStyle w:val="BodyText"/>
        <w:spacing w:line="338" w:lineRule="auto"/>
        <w:ind w:right="769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本报告期公司无重大诉讼、仲裁事项。</w:t>
      </w:r>
    </w:p>
    <w:p>
      <w:pPr>
        <w:spacing w:after="0" w:line="338" w:lineRule="auto"/>
        <w:jc w:val="left"/>
        <w:sectPr>
          <w:pgSz w:w="11910" w:h="16840"/>
          <w:pgMar w:header="747" w:footer="979" w:top="1060" w:bottom="116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0"/>
        <w:jc w:val="left"/>
        <w:rPr>
          <w:b w:val="0"/>
          <w:bCs w:val="0"/>
        </w:rPr>
      </w:pPr>
      <w:bookmarkStart w:name="十三、处罚及整改情况" w:id="77"/>
      <w:bookmarkEnd w:id="77"/>
      <w:r>
        <w:rPr>
          <w:b w:val="0"/>
          <w:bCs w:val="0"/>
        </w:rPr>
      </w:r>
      <w:r>
        <w:rPr/>
        <w:t>十三、处罚及整改情况</w:t>
      </w:r>
      <w:r>
        <w:rPr>
          <w:b w:val="0"/>
          <w:bCs w:val="0"/>
        </w:rPr>
      </w:r>
    </w:p>
    <w:p>
      <w:pPr>
        <w:spacing w:line="240" w:lineRule="auto" w:before="9"/>
        <w:rPr>
          <w:rFonts w:ascii="宋体" w:hAnsi="宋体" w:cs="宋体" w:eastAsia="宋体" w:hint="default"/>
          <w:b/>
          <w:bCs/>
          <w:sz w:val="26"/>
          <w:szCs w:val="26"/>
        </w:rPr>
      </w:pPr>
    </w:p>
    <w:p>
      <w:pPr>
        <w:pStyle w:val="BodyText"/>
        <w:spacing w:line="338" w:lineRule="auto"/>
        <w:ind w:right="787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公司报告期不存在处罚及整改情况。</w:t>
      </w:r>
    </w:p>
    <w:p>
      <w:pPr>
        <w:spacing w:line="240" w:lineRule="auto" w:before="6"/>
        <w:rPr>
          <w:rFonts w:ascii="宋体" w:hAnsi="宋体" w:cs="宋体" w:eastAsia="宋体" w:hint="default"/>
          <w:sz w:val="19"/>
          <w:szCs w:val="19"/>
        </w:rPr>
      </w:pPr>
    </w:p>
    <w:p>
      <w:pPr>
        <w:pStyle w:val="Heading2"/>
        <w:spacing w:line="240" w:lineRule="auto"/>
        <w:ind w:right="0"/>
        <w:jc w:val="left"/>
        <w:rPr>
          <w:b w:val="0"/>
          <w:bCs w:val="0"/>
        </w:rPr>
      </w:pPr>
      <w:bookmarkStart w:name="十四、公司及其控股股东、实际控制人的诚信状况" w:id="78"/>
      <w:bookmarkEnd w:id="78"/>
      <w:r>
        <w:rPr>
          <w:b w:val="0"/>
          <w:bCs w:val="0"/>
        </w:rPr>
      </w:r>
      <w:r>
        <w:rPr/>
        <w:t>十四、公司及其控股股东、实际控制人的诚信状况</w:t>
      </w:r>
      <w:r>
        <w:rPr>
          <w:b w:val="0"/>
          <w:bCs w:val="0"/>
        </w:rPr>
      </w:r>
    </w:p>
    <w:p>
      <w:pPr>
        <w:spacing w:line="240" w:lineRule="auto" w:before="7"/>
        <w:rPr>
          <w:rFonts w:ascii="宋体" w:hAnsi="宋体" w:cs="宋体" w:eastAsia="宋体" w:hint="default"/>
          <w:b/>
          <w:bCs/>
          <w:sz w:val="26"/>
          <w:szCs w:val="26"/>
        </w:rPr>
      </w:pPr>
    </w:p>
    <w:p>
      <w:pPr>
        <w:pStyle w:val="BodyText"/>
        <w:spacing w:line="338" w:lineRule="auto"/>
        <w:ind w:right="175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报告期内，公司及其控股股东、实际控制人不存在未履行法院生效判决、所负数额较大的债务到期未清偿等情况。</w:t>
      </w:r>
    </w:p>
    <w:p>
      <w:pPr>
        <w:spacing w:line="240" w:lineRule="auto" w:before="7"/>
        <w:rPr>
          <w:rFonts w:ascii="宋体" w:hAnsi="宋体" w:cs="宋体" w:eastAsia="宋体" w:hint="default"/>
          <w:sz w:val="19"/>
          <w:szCs w:val="19"/>
        </w:rPr>
      </w:pPr>
    </w:p>
    <w:p>
      <w:pPr>
        <w:pStyle w:val="Heading2"/>
        <w:spacing w:line="240" w:lineRule="auto"/>
        <w:ind w:right="0"/>
        <w:jc w:val="left"/>
        <w:rPr>
          <w:b w:val="0"/>
          <w:bCs w:val="0"/>
        </w:rPr>
      </w:pPr>
      <w:bookmarkStart w:name="十五、公司股权激励计划、员工持股计划或其他员工激励措施的实施情况" w:id="79"/>
      <w:bookmarkEnd w:id="79"/>
      <w:r>
        <w:rPr>
          <w:b w:val="0"/>
          <w:bCs w:val="0"/>
        </w:rPr>
      </w:r>
      <w:r>
        <w:rPr/>
        <w:t>十五、公司股权激励计划、员工持股计划或其他员工激励措施的实施情况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240" w:lineRule="auto" w:before="101"/>
        <w:ind w:left="513" w:right="0"/>
        <w:jc w:val="left"/>
      </w:pPr>
      <w:r>
        <w:rPr>
          <w:rFonts w:ascii="Times New Roman" w:hAnsi="Times New Roman" w:cs="Times New Roman" w:eastAsia="Times New Roman" w:hint="default"/>
        </w:rPr>
        <w:t>1</w:t>
      </w:r>
      <w:r>
        <w:rPr/>
        <w:t>、报告期内，公司完成</w:t>
      </w:r>
      <w:r>
        <w:rPr>
          <w:rFonts w:ascii="Times New Roman" w:hAnsi="Times New Roman" w:cs="Times New Roman" w:eastAsia="Times New Roman" w:hint="default"/>
        </w:rPr>
        <w:t>2013</w:t>
      </w:r>
      <w:r>
        <w:rPr/>
        <w:t>年部分股票期权的回购和部分限制性股票的回购注销。</w:t>
      </w:r>
    </w:p>
    <w:p>
      <w:pPr>
        <w:pStyle w:val="BodyText"/>
        <w:spacing w:line="300" w:lineRule="auto" w:before="63"/>
        <w:ind w:right="1132" w:firstLine="360"/>
        <w:jc w:val="both"/>
      </w:pPr>
      <w:r>
        <w:rPr>
          <w:rFonts w:ascii="Times New Roman" w:hAnsi="Times New Roman" w:cs="Times New Roman" w:eastAsia="Times New Roman" w:hint="default"/>
          <w:spacing w:val="-2"/>
        </w:rPr>
        <w:t>2016</w:t>
      </w:r>
      <w:r>
        <w:rPr>
          <w:spacing w:val="-2"/>
        </w:rPr>
        <w:t>年</w:t>
      </w:r>
      <w:r>
        <w:rPr>
          <w:rFonts w:ascii="Times New Roman" w:hAnsi="Times New Roman" w:cs="Times New Roman" w:eastAsia="Times New Roman" w:hint="default"/>
          <w:spacing w:val="-2"/>
        </w:rPr>
        <w:t>11</w:t>
      </w:r>
      <w:r>
        <w:rPr>
          <w:spacing w:val="-2"/>
        </w:rPr>
        <w:t>月</w:t>
      </w:r>
      <w:r>
        <w:rPr>
          <w:rFonts w:ascii="Times New Roman" w:hAnsi="Times New Roman" w:cs="Times New Roman" w:eastAsia="Times New Roman" w:hint="default"/>
          <w:spacing w:val="-2"/>
        </w:rPr>
        <w:t>23</w:t>
      </w:r>
      <w:r>
        <w:rPr>
          <w:spacing w:val="-2"/>
        </w:rPr>
        <w:t>日，公司召开第三届董事会第十四次会议，审议通过了《关于延期回购注销部分限制性股票和注销剩余股</w:t>
      </w:r>
      <w:r>
        <w:rPr/>
        <w:t> 票期权的议案》：</w:t>
      </w:r>
      <w:r>
        <w:rPr>
          <w:rFonts w:ascii="Times New Roman" w:hAnsi="Times New Roman" w:cs="Times New Roman" w:eastAsia="Times New Roman" w:hint="default"/>
        </w:rPr>
        <w:t>“</w:t>
      </w:r>
      <w:r>
        <w:rPr/>
        <w:t>经公司第三届董事会第四次会议审议，公司拟回购注销</w:t>
      </w:r>
      <w:r>
        <w:rPr>
          <w:rFonts w:ascii="Times New Roman" w:hAnsi="Times New Roman" w:cs="Times New Roman" w:eastAsia="Times New Roman" w:hint="default"/>
        </w:rPr>
        <w:t>2,126,951</w:t>
      </w:r>
      <w:r>
        <w:rPr/>
        <w:t>股限制性股票和注销</w:t>
      </w:r>
      <w:r>
        <w:rPr>
          <w:rFonts w:ascii="Times New Roman" w:hAnsi="Times New Roman" w:cs="Times New Roman" w:eastAsia="Times New Roman" w:hint="default"/>
        </w:rPr>
        <w:t>1,941,223</w:t>
      </w:r>
      <w:r>
        <w:rPr/>
        <w:t>份股票期 权。</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18</w:t>
      </w:r>
      <w:r>
        <w:rPr/>
        <w:t>日，公司披露了《关于部分股票期权注销和部分限制性股票回购注销完成的公告》，注销股票期权合计为 </w:t>
      </w:r>
      <w:r>
        <w:rPr>
          <w:rFonts w:ascii="Times New Roman" w:hAnsi="Times New Roman" w:cs="Times New Roman" w:eastAsia="Times New Roman" w:hint="default"/>
        </w:rPr>
        <w:t>1,941,223</w:t>
      </w:r>
      <w:r>
        <w:rPr/>
        <w:t>份，回购注销首次授予限制性股票</w:t>
      </w:r>
      <w:r>
        <w:rPr>
          <w:rFonts w:ascii="Times New Roman" w:hAnsi="Times New Roman" w:cs="Times New Roman" w:eastAsia="Times New Roman" w:hint="default"/>
        </w:rPr>
        <w:t>1,693,402</w:t>
      </w:r>
      <w:r>
        <w:rPr/>
        <w:t>股，回购注销预留限制性股票</w:t>
      </w:r>
      <w:r>
        <w:rPr>
          <w:rFonts w:ascii="Times New Roman" w:hAnsi="Times New Roman" w:cs="Times New Roman" w:eastAsia="Times New Roman" w:hint="default"/>
        </w:rPr>
        <w:t>433,549</w:t>
      </w:r>
      <w:r>
        <w:rPr/>
        <w:t>股。</w:t>
      </w:r>
    </w:p>
    <w:p>
      <w:pPr>
        <w:pStyle w:val="BodyText"/>
        <w:spacing w:line="300" w:lineRule="auto" w:before="13"/>
        <w:ind w:right="1141" w:firstLine="360"/>
        <w:jc w:val="both"/>
      </w:pPr>
      <w:r>
        <w:rPr>
          <w:rFonts w:ascii="Times New Roman" w:hAnsi="Times New Roman" w:cs="Times New Roman" w:eastAsia="Times New Roman" w:hint="default"/>
        </w:rPr>
        <w:t>2</w:t>
      </w:r>
      <w:r>
        <w:rPr/>
        <w:t>、报告期内，公司完成</w:t>
      </w:r>
      <w:r>
        <w:rPr>
          <w:rFonts w:ascii="Times New Roman" w:hAnsi="Times New Roman" w:cs="Times New Roman" w:eastAsia="Times New Roman" w:hint="default"/>
        </w:rPr>
        <w:t>2016</w:t>
      </w:r>
      <w:r>
        <w:rPr/>
        <w:t>年限制性股票激励计划解暂缓激励对象授予完成、部分限制股票回购注销和第一期解锁事 项。</w:t>
      </w:r>
    </w:p>
    <w:p>
      <w:pPr>
        <w:pStyle w:val="BodyText"/>
        <w:spacing w:line="304" w:lineRule="auto" w:before="31"/>
        <w:ind w:right="1043" w:firstLine="360"/>
        <w:jc w:val="left"/>
      </w:pPr>
      <w:r>
        <w:rPr>
          <w:rFonts w:ascii="Times New Roman" w:hAnsi="Times New Roman" w:cs="Times New Roman" w:eastAsia="Times New Roman" w:hint="default"/>
          <w:spacing w:val="-2"/>
        </w:rPr>
        <w:t>2016</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30</w:t>
      </w:r>
      <w:r>
        <w:rPr>
          <w:spacing w:val="-2"/>
        </w:rPr>
        <w:t>日，公司召开了第三届董事会第十五次会议，审议通过了《关于向暂缓授予的激励对象授予限制性股票的</w:t>
      </w:r>
      <w:r>
        <w:rPr/>
        <w:t> </w:t>
      </w:r>
      <w:r>
        <w:rPr>
          <w:spacing w:val="-2"/>
        </w:rPr>
        <w:t>议案》，确定</w:t>
      </w:r>
      <w:r>
        <w:rPr>
          <w:rFonts w:ascii="Times New Roman" w:hAnsi="Times New Roman" w:cs="Times New Roman" w:eastAsia="Times New Roman" w:hint="default"/>
          <w:spacing w:val="-2"/>
        </w:rPr>
        <w:t>2016</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30</w:t>
      </w:r>
      <w:r>
        <w:rPr>
          <w:spacing w:val="-2"/>
        </w:rPr>
        <w:t>日为限制性股票的授予日，向暂缓授予的矫人全先生授予</w:t>
      </w:r>
      <w:r>
        <w:rPr>
          <w:rFonts w:ascii="Times New Roman" w:hAnsi="Times New Roman" w:cs="Times New Roman" w:eastAsia="Times New Roman" w:hint="default"/>
          <w:spacing w:val="-2"/>
        </w:rPr>
        <w:t>48</w:t>
      </w:r>
      <w:r>
        <w:rPr>
          <w:spacing w:val="-2"/>
        </w:rPr>
        <w:t>万股限制性股票。公司独立董事对此</w:t>
      </w:r>
      <w:r>
        <w:rPr>
          <w:spacing w:val="-56"/>
        </w:rPr>
        <w:t> </w:t>
      </w:r>
      <w:r>
        <w:rPr>
          <w:spacing w:val="-56"/>
        </w:rPr>
      </w:r>
      <w:r>
        <w:rPr/>
        <w:t>发表了独立意见，认为激励对象主体资格确认办法合法有效，确定的授予日符合相关规定，律师等中介机构出具相应报告。</w:t>
      </w:r>
      <w:r>
        <w:rPr>
          <w:spacing w:val="-85"/>
        </w:rPr>
        <w:t> </w:t>
      </w:r>
      <w:r>
        <w:rPr>
          <w:spacing w:val="-85"/>
        </w:rPr>
      </w:r>
      <w:r>
        <w:rPr>
          <w:rFonts w:ascii="Times New Roman" w:hAnsi="Times New Roman" w:cs="Times New Roman" w:eastAsia="Times New Roman" w:hint="default"/>
          <w:spacing w:val="-3"/>
        </w:rPr>
        <w:t>2017</w:t>
      </w:r>
      <w:r>
        <w:rPr>
          <w:spacing w:val="-3"/>
        </w:rPr>
        <w:t>年</w:t>
      </w:r>
      <w:r>
        <w:rPr>
          <w:rFonts w:ascii="Times New Roman" w:hAnsi="Times New Roman" w:cs="Times New Roman" w:eastAsia="Times New Roman" w:hint="default"/>
          <w:spacing w:val="-3"/>
        </w:rPr>
        <w:t>1</w:t>
      </w:r>
      <w:r>
        <w:rPr>
          <w:spacing w:val="-3"/>
        </w:rPr>
        <w:t>月</w:t>
      </w:r>
      <w:r>
        <w:rPr>
          <w:rFonts w:ascii="Times New Roman" w:hAnsi="Times New Roman" w:cs="Times New Roman" w:eastAsia="Times New Roman" w:hint="default"/>
          <w:spacing w:val="-3"/>
        </w:rPr>
        <w:t>10</w:t>
      </w:r>
      <w:r>
        <w:rPr>
          <w:spacing w:val="-3"/>
        </w:rPr>
        <w:t>日，公司披露了《关于向暂缓授予的激励对象授予限制性股票授予登记完成的公告》（公告编号：</w:t>
      </w:r>
      <w:r>
        <w:rPr>
          <w:rFonts w:ascii="Times New Roman" w:hAnsi="Times New Roman" w:cs="Times New Roman" w:eastAsia="Times New Roman" w:hint="default"/>
          <w:spacing w:val="-3"/>
        </w:rPr>
        <w:t>2017-004</w:t>
      </w:r>
      <w:r>
        <w:rPr>
          <w:spacing w:val="-3"/>
        </w:rPr>
        <w:t>），</w:t>
      </w:r>
      <w:r>
        <w:rPr>
          <w:spacing w:val="-71"/>
        </w:rPr>
        <w:t> </w:t>
      </w:r>
      <w:r>
        <w:rPr/>
        <w:t>至此，公司已完成</w:t>
      </w:r>
      <w:r>
        <w:rPr>
          <w:rFonts w:ascii="Times New Roman" w:hAnsi="Times New Roman" w:cs="Times New Roman" w:eastAsia="Times New Roman" w:hint="default"/>
        </w:rPr>
        <w:t>2016</w:t>
      </w:r>
      <w:r>
        <w:rPr/>
        <w:t>年限制性股票激励计划的全部授予登记工作。</w:t>
      </w:r>
    </w:p>
    <w:p>
      <w:pPr>
        <w:pStyle w:val="BodyText"/>
        <w:spacing w:line="300" w:lineRule="auto" w:before="9"/>
        <w:ind w:right="1139" w:firstLine="360"/>
        <w:jc w:val="both"/>
      </w:pPr>
      <w:r>
        <w:rPr>
          <w:rFonts w:ascii="Times New Roman" w:hAnsi="Times New Roman" w:cs="Times New Roman" w:eastAsia="Times New Roman" w:hint="default"/>
        </w:rPr>
        <w:t>2017</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30</w:t>
      </w:r>
      <w:r>
        <w:rPr/>
        <w:t>日召开第三届董事会第十七次会议和第三届监事会第十一次会议，审议通过了《关于回购注销部分限制性 股票的议案》，根据本激励计划的相关规定及公司</w:t>
      </w:r>
      <w:r>
        <w:rPr>
          <w:spacing w:val="-18"/>
        </w:rPr>
        <w:t> </w:t>
      </w:r>
      <w:r>
        <w:rPr>
          <w:rFonts w:ascii="Times New Roman" w:hAnsi="Times New Roman" w:cs="Times New Roman" w:eastAsia="Times New Roman" w:hint="default"/>
        </w:rPr>
        <w:t>2016</w:t>
      </w:r>
      <w:r>
        <w:rPr/>
        <w:t>年第二次临时股东大会对董事会的授权，公司董事会同意对</w:t>
      </w:r>
      <w:r>
        <w:rPr>
          <w:rFonts w:ascii="Times New Roman" w:hAnsi="Times New Roman" w:cs="Times New Roman" w:eastAsia="Times New Roman" w:hint="default"/>
        </w:rPr>
        <w:t>11</w:t>
      </w:r>
      <w:r>
        <w:rPr/>
        <w:t>名离 职的激励对象持有的已获授但尚未解除限售的</w:t>
      </w:r>
      <w:r>
        <w:rPr>
          <w:rFonts w:ascii="Times New Roman" w:hAnsi="Times New Roman" w:cs="Times New Roman" w:eastAsia="Times New Roman" w:hint="default"/>
        </w:rPr>
        <w:t>12.20</w:t>
      </w:r>
      <w:r>
        <w:rPr/>
        <w:t>万股限制性股票进行回购注销处理。监事会对本次回购注销部分限制性 股票相关事项进行了核实并发表核查意见，公司独立董事、律师对该事项发表了意见。</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24</w:t>
      </w:r>
      <w:r>
        <w:rPr/>
        <w:t>日，公司披露了《关于 部分限制性股票回购注销完成的公告》（公告编号：</w:t>
      </w:r>
      <w:r>
        <w:rPr>
          <w:rFonts w:ascii="Times New Roman" w:hAnsi="Times New Roman" w:cs="Times New Roman" w:eastAsia="Times New Roman" w:hint="default"/>
        </w:rPr>
        <w:t>2017-045</w:t>
      </w:r>
      <w:r>
        <w:rPr/>
        <w:t>）。</w:t>
      </w:r>
    </w:p>
    <w:p>
      <w:pPr>
        <w:pStyle w:val="BodyText"/>
        <w:spacing w:line="300" w:lineRule="auto" w:before="13"/>
        <w:ind w:right="1123" w:firstLine="360"/>
        <w:jc w:val="both"/>
      </w:pPr>
      <w:r>
        <w:rPr>
          <w:rFonts w:ascii="Times New Roman" w:hAnsi="Times New Roman" w:cs="Times New Roman" w:eastAsia="Times New Roman" w:hint="default"/>
        </w:rPr>
        <w:t>2017</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25</w:t>
      </w:r>
      <w:r>
        <w:rPr/>
        <w:t>日，公司召开第三届董事会第十八次会议和第三届监事会第十二次会议，审议通过了《关于公司限制性股 </w:t>
      </w:r>
      <w:r>
        <w:rPr>
          <w:spacing w:val="-1"/>
        </w:rPr>
        <w:t>票激励计划第一个解锁期可解锁的议案》，根据激励计划规定的解锁安排，公司满足激励计划设定的第一个解锁期</w:t>
      </w:r>
      <w:r>
        <w:rPr>
          <w:rFonts w:ascii="Times New Roman" w:hAnsi="Times New Roman" w:cs="Times New Roman" w:eastAsia="Times New Roman" w:hint="default"/>
          <w:spacing w:val="-1"/>
        </w:rPr>
        <w:t>40%</w:t>
      </w:r>
      <w:r>
        <w:rPr>
          <w:spacing w:val="-1"/>
        </w:rPr>
        <w:t>份额</w:t>
      </w:r>
      <w:r>
        <w:rPr>
          <w:spacing w:val="-86"/>
        </w:rPr>
        <w:t> </w:t>
      </w:r>
      <w:r>
        <w:rPr/>
        <w:t>的限制性股票的解锁条件，公司授予获授限制性股票的</w:t>
      </w:r>
      <w:r>
        <w:rPr>
          <w:rFonts w:ascii="Times New Roman" w:hAnsi="Times New Roman" w:cs="Times New Roman" w:eastAsia="Times New Roman" w:hint="default"/>
        </w:rPr>
        <w:t>144</w:t>
      </w:r>
      <w:r>
        <w:rPr/>
        <w:t>名激励对象在第一个解锁期可解锁限制性股票为</w:t>
      </w:r>
      <w:r>
        <w:rPr>
          <w:rFonts w:ascii="Times New Roman" w:hAnsi="Times New Roman" w:cs="Times New Roman" w:eastAsia="Times New Roman" w:hint="default"/>
        </w:rPr>
        <w:t>1,943,200</w:t>
      </w:r>
      <w:r>
        <w:rPr/>
        <w:t>股。监 </w:t>
      </w:r>
      <w:r>
        <w:rPr>
          <w:spacing w:val="-2"/>
        </w:rPr>
        <w:t>事会对公司</w:t>
      </w:r>
      <w:r>
        <w:rPr>
          <w:rFonts w:ascii="Times New Roman" w:hAnsi="Times New Roman" w:cs="Times New Roman" w:eastAsia="Times New Roman" w:hint="default"/>
          <w:spacing w:val="-2"/>
        </w:rPr>
        <w:t>2016</w:t>
      </w:r>
      <w:r>
        <w:rPr>
          <w:spacing w:val="-2"/>
        </w:rPr>
        <w:t>年股权激励计划首次授予第一个解锁期解锁条件及激励对象名单进行了核实，公司独立董事对此发表了同意</w:t>
      </w:r>
      <w:r>
        <w:rPr>
          <w:spacing w:val="-60"/>
        </w:rPr>
        <w:t> </w:t>
      </w:r>
      <w:r>
        <w:rPr>
          <w:spacing w:val="-60"/>
        </w:rPr>
      </w:r>
      <w:r>
        <w:rPr>
          <w:spacing w:val="-11"/>
        </w:rPr>
        <w:t>的独立意见。</w:t>
      </w:r>
      <w:r>
        <w:rPr>
          <w:rFonts w:ascii="Times New Roman" w:hAnsi="Times New Roman" w:cs="Times New Roman" w:eastAsia="Times New Roman" w:hint="default"/>
          <w:spacing w:val="-11"/>
        </w:rPr>
        <w:t>2017</w:t>
      </w:r>
      <w:r>
        <w:rPr>
          <w:spacing w:val="-11"/>
        </w:rPr>
        <w:t>年</w:t>
      </w:r>
      <w:r>
        <w:rPr>
          <w:rFonts w:ascii="Times New Roman" w:hAnsi="Times New Roman" w:cs="Times New Roman" w:eastAsia="Times New Roman" w:hint="default"/>
          <w:spacing w:val="-11"/>
        </w:rPr>
        <w:t>4</w:t>
      </w:r>
      <w:r>
        <w:rPr>
          <w:spacing w:val="-11"/>
        </w:rPr>
        <w:t>月</w:t>
      </w:r>
      <w:r>
        <w:rPr>
          <w:rFonts w:ascii="Times New Roman" w:hAnsi="Times New Roman" w:cs="Times New Roman" w:eastAsia="Times New Roman" w:hint="default"/>
          <w:spacing w:val="-11"/>
        </w:rPr>
        <w:t>26</w:t>
      </w:r>
      <w:r>
        <w:rPr>
          <w:spacing w:val="-11"/>
        </w:rPr>
        <w:t>日，公司披露了《关于公司限制性股票激励计划第一个解锁期可解锁的公告》（公告编号：</w:t>
      </w:r>
      <w:r>
        <w:rPr>
          <w:rFonts w:ascii="Times New Roman" w:hAnsi="Times New Roman" w:cs="Times New Roman" w:eastAsia="Times New Roman" w:hint="default"/>
          <w:spacing w:val="-11"/>
        </w:rPr>
        <w:t>2017-039</w:t>
      </w:r>
      <w:r>
        <w:rPr>
          <w:spacing w:val="-11"/>
        </w:rPr>
        <w:t>），</w:t>
      </w:r>
      <w:r>
        <w:rPr>
          <w:spacing w:val="-83"/>
        </w:rPr>
        <w:t> </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16</w:t>
      </w:r>
      <w:r>
        <w:rPr/>
        <w:t>日，公司披露了《关于限制性股票激励计划第一个解锁期限制性股票上市流通的提示性公告》（公告编号：</w:t>
      </w:r>
    </w:p>
    <w:p>
      <w:pPr>
        <w:pStyle w:val="BodyText"/>
        <w:spacing w:line="240" w:lineRule="auto" w:before="13"/>
        <w:ind w:right="0"/>
        <w:jc w:val="left"/>
      </w:pPr>
      <w:r>
        <w:rPr>
          <w:rFonts w:ascii="Times New Roman" w:hAnsi="Times New Roman" w:cs="Times New Roman" w:eastAsia="Times New Roman" w:hint="default"/>
        </w:rPr>
        <w:t>2017-044</w:t>
      </w:r>
      <w:r>
        <w:rPr/>
        <w:t>）。</w:t>
      </w:r>
    </w:p>
    <w:p>
      <w:pPr>
        <w:pStyle w:val="BodyText"/>
        <w:spacing w:line="240" w:lineRule="auto" w:before="63"/>
        <w:ind w:left="513" w:right="0"/>
        <w:jc w:val="left"/>
      </w:pPr>
      <w:r>
        <w:rPr>
          <w:rFonts w:ascii="Times New Roman" w:hAnsi="Times New Roman" w:cs="Times New Roman" w:eastAsia="Times New Roman" w:hint="default"/>
        </w:rPr>
        <w:t>3</w:t>
      </w:r>
      <w:r>
        <w:rPr/>
        <w:t>、报告期内，公司完成</w:t>
      </w:r>
      <w:r>
        <w:rPr>
          <w:rFonts w:ascii="Times New Roman" w:hAnsi="Times New Roman" w:cs="Times New Roman" w:eastAsia="Times New Roman" w:hint="default"/>
        </w:rPr>
        <w:t>2017</w:t>
      </w:r>
      <w:r>
        <w:rPr/>
        <w:t>年股权激励计划激励对象首次授予股票期权登记完成事项。</w:t>
      </w:r>
    </w:p>
    <w:p>
      <w:pPr>
        <w:pStyle w:val="BodyText"/>
        <w:spacing w:line="304" w:lineRule="auto" w:before="63"/>
        <w:ind w:right="1131" w:firstLine="360"/>
        <w:jc w:val="both"/>
      </w:pP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7</w:t>
      </w:r>
      <w:r>
        <w:rPr>
          <w:spacing w:val="-2"/>
        </w:rPr>
        <w:t>月</w:t>
      </w:r>
      <w:r>
        <w:rPr>
          <w:rFonts w:ascii="Times New Roman" w:hAnsi="Times New Roman" w:cs="Times New Roman" w:eastAsia="Times New Roman" w:hint="default"/>
          <w:spacing w:val="-2"/>
        </w:rPr>
        <w:t>7</w:t>
      </w:r>
      <w:r>
        <w:rPr>
          <w:spacing w:val="-2"/>
        </w:rPr>
        <w:t>日，公司第三届董事会第十九次会议审议通过了《关于公司</w:t>
      </w:r>
      <w:r>
        <w:rPr>
          <w:rFonts w:ascii="Times New Roman" w:hAnsi="Times New Roman" w:cs="Times New Roman" w:eastAsia="Times New Roman" w:hint="default"/>
          <w:spacing w:val="-2"/>
        </w:rPr>
        <w:t>2017</w:t>
      </w:r>
      <w:r>
        <w:rPr>
          <w:spacing w:val="-2"/>
        </w:rPr>
        <w:t>年股票期权激励计划（草案）及其摘要的议</w:t>
      </w:r>
      <w:r>
        <w:rPr/>
        <w:t> </w:t>
      </w:r>
      <w:r>
        <w:rPr>
          <w:spacing w:val="-2"/>
        </w:rPr>
        <w:t>案》、《关于公司</w:t>
      </w:r>
      <w:r>
        <w:rPr>
          <w:rFonts w:ascii="Times New Roman" w:hAnsi="Times New Roman" w:cs="Times New Roman" w:eastAsia="Times New Roman" w:hint="default"/>
          <w:spacing w:val="-2"/>
        </w:rPr>
        <w:t>2017</w:t>
      </w:r>
      <w:r>
        <w:rPr>
          <w:spacing w:val="-2"/>
        </w:rPr>
        <w:t>年股票期权激励计划实施考核管理办法的议案》和《关于提请股东大会授权董事会办理</w:t>
      </w:r>
      <w:r>
        <w:rPr>
          <w:rFonts w:ascii="Times New Roman" w:hAnsi="Times New Roman" w:cs="Times New Roman" w:eastAsia="Times New Roman" w:hint="default"/>
          <w:spacing w:val="-2"/>
        </w:rPr>
        <w:t>2017</w:t>
      </w:r>
      <w:r>
        <w:rPr>
          <w:spacing w:val="-2"/>
        </w:rPr>
        <w:t>年股票期</w:t>
      </w:r>
      <w:r>
        <w:rPr>
          <w:spacing w:val="-58"/>
        </w:rPr>
        <w:t> </w:t>
      </w:r>
      <w:r>
        <w:rPr>
          <w:spacing w:val="-2"/>
        </w:rPr>
        <w:t>权激励计划相关事宜的议案》。公司独立董事对此发表了独立意见，律师出具相应法律意见书。同日，公司召开第三届监事</w:t>
      </w:r>
      <w:r>
        <w:rPr>
          <w:spacing w:val="-66"/>
        </w:rPr>
        <w:t> </w:t>
      </w:r>
      <w:r>
        <w:rPr>
          <w:spacing w:val="-66"/>
        </w:rPr>
      </w:r>
      <w:r>
        <w:rPr>
          <w:spacing w:val="-2"/>
        </w:rPr>
        <w:t>会第十三次会议，审议通过了《关于公司</w:t>
      </w:r>
      <w:r>
        <w:rPr>
          <w:rFonts w:ascii="Times New Roman" w:hAnsi="Times New Roman" w:cs="Times New Roman" w:eastAsia="Times New Roman" w:hint="default"/>
          <w:spacing w:val="-2"/>
        </w:rPr>
        <w:t>2017</w:t>
      </w:r>
      <w:r>
        <w:rPr>
          <w:spacing w:val="-2"/>
        </w:rPr>
        <w:t>年股票期权激励计划（草案）及其摘要的议案》、《关于公司</w:t>
      </w:r>
      <w:r>
        <w:rPr>
          <w:rFonts w:ascii="Times New Roman" w:hAnsi="Times New Roman" w:cs="Times New Roman" w:eastAsia="Times New Roman" w:hint="default"/>
          <w:spacing w:val="-2"/>
        </w:rPr>
        <w:t>2017</w:t>
      </w:r>
      <w:r>
        <w:rPr>
          <w:spacing w:val="-2"/>
        </w:rPr>
        <w:t>年股票期权</w:t>
      </w:r>
      <w:r>
        <w:rPr>
          <w:spacing w:val="-61"/>
        </w:rPr>
        <w:t> </w:t>
      </w:r>
      <w:r>
        <w:rPr/>
        <w:t>激励计划实施考核办法的议案》。</w:t>
      </w:r>
    </w:p>
    <w:p>
      <w:pPr>
        <w:pStyle w:val="BodyText"/>
        <w:spacing w:line="240" w:lineRule="auto" w:before="28"/>
        <w:ind w:left="514" w:right="0"/>
        <w:jc w:val="left"/>
      </w:pPr>
      <w:r>
        <w:rPr>
          <w:rFonts w:ascii="Times New Roman" w:hAnsi="Times New Roman" w:cs="Times New Roman" w:eastAsia="Times New Roman" w:hint="default"/>
        </w:rPr>
        <w:t>2017</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26</w:t>
      </w:r>
      <w:r>
        <w:rPr/>
        <w:t>日，公司召开</w:t>
      </w:r>
      <w:r>
        <w:rPr>
          <w:rFonts w:ascii="Times New Roman" w:hAnsi="Times New Roman" w:cs="Times New Roman" w:eastAsia="Times New Roman" w:hint="default"/>
        </w:rPr>
        <w:t>2017</w:t>
      </w:r>
      <w:r>
        <w:rPr/>
        <w:t>年第一次临时股东大会，审议通过了《关于公司</w:t>
      </w:r>
      <w:r>
        <w:rPr>
          <w:rFonts w:ascii="Times New Roman" w:hAnsi="Times New Roman" w:cs="Times New Roman" w:eastAsia="Times New Roman" w:hint="default"/>
        </w:rPr>
        <w:t>2017</w:t>
      </w:r>
      <w:r>
        <w:rPr/>
        <w:t>年股票期权激励计划（草案）及其</w:t>
      </w:r>
    </w:p>
    <w:p>
      <w:pPr>
        <w:spacing w:after="0" w:line="240"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00" w:lineRule="auto" w:before="44"/>
        <w:ind w:left="154" w:right="0"/>
        <w:jc w:val="left"/>
      </w:pPr>
      <w:r>
        <w:rPr>
          <w:spacing w:val="-2"/>
        </w:rPr>
        <w:t>摘要的议案》、《关于公司</w:t>
      </w:r>
      <w:r>
        <w:rPr>
          <w:rFonts w:ascii="Times New Roman" w:hAnsi="Times New Roman" w:cs="Times New Roman" w:eastAsia="Times New Roman" w:hint="default"/>
          <w:spacing w:val="-2"/>
        </w:rPr>
        <w:t>2017</w:t>
      </w:r>
      <w:r>
        <w:rPr>
          <w:spacing w:val="-2"/>
        </w:rPr>
        <w:t>年股票期权激励计划实施考核管理办法的议案》和《关于提请股东大会授权董事会办理</w:t>
      </w:r>
      <w:r>
        <w:rPr>
          <w:rFonts w:ascii="Times New Roman" w:hAnsi="Times New Roman" w:cs="Times New Roman" w:eastAsia="Times New Roman" w:hint="default"/>
          <w:spacing w:val="-2"/>
        </w:rPr>
        <w:t>2017</w:t>
      </w:r>
      <w:r>
        <w:rPr>
          <w:rFonts w:ascii="Times New Roman" w:hAnsi="Times New Roman" w:cs="Times New Roman" w:eastAsia="Times New Roman" w:hint="default"/>
          <w:spacing w:val="-12"/>
        </w:rPr>
        <w:t> </w:t>
      </w:r>
      <w:r>
        <w:rPr/>
        <w:t>年股票期权激励计划有关事宜的议案》，律师出具相应法律意见书。</w:t>
      </w:r>
    </w:p>
    <w:p>
      <w:pPr>
        <w:pStyle w:val="BodyText"/>
        <w:spacing w:line="309" w:lineRule="auto" w:before="31"/>
        <w:ind w:right="1132" w:firstLine="360"/>
        <w:jc w:val="both"/>
      </w:pPr>
      <w:r>
        <w:rPr>
          <w:rFonts w:ascii="Times New Roman" w:hAnsi="Times New Roman" w:cs="Times New Roman" w:eastAsia="Times New Roman" w:hint="default"/>
        </w:rPr>
        <w:t>2017</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25</w:t>
      </w:r>
      <w:r>
        <w:rPr/>
        <w:t>日，公司第三届董事会第二十一次会议和第三届监事会第十五次会议审议通过了《关于调整</w:t>
      </w:r>
      <w:r>
        <w:rPr>
          <w:rFonts w:ascii="Times New Roman" w:hAnsi="Times New Roman" w:cs="Times New Roman" w:eastAsia="Times New Roman" w:hint="default"/>
        </w:rPr>
        <w:t>2017</w:t>
      </w:r>
      <w:r>
        <w:rPr/>
        <w:t>年股权激 </w:t>
      </w:r>
      <w:r>
        <w:rPr>
          <w:spacing w:val="-2"/>
        </w:rPr>
        <w:t>励计划授予对象及授予数量的议案》、《关于向激励对象授予股票期权的议案》。公司监事会及独立董事分别对激励对象获</w:t>
      </w:r>
      <w:r>
        <w:rPr>
          <w:spacing w:val="-65"/>
        </w:rPr>
        <w:t> </w:t>
      </w:r>
      <w:r>
        <w:rPr>
          <w:spacing w:val="-65"/>
        </w:rPr>
      </w:r>
      <w:r>
        <w:rPr>
          <w:spacing w:val="-2"/>
        </w:rPr>
        <w:t>授权益的条件是否成就发表了明确意见，监事会对授权日激励对象名单进行了核实并发表了核查意见，公司聘请的律师出具</w:t>
      </w:r>
      <w:r>
        <w:rPr>
          <w:spacing w:val="-64"/>
        </w:rPr>
        <w:t> </w:t>
      </w:r>
      <w:r>
        <w:rPr>
          <w:spacing w:val="-64"/>
        </w:rPr>
      </w:r>
      <w:r>
        <w:rPr/>
        <w:t>了相关法律意见书。</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19</w:t>
      </w:r>
      <w:r>
        <w:rPr/>
        <w:t>日，公司披露了《关于向</w:t>
      </w:r>
      <w:r>
        <w:rPr>
          <w:rFonts w:ascii="Times New Roman" w:hAnsi="Times New Roman" w:cs="Times New Roman" w:eastAsia="Times New Roman" w:hint="default"/>
        </w:rPr>
        <w:t>2017</w:t>
      </w:r>
      <w:r>
        <w:rPr/>
        <w:t>年股票期权激励计划激励对象首次授予股票期权登记完成的 公告》（公告编号：</w:t>
      </w:r>
      <w:r>
        <w:rPr>
          <w:rFonts w:ascii="Times New Roman" w:hAnsi="Times New Roman" w:cs="Times New Roman" w:eastAsia="Times New Roman" w:hint="default"/>
        </w:rPr>
        <w:t>2017-078</w:t>
      </w:r>
      <w:r>
        <w:rPr/>
        <w:t>），至此，公司已完成</w:t>
      </w:r>
      <w:r>
        <w:rPr>
          <w:rFonts w:ascii="Times New Roman" w:hAnsi="Times New Roman" w:cs="Times New Roman" w:eastAsia="Times New Roman" w:hint="default"/>
        </w:rPr>
        <w:t>2017</w:t>
      </w:r>
      <w:r>
        <w:rPr/>
        <w:t>年股权激励计划首次授予登记工作。</w:t>
      </w:r>
    </w:p>
    <w:tbl>
      <w:tblPr>
        <w:tblW w:w="0" w:type="auto"/>
        <w:jc w:val="left"/>
        <w:tblInd w:w="146" w:type="dxa"/>
        <w:tblLayout w:type="fixed"/>
        <w:tblCellMar>
          <w:top w:w="0" w:type="dxa"/>
          <w:left w:w="0" w:type="dxa"/>
          <w:bottom w:w="0" w:type="dxa"/>
          <w:right w:w="0" w:type="dxa"/>
        </w:tblCellMar>
        <w:tblLook w:val="01E0"/>
      </w:tblPr>
      <w:tblGrid>
        <w:gridCol w:w="1880"/>
        <w:gridCol w:w="2871"/>
        <w:gridCol w:w="4820"/>
      </w:tblGrid>
      <w:tr>
        <w:trPr>
          <w:trHeight w:val="347" w:hRule="exact"/>
        </w:trPr>
        <w:tc>
          <w:tcPr>
            <w:tcW w:w="1880"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65" w:lineRule="exact"/>
              <w:ind w:right="1"/>
              <w:jc w:val="center"/>
              <w:rPr>
                <w:rFonts w:ascii="宋体" w:hAnsi="宋体" w:cs="宋体" w:eastAsia="宋体" w:hint="default"/>
                <w:sz w:val="21"/>
                <w:szCs w:val="21"/>
              </w:rPr>
            </w:pPr>
            <w:r>
              <w:rPr>
                <w:rFonts w:ascii="宋体" w:hAnsi="宋体" w:cs="宋体" w:eastAsia="宋体" w:hint="default"/>
                <w:sz w:val="21"/>
                <w:szCs w:val="21"/>
              </w:rPr>
              <w:t>披露时间</w:t>
            </w:r>
          </w:p>
        </w:tc>
        <w:tc>
          <w:tcPr>
            <w:tcW w:w="2871"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65" w:lineRule="exact"/>
              <w:ind w:left="587" w:right="0"/>
              <w:jc w:val="left"/>
              <w:rPr>
                <w:rFonts w:ascii="宋体" w:hAnsi="宋体" w:cs="宋体" w:eastAsia="宋体" w:hint="default"/>
                <w:sz w:val="21"/>
                <w:szCs w:val="21"/>
              </w:rPr>
            </w:pPr>
            <w:r>
              <w:rPr>
                <w:rFonts w:ascii="宋体" w:hAnsi="宋体" w:cs="宋体" w:eastAsia="宋体" w:hint="default"/>
                <w:sz w:val="21"/>
                <w:szCs w:val="21"/>
              </w:rPr>
              <w:t>信息披露网站名称</w:t>
            </w:r>
          </w:p>
        </w:tc>
        <w:tc>
          <w:tcPr>
            <w:tcW w:w="4820"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65" w:lineRule="exact"/>
              <w:ind w:right="0"/>
              <w:jc w:val="center"/>
              <w:rPr>
                <w:rFonts w:ascii="宋体" w:hAnsi="宋体" w:cs="宋体" w:eastAsia="宋体" w:hint="default"/>
                <w:sz w:val="21"/>
                <w:szCs w:val="21"/>
              </w:rPr>
            </w:pPr>
            <w:r>
              <w:rPr>
                <w:rFonts w:ascii="宋体" w:hAnsi="宋体" w:cs="宋体" w:eastAsia="宋体" w:hint="default"/>
                <w:sz w:val="21"/>
                <w:szCs w:val="21"/>
              </w:rPr>
              <w:t>公告名称</w:t>
            </w:r>
          </w:p>
        </w:tc>
      </w:tr>
      <w:tr>
        <w:trPr>
          <w:trHeight w:val="659" w:hRule="exact"/>
        </w:trPr>
        <w:tc>
          <w:tcPr>
            <w:tcW w:w="18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
              <w:ind w:left="30"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r>
              <w:rPr>
                <w:rFonts w:ascii="Times New Roman" w:hAnsi="Times New Roman" w:cs="Times New Roman" w:eastAsia="Times New Roman" w:hint="default"/>
                <w:sz w:val="18"/>
                <w:szCs w:val="18"/>
              </w:rPr>
              <w:t>10</w:t>
            </w:r>
            <w:r>
              <w:rPr>
                <w:rFonts w:ascii="宋体" w:hAnsi="宋体" w:cs="宋体" w:eastAsia="宋体" w:hint="default"/>
                <w:sz w:val="18"/>
                <w:szCs w:val="18"/>
              </w:rPr>
              <w:t>日</w:t>
            </w:r>
          </w:p>
        </w:tc>
        <w:tc>
          <w:tcPr>
            <w:tcW w:w="28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
              <w:ind w:right="0"/>
              <w:jc w:val="center"/>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sz w:val="18"/>
                <w:szCs w:val="18"/>
              </w:rPr>
              <w:t>（</w:t>
            </w:r>
            <w:hyperlink r:id="rId13">
              <w:r>
                <w:rPr>
                  <w:rFonts w:ascii="Times New Roman" w:hAnsi="Times New Roman" w:cs="Times New Roman" w:eastAsia="Times New Roman" w:hint="default"/>
                  <w:sz w:val="18"/>
                  <w:szCs w:val="18"/>
                </w:rPr>
                <w:t>www.cninfo.com.cn</w:t>
              </w:r>
            </w:hyperlink>
            <w:r>
              <w:rPr>
                <w:rFonts w:ascii="宋体" w:hAnsi="宋体" w:cs="宋体" w:eastAsia="宋体" w:hint="default"/>
                <w:sz w:val="18"/>
                <w:szCs w:val="18"/>
              </w:rPr>
              <w:t>）</w:t>
            </w:r>
          </w:p>
        </w:tc>
        <w:tc>
          <w:tcPr>
            <w:tcW w:w="482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6"/>
              <w:ind w:left="1682" w:right="0" w:hanging="1679"/>
              <w:jc w:val="left"/>
              <w:rPr>
                <w:rFonts w:ascii="宋体" w:hAnsi="宋体" w:cs="宋体" w:eastAsia="宋体" w:hint="default"/>
                <w:sz w:val="18"/>
                <w:szCs w:val="18"/>
              </w:rPr>
            </w:pPr>
            <w:r>
              <w:rPr>
                <w:rFonts w:ascii="宋体" w:hAnsi="宋体" w:cs="宋体" w:eastAsia="宋体" w:hint="default"/>
                <w:spacing w:val="-3"/>
                <w:sz w:val="18"/>
                <w:szCs w:val="18"/>
              </w:rPr>
              <w:t>《奥拓电子：关于向暂缓授予的激励对象授予限制性股票授予</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登记完成的公告》</w:t>
            </w:r>
          </w:p>
        </w:tc>
      </w:tr>
      <w:tr>
        <w:trPr>
          <w:trHeight w:val="659" w:hRule="exact"/>
        </w:trPr>
        <w:tc>
          <w:tcPr>
            <w:tcW w:w="18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
              <w:ind w:left="30"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3</w:t>
            </w:r>
            <w:r>
              <w:rPr>
                <w:rFonts w:ascii="宋体" w:hAnsi="宋体" w:cs="宋体" w:eastAsia="宋体" w:hint="default"/>
                <w:sz w:val="18"/>
                <w:szCs w:val="18"/>
              </w:rPr>
              <w:t>月</w:t>
            </w:r>
            <w:r>
              <w:rPr>
                <w:rFonts w:ascii="Times New Roman" w:hAnsi="Times New Roman" w:cs="Times New Roman" w:eastAsia="Times New Roman" w:hint="default"/>
                <w:sz w:val="18"/>
                <w:szCs w:val="18"/>
              </w:rPr>
              <w:t>18</w:t>
            </w:r>
            <w:r>
              <w:rPr>
                <w:rFonts w:ascii="宋体" w:hAnsi="宋体" w:cs="宋体" w:eastAsia="宋体" w:hint="default"/>
                <w:sz w:val="18"/>
                <w:szCs w:val="18"/>
              </w:rPr>
              <w:t>日</w:t>
            </w:r>
          </w:p>
        </w:tc>
        <w:tc>
          <w:tcPr>
            <w:tcW w:w="28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
              <w:ind w:right="0"/>
              <w:jc w:val="center"/>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sz w:val="18"/>
                <w:szCs w:val="18"/>
              </w:rPr>
              <w:t>（</w:t>
            </w:r>
            <w:hyperlink r:id="rId13">
              <w:r>
                <w:rPr>
                  <w:rFonts w:ascii="Times New Roman" w:hAnsi="Times New Roman" w:cs="Times New Roman" w:eastAsia="Times New Roman" w:hint="default"/>
                  <w:sz w:val="18"/>
                  <w:szCs w:val="18"/>
                </w:rPr>
                <w:t>www.cninfo.com.cn</w:t>
              </w:r>
            </w:hyperlink>
            <w:r>
              <w:rPr>
                <w:rFonts w:ascii="宋体" w:hAnsi="宋体" w:cs="宋体" w:eastAsia="宋体" w:hint="default"/>
                <w:sz w:val="18"/>
                <w:szCs w:val="18"/>
              </w:rPr>
              <w:t>）</w:t>
            </w:r>
          </w:p>
        </w:tc>
        <w:tc>
          <w:tcPr>
            <w:tcW w:w="482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6"/>
              <w:ind w:left="1772" w:right="0" w:hanging="1769"/>
              <w:jc w:val="left"/>
              <w:rPr>
                <w:rFonts w:ascii="宋体" w:hAnsi="宋体" w:cs="宋体" w:eastAsia="宋体" w:hint="default"/>
                <w:sz w:val="18"/>
                <w:szCs w:val="18"/>
              </w:rPr>
            </w:pPr>
            <w:r>
              <w:rPr>
                <w:rFonts w:ascii="宋体" w:hAnsi="宋体" w:cs="宋体" w:eastAsia="宋体" w:hint="default"/>
                <w:spacing w:val="-3"/>
                <w:sz w:val="18"/>
                <w:szCs w:val="18"/>
              </w:rPr>
              <w:t>《奥拓电子：关于部分股票期权注销和部分限制性股票回购注</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销完成的公告》</w:t>
            </w:r>
          </w:p>
        </w:tc>
      </w:tr>
      <w:tr>
        <w:trPr>
          <w:trHeight w:val="660" w:hRule="exact"/>
        </w:trPr>
        <w:tc>
          <w:tcPr>
            <w:tcW w:w="18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
              <w:ind w:right="59"/>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4</w:t>
            </w:r>
            <w:r>
              <w:rPr>
                <w:rFonts w:ascii="宋体" w:hAnsi="宋体" w:cs="宋体" w:eastAsia="宋体" w:hint="default"/>
                <w:sz w:val="18"/>
                <w:szCs w:val="18"/>
              </w:rPr>
              <w:t>月</w:t>
            </w:r>
            <w:r>
              <w:rPr>
                <w:rFonts w:ascii="Times New Roman" w:hAnsi="Times New Roman" w:cs="Times New Roman" w:eastAsia="Times New Roman" w:hint="default"/>
                <w:sz w:val="18"/>
                <w:szCs w:val="18"/>
              </w:rPr>
              <w:t>1</w:t>
            </w:r>
            <w:r>
              <w:rPr>
                <w:rFonts w:ascii="宋体" w:hAnsi="宋体" w:cs="宋体" w:eastAsia="宋体" w:hint="default"/>
                <w:sz w:val="18"/>
                <w:szCs w:val="18"/>
              </w:rPr>
              <w:t>日</w:t>
            </w:r>
          </w:p>
        </w:tc>
        <w:tc>
          <w:tcPr>
            <w:tcW w:w="28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
              <w:ind w:right="0"/>
              <w:jc w:val="center"/>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sz w:val="18"/>
                <w:szCs w:val="18"/>
              </w:rPr>
              <w:t>（</w:t>
            </w:r>
            <w:hyperlink r:id="rId13">
              <w:r>
                <w:rPr>
                  <w:rFonts w:ascii="Times New Roman" w:hAnsi="Times New Roman" w:cs="Times New Roman" w:eastAsia="Times New Roman" w:hint="default"/>
                  <w:sz w:val="18"/>
                  <w:szCs w:val="18"/>
                </w:rPr>
                <w:t>www.cninfo.com.cn</w:t>
              </w:r>
            </w:hyperlink>
            <w:r>
              <w:rPr>
                <w:rFonts w:ascii="宋体" w:hAnsi="宋体" w:cs="宋体" w:eastAsia="宋体" w:hint="default"/>
                <w:sz w:val="18"/>
                <w:szCs w:val="18"/>
              </w:rPr>
              <w:t>）</w:t>
            </w:r>
          </w:p>
        </w:tc>
        <w:tc>
          <w:tcPr>
            <w:tcW w:w="48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
              <w:ind w:right="0"/>
              <w:jc w:val="center"/>
              <w:rPr>
                <w:rFonts w:ascii="宋体" w:hAnsi="宋体" w:cs="宋体" w:eastAsia="宋体" w:hint="default"/>
                <w:sz w:val="18"/>
                <w:szCs w:val="18"/>
              </w:rPr>
            </w:pPr>
            <w:r>
              <w:rPr>
                <w:rFonts w:ascii="宋体" w:hAnsi="宋体" w:cs="宋体" w:eastAsia="宋体" w:hint="default"/>
                <w:sz w:val="18"/>
                <w:szCs w:val="18"/>
              </w:rPr>
              <w:t>《奥拓电子：关于回购注销部分限制性股票的公告》</w:t>
            </w:r>
          </w:p>
        </w:tc>
      </w:tr>
      <w:tr>
        <w:trPr>
          <w:trHeight w:val="659" w:hRule="exact"/>
        </w:trPr>
        <w:tc>
          <w:tcPr>
            <w:tcW w:w="18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5</w:t>
            </w:r>
            <w:r>
              <w:rPr>
                <w:rFonts w:ascii="宋体" w:hAnsi="宋体" w:cs="宋体" w:eastAsia="宋体" w:hint="default"/>
                <w:sz w:val="18"/>
                <w:szCs w:val="18"/>
              </w:rPr>
              <w:t>月</w:t>
            </w:r>
            <w:r>
              <w:rPr>
                <w:rFonts w:ascii="Times New Roman" w:hAnsi="Times New Roman" w:cs="Times New Roman" w:eastAsia="Times New Roman" w:hint="default"/>
                <w:sz w:val="18"/>
                <w:szCs w:val="18"/>
              </w:rPr>
              <w:t>16</w:t>
            </w:r>
            <w:r>
              <w:rPr>
                <w:rFonts w:ascii="宋体" w:hAnsi="宋体" w:cs="宋体" w:eastAsia="宋体" w:hint="default"/>
                <w:sz w:val="18"/>
                <w:szCs w:val="18"/>
              </w:rPr>
              <w:t>日</w:t>
            </w:r>
          </w:p>
        </w:tc>
        <w:tc>
          <w:tcPr>
            <w:tcW w:w="28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0"/>
              <w:jc w:val="center"/>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sz w:val="18"/>
                <w:szCs w:val="18"/>
              </w:rPr>
              <w:t>（</w:t>
            </w:r>
            <w:hyperlink r:id="rId13">
              <w:r>
                <w:rPr>
                  <w:rFonts w:ascii="Times New Roman" w:hAnsi="Times New Roman" w:cs="Times New Roman" w:eastAsia="Times New Roman" w:hint="default"/>
                  <w:sz w:val="18"/>
                  <w:szCs w:val="18"/>
                </w:rPr>
                <w:t>www.cninfo.com.cn</w:t>
              </w:r>
            </w:hyperlink>
            <w:r>
              <w:rPr>
                <w:rFonts w:ascii="宋体" w:hAnsi="宋体" w:cs="宋体" w:eastAsia="宋体" w:hint="default"/>
                <w:sz w:val="18"/>
                <w:szCs w:val="18"/>
              </w:rPr>
              <w:t>）</w:t>
            </w:r>
          </w:p>
        </w:tc>
        <w:tc>
          <w:tcPr>
            <w:tcW w:w="482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4"/>
              <w:ind w:left="1322" w:right="0" w:hanging="1319"/>
              <w:jc w:val="left"/>
              <w:rPr>
                <w:rFonts w:ascii="宋体" w:hAnsi="宋体" w:cs="宋体" w:eastAsia="宋体" w:hint="default"/>
                <w:sz w:val="18"/>
                <w:szCs w:val="18"/>
              </w:rPr>
            </w:pPr>
            <w:r>
              <w:rPr>
                <w:rFonts w:ascii="宋体" w:hAnsi="宋体" w:cs="宋体" w:eastAsia="宋体" w:hint="default"/>
                <w:spacing w:val="-3"/>
                <w:sz w:val="18"/>
                <w:szCs w:val="18"/>
              </w:rPr>
              <w:t>《奥拓电子：关于限制性股票激励计划第一个解锁期限制性股</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票上市流通的提示性公告》</w:t>
            </w:r>
          </w:p>
        </w:tc>
      </w:tr>
      <w:tr>
        <w:trPr>
          <w:trHeight w:val="659" w:hRule="exact"/>
        </w:trPr>
        <w:tc>
          <w:tcPr>
            <w:tcW w:w="18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5</w:t>
            </w:r>
            <w:r>
              <w:rPr>
                <w:rFonts w:ascii="宋体" w:hAnsi="宋体" w:cs="宋体" w:eastAsia="宋体" w:hint="default"/>
                <w:sz w:val="18"/>
                <w:szCs w:val="18"/>
              </w:rPr>
              <w:t>月</w:t>
            </w:r>
            <w:r>
              <w:rPr>
                <w:rFonts w:ascii="Times New Roman" w:hAnsi="Times New Roman" w:cs="Times New Roman" w:eastAsia="Times New Roman" w:hint="default"/>
                <w:sz w:val="18"/>
                <w:szCs w:val="18"/>
              </w:rPr>
              <w:t>24</w:t>
            </w:r>
            <w:r>
              <w:rPr>
                <w:rFonts w:ascii="宋体" w:hAnsi="宋体" w:cs="宋体" w:eastAsia="宋体" w:hint="default"/>
                <w:sz w:val="18"/>
                <w:szCs w:val="18"/>
              </w:rPr>
              <w:t>日</w:t>
            </w:r>
          </w:p>
        </w:tc>
        <w:tc>
          <w:tcPr>
            <w:tcW w:w="28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
              <w:ind w:right="0"/>
              <w:jc w:val="center"/>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sz w:val="18"/>
                <w:szCs w:val="18"/>
              </w:rPr>
              <w:t>（</w:t>
            </w:r>
            <w:hyperlink r:id="rId13">
              <w:r>
                <w:rPr>
                  <w:rFonts w:ascii="Times New Roman" w:hAnsi="Times New Roman" w:cs="Times New Roman" w:eastAsia="Times New Roman" w:hint="default"/>
                  <w:sz w:val="18"/>
                  <w:szCs w:val="18"/>
                </w:rPr>
                <w:t>www.cninfo.com.cn</w:t>
              </w:r>
            </w:hyperlink>
            <w:r>
              <w:rPr>
                <w:rFonts w:ascii="宋体" w:hAnsi="宋体" w:cs="宋体" w:eastAsia="宋体" w:hint="default"/>
                <w:sz w:val="18"/>
                <w:szCs w:val="18"/>
              </w:rPr>
              <w:t>）</w:t>
            </w:r>
          </w:p>
        </w:tc>
        <w:tc>
          <w:tcPr>
            <w:tcW w:w="48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
              <w:ind w:right="0"/>
              <w:jc w:val="center"/>
              <w:rPr>
                <w:rFonts w:ascii="宋体" w:hAnsi="宋体" w:cs="宋体" w:eastAsia="宋体" w:hint="default"/>
                <w:sz w:val="18"/>
                <w:szCs w:val="18"/>
              </w:rPr>
            </w:pPr>
            <w:r>
              <w:rPr>
                <w:rFonts w:ascii="宋体" w:hAnsi="宋体" w:cs="宋体" w:eastAsia="宋体" w:hint="default"/>
                <w:sz w:val="18"/>
                <w:szCs w:val="18"/>
              </w:rPr>
              <w:t>《奥拓电子：关于部分限制性股票回购注销完成的公告》</w:t>
            </w:r>
          </w:p>
        </w:tc>
      </w:tr>
      <w:tr>
        <w:trPr>
          <w:trHeight w:val="659" w:hRule="exact"/>
        </w:trPr>
        <w:tc>
          <w:tcPr>
            <w:tcW w:w="18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7</w:t>
            </w:r>
            <w:r>
              <w:rPr>
                <w:rFonts w:ascii="宋体" w:hAnsi="宋体" w:cs="宋体" w:eastAsia="宋体" w:hint="default"/>
                <w:sz w:val="18"/>
                <w:szCs w:val="18"/>
              </w:rPr>
              <w:t>月</w:t>
            </w:r>
            <w:r>
              <w:rPr>
                <w:rFonts w:ascii="Times New Roman" w:hAnsi="Times New Roman" w:cs="Times New Roman" w:eastAsia="Times New Roman" w:hint="default"/>
                <w:sz w:val="18"/>
                <w:szCs w:val="18"/>
              </w:rPr>
              <w:t>11</w:t>
            </w:r>
            <w:r>
              <w:rPr>
                <w:rFonts w:ascii="宋体" w:hAnsi="宋体" w:cs="宋体" w:eastAsia="宋体" w:hint="default"/>
                <w:sz w:val="18"/>
                <w:szCs w:val="18"/>
              </w:rPr>
              <w:t>日</w:t>
            </w:r>
          </w:p>
        </w:tc>
        <w:tc>
          <w:tcPr>
            <w:tcW w:w="28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
              <w:ind w:right="0"/>
              <w:jc w:val="center"/>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sz w:val="18"/>
                <w:szCs w:val="18"/>
              </w:rPr>
              <w:t>（</w:t>
            </w:r>
            <w:hyperlink r:id="rId13">
              <w:r>
                <w:rPr>
                  <w:rFonts w:ascii="Times New Roman" w:hAnsi="Times New Roman" w:cs="Times New Roman" w:eastAsia="Times New Roman" w:hint="default"/>
                  <w:sz w:val="18"/>
                  <w:szCs w:val="18"/>
                </w:rPr>
                <w:t>www.cninfo.com.cn</w:t>
              </w:r>
            </w:hyperlink>
            <w:r>
              <w:rPr>
                <w:rFonts w:ascii="宋体" w:hAnsi="宋体" w:cs="宋体" w:eastAsia="宋体" w:hint="default"/>
                <w:sz w:val="18"/>
                <w:szCs w:val="18"/>
              </w:rPr>
              <w:t>）</w:t>
            </w:r>
          </w:p>
        </w:tc>
        <w:tc>
          <w:tcPr>
            <w:tcW w:w="48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
              <w:ind w:right="0"/>
              <w:jc w:val="center"/>
              <w:rPr>
                <w:rFonts w:ascii="宋体" w:hAnsi="宋体" w:cs="宋体" w:eastAsia="宋体" w:hint="default"/>
                <w:sz w:val="18"/>
                <w:szCs w:val="18"/>
              </w:rPr>
            </w:pPr>
            <w:r>
              <w:rPr>
                <w:rFonts w:ascii="宋体" w:hAnsi="宋体" w:cs="宋体" w:eastAsia="宋体" w:hint="default"/>
                <w:sz w:val="18"/>
                <w:szCs w:val="18"/>
              </w:rPr>
              <w:t>《奥拓电子：</w:t>
            </w:r>
            <w:r>
              <w:rPr>
                <w:rFonts w:ascii="Times New Roman" w:hAnsi="Times New Roman" w:cs="Times New Roman" w:eastAsia="Times New Roman" w:hint="default"/>
                <w:sz w:val="18"/>
                <w:szCs w:val="18"/>
              </w:rPr>
              <w:t>2017</w:t>
            </w:r>
            <w:r>
              <w:rPr>
                <w:rFonts w:ascii="宋体" w:hAnsi="宋体" w:cs="宋体" w:eastAsia="宋体" w:hint="default"/>
                <w:sz w:val="18"/>
                <w:szCs w:val="18"/>
              </w:rPr>
              <w:t>年股票期权激励计划（草案）》</w:t>
            </w:r>
          </w:p>
        </w:tc>
      </w:tr>
      <w:tr>
        <w:trPr>
          <w:trHeight w:val="1283" w:hRule="exact"/>
        </w:trPr>
        <w:tc>
          <w:tcPr>
            <w:tcW w:w="18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8</w:t>
            </w:r>
            <w:r>
              <w:rPr>
                <w:rFonts w:ascii="宋体" w:hAnsi="宋体" w:cs="宋体" w:eastAsia="宋体" w:hint="default"/>
                <w:sz w:val="18"/>
                <w:szCs w:val="18"/>
              </w:rPr>
              <w:t>月</w:t>
            </w:r>
            <w:r>
              <w:rPr>
                <w:rFonts w:ascii="Times New Roman" w:hAnsi="Times New Roman" w:cs="Times New Roman" w:eastAsia="Times New Roman" w:hint="default"/>
                <w:sz w:val="18"/>
                <w:szCs w:val="18"/>
              </w:rPr>
              <w:t>29</w:t>
            </w:r>
            <w:r>
              <w:rPr>
                <w:rFonts w:ascii="宋体" w:hAnsi="宋体" w:cs="宋体" w:eastAsia="宋体" w:hint="default"/>
                <w:sz w:val="18"/>
                <w:szCs w:val="18"/>
              </w:rPr>
              <w:t>日</w:t>
            </w:r>
          </w:p>
        </w:tc>
        <w:tc>
          <w:tcPr>
            <w:tcW w:w="28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
              <w:ind w:right="0"/>
              <w:jc w:val="center"/>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240" w:lineRule="auto" w:before="77"/>
              <w:ind w:right="1"/>
              <w:jc w:val="center"/>
              <w:rPr>
                <w:rFonts w:ascii="宋体" w:hAnsi="宋体" w:cs="宋体" w:eastAsia="宋体" w:hint="default"/>
                <w:sz w:val="18"/>
                <w:szCs w:val="18"/>
              </w:rPr>
            </w:pPr>
            <w:r>
              <w:rPr>
                <w:rFonts w:ascii="宋体" w:hAnsi="宋体" w:cs="宋体" w:eastAsia="宋体" w:hint="default"/>
                <w:sz w:val="18"/>
                <w:szCs w:val="18"/>
              </w:rPr>
              <w:t>（</w:t>
            </w:r>
            <w:hyperlink r:id="rId13">
              <w:r>
                <w:rPr>
                  <w:rFonts w:ascii="Times New Roman" w:hAnsi="Times New Roman" w:cs="Times New Roman" w:eastAsia="Times New Roman" w:hint="default"/>
                  <w:sz w:val="18"/>
                  <w:szCs w:val="18"/>
                </w:rPr>
                <w:t>www.cninfo.com.cn</w:t>
              </w:r>
            </w:hyperlink>
            <w:r>
              <w:rPr>
                <w:rFonts w:ascii="宋体" w:hAnsi="宋体" w:cs="宋体" w:eastAsia="宋体" w:hint="default"/>
                <w:sz w:val="18"/>
                <w:szCs w:val="18"/>
              </w:rPr>
              <w:t>）</w:t>
            </w:r>
          </w:p>
        </w:tc>
        <w:tc>
          <w:tcPr>
            <w:tcW w:w="4820"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16"/>
              <w:ind w:left="3" w:right="0" w:hanging="2"/>
              <w:jc w:val="center"/>
              <w:rPr>
                <w:rFonts w:ascii="宋体" w:hAnsi="宋体" w:cs="宋体" w:eastAsia="宋体" w:hint="default"/>
                <w:sz w:val="18"/>
                <w:szCs w:val="18"/>
              </w:rPr>
            </w:pPr>
            <w:r>
              <w:rPr>
                <w:rFonts w:ascii="宋体" w:hAnsi="宋体" w:cs="宋体" w:eastAsia="宋体" w:hint="default"/>
                <w:sz w:val="18"/>
                <w:szCs w:val="18"/>
              </w:rPr>
              <w:t>《奥拓电子：</w:t>
            </w:r>
            <w:r>
              <w:rPr>
                <w:rFonts w:ascii="Times New Roman" w:hAnsi="Times New Roman" w:cs="Times New Roman" w:eastAsia="Times New Roman" w:hint="default"/>
                <w:sz w:val="18"/>
                <w:szCs w:val="18"/>
              </w:rPr>
              <w:t>2017</w:t>
            </w:r>
            <w:r>
              <w:rPr>
                <w:rFonts w:ascii="宋体" w:hAnsi="宋体" w:cs="宋体" w:eastAsia="宋体" w:hint="default"/>
                <w:sz w:val="18"/>
                <w:szCs w:val="18"/>
              </w:rPr>
              <w:t>年股票期权激励计划激励对象名单（调整 </w:t>
            </w:r>
            <w:r>
              <w:rPr>
                <w:rFonts w:ascii="宋体" w:hAnsi="宋体" w:cs="宋体" w:eastAsia="宋体" w:hint="default"/>
                <w:spacing w:val="-3"/>
                <w:sz w:val="18"/>
                <w:szCs w:val="18"/>
              </w:rPr>
              <w:t>后）》、《奥拓电子：关于调整</w:t>
            </w:r>
            <w:r>
              <w:rPr>
                <w:rFonts w:ascii="Times New Roman" w:hAnsi="Times New Roman" w:cs="Times New Roman" w:eastAsia="Times New Roman" w:hint="default"/>
                <w:spacing w:val="-3"/>
                <w:sz w:val="18"/>
                <w:szCs w:val="18"/>
              </w:rPr>
              <w:t>2017</w:t>
            </w:r>
            <w:r>
              <w:rPr>
                <w:rFonts w:ascii="宋体" w:hAnsi="宋体" w:cs="宋体" w:eastAsia="宋体" w:hint="default"/>
                <w:spacing w:val="-3"/>
                <w:sz w:val="18"/>
                <w:szCs w:val="18"/>
              </w:rPr>
              <w:t>年股票期权激励计划授权</w:t>
            </w:r>
            <w:r>
              <w:rPr>
                <w:rFonts w:ascii="宋体" w:hAnsi="宋体" w:cs="宋体" w:eastAsia="宋体" w:hint="default"/>
                <w:spacing w:val="-81"/>
                <w:sz w:val="18"/>
                <w:szCs w:val="18"/>
              </w:rPr>
              <w:t> </w:t>
            </w:r>
            <w:r>
              <w:rPr>
                <w:rFonts w:ascii="宋体" w:hAnsi="宋体" w:cs="宋体" w:eastAsia="宋体" w:hint="default"/>
                <w:spacing w:val="-3"/>
                <w:sz w:val="18"/>
                <w:szCs w:val="18"/>
              </w:rPr>
              <w:t>对象及授权数量的公告》、《奥拓电子：关于</w:t>
            </w:r>
            <w:r>
              <w:rPr>
                <w:rFonts w:ascii="Times New Roman" w:hAnsi="Times New Roman" w:cs="Times New Roman" w:eastAsia="Times New Roman" w:hint="default"/>
                <w:spacing w:val="-3"/>
                <w:sz w:val="18"/>
                <w:szCs w:val="18"/>
              </w:rPr>
              <w:t>2017</w:t>
            </w:r>
            <w:r>
              <w:rPr>
                <w:rFonts w:ascii="宋体" w:hAnsi="宋体" w:cs="宋体" w:eastAsia="宋体" w:hint="default"/>
                <w:spacing w:val="-3"/>
                <w:sz w:val="18"/>
                <w:szCs w:val="18"/>
              </w:rPr>
              <w:t>年股票期权</w:t>
            </w:r>
            <w:r>
              <w:rPr>
                <w:rFonts w:ascii="宋体" w:hAnsi="宋体" w:cs="宋体" w:eastAsia="宋体" w:hint="default"/>
                <w:spacing w:val="-78"/>
                <w:sz w:val="18"/>
                <w:szCs w:val="18"/>
              </w:rPr>
              <w:t> </w:t>
            </w:r>
            <w:r>
              <w:rPr>
                <w:rFonts w:ascii="宋体" w:hAnsi="宋体" w:cs="宋体" w:eastAsia="宋体" w:hint="default"/>
                <w:sz w:val="18"/>
                <w:szCs w:val="18"/>
              </w:rPr>
              <w:t>激励计划向激励对象首次授予股票期权的公告》</w:t>
            </w:r>
          </w:p>
        </w:tc>
      </w:tr>
      <w:tr>
        <w:trPr>
          <w:trHeight w:val="660" w:hRule="exact"/>
        </w:trPr>
        <w:tc>
          <w:tcPr>
            <w:tcW w:w="18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9</w:t>
            </w:r>
            <w:r>
              <w:rPr>
                <w:rFonts w:ascii="宋体" w:hAnsi="宋体" w:cs="宋体" w:eastAsia="宋体" w:hint="default"/>
                <w:sz w:val="18"/>
                <w:szCs w:val="18"/>
              </w:rPr>
              <w:t>月</w:t>
            </w:r>
            <w:r>
              <w:rPr>
                <w:rFonts w:ascii="Times New Roman" w:hAnsi="Times New Roman" w:cs="Times New Roman" w:eastAsia="Times New Roman" w:hint="default"/>
                <w:sz w:val="18"/>
                <w:szCs w:val="18"/>
              </w:rPr>
              <w:t>19</w:t>
            </w:r>
            <w:r>
              <w:rPr>
                <w:rFonts w:ascii="宋体" w:hAnsi="宋体" w:cs="宋体" w:eastAsia="宋体" w:hint="default"/>
                <w:sz w:val="18"/>
                <w:szCs w:val="18"/>
              </w:rPr>
              <w:t>日</w:t>
            </w:r>
          </w:p>
        </w:tc>
        <w:tc>
          <w:tcPr>
            <w:tcW w:w="28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
              <w:ind w:right="0"/>
              <w:jc w:val="center"/>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sz w:val="18"/>
                <w:szCs w:val="18"/>
              </w:rPr>
              <w:t>（</w:t>
            </w:r>
            <w:hyperlink r:id="rId13">
              <w:r>
                <w:rPr>
                  <w:rFonts w:ascii="Times New Roman" w:hAnsi="Times New Roman" w:cs="Times New Roman" w:eastAsia="Times New Roman" w:hint="default"/>
                  <w:sz w:val="18"/>
                  <w:szCs w:val="18"/>
                </w:rPr>
                <w:t>www.cninfo.com.cn</w:t>
              </w:r>
            </w:hyperlink>
            <w:r>
              <w:rPr>
                <w:rFonts w:ascii="宋体" w:hAnsi="宋体" w:cs="宋体" w:eastAsia="宋体" w:hint="default"/>
                <w:sz w:val="18"/>
                <w:szCs w:val="18"/>
              </w:rPr>
              <w:t>）</w:t>
            </w:r>
          </w:p>
        </w:tc>
        <w:tc>
          <w:tcPr>
            <w:tcW w:w="4820"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16"/>
              <w:ind w:left="1232" w:right="0" w:hanging="1229"/>
              <w:jc w:val="left"/>
              <w:rPr>
                <w:rFonts w:ascii="宋体" w:hAnsi="宋体" w:cs="宋体" w:eastAsia="宋体" w:hint="default"/>
                <w:sz w:val="18"/>
                <w:szCs w:val="18"/>
              </w:rPr>
            </w:pPr>
            <w:r>
              <w:rPr>
                <w:rFonts w:ascii="宋体" w:hAnsi="宋体" w:cs="宋体" w:eastAsia="宋体" w:hint="default"/>
                <w:spacing w:val="-3"/>
                <w:sz w:val="18"/>
                <w:szCs w:val="18"/>
              </w:rPr>
              <w:t>《奥拓电子：关于向</w:t>
            </w:r>
            <w:r>
              <w:rPr>
                <w:rFonts w:ascii="Times New Roman" w:hAnsi="Times New Roman" w:cs="Times New Roman" w:eastAsia="Times New Roman" w:hint="default"/>
                <w:spacing w:val="-3"/>
                <w:sz w:val="18"/>
                <w:szCs w:val="18"/>
              </w:rPr>
              <w:t>2017</w:t>
            </w:r>
            <w:r>
              <w:rPr>
                <w:rFonts w:ascii="宋体" w:hAnsi="宋体" w:cs="宋体" w:eastAsia="宋体" w:hint="default"/>
                <w:spacing w:val="-3"/>
                <w:sz w:val="18"/>
                <w:szCs w:val="18"/>
              </w:rPr>
              <w:t>年股票期权激励计划激励对象首次授</w:t>
            </w:r>
            <w:r>
              <w:rPr>
                <w:rFonts w:ascii="宋体" w:hAnsi="宋体" w:cs="宋体" w:eastAsia="宋体" w:hint="default"/>
                <w:spacing w:val="-65"/>
                <w:sz w:val="18"/>
                <w:szCs w:val="18"/>
              </w:rPr>
              <w:t> </w:t>
            </w:r>
            <w:r>
              <w:rPr>
                <w:rFonts w:ascii="宋体" w:hAnsi="宋体" w:cs="宋体" w:eastAsia="宋体" w:hint="default"/>
                <w:sz w:val="18"/>
                <w:szCs w:val="18"/>
              </w:rPr>
              <w:t>予股票期权登记完成的公告》</w:t>
            </w:r>
          </w:p>
        </w:tc>
      </w:tr>
    </w:tbl>
    <w:p>
      <w:pPr>
        <w:spacing w:line="240" w:lineRule="auto" w:before="9"/>
        <w:rPr>
          <w:rFonts w:ascii="宋体" w:hAnsi="宋体" w:cs="宋体" w:eastAsia="宋体" w:hint="default"/>
          <w:sz w:val="17"/>
          <w:szCs w:val="17"/>
        </w:rPr>
      </w:pPr>
    </w:p>
    <w:p>
      <w:pPr>
        <w:pStyle w:val="Heading2"/>
        <w:spacing w:line="240" w:lineRule="auto" w:before="26"/>
        <w:ind w:left="154" w:right="0"/>
        <w:jc w:val="left"/>
        <w:rPr>
          <w:b w:val="0"/>
          <w:bCs w:val="0"/>
        </w:rPr>
      </w:pPr>
      <w:bookmarkStart w:name="十六、重大关联交易" w:id="80"/>
      <w:bookmarkEnd w:id="80"/>
      <w:r>
        <w:rPr>
          <w:b w:val="0"/>
          <w:bCs w:val="0"/>
        </w:rPr>
      </w:r>
      <w:r>
        <w:rPr/>
        <w:t>十六、重大关联交易</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53" w:right="0"/>
        <w:jc w:val="left"/>
        <w:rPr>
          <w:b w:val="0"/>
          <w:bCs w:val="0"/>
        </w:rPr>
      </w:pPr>
      <w:bookmarkStart w:name="1、与日常经营相关的关联交易" w:id="81"/>
      <w:bookmarkEnd w:id="81"/>
      <w:r>
        <w:rPr>
          <w:b w:val="0"/>
          <w:bCs w:val="0"/>
        </w:rPr>
      </w:r>
      <w:r>
        <w:rPr>
          <w:rFonts w:ascii="Times New Roman" w:hAnsi="Times New Roman" w:cs="Times New Roman" w:eastAsia="Times New Roman" w:hint="default"/>
        </w:rPr>
        <w:t>1</w:t>
      </w:r>
      <w:r>
        <w:rPr/>
        <w:t>、与日常经营相关的关联交易</w:t>
      </w:r>
      <w:r>
        <w:rPr>
          <w:b w:val="0"/>
          <w:bCs w:val="0"/>
        </w:rPr>
      </w:r>
    </w:p>
    <w:p>
      <w:pPr>
        <w:spacing w:line="240" w:lineRule="auto" w:before="8"/>
        <w:rPr>
          <w:rFonts w:ascii="宋体" w:hAnsi="宋体" w:cs="宋体" w:eastAsia="宋体" w:hint="default"/>
          <w:b/>
          <w:bCs/>
          <w:sz w:val="26"/>
          <w:szCs w:val="26"/>
        </w:rPr>
      </w:pPr>
    </w:p>
    <w:p>
      <w:pPr>
        <w:pStyle w:val="BodyText"/>
        <w:spacing w:line="338" w:lineRule="auto"/>
        <w:ind w:right="679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公司报告期未发生与日常经营相关的关联交易。</w:t>
      </w:r>
    </w:p>
    <w:p>
      <w:pPr>
        <w:spacing w:line="240" w:lineRule="auto" w:before="2"/>
        <w:rPr>
          <w:rFonts w:ascii="宋体" w:hAnsi="宋体" w:cs="宋体" w:eastAsia="宋体" w:hint="default"/>
          <w:sz w:val="21"/>
          <w:szCs w:val="21"/>
        </w:rPr>
      </w:pPr>
    </w:p>
    <w:p>
      <w:pPr>
        <w:pStyle w:val="Heading3"/>
        <w:spacing w:line="240" w:lineRule="auto"/>
        <w:ind w:left="153" w:right="0"/>
        <w:jc w:val="left"/>
        <w:rPr>
          <w:b w:val="0"/>
          <w:bCs w:val="0"/>
        </w:rPr>
      </w:pPr>
      <w:bookmarkStart w:name="2、资产或股权收购、出售发生的关联交易" w:id="82"/>
      <w:bookmarkEnd w:id="82"/>
      <w:r>
        <w:rPr>
          <w:b w:val="0"/>
          <w:bCs w:val="0"/>
        </w:rPr>
      </w:r>
      <w:r>
        <w:rPr>
          <w:rFonts w:ascii="Times New Roman" w:hAnsi="Times New Roman" w:cs="Times New Roman" w:eastAsia="Times New Roman" w:hint="default"/>
        </w:rPr>
        <w:t>2</w:t>
      </w:r>
      <w:r>
        <w:rPr/>
        <w:t>、资产或股权收购、出售发生的关联交易</w:t>
      </w:r>
      <w:r>
        <w:rPr>
          <w:b w:val="0"/>
          <w:bCs w:val="0"/>
        </w:rPr>
      </w:r>
    </w:p>
    <w:p>
      <w:pPr>
        <w:spacing w:line="240" w:lineRule="auto" w:before="9"/>
        <w:rPr>
          <w:rFonts w:ascii="宋体" w:hAnsi="宋体" w:cs="宋体" w:eastAsia="宋体" w:hint="default"/>
          <w:b/>
          <w:bCs/>
          <w:sz w:val="26"/>
          <w:szCs w:val="26"/>
        </w:rPr>
      </w:pPr>
    </w:p>
    <w:p>
      <w:pPr>
        <w:pStyle w:val="BodyText"/>
        <w:spacing w:line="338" w:lineRule="auto"/>
        <w:ind w:right="64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公司报告期未发生资产或股权收购、出售的关联交易。</w:t>
      </w:r>
    </w:p>
    <w:p>
      <w:pPr>
        <w:spacing w:line="240" w:lineRule="auto" w:before="2"/>
        <w:rPr>
          <w:rFonts w:ascii="宋体" w:hAnsi="宋体" w:cs="宋体" w:eastAsia="宋体" w:hint="default"/>
          <w:sz w:val="21"/>
          <w:szCs w:val="21"/>
        </w:rPr>
      </w:pPr>
    </w:p>
    <w:p>
      <w:pPr>
        <w:pStyle w:val="Heading3"/>
        <w:spacing w:line="240" w:lineRule="auto"/>
        <w:ind w:right="0"/>
        <w:jc w:val="left"/>
        <w:rPr>
          <w:b w:val="0"/>
          <w:bCs w:val="0"/>
        </w:rPr>
      </w:pPr>
      <w:bookmarkStart w:name="3、共同对外投资的关联交易" w:id="83"/>
      <w:bookmarkEnd w:id="83"/>
      <w:r>
        <w:rPr>
          <w:b w:val="0"/>
          <w:bCs w:val="0"/>
        </w:rPr>
      </w:r>
      <w:r>
        <w:rPr>
          <w:rFonts w:ascii="Times New Roman" w:hAnsi="Times New Roman" w:cs="Times New Roman" w:eastAsia="Times New Roman" w:hint="default"/>
        </w:rPr>
        <w:t>3</w:t>
      </w:r>
      <w:r>
        <w:rPr/>
        <w:t>、共同对外投资的关联交易</w:t>
      </w:r>
      <w:r>
        <w:rPr>
          <w:b w:val="0"/>
          <w:bCs w:val="0"/>
        </w:rPr>
      </w:r>
    </w:p>
    <w:p>
      <w:pPr>
        <w:spacing w:line="240" w:lineRule="auto" w:before="9"/>
        <w:rPr>
          <w:rFonts w:ascii="宋体" w:hAnsi="宋体" w:cs="宋体" w:eastAsia="宋体" w:hint="default"/>
          <w:b/>
          <w:bCs/>
          <w:sz w:val="26"/>
          <w:szCs w:val="26"/>
        </w:rPr>
      </w:pPr>
    </w:p>
    <w:p>
      <w:pPr>
        <w:pStyle w:val="BodyText"/>
        <w:spacing w:line="338" w:lineRule="auto"/>
        <w:ind w:right="715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公司报告期未发生共同对外投资的关联交易。</w:t>
      </w:r>
    </w:p>
    <w:p>
      <w:pPr>
        <w:spacing w:after="0" w:line="338" w:lineRule="auto"/>
        <w:jc w:val="left"/>
        <w:sectPr>
          <w:pgSz w:w="11910" w:h="16840"/>
          <w:pgMar w:header="747" w:footer="979" w:top="1060" w:bottom="1160" w:left="980" w:right="0"/>
        </w:sectPr>
      </w:pPr>
    </w:p>
    <w:p>
      <w:pPr>
        <w:spacing w:line="240" w:lineRule="auto" w:before="9"/>
        <w:rPr>
          <w:rFonts w:ascii="宋体" w:hAnsi="宋体" w:cs="宋体" w:eastAsia="宋体" w:hint="default"/>
          <w:sz w:val="24"/>
          <w:szCs w:val="24"/>
        </w:rPr>
      </w:pPr>
    </w:p>
    <w:p>
      <w:pPr>
        <w:pStyle w:val="Heading3"/>
        <w:spacing w:line="240" w:lineRule="auto" w:before="35"/>
        <w:ind w:left="153" w:right="0"/>
        <w:jc w:val="left"/>
        <w:rPr>
          <w:b w:val="0"/>
          <w:bCs w:val="0"/>
        </w:rPr>
      </w:pPr>
      <w:bookmarkStart w:name="4、关联债权债务往来" w:id="84"/>
      <w:bookmarkEnd w:id="84"/>
      <w:r>
        <w:rPr>
          <w:b w:val="0"/>
          <w:bCs w:val="0"/>
        </w:rPr>
      </w:r>
      <w:r>
        <w:rPr>
          <w:rFonts w:ascii="Times New Roman" w:hAnsi="Times New Roman" w:cs="Times New Roman" w:eastAsia="Times New Roman" w:hint="default"/>
        </w:rPr>
        <w:t>4</w:t>
      </w:r>
      <w:r>
        <w:rPr/>
        <w:t>、关联债权债务往来</w:t>
      </w:r>
      <w:r>
        <w:rPr>
          <w:b w:val="0"/>
          <w:bCs w:val="0"/>
        </w:rPr>
      </w:r>
    </w:p>
    <w:p>
      <w:pPr>
        <w:spacing w:line="240" w:lineRule="auto" w:before="9"/>
        <w:rPr>
          <w:rFonts w:ascii="宋体" w:hAnsi="宋体" w:cs="宋体" w:eastAsia="宋体" w:hint="default"/>
          <w:b/>
          <w:bCs/>
          <w:sz w:val="26"/>
          <w:szCs w:val="26"/>
        </w:rPr>
      </w:pPr>
    </w:p>
    <w:p>
      <w:pPr>
        <w:pStyle w:val="BodyText"/>
        <w:spacing w:line="338" w:lineRule="auto"/>
        <w:ind w:right="769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公司报告期不存在关联债权债务往来。</w:t>
      </w:r>
    </w:p>
    <w:p>
      <w:pPr>
        <w:spacing w:line="240" w:lineRule="auto" w:before="3"/>
        <w:rPr>
          <w:rFonts w:ascii="宋体" w:hAnsi="宋体" w:cs="宋体" w:eastAsia="宋体" w:hint="default"/>
          <w:sz w:val="21"/>
          <w:szCs w:val="21"/>
        </w:rPr>
      </w:pPr>
    </w:p>
    <w:p>
      <w:pPr>
        <w:pStyle w:val="Heading3"/>
        <w:spacing w:line="240" w:lineRule="auto"/>
        <w:ind w:left="153" w:right="0"/>
        <w:jc w:val="left"/>
        <w:rPr>
          <w:b w:val="0"/>
          <w:bCs w:val="0"/>
        </w:rPr>
      </w:pPr>
      <w:bookmarkStart w:name="5、其他重大关联交易" w:id="85"/>
      <w:bookmarkEnd w:id="85"/>
      <w:r>
        <w:rPr>
          <w:b w:val="0"/>
          <w:bCs w:val="0"/>
        </w:rPr>
      </w:r>
      <w:r>
        <w:rPr>
          <w:rFonts w:ascii="Times New Roman" w:hAnsi="Times New Roman" w:cs="Times New Roman" w:eastAsia="Times New Roman" w:hint="default"/>
        </w:rPr>
        <w:t>5</w:t>
      </w:r>
      <w:r>
        <w:rPr/>
        <w:t>、其他重大关联交易</w:t>
      </w:r>
      <w:r>
        <w:rPr>
          <w:b w:val="0"/>
          <w:bCs w:val="0"/>
        </w:rPr>
      </w:r>
    </w:p>
    <w:p>
      <w:pPr>
        <w:spacing w:line="240" w:lineRule="auto" w:before="8"/>
        <w:rPr>
          <w:rFonts w:ascii="宋体" w:hAnsi="宋体" w:cs="宋体" w:eastAsia="宋体" w:hint="default"/>
          <w:b/>
          <w:bCs/>
          <w:sz w:val="26"/>
          <w:szCs w:val="26"/>
        </w:rPr>
      </w:pPr>
    </w:p>
    <w:p>
      <w:pPr>
        <w:pStyle w:val="BodyText"/>
        <w:spacing w:line="340" w:lineRule="auto"/>
        <w:ind w:right="805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公司报告期无其他重大关联交易。</w:t>
      </w:r>
    </w:p>
    <w:p>
      <w:pPr>
        <w:spacing w:line="240" w:lineRule="auto" w:before="3"/>
        <w:rPr>
          <w:rFonts w:ascii="宋体" w:hAnsi="宋体" w:cs="宋体" w:eastAsia="宋体" w:hint="default"/>
          <w:sz w:val="19"/>
          <w:szCs w:val="19"/>
        </w:rPr>
      </w:pPr>
    </w:p>
    <w:p>
      <w:pPr>
        <w:pStyle w:val="Heading2"/>
        <w:spacing w:line="240" w:lineRule="auto"/>
        <w:ind w:right="0"/>
        <w:jc w:val="left"/>
        <w:rPr>
          <w:b w:val="0"/>
          <w:bCs w:val="0"/>
        </w:rPr>
      </w:pPr>
      <w:bookmarkStart w:name="十七、重大合同及其履行情况" w:id="86"/>
      <w:bookmarkEnd w:id="86"/>
      <w:r>
        <w:rPr>
          <w:b w:val="0"/>
          <w:bCs w:val="0"/>
        </w:rPr>
      </w:r>
      <w:r>
        <w:rPr/>
        <w:t>十七、重大合同及其履行情况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left="153" w:right="0"/>
        <w:jc w:val="left"/>
        <w:rPr>
          <w:b w:val="0"/>
          <w:bCs w:val="0"/>
        </w:rPr>
      </w:pPr>
      <w:bookmarkStart w:name="1、托管、承包、租赁事项情况" w:id="87"/>
      <w:bookmarkEnd w:id="87"/>
      <w:r>
        <w:rPr>
          <w:b w:val="0"/>
          <w:bCs w:val="0"/>
        </w:rPr>
      </w:r>
      <w:r>
        <w:rPr>
          <w:rFonts w:ascii="Times New Roman" w:hAnsi="Times New Roman" w:cs="Times New Roman" w:eastAsia="Times New Roman" w:hint="default"/>
        </w:rPr>
        <w:t>1</w:t>
      </w:r>
      <w:r>
        <w:rPr/>
        <w:t>、托管、承包、租赁事项情况</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53" w:right="0"/>
        <w:jc w:val="left"/>
        <w:rPr>
          <w:b w:val="0"/>
          <w:bCs w:val="0"/>
        </w:rPr>
      </w:pPr>
      <w:bookmarkStart w:name="（1）托管情况" w:id="88"/>
      <w:bookmarkEnd w:id="88"/>
      <w:r>
        <w:rPr>
          <w:b w:val="0"/>
          <w:bCs w:val="0"/>
        </w:rPr>
      </w:r>
      <w:r>
        <w:rPr/>
        <w:t>（</w:t>
      </w:r>
      <w:r>
        <w:rPr>
          <w:rFonts w:ascii="Times New Roman" w:hAnsi="Times New Roman" w:cs="Times New Roman" w:eastAsia="Times New Roman" w:hint="default"/>
        </w:rPr>
        <w:t>1</w:t>
      </w:r>
      <w:r>
        <w:rPr/>
        <w:t>）托管情况</w:t>
      </w:r>
      <w:r>
        <w:rPr>
          <w:b w:val="0"/>
          <w:bCs w:val="0"/>
        </w:rPr>
      </w:r>
    </w:p>
    <w:p>
      <w:pPr>
        <w:spacing w:line="240" w:lineRule="auto" w:before="8"/>
        <w:rPr>
          <w:rFonts w:ascii="宋体" w:hAnsi="宋体" w:cs="宋体" w:eastAsia="宋体" w:hint="default"/>
          <w:b/>
          <w:bCs/>
          <w:sz w:val="26"/>
          <w:szCs w:val="26"/>
        </w:rPr>
      </w:pPr>
    </w:p>
    <w:p>
      <w:pPr>
        <w:pStyle w:val="BodyText"/>
        <w:spacing w:line="338" w:lineRule="auto"/>
        <w:ind w:right="841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公司报告期不存在托管情况。</w:t>
      </w:r>
    </w:p>
    <w:p>
      <w:pPr>
        <w:spacing w:line="240" w:lineRule="auto" w:before="2"/>
        <w:rPr>
          <w:rFonts w:ascii="宋体" w:hAnsi="宋体" w:cs="宋体" w:eastAsia="宋体" w:hint="default"/>
          <w:sz w:val="21"/>
          <w:szCs w:val="21"/>
        </w:rPr>
      </w:pPr>
    </w:p>
    <w:p>
      <w:pPr>
        <w:pStyle w:val="Heading3"/>
        <w:spacing w:line="240" w:lineRule="auto"/>
        <w:ind w:left="153" w:right="0"/>
        <w:jc w:val="left"/>
        <w:rPr>
          <w:b w:val="0"/>
          <w:bCs w:val="0"/>
        </w:rPr>
      </w:pPr>
      <w:bookmarkStart w:name="（2）承包情况" w:id="89"/>
      <w:bookmarkEnd w:id="89"/>
      <w:r>
        <w:rPr>
          <w:b w:val="0"/>
          <w:bCs w:val="0"/>
        </w:rPr>
      </w:r>
      <w:r>
        <w:rPr/>
        <w:t>（</w:t>
      </w:r>
      <w:r>
        <w:rPr>
          <w:rFonts w:ascii="Times New Roman" w:hAnsi="Times New Roman" w:cs="Times New Roman" w:eastAsia="Times New Roman" w:hint="default"/>
        </w:rPr>
        <w:t>2</w:t>
      </w:r>
      <w:r>
        <w:rPr/>
        <w:t>）承包情况</w:t>
      </w:r>
      <w:r>
        <w:rPr>
          <w:b w:val="0"/>
          <w:bCs w:val="0"/>
        </w:rPr>
      </w:r>
    </w:p>
    <w:p>
      <w:pPr>
        <w:spacing w:line="240" w:lineRule="auto" w:before="8"/>
        <w:rPr>
          <w:rFonts w:ascii="宋体" w:hAnsi="宋体" w:cs="宋体" w:eastAsia="宋体" w:hint="default"/>
          <w:b/>
          <w:bCs/>
          <w:sz w:val="26"/>
          <w:szCs w:val="26"/>
        </w:rPr>
      </w:pPr>
    </w:p>
    <w:p>
      <w:pPr>
        <w:pStyle w:val="BodyText"/>
        <w:spacing w:line="340" w:lineRule="auto"/>
        <w:ind w:right="841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公司报告期不存在承包情况。</w:t>
      </w:r>
    </w:p>
    <w:p>
      <w:pPr>
        <w:spacing w:line="240" w:lineRule="auto" w:before="12"/>
        <w:rPr>
          <w:rFonts w:ascii="宋体" w:hAnsi="宋体" w:cs="宋体" w:eastAsia="宋体" w:hint="default"/>
          <w:sz w:val="20"/>
          <w:szCs w:val="20"/>
        </w:rPr>
      </w:pPr>
    </w:p>
    <w:p>
      <w:pPr>
        <w:pStyle w:val="Heading3"/>
        <w:spacing w:line="240" w:lineRule="auto"/>
        <w:ind w:left="153" w:right="0"/>
        <w:jc w:val="left"/>
        <w:rPr>
          <w:b w:val="0"/>
          <w:bCs w:val="0"/>
        </w:rPr>
      </w:pPr>
      <w:bookmarkStart w:name="（3）租赁情况" w:id="90"/>
      <w:bookmarkEnd w:id="90"/>
      <w:r>
        <w:rPr>
          <w:b w:val="0"/>
          <w:bCs w:val="0"/>
        </w:rPr>
      </w:r>
      <w:r>
        <w:rPr/>
        <w:t>（</w:t>
      </w:r>
      <w:r>
        <w:rPr>
          <w:rFonts w:ascii="Times New Roman" w:hAnsi="Times New Roman" w:cs="Times New Roman" w:eastAsia="Times New Roman" w:hint="default"/>
        </w:rPr>
        <w:t>3</w:t>
      </w:r>
      <w:r>
        <w:rPr/>
        <w:t>）租赁情况</w:t>
      </w:r>
      <w:r>
        <w:rPr>
          <w:b w:val="0"/>
          <w:bCs w:val="0"/>
        </w:rPr>
      </w:r>
    </w:p>
    <w:p>
      <w:pPr>
        <w:spacing w:line="240" w:lineRule="auto" w:before="9"/>
        <w:rPr>
          <w:rFonts w:ascii="宋体" w:hAnsi="宋体" w:cs="宋体" w:eastAsia="宋体" w:hint="default"/>
          <w:b/>
          <w:bCs/>
          <w:sz w:val="26"/>
          <w:szCs w:val="26"/>
        </w:rPr>
      </w:pPr>
    </w:p>
    <w:p>
      <w:pPr>
        <w:pStyle w:val="BodyText"/>
        <w:spacing w:line="338" w:lineRule="auto"/>
        <w:ind w:right="841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公司报告期不存在租赁情况。</w:t>
      </w:r>
    </w:p>
    <w:p>
      <w:pPr>
        <w:spacing w:line="240" w:lineRule="auto" w:before="2"/>
        <w:rPr>
          <w:rFonts w:ascii="宋体" w:hAnsi="宋体" w:cs="宋体" w:eastAsia="宋体" w:hint="default"/>
          <w:sz w:val="21"/>
          <w:szCs w:val="21"/>
        </w:rPr>
      </w:pPr>
    </w:p>
    <w:p>
      <w:pPr>
        <w:pStyle w:val="Heading3"/>
        <w:spacing w:line="240" w:lineRule="auto"/>
        <w:ind w:left="153" w:right="0"/>
        <w:jc w:val="left"/>
        <w:rPr>
          <w:b w:val="0"/>
          <w:bCs w:val="0"/>
        </w:rPr>
      </w:pPr>
      <w:bookmarkStart w:name="2、重大担保" w:id="91"/>
      <w:bookmarkEnd w:id="91"/>
      <w:r>
        <w:rPr>
          <w:b w:val="0"/>
          <w:bCs w:val="0"/>
        </w:rPr>
      </w:r>
      <w:r>
        <w:rPr>
          <w:rFonts w:ascii="Times New Roman" w:hAnsi="Times New Roman" w:cs="Times New Roman" w:eastAsia="Times New Roman" w:hint="default"/>
        </w:rPr>
        <w:t>2</w:t>
      </w:r>
      <w:r>
        <w:rPr/>
        <w:t>、重大担保</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0"/>
        <w:rPr>
          <w:rFonts w:ascii="宋体" w:hAnsi="宋体" w:cs="宋体" w:eastAsia="宋体" w:hint="default"/>
          <w:sz w:val="25"/>
          <w:szCs w:val="25"/>
        </w:rPr>
      </w:pPr>
    </w:p>
    <w:p>
      <w:pPr>
        <w:pStyle w:val="Heading3"/>
        <w:spacing w:line="240" w:lineRule="auto"/>
        <w:ind w:left="153" w:right="0"/>
        <w:jc w:val="left"/>
        <w:rPr>
          <w:b w:val="0"/>
          <w:bCs w:val="0"/>
        </w:rPr>
      </w:pPr>
      <w:bookmarkStart w:name="（1）担保情况" w:id="92"/>
      <w:bookmarkEnd w:id="92"/>
      <w:r>
        <w:rPr>
          <w:b w:val="0"/>
          <w:bCs w:val="0"/>
        </w:rPr>
      </w:r>
      <w:r>
        <w:rPr/>
        <w:t>（</w:t>
      </w:r>
      <w:r>
        <w:rPr>
          <w:rFonts w:ascii="Times New Roman" w:hAnsi="Times New Roman" w:cs="Times New Roman" w:eastAsia="Times New Roman" w:hint="default"/>
        </w:rPr>
        <w:t>1</w:t>
      </w:r>
      <w:r>
        <w:rPr/>
        <w:t>）担保情况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单位：万元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709"/>
        <w:gridCol w:w="931"/>
        <w:gridCol w:w="919"/>
        <w:gridCol w:w="1296"/>
        <w:gridCol w:w="1063"/>
        <w:gridCol w:w="1034"/>
        <w:gridCol w:w="1053"/>
        <w:gridCol w:w="788"/>
        <w:gridCol w:w="780"/>
      </w:tblGrid>
      <w:tr>
        <w:trPr>
          <w:trHeight w:val="402" w:hRule="exact"/>
        </w:trPr>
        <w:tc>
          <w:tcPr>
            <w:tcW w:w="9575"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531" w:right="0"/>
              <w:jc w:val="left"/>
              <w:rPr>
                <w:rFonts w:ascii="宋体" w:hAnsi="宋体" w:cs="宋体" w:eastAsia="宋体" w:hint="default"/>
                <w:sz w:val="18"/>
                <w:szCs w:val="18"/>
              </w:rPr>
            </w:pPr>
            <w:r>
              <w:rPr>
                <w:rFonts w:ascii="宋体" w:hAnsi="宋体" w:cs="宋体" w:eastAsia="宋体" w:hint="default"/>
                <w:sz w:val="18"/>
                <w:szCs w:val="18"/>
              </w:rPr>
              <w:t>公司及其子公司对外担保情况（不包括对子公司的担保）</w:t>
            </w:r>
          </w:p>
        </w:tc>
      </w:tr>
      <w:tr>
        <w:trPr>
          <w:trHeight w:val="1026" w:hRule="exact"/>
        </w:trPr>
        <w:tc>
          <w:tcPr>
            <w:tcW w:w="1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08" w:right="0"/>
              <w:jc w:val="left"/>
              <w:rPr>
                <w:rFonts w:ascii="宋体" w:hAnsi="宋体" w:cs="宋体" w:eastAsia="宋体" w:hint="default"/>
                <w:sz w:val="18"/>
                <w:szCs w:val="18"/>
              </w:rPr>
            </w:pPr>
            <w:r>
              <w:rPr>
                <w:rFonts w:ascii="宋体" w:hAnsi="宋体" w:cs="宋体" w:eastAsia="宋体" w:hint="default"/>
                <w:sz w:val="18"/>
                <w:szCs w:val="18"/>
              </w:rPr>
              <w:t>担保对象名称</w:t>
            </w:r>
          </w:p>
        </w:tc>
        <w:tc>
          <w:tcPr>
            <w:tcW w:w="931" w:type="dxa"/>
            <w:tcBorders>
              <w:top w:val="single" w:sz="4" w:space="0" w:color="000000"/>
              <w:left w:val="single" w:sz="4" w:space="0" w:color="000000"/>
              <w:bottom w:val="single" w:sz="4" w:space="0" w:color="000000"/>
              <w:right w:val="single" w:sz="5" w:space="0" w:color="000000"/>
            </w:tcBorders>
            <w:shd w:val="clear" w:color="auto" w:fill="D2D2D2"/>
          </w:tcPr>
          <w:p>
            <w:pPr>
              <w:pStyle w:val="TableParagraph"/>
              <w:spacing w:line="319" w:lineRule="auto" w:before="51"/>
              <w:ind w:left="99" w:right="98"/>
              <w:jc w:val="both"/>
              <w:rPr>
                <w:rFonts w:ascii="宋体" w:hAnsi="宋体" w:cs="宋体" w:eastAsia="宋体" w:hint="default"/>
                <w:sz w:val="18"/>
                <w:szCs w:val="18"/>
              </w:rPr>
            </w:pPr>
            <w:r>
              <w:rPr>
                <w:rFonts w:ascii="宋体" w:hAnsi="宋体" w:cs="宋体" w:eastAsia="宋体" w:hint="default"/>
                <w:sz w:val="18"/>
                <w:szCs w:val="18"/>
              </w:rPr>
              <w:t>担保额度 相关公告 披露日期</w:t>
            </w:r>
          </w:p>
        </w:tc>
        <w:tc>
          <w:tcPr>
            <w:tcW w:w="919" w:type="dxa"/>
            <w:tcBorders>
              <w:top w:val="single" w:sz="4" w:space="0" w:color="000000"/>
              <w:left w:val="single" w:sz="5"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92"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实际发生日期</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（协议签署日）</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435" w:right="77" w:hanging="360"/>
              <w:jc w:val="left"/>
              <w:rPr>
                <w:rFonts w:ascii="宋体" w:hAnsi="宋体" w:cs="宋体" w:eastAsia="宋体" w:hint="default"/>
                <w:sz w:val="18"/>
                <w:szCs w:val="18"/>
              </w:rPr>
            </w:pPr>
            <w:r>
              <w:rPr>
                <w:rFonts w:ascii="宋体" w:hAnsi="宋体" w:cs="宋体" w:eastAsia="宋体" w:hint="default"/>
                <w:sz w:val="18"/>
                <w:szCs w:val="18"/>
              </w:rPr>
              <w:t>实际担保金 额</w:t>
            </w:r>
          </w:p>
        </w:tc>
        <w:tc>
          <w:tcPr>
            <w:tcW w:w="10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52" w:right="0"/>
              <w:jc w:val="left"/>
              <w:rPr>
                <w:rFonts w:ascii="宋体" w:hAnsi="宋体" w:cs="宋体" w:eastAsia="宋体" w:hint="default"/>
                <w:sz w:val="18"/>
                <w:szCs w:val="18"/>
              </w:rPr>
            </w:pPr>
            <w:r>
              <w:rPr>
                <w:rFonts w:ascii="宋体" w:hAnsi="宋体" w:cs="宋体" w:eastAsia="宋体" w:hint="default"/>
                <w:sz w:val="18"/>
                <w:szCs w:val="18"/>
              </w:rPr>
              <w:t>担保类型</w:t>
            </w:r>
          </w:p>
        </w:tc>
        <w:tc>
          <w:tcPr>
            <w:tcW w:w="10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51" w:right="0"/>
              <w:jc w:val="left"/>
              <w:rPr>
                <w:rFonts w:ascii="宋体" w:hAnsi="宋体" w:cs="宋体" w:eastAsia="宋体" w:hint="default"/>
                <w:sz w:val="18"/>
                <w:szCs w:val="18"/>
              </w:rPr>
            </w:pPr>
            <w:r>
              <w:rPr>
                <w:rFonts w:ascii="宋体" w:hAnsi="宋体" w:cs="宋体" w:eastAsia="宋体" w:hint="default"/>
                <w:sz w:val="18"/>
                <w:szCs w:val="18"/>
              </w:rPr>
              <w:t>担保期</w:t>
            </w:r>
          </w:p>
        </w:tc>
        <w:tc>
          <w:tcPr>
            <w:tcW w:w="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08" w:right="29" w:hanging="180"/>
              <w:jc w:val="left"/>
              <w:rPr>
                <w:rFonts w:ascii="宋体" w:hAnsi="宋体" w:cs="宋体" w:eastAsia="宋体" w:hint="default"/>
                <w:sz w:val="18"/>
                <w:szCs w:val="18"/>
              </w:rPr>
            </w:pPr>
            <w:r>
              <w:rPr>
                <w:rFonts w:ascii="宋体" w:hAnsi="宋体" w:cs="宋体" w:eastAsia="宋体" w:hint="default"/>
                <w:sz w:val="18"/>
                <w:szCs w:val="18"/>
              </w:rPr>
              <w:t>是否履行 完毕</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5" w:right="23"/>
              <w:jc w:val="left"/>
              <w:rPr>
                <w:rFonts w:ascii="宋体" w:hAnsi="宋体" w:cs="宋体" w:eastAsia="宋体" w:hint="default"/>
                <w:sz w:val="18"/>
                <w:szCs w:val="18"/>
              </w:rPr>
            </w:pPr>
            <w:r>
              <w:rPr>
                <w:rFonts w:ascii="宋体" w:hAnsi="宋体" w:cs="宋体" w:eastAsia="宋体" w:hint="default"/>
                <w:sz w:val="18"/>
                <w:szCs w:val="18"/>
              </w:rPr>
              <w:t>是否为关 联方担保</w:t>
            </w:r>
          </w:p>
        </w:tc>
      </w:tr>
      <w:tr>
        <w:trPr>
          <w:trHeight w:val="402"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931" w:type="dxa"/>
            <w:tcBorders>
              <w:top w:val="single" w:sz="4" w:space="0" w:color="000000"/>
              <w:left w:val="single" w:sz="4" w:space="0" w:color="000000"/>
              <w:bottom w:val="single" w:sz="4" w:space="0" w:color="000000"/>
              <w:right w:val="single" w:sz="5" w:space="0" w:color="000000"/>
            </w:tcBorders>
          </w:tcPr>
          <w:p>
            <w:pPr/>
          </w:p>
        </w:tc>
        <w:tc>
          <w:tcPr>
            <w:tcW w:w="919" w:type="dxa"/>
            <w:tcBorders>
              <w:top w:val="single" w:sz="4" w:space="0" w:color="000000"/>
              <w:left w:val="single" w:sz="5"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296"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034" w:type="dxa"/>
            <w:tcBorders>
              <w:top w:val="single" w:sz="4" w:space="0" w:color="000000"/>
              <w:left w:val="single" w:sz="4" w:space="0" w:color="000000"/>
              <w:bottom w:val="single" w:sz="4" w:space="0" w:color="000000"/>
              <w:right w:val="single" w:sz="4" w:space="0" w:color="000000"/>
            </w:tcBorders>
          </w:tcPr>
          <w:p>
            <w:pPr/>
          </w:p>
        </w:tc>
        <w:tc>
          <w:tcPr>
            <w:tcW w:w="1053" w:type="dxa"/>
            <w:tcBorders>
              <w:top w:val="single" w:sz="4" w:space="0" w:color="000000"/>
              <w:left w:val="single" w:sz="4" w:space="0" w:color="000000"/>
              <w:bottom w:val="single" w:sz="4" w:space="0" w:color="000000"/>
              <w:right w:val="single" w:sz="4" w:space="0" w:color="000000"/>
            </w:tcBorders>
          </w:tcPr>
          <w:p>
            <w:pPr/>
          </w:p>
        </w:tc>
        <w:tc>
          <w:tcPr>
            <w:tcW w:w="788"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64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87"/>
              <w:jc w:val="left"/>
              <w:rPr>
                <w:rFonts w:ascii="宋体" w:hAnsi="宋体" w:cs="宋体" w:eastAsia="宋体" w:hint="default"/>
                <w:sz w:val="18"/>
                <w:szCs w:val="18"/>
              </w:rPr>
            </w:pPr>
            <w:r>
              <w:rPr>
                <w:rFonts w:ascii="宋体" w:hAnsi="宋体" w:cs="宋体" w:eastAsia="宋体" w:hint="default"/>
                <w:sz w:val="18"/>
                <w:szCs w:val="18"/>
              </w:rPr>
              <w:t>报告期内审批的对外担保额度合 计（</w:t>
            </w:r>
            <w:r>
              <w:rPr>
                <w:rFonts w:ascii="Times New Roman" w:hAnsi="Times New Roman" w:cs="Times New Roman" w:eastAsia="Times New Roman" w:hint="default"/>
                <w:sz w:val="18"/>
                <w:szCs w:val="18"/>
              </w:rPr>
              <w:t>A1</w:t>
            </w:r>
            <w:r>
              <w:rPr>
                <w:rFonts w:ascii="宋体" w:hAnsi="宋体" w:cs="宋体" w:eastAsia="宋体" w:hint="default"/>
                <w:sz w:val="18"/>
                <w:szCs w:val="18"/>
              </w:rPr>
              <w:t>）</w:t>
            </w:r>
          </w:p>
        </w:tc>
        <w:tc>
          <w:tcPr>
            <w:tcW w:w="221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209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83"/>
              <w:jc w:val="left"/>
              <w:rPr>
                <w:rFonts w:ascii="宋体" w:hAnsi="宋体" w:cs="宋体" w:eastAsia="宋体" w:hint="default"/>
                <w:sz w:val="18"/>
                <w:szCs w:val="18"/>
              </w:rPr>
            </w:pPr>
            <w:r>
              <w:rPr>
                <w:rFonts w:ascii="宋体" w:hAnsi="宋体" w:cs="宋体" w:eastAsia="宋体" w:hint="default"/>
                <w:sz w:val="18"/>
                <w:szCs w:val="18"/>
              </w:rPr>
              <w:t>报告期内对外担保实际发 生额合计（</w:t>
            </w:r>
            <w:r>
              <w:rPr>
                <w:rFonts w:ascii="Times New Roman" w:hAnsi="Times New Roman" w:cs="Times New Roman" w:eastAsia="Times New Roman" w:hint="default"/>
                <w:sz w:val="18"/>
                <w:szCs w:val="18"/>
              </w:rPr>
              <w:t>A2</w:t>
            </w:r>
            <w:r>
              <w:rPr>
                <w:rFonts w:ascii="宋体" w:hAnsi="宋体" w:cs="宋体" w:eastAsia="宋体" w:hint="default"/>
                <w:sz w:val="18"/>
                <w:szCs w:val="18"/>
              </w:rPr>
              <w:t>）</w:t>
            </w:r>
          </w:p>
        </w:tc>
        <w:tc>
          <w:tcPr>
            <w:tcW w:w="262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715"/>
        <w:gridCol w:w="907"/>
        <w:gridCol w:w="929"/>
        <w:gridCol w:w="1307"/>
        <w:gridCol w:w="1045"/>
        <w:gridCol w:w="1044"/>
        <w:gridCol w:w="1051"/>
        <w:gridCol w:w="791"/>
        <w:gridCol w:w="785"/>
      </w:tblGrid>
      <w:tr>
        <w:trPr>
          <w:trHeight w:val="719" w:hRule="exact"/>
        </w:trPr>
        <w:tc>
          <w:tcPr>
            <w:tcW w:w="262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67"/>
              <w:jc w:val="left"/>
              <w:rPr>
                <w:rFonts w:ascii="宋体" w:hAnsi="宋体" w:cs="宋体" w:eastAsia="宋体" w:hint="default"/>
                <w:sz w:val="18"/>
                <w:szCs w:val="18"/>
              </w:rPr>
            </w:pPr>
            <w:r>
              <w:rPr>
                <w:rFonts w:ascii="宋体" w:hAnsi="宋体" w:cs="宋体" w:eastAsia="宋体" w:hint="default"/>
                <w:sz w:val="18"/>
                <w:szCs w:val="18"/>
              </w:rPr>
              <w:t>报告期末已审批的对外担保额度 合计（</w:t>
            </w:r>
            <w:r>
              <w:rPr>
                <w:rFonts w:ascii="Times New Roman" w:hAnsi="Times New Roman" w:cs="Times New Roman" w:eastAsia="Times New Roman" w:hint="default"/>
                <w:sz w:val="18"/>
                <w:szCs w:val="18"/>
              </w:rPr>
              <w:t>A3</w:t>
            </w:r>
            <w:r>
              <w:rPr>
                <w:rFonts w:ascii="宋体" w:hAnsi="宋体" w:cs="宋体" w:eastAsia="宋体" w:hint="default"/>
                <w:sz w:val="18"/>
                <w:szCs w:val="18"/>
              </w:rPr>
              <w:t>）</w:t>
            </w:r>
          </w:p>
        </w:tc>
        <w:tc>
          <w:tcPr>
            <w:tcW w:w="2236" w:type="dxa"/>
            <w:gridSpan w:val="2"/>
            <w:tcBorders>
              <w:top w:val="single" w:sz="4" w:space="0" w:color="000000"/>
              <w:left w:val="single" w:sz="13" w:space="0" w:color="D2D2D2"/>
              <w:bottom w:val="single" w:sz="4" w:space="0" w:color="000000"/>
              <w:right w:val="single" w:sz="13" w:space="0" w:color="D2D2D2"/>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1"/>
              <w:jc w:val="right"/>
              <w:rPr>
                <w:rFonts w:ascii="Times New Roman" w:hAnsi="Times New Roman" w:cs="Times New Roman" w:eastAsia="Times New Roman" w:hint="default"/>
                <w:sz w:val="18"/>
                <w:szCs w:val="18"/>
              </w:rPr>
            </w:pPr>
            <w:r>
              <w:rPr>
                <w:rFonts w:ascii="Times New Roman"/>
                <w:sz w:val="18"/>
              </w:rPr>
              <w:t>0</w:t>
            </w:r>
          </w:p>
        </w:tc>
        <w:tc>
          <w:tcPr>
            <w:tcW w:w="209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0" w:right="77"/>
              <w:jc w:val="left"/>
              <w:rPr>
                <w:rFonts w:ascii="宋体" w:hAnsi="宋体" w:cs="宋体" w:eastAsia="宋体" w:hint="default"/>
                <w:sz w:val="18"/>
                <w:szCs w:val="18"/>
              </w:rPr>
            </w:pPr>
            <w:r>
              <w:rPr>
                <w:rFonts w:ascii="宋体" w:hAnsi="宋体" w:cs="宋体" w:eastAsia="宋体" w:hint="default"/>
                <w:sz w:val="18"/>
                <w:szCs w:val="18"/>
              </w:rPr>
              <w:t>报告期末实际对外担保余 额合计（</w:t>
            </w:r>
            <w:r>
              <w:rPr>
                <w:rFonts w:ascii="Times New Roman" w:hAnsi="Times New Roman" w:cs="Times New Roman" w:eastAsia="Times New Roman" w:hint="default"/>
                <w:sz w:val="18"/>
                <w:szCs w:val="18"/>
              </w:rPr>
              <w:t>A4</w:t>
            </w:r>
            <w:r>
              <w:rPr>
                <w:rFonts w:ascii="宋体" w:hAnsi="宋体" w:cs="宋体" w:eastAsia="宋体" w:hint="default"/>
                <w:sz w:val="18"/>
                <w:szCs w:val="18"/>
              </w:rPr>
              <w:t>）</w:t>
            </w:r>
          </w:p>
        </w:tc>
        <w:tc>
          <w:tcPr>
            <w:tcW w:w="2627"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392" w:hRule="exact"/>
        </w:trPr>
        <w:tc>
          <w:tcPr>
            <w:tcW w:w="9575"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公司对子公司的担保情况</w:t>
            </w:r>
          </w:p>
        </w:tc>
      </w:tr>
      <w:tr>
        <w:trPr>
          <w:trHeight w:val="166" w:hRule="exact"/>
        </w:trPr>
        <w:tc>
          <w:tcPr>
            <w:tcW w:w="1715" w:type="dxa"/>
            <w:vMerge w:val="restart"/>
            <w:tcBorders>
              <w:top w:val="single" w:sz="4" w:space="0" w:color="000000"/>
              <w:left w:val="single" w:sz="4" w:space="0" w:color="000000"/>
              <w:right w:val="single" w:sz="4" w:space="0" w:color="000000"/>
            </w:tcBorders>
            <w:shd w:val="clear" w:color="auto" w:fill="D2D2D2"/>
          </w:tcPr>
          <w:p>
            <w:pPr/>
          </w:p>
        </w:tc>
        <w:tc>
          <w:tcPr>
            <w:tcW w:w="907"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6"/>
              <w:ind w:left="90" w:right="86"/>
              <w:jc w:val="both"/>
              <w:rPr>
                <w:rFonts w:ascii="宋体" w:hAnsi="宋体" w:cs="宋体" w:eastAsia="宋体" w:hint="default"/>
                <w:sz w:val="18"/>
                <w:szCs w:val="18"/>
              </w:rPr>
            </w:pPr>
            <w:r>
              <w:rPr>
                <w:rFonts w:ascii="宋体" w:hAnsi="宋体" w:cs="宋体" w:eastAsia="宋体" w:hint="default"/>
                <w:sz w:val="18"/>
                <w:szCs w:val="18"/>
              </w:rPr>
              <w:t>担保额度 相关公告 披露日期</w:t>
            </w:r>
          </w:p>
        </w:tc>
        <w:tc>
          <w:tcPr>
            <w:tcW w:w="929" w:type="dxa"/>
            <w:vMerge w:val="restart"/>
            <w:tcBorders>
              <w:top w:val="single" w:sz="4" w:space="0" w:color="000000"/>
              <w:left w:val="single" w:sz="4" w:space="0" w:color="000000"/>
              <w:right w:val="single" w:sz="4" w:space="0" w:color="000000"/>
            </w:tcBorders>
            <w:shd w:val="clear" w:color="auto" w:fill="D2D2D2"/>
          </w:tcPr>
          <w:p>
            <w:pPr/>
          </w:p>
        </w:tc>
        <w:tc>
          <w:tcPr>
            <w:tcW w:w="1307" w:type="dxa"/>
            <w:tcBorders>
              <w:top w:val="single" w:sz="4" w:space="0" w:color="000000"/>
              <w:left w:val="single" w:sz="4" w:space="0" w:color="000000"/>
              <w:bottom w:val="nil" w:sz="6" w:space="0" w:color="auto"/>
              <w:right w:val="single" w:sz="4" w:space="0" w:color="000000"/>
            </w:tcBorders>
            <w:shd w:val="clear" w:color="auto" w:fill="D2D2D2"/>
          </w:tcPr>
          <w:p>
            <w:pPr/>
          </w:p>
        </w:tc>
        <w:tc>
          <w:tcPr>
            <w:tcW w:w="1045" w:type="dxa"/>
            <w:tcBorders>
              <w:top w:val="single" w:sz="4" w:space="0" w:color="000000"/>
              <w:left w:val="single" w:sz="4" w:space="0" w:color="000000"/>
              <w:bottom w:val="nil" w:sz="6" w:space="0" w:color="auto"/>
              <w:right w:val="single" w:sz="4" w:space="0" w:color="FFFFFF"/>
            </w:tcBorders>
            <w:shd w:val="clear" w:color="auto" w:fill="D2D2D2"/>
          </w:tcPr>
          <w:p>
            <w:pPr/>
          </w:p>
        </w:tc>
        <w:tc>
          <w:tcPr>
            <w:tcW w:w="1044" w:type="dxa"/>
            <w:vMerge w:val="restart"/>
            <w:tcBorders>
              <w:top w:val="single" w:sz="4" w:space="0" w:color="000000"/>
              <w:left w:val="single" w:sz="4" w:space="0" w:color="FFFFFF"/>
              <w:right w:val="single" w:sz="4" w:space="0" w:color="000000"/>
            </w:tcBorders>
            <w:shd w:val="clear" w:color="auto" w:fill="D2D2D2"/>
          </w:tcPr>
          <w:p>
            <w:pPr/>
          </w:p>
        </w:tc>
        <w:tc>
          <w:tcPr>
            <w:tcW w:w="1051" w:type="dxa"/>
            <w:vMerge w:val="restart"/>
            <w:tcBorders>
              <w:top w:val="single" w:sz="4" w:space="0" w:color="000000"/>
              <w:left w:val="single" w:sz="4" w:space="0" w:color="000000"/>
              <w:right w:val="single" w:sz="4" w:space="0" w:color="000000"/>
            </w:tcBorders>
            <w:shd w:val="clear" w:color="auto" w:fill="D2D2D2"/>
          </w:tcPr>
          <w:p>
            <w:pPr/>
          </w:p>
        </w:tc>
        <w:tc>
          <w:tcPr>
            <w:tcW w:w="791" w:type="dxa"/>
            <w:tcBorders>
              <w:top w:val="single" w:sz="4" w:space="0" w:color="000000"/>
              <w:left w:val="single" w:sz="4" w:space="0" w:color="000000"/>
              <w:bottom w:val="nil" w:sz="6" w:space="0" w:color="auto"/>
              <w:right w:val="single" w:sz="4" w:space="0" w:color="000000"/>
            </w:tcBorders>
            <w:shd w:val="clear" w:color="auto" w:fill="D2D2D2"/>
          </w:tcPr>
          <w:p>
            <w:pPr/>
          </w:p>
        </w:tc>
        <w:tc>
          <w:tcPr>
            <w:tcW w:w="785"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56" w:hRule="exact"/>
        </w:trPr>
        <w:tc>
          <w:tcPr>
            <w:tcW w:w="1715" w:type="dxa"/>
            <w:vMerge/>
            <w:tcBorders>
              <w:left w:val="single" w:sz="4" w:space="0" w:color="000000"/>
              <w:bottom w:val="nil" w:sz="6" w:space="0" w:color="auto"/>
              <w:right w:val="single" w:sz="4" w:space="0" w:color="000000"/>
            </w:tcBorders>
            <w:shd w:val="clear" w:color="auto" w:fill="D2D2D2"/>
          </w:tcPr>
          <w:p>
            <w:pPr/>
          </w:p>
        </w:tc>
        <w:tc>
          <w:tcPr>
            <w:tcW w:w="907" w:type="dxa"/>
            <w:vMerge/>
            <w:tcBorders>
              <w:left w:val="single" w:sz="4" w:space="0" w:color="000000"/>
              <w:right w:val="single" w:sz="4" w:space="0" w:color="000000"/>
            </w:tcBorders>
            <w:shd w:val="clear" w:color="auto" w:fill="D2D2D2"/>
          </w:tcPr>
          <w:p>
            <w:pPr/>
          </w:p>
        </w:tc>
        <w:tc>
          <w:tcPr>
            <w:tcW w:w="929" w:type="dxa"/>
            <w:vMerge/>
            <w:tcBorders>
              <w:left w:val="single" w:sz="4" w:space="0" w:color="000000"/>
              <w:bottom w:val="nil" w:sz="6" w:space="0" w:color="auto"/>
              <w:right w:val="single" w:sz="4" w:space="0" w:color="000000"/>
            </w:tcBorders>
            <w:shd w:val="clear" w:color="auto" w:fill="D2D2D2"/>
          </w:tcPr>
          <w:p>
            <w:pPr/>
          </w:p>
        </w:tc>
        <w:tc>
          <w:tcPr>
            <w:tcW w:w="130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10" w:right="0"/>
              <w:jc w:val="left"/>
              <w:rPr>
                <w:rFonts w:ascii="宋体" w:hAnsi="宋体" w:cs="宋体" w:eastAsia="宋体" w:hint="default"/>
                <w:sz w:val="18"/>
                <w:szCs w:val="18"/>
              </w:rPr>
            </w:pPr>
            <w:r>
              <w:rPr>
                <w:rFonts w:ascii="宋体" w:hAnsi="宋体" w:cs="宋体" w:eastAsia="宋体" w:hint="default"/>
                <w:sz w:val="18"/>
                <w:szCs w:val="18"/>
              </w:rPr>
              <w:t>实际发生日期</w:t>
            </w:r>
          </w:p>
          <w:p>
            <w:pPr>
              <w:pStyle w:val="TableParagraph"/>
              <w:spacing w:line="240" w:lineRule="auto" w:before="77"/>
              <w:ind w:left="31" w:right="0"/>
              <w:jc w:val="left"/>
              <w:rPr>
                <w:rFonts w:ascii="宋体" w:hAnsi="宋体" w:cs="宋体" w:eastAsia="宋体" w:hint="default"/>
                <w:sz w:val="18"/>
                <w:szCs w:val="18"/>
              </w:rPr>
            </w:pPr>
            <w:r>
              <w:rPr>
                <w:rFonts w:ascii="宋体" w:hAnsi="宋体" w:cs="宋体" w:eastAsia="宋体" w:hint="default"/>
                <w:sz w:val="18"/>
                <w:szCs w:val="18"/>
              </w:rPr>
              <w:t>（协议签署日）</w:t>
            </w:r>
          </w:p>
        </w:tc>
        <w:tc>
          <w:tcPr>
            <w:tcW w:w="1045" w:type="dxa"/>
            <w:vMerge w:val="restart"/>
            <w:tcBorders>
              <w:top w:val="nil" w:sz="6" w:space="0" w:color="auto"/>
              <w:left w:val="single" w:sz="4" w:space="0" w:color="000000"/>
              <w:right w:val="single" w:sz="4" w:space="0" w:color="FFFFFF"/>
            </w:tcBorders>
            <w:shd w:val="clear" w:color="auto" w:fill="D2D2D2"/>
          </w:tcPr>
          <w:p>
            <w:pPr>
              <w:pStyle w:val="TableParagraph"/>
              <w:spacing w:line="319" w:lineRule="auto" w:before="51"/>
              <w:ind w:left="433" w:right="60" w:hanging="360"/>
              <w:jc w:val="left"/>
              <w:rPr>
                <w:rFonts w:ascii="宋体" w:hAnsi="宋体" w:cs="宋体" w:eastAsia="宋体" w:hint="default"/>
                <w:sz w:val="18"/>
                <w:szCs w:val="18"/>
              </w:rPr>
            </w:pPr>
            <w:r>
              <w:rPr>
                <w:rFonts w:ascii="宋体" w:hAnsi="宋体" w:cs="宋体" w:eastAsia="宋体" w:hint="default"/>
                <w:sz w:val="18"/>
                <w:szCs w:val="18"/>
              </w:rPr>
              <w:t>实际担保金 额</w:t>
            </w:r>
          </w:p>
        </w:tc>
        <w:tc>
          <w:tcPr>
            <w:tcW w:w="1044" w:type="dxa"/>
            <w:vMerge/>
            <w:tcBorders>
              <w:left w:val="single" w:sz="4" w:space="0" w:color="FFFFFF"/>
              <w:bottom w:val="nil" w:sz="6" w:space="0" w:color="auto"/>
              <w:right w:val="single" w:sz="4" w:space="0" w:color="000000"/>
            </w:tcBorders>
            <w:shd w:val="clear" w:color="auto" w:fill="D2D2D2"/>
          </w:tcPr>
          <w:p>
            <w:pPr/>
          </w:p>
        </w:tc>
        <w:tc>
          <w:tcPr>
            <w:tcW w:w="1051" w:type="dxa"/>
            <w:vMerge/>
            <w:tcBorders>
              <w:left w:val="single" w:sz="4" w:space="0" w:color="000000"/>
              <w:bottom w:val="nil" w:sz="6" w:space="0" w:color="auto"/>
              <w:right w:val="single" w:sz="4" w:space="0" w:color="000000"/>
            </w:tcBorders>
            <w:shd w:val="clear" w:color="auto" w:fill="D2D2D2"/>
          </w:tcPr>
          <w:p>
            <w:pPr/>
          </w:p>
        </w:tc>
        <w:tc>
          <w:tcPr>
            <w:tcW w:w="791"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212" w:right="26" w:hanging="180"/>
              <w:jc w:val="left"/>
              <w:rPr>
                <w:rFonts w:ascii="宋体" w:hAnsi="宋体" w:cs="宋体" w:eastAsia="宋体" w:hint="default"/>
                <w:sz w:val="18"/>
                <w:szCs w:val="18"/>
              </w:rPr>
            </w:pPr>
            <w:r>
              <w:rPr>
                <w:rFonts w:ascii="宋体" w:hAnsi="宋体" w:cs="宋体" w:eastAsia="宋体" w:hint="default"/>
                <w:sz w:val="18"/>
                <w:szCs w:val="18"/>
              </w:rPr>
              <w:t>是否履行 完毕</w:t>
            </w:r>
          </w:p>
        </w:tc>
        <w:tc>
          <w:tcPr>
            <w:tcW w:w="785"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29" w:right="23"/>
              <w:jc w:val="left"/>
              <w:rPr>
                <w:rFonts w:ascii="宋体" w:hAnsi="宋体" w:cs="宋体" w:eastAsia="宋体" w:hint="default"/>
                <w:sz w:val="18"/>
                <w:szCs w:val="18"/>
              </w:rPr>
            </w:pPr>
            <w:r>
              <w:rPr>
                <w:rFonts w:ascii="宋体" w:hAnsi="宋体" w:cs="宋体" w:eastAsia="宋体" w:hint="default"/>
                <w:sz w:val="18"/>
                <w:szCs w:val="18"/>
              </w:rPr>
              <w:t>是否为关 联方担保</w:t>
            </w:r>
          </w:p>
        </w:tc>
      </w:tr>
      <w:tr>
        <w:trPr>
          <w:trHeight w:val="392" w:hRule="exact"/>
        </w:trPr>
        <w:tc>
          <w:tcPr>
            <w:tcW w:w="17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314"/>
              <w:jc w:val="right"/>
              <w:rPr>
                <w:rFonts w:ascii="宋体" w:hAnsi="宋体" w:cs="宋体" w:eastAsia="宋体" w:hint="default"/>
                <w:sz w:val="18"/>
                <w:szCs w:val="18"/>
              </w:rPr>
            </w:pPr>
            <w:r>
              <w:rPr>
                <w:rFonts w:ascii="宋体" w:hAnsi="宋体" w:cs="宋体" w:eastAsia="宋体" w:hint="default"/>
                <w:sz w:val="18"/>
                <w:szCs w:val="18"/>
              </w:rPr>
              <w:t>担保对象名称</w:t>
            </w:r>
          </w:p>
        </w:tc>
        <w:tc>
          <w:tcPr>
            <w:tcW w:w="907" w:type="dxa"/>
            <w:vMerge/>
            <w:tcBorders>
              <w:left w:val="single" w:sz="4" w:space="0" w:color="000000"/>
              <w:right w:val="single" w:sz="4" w:space="0" w:color="000000"/>
            </w:tcBorders>
            <w:shd w:val="clear" w:color="auto" w:fill="D2D2D2"/>
          </w:tcPr>
          <w:p>
            <w:pPr/>
          </w:p>
        </w:tc>
        <w:tc>
          <w:tcPr>
            <w:tcW w:w="92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09"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307" w:type="dxa"/>
            <w:vMerge/>
            <w:tcBorders>
              <w:left w:val="single" w:sz="4" w:space="0" w:color="000000"/>
              <w:right w:val="single" w:sz="4" w:space="0" w:color="000000"/>
            </w:tcBorders>
            <w:shd w:val="clear" w:color="auto" w:fill="D2D2D2"/>
          </w:tcPr>
          <w:p>
            <w:pPr/>
          </w:p>
        </w:tc>
        <w:tc>
          <w:tcPr>
            <w:tcW w:w="1045" w:type="dxa"/>
            <w:vMerge/>
            <w:tcBorders>
              <w:left w:val="single" w:sz="4" w:space="0" w:color="000000"/>
              <w:right w:val="single" w:sz="4" w:space="0" w:color="FFFFFF"/>
            </w:tcBorders>
            <w:shd w:val="clear" w:color="auto" w:fill="D2D2D2"/>
          </w:tcPr>
          <w:p>
            <w:pPr/>
          </w:p>
        </w:tc>
        <w:tc>
          <w:tcPr>
            <w:tcW w:w="1044" w:type="dxa"/>
            <w:tcBorders>
              <w:top w:val="nil" w:sz="6" w:space="0" w:color="auto"/>
              <w:left w:val="single" w:sz="4" w:space="0" w:color="FFFFFF"/>
              <w:bottom w:val="nil" w:sz="6" w:space="0" w:color="auto"/>
              <w:right w:val="single" w:sz="4" w:space="0" w:color="000000"/>
            </w:tcBorders>
            <w:shd w:val="clear" w:color="auto" w:fill="D2D2D2"/>
          </w:tcPr>
          <w:p>
            <w:pPr>
              <w:pStyle w:val="TableParagraph"/>
              <w:spacing w:line="240" w:lineRule="auto" w:before="51"/>
              <w:ind w:left="21" w:right="0"/>
              <w:jc w:val="center"/>
              <w:rPr>
                <w:rFonts w:ascii="宋体" w:hAnsi="宋体" w:cs="宋体" w:eastAsia="宋体" w:hint="default"/>
                <w:sz w:val="18"/>
                <w:szCs w:val="18"/>
              </w:rPr>
            </w:pPr>
            <w:r>
              <w:rPr>
                <w:rFonts w:ascii="宋体" w:hAnsi="宋体" w:cs="宋体" w:eastAsia="宋体" w:hint="default"/>
                <w:sz w:val="18"/>
                <w:szCs w:val="18"/>
              </w:rPr>
              <w:t>担保类型</w:t>
            </w:r>
          </w:p>
        </w:tc>
        <w:tc>
          <w:tcPr>
            <w:tcW w:w="105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246"/>
              <w:jc w:val="right"/>
              <w:rPr>
                <w:rFonts w:ascii="宋体" w:hAnsi="宋体" w:cs="宋体" w:eastAsia="宋体" w:hint="default"/>
                <w:sz w:val="18"/>
                <w:szCs w:val="18"/>
              </w:rPr>
            </w:pPr>
            <w:r>
              <w:rPr>
                <w:rFonts w:ascii="宋体" w:hAnsi="宋体" w:cs="宋体" w:eastAsia="宋体" w:hint="default"/>
                <w:sz w:val="18"/>
                <w:szCs w:val="18"/>
              </w:rPr>
              <w:t>担保期</w:t>
            </w:r>
          </w:p>
        </w:tc>
        <w:tc>
          <w:tcPr>
            <w:tcW w:w="791" w:type="dxa"/>
            <w:vMerge/>
            <w:tcBorders>
              <w:left w:val="single" w:sz="4" w:space="0" w:color="000000"/>
              <w:right w:val="single" w:sz="4" w:space="0" w:color="000000"/>
            </w:tcBorders>
            <w:shd w:val="clear" w:color="auto" w:fill="D2D2D2"/>
          </w:tcPr>
          <w:p>
            <w:pPr/>
          </w:p>
        </w:tc>
        <w:tc>
          <w:tcPr>
            <w:tcW w:w="785" w:type="dxa"/>
            <w:vMerge/>
            <w:tcBorders>
              <w:left w:val="single" w:sz="4" w:space="0" w:color="000000"/>
              <w:right w:val="single" w:sz="4" w:space="0" w:color="000000"/>
            </w:tcBorders>
            <w:shd w:val="clear" w:color="auto" w:fill="D2D2D2"/>
          </w:tcPr>
          <w:p>
            <w:pPr/>
          </w:p>
        </w:tc>
      </w:tr>
      <w:tr>
        <w:trPr>
          <w:trHeight w:val="156" w:hRule="exact"/>
        </w:trPr>
        <w:tc>
          <w:tcPr>
            <w:tcW w:w="1715" w:type="dxa"/>
            <w:vMerge w:val="restart"/>
            <w:tcBorders>
              <w:top w:val="nil" w:sz="6" w:space="0" w:color="auto"/>
              <w:left w:val="single" w:sz="4" w:space="0" w:color="000000"/>
              <w:right w:val="single" w:sz="4" w:space="0" w:color="000000"/>
            </w:tcBorders>
            <w:shd w:val="clear" w:color="auto" w:fill="D2D2D2"/>
          </w:tcPr>
          <w:p>
            <w:pPr/>
          </w:p>
        </w:tc>
        <w:tc>
          <w:tcPr>
            <w:tcW w:w="907" w:type="dxa"/>
            <w:vMerge/>
            <w:tcBorders>
              <w:left w:val="single" w:sz="4" w:space="0" w:color="000000"/>
              <w:right w:val="single" w:sz="4" w:space="0" w:color="000000"/>
            </w:tcBorders>
            <w:shd w:val="clear" w:color="auto" w:fill="D2D2D2"/>
          </w:tcPr>
          <w:p>
            <w:pPr/>
          </w:p>
        </w:tc>
        <w:tc>
          <w:tcPr>
            <w:tcW w:w="929" w:type="dxa"/>
            <w:vMerge w:val="restart"/>
            <w:tcBorders>
              <w:top w:val="nil" w:sz="6" w:space="0" w:color="auto"/>
              <w:left w:val="single" w:sz="4" w:space="0" w:color="000000"/>
              <w:right w:val="single" w:sz="4" w:space="0" w:color="000000"/>
            </w:tcBorders>
            <w:shd w:val="clear" w:color="auto" w:fill="D2D2D2"/>
          </w:tcPr>
          <w:p>
            <w:pPr/>
          </w:p>
        </w:tc>
        <w:tc>
          <w:tcPr>
            <w:tcW w:w="1307" w:type="dxa"/>
            <w:vMerge/>
            <w:tcBorders>
              <w:left w:val="single" w:sz="4" w:space="0" w:color="000000"/>
              <w:bottom w:val="nil" w:sz="6" w:space="0" w:color="auto"/>
              <w:right w:val="single" w:sz="4" w:space="0" w:color="000000"/>
            </w:tcBorders>
            <w:shd w:val="clear" w:color="auto" w:fill="D2D2D2"/>
          </w:tcPr>
          <w:p>
            <w:pPr/>
          </w:p>
        </w:tc>
        <w:tc>
          <w:tcPr>
            <w:tcW w:w="1045" w:type="dxa"/>
            <w:vMerge/>
            <w:tcBorders>
              <w:left w:val="single" w:sz="4" w:space="0" w:color="000000"/>
              <w:bottom w:val="nil" w:sz="6" w:space="0" w:color="auto"/>
              <w:right w:val="single" w:sz="4" w:space="0" w:color="FFFFFF"/>
            </w:tcBorders>
            <w:shd w:val="clear" w:color="auto" w:fill="D2D2D2"/>
          </w:tcPr>
          <w:p>
            <w:pPr/>
          </w:p>
        </w:tc>
        <w:tc>
          <w:tcPr>
            <w:tcW w:w="1044" w:type="dxa"/>
            <w:vMerge w:val="restart"/>
            <w:tcBorders>
              <w:top w:val="nil" w:sz="6" w:space="0" w:color="auto"/>
              <w:left w:val="single" w:sz="4" w:space="0" w:color="FFFFFF"/>
              <w:right w:val="single" w:sz="4" w:space="0" w:color="000000"/>
            </w:tcBorders>
            <w:shd w:val="clear" w:color="auto" w:fill="D2D2D2"/>
          </w:tcPr>
          <w:p>
            <w:pPr/>
          </w:p>
        </w:tc>
        <w:tc>
          <w:tcPr>
            <w:tcW w:w="1051" w:type="dxa"/>
            <w:vMerge w:val="restart"/>
            <w:tcBorders>
              <w:top w:val="nil" w:sz="6" w:space="0" w:color="auto"/>
              <w:left w:val="single" w:sz="4" w:space="0" w:color="000000"/>
              <w:right w:val="single" w:sz="4" w:space="0" w:color="000000"/>
            </w:tcBorders>
            <w:shd w:val="clear" w:color="auto" w:fill="D2D2D2"/>
          </w:tcPr>
          <w:p>
            <w:pPr/>
          </w:p>
        </w:tc>
        <w:tc>
          <w:tcPr>
            <w:tcW w:w="791" w:type="dxa"/>
            <w:vMerge/>
            <w:tcBorders>
              <w:left w:val="single" w:sz="4" w:space="0" w:color="000000"/>
              <w:bottom w:val="nil" w:sz="6" w:space="0" w:color="auto"/>
              <w:right w:val="single" w:sz="4" w:space="0" w:color="000000"/>
            </w:tcBorders>
            <w:shd w:val="clear" w:color="auto" w:fill="D2D2D2"/>
          </w:tcPr>
          <w:p>
            <w:pPr/>
          </w:p>
        </w:tc>
        <w:tc>
          <w:tcPr>
            <w:tcW w:w="785" w:type="dxa"/>
            <w:vMerge/>
            <w:tcBorders>
              <w:left w:val="single" w:sz="4" w:space="0" w:color="000000"/>
              <w:bottom w:val="nil" w:sz="6" w:space="0" w:color="auto"/>
              <w:right w:val="single" w:sz="4" w:space="0" w:color="000000"/>
            </w:tcBorders>
            <w:shd w:val="clear" w:color="auto" w:fill="D2D2D2"/>
          </w:tcPr>
          <w:p>
            <w:pPr/>
          </w:p>
        </w:tc>
      </w:tr>
      <w:tr>
        <w:trPr>
          <w:trHeight w:val="161" w:hRule="exact"/>
        </w:trPr>
        <w:tc>
          <w:tcPr>
            <w:tcW w:w="1715" w:type="dxa"/>
            <w:vMerge/>
            <w:tcBorders>
              <w:left w:val="single" w:sz="4" w:space="0" w:color="000000"/>
              <w:bottom w:val="single" w:sz="4" w:space="0" w:color="000000"/>
              <w:right w:val="single" w:sz="4" w:space="0" w:color="000000"/>
            </w:tcBorders>
            <w:shd w:val="clear" w:color="auto" w:fill="D2D2D2"/>
          </w:tcPr>
          <w:p>
            <w:pPr/>
          </w:p>
        </w:tc>
        <w:tc>
          <w:tcPr>
            <w:tcW w:w="907" w:type="dxa"/>
            <w:vMerge/>
            <w:tcBorders>
              <w:left w:val="single" w:sz="4" w:space="0" w:color="000000"/>
              <w:bottom w:val="single" w:sz="4" w:space="0" w:color="000000"/>
              <w:right w:val="single" w:sz="4" w:space="0" w:color="000000"/>
            </w:tcBorders>
            <w:shd w:val="clear" w:color="auto" w:fill="D2D2D2"/>
          </w:tcPr>
          <w:p>
            <w:pPr/>
          </w:p>
        </w:tc>
        <w:tc>
          <w:tcPr>
            <w:tcW w:w="929" w:type="dxa"/>
            <w:vMerge/>
            <w:tcBorders>
              <w:left w:val="single" w:sz="4" w:space="0" w:color="000000"/>
              <w:bottom w:val="single" w:sz="4" w:space="0" w:color="000000"/>
              <w:right w:val="single" w:sz="4" w:space="0" w:color="000000"/>
            </w:tcBorders>
            <w:shd w:val="clear" w:color="auto" w:fill="D2D2D2"/>
          </w:tcPr>
          <w:p>
            <w:pPr/>
          </w:p>
        </w:tc>
        <w:tc>
          <w:tcPr>
            <w:tcW w:w="1307" w:type="dxa"/>
            <w:tcBorders>
              <w:top w:val="nil" w:sz="6" w:space="0" w:color="auto"/>
              <w:left w:val="single" w:sz="4" w:space="0" w:color="000000"/>
              <w:bottom w:val="single" w:sz="4" w:space="0" w:color="000000"/>
              <w:right w:val="single" w:sz="4" w:space="0" w:color="000000"/>
            </w:tcBorders>
            <w:shd w:val="clear" w:color="auto" w:fill="D2D2D2"/>
          </w:tcPr>
          <w:p>
            <w:pPr/>
          </w:p>
        </w:tc>
        <w:tc>
          <w:tcPr>
            <w:tcW w:w="1045" w:type="dxa"/>
            <w:tcBorders>
              <w:top w:val="nil" w:sz="6" w:space="0" w:color="auto"/>
              <w:left w:val="single" w:sz="4" w:space="0" w:color="000000"/>
              <w:bottom w:val="single" w:sz="4" w:space="0" w:color="000000"/>
              <w:right w:val="single" w:sz="4" w:space="0" w:color="FFFFFF"/>
            </w:tcBorders>
            <w:shd w:val="clear" w:color="auto" w:fill="D2D2D2"/>
          </w:tcPr>
          <w:p>
            <w:pPr/>
          </w:p>
        </w:tc>
        <w:tc>
          <w:tcPr>
            <w:tcW w:w="1044" w:type="dxa"/>
            <w:vMerge/>
            <w:tcBorders>
              <w:left w:val="single" w:sz="4" w:space="0" w:color="FFFFFF"/>
              <w:bottom w:val="single" w:sz="4" w:space="0" w:color="000000"/>
              <w:right w:val="single" w:sz="4" w:space="0" w:color="000000"/>
            </w:tcBorders>
            <w:shd w:val="clear" w:color="auto" w:fill="D2D2D2"/>
          </w:tcPr>
          <w:p>
            <w:pPr/>
          </w:p>
        </w:tc>
        <w:tc>
          <w:tcPr>
            <w:tcW w:w="1051" w:type="dxa"/>
            <w:vMerge/>
            <w:tcBorders>
              <w:left w:val="single" w:sz="4" w:space="0" w:color="000000"/>
              <w:bottom w:val="single" w:sz="4" w:space="0" w:color="000000"/>
              <w:right w:val="single" w:sz="4" w:space="0" w:color="000000"/>
            </w:tcBorders>
            <w:shd w:val="clear" w:color="auto" w:fill="D2D2D2"/>
          </w:tcPr>
          <w:p>
            <w:pPr/>
          </w:p>
        </w:tc>
        <w:tc>
          <w:tcPr>
            <w:tcW w:w="791" w:type="dxa"/>
            <w:tcBorders>
              <w:top w:val="nil" w:sz="6" w:space="0" w:color="auto"/>
              <w:left w:val="single" w:sz="4" w:space="0" w:color="000000"/>
              <w:bottom w:val="single" w:sz="4" w:space="0" w:color="000000"/>
              <w:right w:val="single" w:sz="4" w:space="0" w:color="000000"/>
            </w:tcBorders>
            <w:shd w:val="clear" w:color="auto" w:fill="D2D2D2"/>
          </w:tcPr>
          <w:p>
            <w:pPr/>
          </w:p>
        </w:tc>
        <w:tc>
          <w:tcPr>
            <w:tcW w:w="785"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714" w:hRule="exact"/>
        </w:trPr>
        <w:tc>
          <w:tcPr>
            <w:tcW w:w="171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60"/>
              <w:jc w:val="left"/>
              <w:rPr>
                <w:rFonts w:ascii="宋体" w:hAnsi="宋体" w:cs="宋体" w:eastAsia="宋体" w:hint="default"/>
                <w:sz w:val="18"/>
                <w:szCs w:val="18"/>
              </w:rPr>
            </w:pPr>
            <w:r>
              <w:rPr>
                <w:rFonts w:ascii="宋体" w:hAnsi="宋体" w:cs="宋体" w:eastAsia="宋体" w:hint="default"/>
                <w:sz w:val="18"/>
                <w:szCs w:val="18"/>
              </w:rPr>
              <w:t>惠州市奥拓电子科技 有限公司</w:t>
            </w:r>
          </w:p>
        </w:tc>
        <w:tc>
          <w:tcPr>
            <w:tcW w:w="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7"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pacing w:val="-8"/>
                <w:sz w:val="18"/>
                <w:szCs w:val="18"/>
              </w:rPr>
              <w:t>11</w:t>
            </w:r>
            <w:r>
              <w:rPr>
                <w:rFonts w:ascii="Times New Roman" w:hAnsi="Times New Roman" w:cs="Times New Roman" w:eastAsia="Times New Roman" w:hint="default"/>
                <w:sz w:val="18"/>
                <w:szCs w:val="18"/>
              </w:rPr>
            </w:r>
          </w:p>
          <w:p>
            <w:pPr>
              <w:pStyle w:val="TableParagraph"/>
              <w:spacing w:line="240" w:lineRule="auto" w:before="64"/>
              <w:ind w:left="17"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1"/>
              <w:jc w:val="right"/>
              <w:rPr>
                <w:rFonts w:ascii="Times New Roman" w:hAnsi="Times New Roman" w:cs="Times New Roman" w:eastAsia="Times New Roman" w:hint="default"/>
                <w:sz w:val="18"/>
                <w:szCs w:val="18"/>
              </w:rPr>
            </w:pPr>
            <w:r>
              <w:rPr>
                <w:rFonts w:ascii="Times New Roman"/>
                <w:sz w:val="18"/>
              </w:rPr>
              <w:t>1,500</w:t>
            </w:r>
          </w:p>
        </w:tc>
        <w:tc>
          <w:tcPr>
            <w:tcW w:w="1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28</w:t>
            </w:r>
          </w:p>
          <w:p>
            <w:pPr>
              <w:pStyle w:val="TableParagraph"/>
              <w:spacing w:line="240" w:lineRule="auto" w:before="64"/>
              <w:ind w:left="31"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45" w:type="dxa"/>
            <w:tcBorders>
              <w:top w:val="single" w:sz="4" w:space="0" w:color="000000"/>
              <w:left w:val="single" w:sz="4" w:space="0" w:color="000000"/>
              <w:bottom w:val="single" w:sz="4" w:space="0" w:color="000000"/>
              <w:right w:val="single" w:sz="4" w:space="0" w:color="FFFFFF"/>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5"/>
              <w:jc w:val="right"/>
              <w:rPr>
                <w:rFonts w:ascii="Times New Roman" w:hAnsi="Times New Roman" w:cs="Times New Roman" w:eastAsia="Times New Roman" w:hint="default"/>
                <w:sz w:val="18"/>
                <w:szCs w:val="18"/>
              </w:rPr>
            </w:pPr>
            <w:r>
              <w:rPr>
                <w:rFonts w:ascii="Times New Roman"/>
                <w:sz w:val="18"/>
              </w:rPr>
              <w:t>1,500</w:t>
            </w:r>
          </w:p>
        </w:tc>
        <w:tc>
          <w:tcPr>
            <w:tcW w:w="1044" w:type="dxa"/>
            <w:tcBorders>
              <w:top w:val="single" w:sz="4" w:space="0" w:color="000000"/>
              <w:left w:val="single" w:sz="4" w:space="0" w:color="FFFFFF"/>
              <w:bottom w:val="single" w:sz="4" w:space="0" w:color="000000"/>
              <w:right w:val="single" w:sz="4" w:space="0" w:color="000000"/>
            </w:tcBorders>
          </w:tcPr>
          <w:p>
            <w:pPr>
              <w:pStyle w:val="TableParagraph"/>
              <w:spacing w:line="319" w:lineRule="auto" w:before="51"/>
              <w:ind w:left="38" w:right="94"/>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8" w:right="0"/>
              <w:jc w:val="left"/>
              <w:rPr>
                <w:rFonts w:ascii="Times New Roman" w:hAnsi="Times New Roman" w:cs="Times New Roman" w:eastAsia="Times New Roman" w:hint="default"/>
                <w:sz w:val="18"/>
                <w:szCs w:val="18"/>
              </w:rPr>
            </w:pPr>
            <w:r>
              <w:rPr>
                <w:rFonts w:ascii="Times New Roman"/>
                <w:sz w:val="18"/>
              </w:rPr>
              <w:t>3</w:t>
            </w:r>
          </w:p>
        </w:tc>
        <w:tc>
          <w:tcPr>
            <w:tcW w:w="7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71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60"/>
              <w:jc w:val="left"/>
              <w:rPr>
                <w:rFonts w:ascii="宋体" w:hAnsi="宋体" w:cs="宋体" w:eastAsia="宋体" w:hint="default"/>
                <w:sz w:val="18"/>
                <w:szCs w:val="18"/>
              </w:rPr>
            </w:pPr>
            <w:r>
              <w:rPr>
                <w:rFonts w:ascii="宋体" w:hAnsi="宋体" w:cs="宋体" w:eastAsia="宋体" w:hint="default"/>
                <w:sz w:val="18"/>
                <w:szCs w:val="18"/>
              </w:rPr>
              <w:t>惠州市奥拓电子科技 有限公司</w:t>
            </w:r>
          </w:p>
        </w:tc>
        <w:tc>
          <w:tcPr>
            <w:tcW w:w="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7"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03</w:t>
            </w:r>
          </w:p>
          <w:p>
            <w:pPr>
              <w:pStyle w:val="TableParagraph"/>
              <w:spacing w:line="240" w:lineRule="auto" w:before="64"/>
              <w:ind w:left="17"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1"/>
              <w:jc w:val="right"/>
              <w:rPr>
                <w:rFonts w:ascii="Times New Roman" w:hAnsi="Times New Roman" w:cs="Times New Roman" w:eastAsia="Times New Roman" w:hint="default"/>
                <w:sz w:val="18"/>
                <w:szCs w:val="18"/>
              </w:rPr>
            </w:pPr>
            <w:r>
              <w:rPr>
                <w:rFonts w:ascii="Times New Roman"/>
                <w:sz w:val="18"/>
              </w:rPr>
              <w:t>1,000</w:t>
            </w:r>
          </w:p>
        </w:tc>
        <w:tc>
          <w:tcPr>
            <w:tcW w:w="1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26</w:t>
            </w:r>
          </w:p>
          <w:p>
            <w:pPr>
              <w:pStyle w:val="TableParagraph"/>
              <w:spacing w:line="240" w:lineRule="auto" w:before="64"/>
              <w:ind w:left="31"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45" w:type="dxa"/>
            <w:tcBorders>
              <w:top w:val="single" w:sz="4" w:space="0" w:color="000000"/>
              <w:left w:val="single" w:sz="4" w:space="0" w:color="000000"/>
              <w:bottom w:val="single" w:sz="4" w:space="0" w:color="000000"/>
              <w:right w:val="single" w:sz="4" w:space="0" w:color="FFFFFF"/>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5"/>
              <w:jc w:val="right"/>
              <w:rPr>
                <w:rFonts w:ascii="Times New Roman" w:hAnsi="Times New Roman" w:cs="Times New Roman" w:eastAsia="Times New Roman" w:hint="default"/>
                <w:sz w:val="18"/>
                <w:szCs w:val="18"/>
              </w:rPr>
            </w:pPr>
            <w:r>
              <w:rPr>
                <w:rFonts w:ascii="Times New Roman"/>
                <w:sz w:val="18"/>
              </w:rPr>
              <w:t>1,000</w:t>
            </w:r>
          </w:p>
        </w:tc>
        <w:tc>
          <w:tcPr>
            <w:tcW w:w="1044" w:type="dxa"/>
            <w:tcBorders>
              <w:top w:val="single" w:sz="4" w:space="0" w:color="000000"/>
              <w:left w:val="single" w:sz="4" w:space="0" w:color="FFFFFF"/>
              <w:bottom w:val="single" w:sz="4" w:space="0" w:color="000000"/>
              <w:right w:val="single" w:sz="4" w:space="0" w:color="000000"/>
            </w:tcBorders>
          </w:tcPr>
          <w:p>
            <w:pPr>
              <w:pStyle w:val="TableParagraph"/>
              <w:spacing w:line="319" w:lineRule="auto" w:before="51"/>
              <w:ind w:left="38" w:right="94"/>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8" w:right="0"/>
              <w:jc w:val="left"/>
              <w:rPr>
                <w:rFonts w:ascii="Times New Roman" w:hAnsi="Times New Roman" w:cs="Times New Roman" w:eastAsia="Times New Roman" w:hint="default"/>
                <w:sz w:val="18"/>
                <w:szCs w:val="18"/>
              </w:rPr>
            </w:pPr>
            <w:r>
              <w:rPr>
                <w:rFonts w:ascii="Times New Roman"/>
                <w:sz w:val="18"/>
              </w:rPr>
              <w:t>2</w:t>
            </w:r>
          </w:p>
        </w:tc>
        <w:tc>
          <w:tcPr>
            <w:tcW w:w="7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71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60"/>
              <w:jc w:val="left"/>
              <w:rPr>
                <w:rFonts w:ascii="宋体" w:hAnsi="宋体" w:cs="宋体" w:eastAsia="宋体" w:hint="default"/>
                <w:sz w:val="18"/>
                <w:szCs w:val="18"/>
              </w:rPr>
            </w:pPr>
            <w:r>
              <w:rPr>
                <w:rFonts w:ascii="宋体" w:hAnsi="宋体" w:cs="宋体" w:eastAsia="宋体" w:hint="default"/>
                <w:sz w:val="18"/>
                <w:szCs w:val="18"/>
              </w:rPr>
              <w:t>深圳市千百辉照明工 程有限公司</w:t>
            </w:r>
          </w:p>
        </w:tc>
        <w:tc>
          <w:tcPr>
            <w:tcW w:w="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7"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03</w:t>
            </w:r>
          </w:p>
          <w:p>
            <w:pPr>
              <w:pStyle w:val="TableParagraph"/>
              <w:spacing w:line="240" w:lineRule="auto" w:before="64"/>
              <w:ind w:left="17"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1"/>
              <w:jc w:val="right"/>
              <w:rPr>
                <w:rFonts w:ascii="Times New Roman" w:hAnsi="Times New Roman" w:cs="Times New Roman" w:eastAsia="Times New Roman" w:hint="default"/>
                <w:sz w:val="18"/>
                <w:szCs w:val="18"/>
              </w:rPr>
            </w:pPr>
            <w:r>
              <w:rPr>
                <w:rFonts w:ascii="Times New Roman"/>
                <w:sz w:val="18"/>
              </w:rPr>
              <w:t>5,000</w:t>
            </w:r>
          </w:p>
        </w:tc>
        <w:tc>
          <w:tcPr>
            <w:tcW w:w="1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19</w:t>
            </w:r>
          </w:p>
          <w:p>
            <w:pPr>
              <w:pStyle w:val="TableParagraph"/>
              <w:spacing w:line="240" w:lineRule="auto" w:before="64"/>
              <w:ind w:left="31"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45" w:type="dxa"/>
            <w:tcBorders>
              <w:top w:val="single" w:sz="4" w:space="0" w:color="000000"/>
              <w:left w:val="single" w:sz="4" w:space="0" w:color="000000"/>
              <w:bottom w:val="single" w:sz="4" w:space="0" w:color="000000"/>
              <w:right w:val="single" w:sz="4" w:space="0" w:color="FFFFFF"/>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5"/>
              <w:jc w:val="right"/>
              <w:rPr>
                <w:rFonts w:ascii="Times New Roman" w:hAnsi="Times New Roman" w:cs="Times New Roman" w:eastAsia="Times New Roman" w:hint="default"/>
                <w:sz w:val="18"/>
                <w:szCs w:val="18"/>
              </w:rPr>
            </w:pPr>
            <w:r>
              <w:rPr>
                <w:rFonts w:ascii="Times New Roman"/>
                <w:sz w:val="18"/>
              </w:rPr>
              <w:t>5,000</w:t>
            </w:r>
          </w:p>
        </w:tc>
        <w:tc>
          <w:tcPr>
            <w:tcW w:w="1044" w:type="dxa"/>
            <w:tcBorders>
              <w:top w:val="single" w:sz="4" w:space="0" w:color="000000"/>
              <w:left w:val="single" w:sz="4" w:space="0" w:color="FFFFFF"/>
              <w:bottom w:val="single" w:sz="4" w:space="0" w:color="000000"/>
              <w:right w:val="single" w:sz="4" w:space="0" w:color="000000"/>
            </w:tcBorders>
          </w:tcPr>
          <w:p>
            <w:pPr>
              <w:pStyle w:val="TableParagraph"/>
              <w:spacing w:line="319" w:lineRule="auto" w:before="51"/>
              <w:ind w:left="38" w:right="94"/>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8" w:right="0"/>
              <w:jc w:val="left"/>
              <w:rPr>
                <w:rFonts w:ascii="Times New Roman" w:hAnsi="Times New Roman" w:cs="Times New Roman" w:eastAsia="Times New Roman" w:hint="default"/>
                <w:sz w:val="18"/>
                <w:szCs w:val="18"/>
              </w:rPr>
            </w:pPr>
            <w:r>
              <w:rPr>
                <w:rFonts w:ascii="Times New Roman"/>
                <w:sz w:val="18"/>
              </w:rPr>
              <w:t>2</w:t>
            </w:r>
          </w:p>
        </w:tc>
        <w:tc>
          <w:tcPr>
            <w:tcW w:w="7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71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60"/>
              <w:jc w:val="left"/>
              <w:rPr>
                <w:rFonts w:ascii="宋体" w:hAnsi="宋体" w:cs="宋体" w:eastAsia="宋体" w:hint="default"/>
                <w:sz w:val="18"/>
                <w:szCs w:val="18"/>
              </w:rPr>
            </w:pPr>
            <w:r>
              <w:rPr>
                <w:rFonts w:ascii="宋体" w:hAnsi="宋体" w:cs="宋体" w:eastAsia="宋体" w:hint="default"/>
                <w:sz w:val="18"/>
                <w:szCs w:val="18"/>
              </w:rPr>
              <w:t>惠州市奥拓电子科技 有限公司</w:t>
            </w:r>
          </w:p>
        </w:tc>
        <w:tc>
          <w:tcPr>
            <w:tcW w:w="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7"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p>
          <w:p>
            <w:pPr>
              <w:pStyle w:val="TableParagraph"/>
              <w:spacing w:line="240" w:lineRule="auto" w:before="64"/>
              <w:ind w:left="17"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1"/>
              <w:jc w:val="right"/>
              <w:rPr>
                <w:rFonts w:ascii="Times New Roman" w:hAnsi="Times New Roman" w:cs="Times New Roman" w:eastAsia="Times New Roman" w:hint="default"/>
                <w:sz w:val="18"/>
                <w:szCs w:val="18"/>
              </w:rPr>
            </w:pPr>
            <w:r>
              <w:rPr>
                <w:rFonts w:ascii="Times New Roman"/>
                <w:sz w:val="18"/>
              </w:rPr>
              <w:t>3,000</w:t>
            </w:r>
          </w:p>
        </w:tc>
        <w:tc>
          <w:tcPr>
            <w:tcW w:w="1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28</w:t>
            </w:r>
          </w:p>
          <w:p>
            <w:pPr>
              <w:pStyle w:val="TableParagraph"/>
              <w:spacing w:line="240" w:lineRule="auto" w:before="64"/>
              <w:ind w:right="24"/>
              <w:jc w:val="right"/>
              <w:rPr>
                <w:rFonts w:ascii="宋体" w:hAnsi="宋体" w:cs="宋体" w:eastAsia="宋体" w:hint="default"/>
                <w:sz w:val="18"/>
                <w:szCs w:val="18"/>
              </w:rPr>
            </w:pPr>
            <w:r>
              <w:rPr>
                <w:rFonts w:ascii="宋体" w:hAnsi="宋体" w:cs="宋体" w:eastAsia="宋体" w:hint="default"/>
                <w:sz w:val="18"/>
                <w:szCs w:val="18"/>
              </w:rPr>
              <w:t>日</w:t>
            </w:r>
          </w:p>
        </w:tc>
        <w:tc>
          <w:tcPr>
            <w:tcW w:w="1045" w:type="dxa"/>
            <w:tcBorders>
              <w:top w:val="single" w:sz="4" w:space="0" w:color="000000"/>
              <w:left w:val="single" w:sz="4" w:space="0" w:color="000000"/>
              <w:bottom w:val="single" w:sz="4" w:space="0" w:color="000000"/>
              <w:right w:val="single" w:sz="4" w:space="0" w:color="FFFFFF"/>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5"/>
              <w:jc w:val="right"/>
              <w:rPr>
                <w:rFonts w:ascii="Times New Roman" w:hAnsi="Times New Roman" w:cs="Times New Roman" w:eastAsia="Times New Roman" w:hint="default"/>
                <w:sz w:val="18"/>
                <w:szCs w:val="18"/>
              </w:rPr>
            </w:pPr>
            <w:r>
              <w:rPr>
                <w:rFonts w:ascii="Times New Roman"/>
                <w:sz w:val="18"/>
              </w:rPr>
              <w:t>2,000</w:t>
            </w:r>
          </w:p>
        </w:tc>
        <w:tc>
          <w:tcPr>
            <w:tcW w:w="1044" w:type="dxa"/>
            <w:tcBorders>
              <w:top w:val="single" w:sz="4" w:space="0" w:color="000000"/>
              <w:left w:val="single" w:sz="4" w:space="0" w:color="FFFFFF"/>
              <w:bottom w:val="single" w:sz="4" w:space="0" w:color="000000"/>
              <w:right w:val="single" w:sz="4" w:space="0" w:color="000000"/>
            </w:tcBorders>
          </w:tcPr>
          <w:p>
            <w:pPr>
              <w:pStyle w:val="TableParagraph"/>
              <w:spacing w:line="319" w:lineRule="auto" w:before="51"/>
              <w:ind w:left="38" w:right="94"/>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8" w:right="0"/>
              <w:jc w:val="left"/>
              <w:rPr>
                <w:rFonts w:ascii="Times New Roman" w:hAnsi="Times New Roman" w:cs="Times New Roman" w:eastAsia="Times New Roman" w:hint="default"/>
                <w:sz w:val="18"/>
                <w:szCs w:val="18"/>
              </w:rPr>
            </w:pPr>
            <w:r>
              <w:rPr>
                <w:rFonts w:ascii="Times New Roman"/>
                <w:sz w:val="18"/>
              </w:rPr>
              <w:t>2</w:t>
            </w:r>
          </w:p>
        </w:tc>
        <w:tc>
          <w:tcPr>
            <w:tcW w:w="7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71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60"/>
              <w:jc w:val="left"/>
              <w:rPr>
                <w:rFonts w:ascii="宋体" w:hAnsi="宋体" w:cs="宋体" w:eastAsia="宋体" w:hint="default"/>
                <w:sz w:val="18"/>
                <w:szCs w:val="18"/>
              </w:rPr>
            </w:pPr>
            <w:r>
              <w:rPr>
                <w:rFonts w:ascii="宋体" w:hAnsi="宋体" w:cs="宋体" w:eastAsia="宋体" w:hint="default"/>
                <w:sz w:val="18"/>
                <w:szCs w:val="18"/>
              </w:rPr>
              <w:t>深圳市千百辉照明工 程有限公司</w:t>
            </w:r>
          </w:p>
        </w:tc>
        <w:tc>
          <w:tcPr>
            <w:tcW w:w="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7"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p>
          <w:p>
            <w:pPr>
              <w:pStyle w:val="TableParagraph"/>
              <w:spacing w:line="240" w:lineRule="auto" w:before="64"/>
              <w:ind w:left="17"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1"/>
              <w:jc w:val="right"/>
              <w:rPr>
                <w:rFonts w:ascii="Times New Roman" w:hAnsi="Times New Roman" w:cs="Times New Roman" w:eastAsia="Times New Roman" w:hint="default"/>
                <w:sz w:val="18"/>
                <w:szCs w:val="18"/>
              </w:rPr>
            </w:pPr>
            <w:r>
              <w:rPr>
                <w:rFonts w:ascii="Times New Roman"/>
                <w:sz w:val="18"/>
              </w:rPr>
              <w:t>5,000</w:t>
            </w:r>
          </w:p>
        </w:tc>
        <w:tc>
          <w:tcPr>
            <w:tcW w:w="1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pacing w:val="-9"/>
                <w:sz w:val="18"/>
                <w:szCs w:val="18"/>
              </w:rPr>
              <w:t>11</w:t>
            </w:r>
            <w:r>
              <w:rPr>
                <w:rFonts w:ascii="Times New Roman" w:hAnsi="Times New Roman" w:cs="Times New Roman" w:eastAsia="Times New Roman" w:hint="default"/>
                <w:sz w:val="18"/>
                <w:szCs w:val="18"/>
              </w:rPr>
            </w:r>
          </w:p>
          <w:p>
            <w:pPr>
              <w:pStyle w:val="TableParagraph"/>
              <w:spacing w:line="240" w:lineRule="auto" w:before="64"/>
              <w:ind w:left="31"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45" w:type="dxa"/>
            <w:tcBorders>
              <w:top w:val="single" w:sz="4" w:space="0" w:color="000000"/>
              <w:left w:val="single" w:sz="4" w:space="0" w:color="000000"/>
              <w:bottom w:val="single" w:sz="4" w:space="0" w:color="000000"/>
              <w:right w:val="single" w:sz="4" w:space="0" w:color="FFFFFF"/>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5"/>
              <w:jc w:val="right"/>
              <w:rPr>
                <w:rFonts w:ascii="Times New Roman" w:hAnsi="Times New Roman" w:cs="Times New Roman" w:eastAsia="Times New Roman" w:hint="default"/>
                <w:sz w:val="18"/>
                <w:szCs w:val="18"/>
              </w:rPr>
            </w:pPr>
            <w:r>
              <w:rPr>
                <w:rFonts w:ascii="Times New Roman"/>
                <w:sz w:val="18"/>
              </w:rPr>
              <w:t>4,000</w:t>
            </w:r>
          </w:p>
        </w:tc>
        <w:tc>
          <w:tcPr>
            <w:tcW w:w="1044" w:type="dxa"/>
            <w:tcBorders>
              <w:top w:val="single" w:sz="4" w:space="0" w:color="000000"/>
              <w:left w:val="single" w:sz="4" w:space="0" w:color="FFFFFF"/>
              <w:bottom w:val="single" w:sz="4" w:space="0" w:color="000000"/>
              <w:right w:val="single" w:sz="4" w:space="0" w:color="000000"/>
            </w:tcBorders>
          </w:tcPr>
          <w:p>
            <w:pPr>
              <w:pStyle w:val="TableParagraph"/>
              <w:spacing w:line="319" w:lineRule="auto" w:before="51"/>
              <w:ind w:left="38" w:right="94"/>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8" w:right="0"/>
              <w:jc w:val="left"/>
              <w:rPr>
                <w:rFonts w:ascii="Times New Roman" w:hAnsi="Times New Roman" w:cs="Times New Roman" w:eastAsia="Times New Roman" w:hint="default"/>
                <w:sz w:val="18"/>
                <w:szCs w:val="18"/>
              </w:rPr>
            </w:pPr>
            <w:r>
              <w:rPr>
                <w:rFonts w:ascii="Times New Roman"/>
                <w:sz w:val="18"/>
              </w:rPr>
              <w:t>2</w:t>
            </w:r>
          </w:p>
        </w:tc>
        <w:tc>
          <w:tcPr>
            <w:tcW w:w="7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262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67"/>
              <w:jc w:val="left"/>
              <w:rPr>
                <w:rFonts w:ascii="宋体" w:hAnsi="宋体" w:cs="宋体" w:eastAsia="宋体" w:hint="default"/>
                <w:sz w:val="18"/>
                <w:szCs w:val="18"/>
              </w:rPr>
            </w:pPr>
            <w:r>
              <w:rPr>
                <w:rFonts w:ascii="宋体" w:hAnsi="宋体" w:cs="宋体" w:eastAsia="宋体" w:hint="default"/>
                <w:sz w:val="18"/>
                <w:szCs w:val="18"/>
              </w:rPr>
              <w:t>报告期内审批对子公司担保额度 合计（</w:t>
            </w:r>
            <w:r>
              <w:rPr>
                <w:rFonts w:ascii="Times New Roman" w:hAnsi="Times New Roman" w:cs="Times New Roman" w:eastAsia="Times New Roman" w:hint="default"/>
                <w:sz w:val="18"/>
                <w:szCs w:val="18"/>
              </w:rPr>
              <w:t>B1</w:t>
            </w:r>
            <w:r>
              <w:rPr>
                <w:rFonts w:ascii="宋体" w:hAnsi="宋体" w:cs="宋体" w:eastAsia="宋体" w:hint="default"/>
                <w:sz w:val="18"/>
                <w:szCs w:val="18"/>
              </w:rPr>
              <w:t>）</w:t>
            </w:r>
          </w:p>
        </w:tc>
        <w:tc>
          <w:tcPr>
            <w:tcW w:w="2236" w:type="dxa"/>
            <w:gridSpan w:val="2"/>
            <w:tcBorders>
              <w:top w:val="single" w:sz="4" w:space="0" w:color="000000"/>
              <w:left w:val="single" w:sz="13" w:space="0" w:color="D2D2D2"/>
              <w:bottom w:val="single" w:sz="4" w:space="0" w:color="000000"/>
              <w:right w:val="single" w:sz="13" w:space="0" w:color="D2D2D2"/>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
              <w:jc w:val="right"/>
              <w:rPr>
                <w:rFonts w:ascii="Times New Roman" w:hAnsi="Times New Roman" w:cs="Times New Roman" w:eastAsia="Times New Roman" w:hint="default"/>
                <w:sz w:val="18"/>
                <w:szCs w:val="18"/>
              </w:rPr>
            </w:pPr>
            <w:r>
              <w:rPr>
                <w:rFonts w:ascii="Times New Roman"/>
                <w:sz w:val="18"/>
              </w:rPr>
              <w:t>14,000</w:t>
            </w:r>
          </w:p>
        </w:tc>
        <w:tc>
          <w:tcPr>
            <w:tcW w:w="209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0" w:right="77"/>
              <w:jc w:val="left"/>
              <w:rPr>
                <w:rFonts w:ascii="宋体" w:hAnsi="宋体" w:cs="宋体" w:eastAsia="宋体" w:hint="default"/>
                <w:sz w:val="18"/>
                <w:szCs w:val="18"/>
              </w:rPr>
            </w:pPr>
            <w:r>
              <w:rPr>
                <w:rFonts w:ascii="宋体" w:hAnsi="宋体" w:cs="宋体" w:eastAsia="宋体" w:hint="default"/>
                <w:sz w:val="18"/>
                <w:szCs w:val="18"/>
              </w:rPr>
              <w:t>报告期内对子公司担保实 际发生额合计（</w:t>
            </w:r>
            <w:r>
              <w:rPr>
                <w:rFonts w:ascii="Times New Roman" w:hAnsi="Times New Roman" w:cs="Times New Roman" w:eastAsia="Times New Roman" w:hint="default"/>
                <w:sz w:val="18"/>
                <w:szCs w:val="18"/>
              </w:rPr>
              <w:t>B2</w:t>
            </w:r>
            <w:r>
              <w:rPr>
                <w:rFonts w:ascii="宋体" w:hAnsi="宋体" w:cs="宋体" w:eastAsia="宋体" w:hint="default"/>
                <w:sz w:val="18"/>
                <w:szCs w:val="18"/>
              </w:rPr>
              <w:t>）</w:t>
            </w:r>
          </w:p>
        </w:tc>
        <w:tc>
          <w:tcPr>
            <w:tcW w:w="2627"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12,000</w:t>
            </w:r>
          </w:p>
        </w:tc>
      </w:tr>
      <w:tr>
        <w:trPr>
          <w:trHeight w:val="719" w:hRule="exact"/>
        </w:trPr>
        <w:tc>
          <w:tcPr>
            <w:tcW w:w="262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67"/>
              <w:jc w:val="left"/>
              <w:rPr>
                <w:rFonts w:ascii="宋体" w:hAnsi="宋体" w:cs="宋体" w:eastAsia="宋体" w:hint="default"/>
                <w:sz w:val="18"/>
                <w:szCs w:val="18"/>
              </w:rPr>
            </w:pPr>
            <w:r>
              <w:rPr>
                <w:rFonts w:ascii="宋体" w:hAnsi="宋体" w:cs="宋体" w:eastAsia="宋体" w:hint="default"/>
                <w:sz w:val="18"/>
                <w:szCs w:val="18"/>
              </w:rPr>
              <w:t>报告期末已审批的对子公司担保 额度合计（</w:t>
            </w:r>
            <w:r>
              <w:rPr>
                <w:rFonts w:ascii="Times New Roman" w:hAnsi="Times New Roman" w:cs="Times New Roman" w:eastAsia="Times New Roman" w:hint="default"/>
                <w:sz w:val="18"/>
                <w:szCs w:val="18"/>
              </w:rPr>
              <w:t>B3</w:t>
            </w:r>
            <w:r>
              <w:rPr>
                <w:rFonts w:ascii="宋体" w:hAnsi="宋体" w:cs="宋体" w:eastAsia="宋体" w:hint="default"/>
                <w:sz w:val="18"/>
                <w:szCs w:val="18"/>
              </w:rPr>
              <w:t>）</w:t>
            </w:r>
          </w:p>
        </w:tc>
        <w:tc>
          <w:tcPr>
            <w:tcW w:w="2236" w:type="dxa"/>
            <w:gridSpan w:val="2"/>
            <w:tcBorders>
              <w:top w:val="single" w:sz="4" w:space="0" w:color="000000"/>
              <w:left w:val="single" w:sz="13" w:space="0" w:color="D2D2D2"/>
              <w:bottom w:val="single" w:sz="4" w:space="0" w:color="000000"/>
              <w:right w:val="single" w:sz="13" w:space="0" w:color="D2D2D2"/>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
              <w:jc w:val="right"/>
              <w:rPr>
                <w:rFonts w:ascii="Times New Roman" w:hAnsi="Times New Roman" w:cs="Times New Roman" w:eastAsia="Times New Roman" w:hint="default"/>
                <w:sz w:val="18"/>
                <w:szCs w:val="18"/>
              </w:rPr>
            </w:pPr>
            <w:r>
              <w:rPr>
                <w:rFonts w:ascii="Times New Roman"/>
                <w:sz w:val="18"/>
              </w:rPr>
              <w:t>15,500</w:t>
            </w:r>
          </w:p>
        </w:tc>
        <w:tc>
          <w:tcPr>
            <w:tcW w:w="209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0" w:right="77"/>
              <w:jc w:val="left"/>
              <w:rPr>
                <w:rFonts w:ascii="宋体" w:hAnsi="宋体" w:cs="宋体" w:eastAsia="宋体" w:hint="default"/>
                <w:sz w:val="18"/>
                <w:szCs w:val="18"/>
              </w:rPr>
            </w:pPr>
            <w:r>
              <w:rPr>
                <w:rFonts w:ascii="宋体" w:hAnsi="宋体" w:cs="宋体" w:eastAsia="宋体" w:hint="default"/>
                <w:sz w:val="18"/>
                <w:szCs w:val="18"/>
              </w:rPr>
              <w:t>报告期末对子公司实际担 保余额合计（</w:t>
            </w:r>
            <w:r>
              <w:rPr>
                <w:rFonts w:ascii="Times New Roman" w:hAnsi="Times New Roman" w:cs="Times New Roman" w:eastAsia="Times New Roman" w:hint="default"/>
                <w:sz w:val="18"/>
                <w:szCs w:val="18"/>
              </w:rPr>
              <w:t>B4</w:t>
            </w:r>
            <w:r>
              <w:rPr>
                <w:rFonts w:ascii="宋体" w:hAnsi="宋体" w:cs="宋体" w:eastAsia="宋体" w:hint="default"/>
                <w:sz w:val="18"/>
                <w:szCs w:val="18"/>
              </w:rPr>
              <w:t>）</w:t>
            </w:r>
          </w:p>
        </w:tc>
        <w:tc>
          <w:tcPr>
            <w:tcW w:w="2627"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2302.31</w:t>
            </w:r>
          </w:p>
        </w:tc>
      </w:tr>
      <w:tr>
        <w:trPr>
          <w:trHeight w:val="392" w:hRule="exact"/>
        </w:trPr>
        <w:tc>
          <w:tcPr>
            <w:tcW w:w="9575"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子公司对子公司的担保情况</w:t>
            </w:r>
          </w:p>
        </w:tc>
      </w:tr>
      <w:tr>
        <w:trPr>
          <w:trHeight w:val="166" w:hRule="exact"/>
        </w:trPr>
        <w:tc>
          <w:tcPr>
            <w:tcW w:w="1715" w:type="dxa"/>
            <w:vMerge w:val="restart"/>
            <w:tcBorders>
              <w:top w:val="single" w:sz="4" w:space="0" w:color="000000"/>
              <w:left w:val="single" w:sz="4" w:space="0" w:color="000000"/>
              <w:right w:val="single" w:sz="4" w:space="0" w:color="000000"/>
            </w:tcBorders>
            <w:shd w:val="clear" w:color="auto" w:fill="D2D2D2"/>
          </w:tcPr>
          <w:p>
            <w:pPr/>
          </w:p>
        </w:tc>
        <w:tc>
          <w:tcPr>
            <w:tcW w:w="907"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6"/>
              <w:ind w:left="86" w:right="88"/>
              <w:jc w:val="both"/>
              <w:rPr>
                <w:rFonts w:ascii="宋体" w:hAnsi="宋体" w:cs="宋体" w:eastAsia="宋体" w:hint="default"/>
                <w:sz w:val="18"/>
                <w:szCs w:val="18"/>
              </w:rPr>
            </w:pPr>
            <w:r>
              <w:rPr>
                <w:rFonts w:ascii="宋体" w:hAnsi="宋体" w:cs="宋体" w:eastAsia="宋体" w:hint="default"/>
                <w:sz w:val="18"/>
                <w:szCs w:val="18"/>
              </w:rPr>
              <w:t>担保额度 相关公告 披露日期</w:t>
            </w:r>
          </w:p>
        </w:tc>
        <w:tc>
          <w:tcPr>
            <w:tcW w:w="929" w:type="dxa"/>
            <w:vMerge w:val="restart"/>
            <w:tcBorders>
              <w:top w:val="single" w:sz="4" w:space="0" w:color="000000"/>
              <w:left w:val="single" w:sz="4" w:space="0" w:color="000000"/>
              <w:right w:val="single" w:sz="4" w:space="0" w:color="000000"/>
            </w:tcBorders>
            <w:shd w:val="clear" w:color="auto" w:fill="D2D2D2"/>
          </w:tcPr>
          <w:p>
            <w:pPr/>
          </w:p>
        </w:tc>
        <w:tc>
          <w:tcPr>
            <w:tcW w:w="1307" w:type="dxa"/>
            <w:tcBorders>
              <w:top w:val="single" w:sz="4" w:space="0" w:color="000000"/>
              <w:left w:val="single" w:sz="4" w:space="0" w:color="000000"/>
              <w:bottom w:val="nil" w:sz="6" w:space="0" w:color="auto"/>
              <w:right w:val="single" w:sz="4" w:space="0" w:color="000000"/>
            </w:tcBorders>
            <w:shd w:val="clear" w:color="auto" w:fill="D2D2D2"/>
          </w:tcPr>
          <w:p>
            <w:pPr/>
          </w:p>
        </w:tc>
        <w:tc>
          <w:tcPr>
            <w:tcW w:w="1045" w:type="dxa"/>
            <w:tcBorders>
              <w:top w:val="single" w:sz="4" w:space="0" w:color="000000"/>
              <w:left w:val="single" w:sz="4" w:space="0" w:color="000000"/>
              <w:bottom w:val="nil" w:sz="6" w:space="0" w:color="auto"/>
              <w:right w:val="single" w:sz="4" w:space="0" w:color="000000"/>
            </w:tcBorders>
            <w:shd w:val="clear" w:color="auto" w:fill="D2D2D2"/>
          </w:tcPr>
          <w:p>
            <w:pPr/>
          </w:p>
        </w:tc>
        <w:tc>
          <w:tcPr>
            <w:tcW w:w="1044" w:type="dxa"/>
            <w:vMerge w:val="restart"/>
            <w:tcBorders>
              <w:top w:val="single" w:sz="4" w:space="0" w:color="000000"/>
              <w:left w:val="single" w:sz="4" w:space="0" w:color="000000"/>
              <w:right w:val="single" w:sz="4" w:space="0" w:color="000000"/>
            </w:tcBorders>
            <w:shd w:val="clear" w:color="auto" w:fill="D2D2D2"/>
          </w:tcPr>
          <w:p>
            <w:pPr/>
          </w:p>
        </w:tc>
        <w:tc>
          <w:tcPr>
            <w:tcW w:w="1051" w:type="dxa"/>
            <w:vMerge w:val="restart"/>
            <w:tcBorders>
              <w:top w:val="single" w:sz="4" w:space="0" w:color="000000"/>
              <w:left w:val="single" w:sz="4" w:space="0" w:color="000000"/>
              <w:right w:val="single" w:sz="4" w:space="0" w:color="000000"/>
            </w:tcBorders>
            <w:shd w:val="clear" w:color="auto" w:fill="D2D2D2"/>
          </w:tcPr>
          <w:p>
            <w:pPr/>
          </w:p>
        </w:tc>
        <w:tc>
          <w:tcPr>
            <w:tcW w:w="791" w:type="dxa"/>
            <w:tcBorders>
              <w:top w:val="single" w:sz="4" w:space="0" w:color="000000"/>
              <w:left w:val="single" w:sz="4" w:space="0" w:color="000000"/>
              <w:bottom w:val="nil" w:sz="6" w:space="0" w:color="auto"/>
              <w:right w:val="single" w:sz="4" w:space="0" w:color="000000"/>
            </w:tcBorders>
            <w:shd w:val="clear" w:color="auto" w:fill="D2D2D2"/>
          </w:tcPr>
          <w:p>
            <w:pPr/>
          </w:p>
        </w:tc>
        <w:tc>
          <w:tcPr>
            <w:tcW w:w="785"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56" w:hRule="exact"/>
        </w:trPr>
        <w:tc>
          <w:tcPr>
            <w:tcW w:w="1715" w:type="dxa"/>
            <w:vMerge/>
            <w:tcBorders>
              <w:left w:val="single" w:sz="4" w:space="0" w:color="000000"/>
              <w:bottom w:val="nil" w:sz="6" w:space="0" w:color="auto"/>
              <w:right w:val="single" w:sz="4" w:space="0" w:color="000000"/>
            </w:tcBorders>
            <w:shd w:val="clear" w:color="auto" w:fill="D2D2D2"/>
          </w:tcPr>
          <w:p>
            <w:pPr/>
          </w:p>
        </w:tc>
        <w:tc>
          <w:tcPr>
            <w:tcW w:w="907" w:type="dxa"/>
            <w:vMerge/>
            <w:tcBorders>
              <w:left w:val="single" w:sz="4" w:space="0" w:color="000000"/>
              <w:right w:val="single" w:sz="4" w:space="0" w:color="000000"/>
            </w:tcBorders>
            <w:shd w:val="clear" w:color="auto" w:fill="D2D2D2"/>
          </w:tcPr>
          <w:p>
            <w:pPr/>
          </w:p>
        </w:tc>
        <w:tc>
          <w:tcPr>
            <w:tcW w:w="929" w:type="dxa"/>
            <w:vMerge/>
            <w:tcBorders>
              <w:left w:val="single" w:sz="4" w:space="0" w:color="000000"/>
              <w:bottom w:val="nil" w:sz="6" w:space="0" w:color="auto"/>
              <w:right w:val="single" w:sz="4" w:space="0" w:color="000000"/>
            </w:tcBorders>
            <w:shd w:val="clear" w:color="auto" w:fill="D2D2D2"/>
          </w:tcPr>
          <w:p>
            <w:pPr/>
          </w:p>
        </w:tc>
        <w:tc>
          <w:tcPr>
            <w:tcW w:w="130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实际发生日期</w:t>
            </w:r>
          </w:p>
          <w:p>
            <w:pPr>
              <w:pStyle w:val="TableParagraph"/>
              <w:spacing w:line="240" w:lineRule="auto" w:before="77"/>
              <w:ind w:left="14" w:right="0"/>
              <w:jc w:val="left"/>
              <w:rPr>
                <w:rFonts w:ascii="宋体" w:hAnsi="宋体" w:cs="宋体" w:eastAsia="宋体" w:hint="default"/>
                <w:sz w:val="18"/>
                <w:szCs w:val="18"/>
              </w:rPr>
            </w:pPr>
            <w:r>
              <w:rPr>
                <w:rFonts w:ascii="宋体" w:hAnsi="宋体" w:cs="宋体" w:eastAsia="宋体" w:hint="default"/>
                <w:sz w:val="18"/>
                <w:szCs w:val="18"/>
              </w:rPr>
              <w:t>（协议签署日）</w:t>
            </w:r>
          </w:p>
        </w:tc>
        <w:tc>
          <w:tcPr>
            <w:tcW w:w="1045"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423" w:right="71" w:hanging="360"/>
              <w:jc w:val="left"/>
              <w:rPr>
                <w:rFonts w:ascii="宋体" w:hAnsi="宋体" w:cs="宋体" w:eastAsia="宋体" w:hint="default"/>
                <w:sz w:val="18"/>
                <w:szCs w:val="18"/>
              </w:rPr>
            </w:pPr>
            <w:r>
              <w:rPr>
                <w:rFonts w:ascii="宋体" w:hAnsi="宋体" w:cs="宋体" w:eastAsia="宋体" w:hint="default"/>
                <w:sz w:val="18"/>
                <w:szCs w:val="18"/>
              </w:rPr>
              <w:t>实际担保金 额</w:t>
            </w:r>
          </w:p>
        </w:tc>
        <w:tc>
          <w:tcPr>
            <w:tcW w:w="1044" w:type="dxa"/>
            <w:vMerge/>
            <w:tcBorders>
              <w:left w:val="single" w:sz="4" w:space="0" w:color="000000"/>
              <w:bottom w:val="nil" w:sz="6" w:space="0" w:color="auto"/>
              <w:right w:val="single" w:sz="4" w:space="0" w:color="000000"/>
            </w:tcBorders>
            <w:shd w:val="clear" w:color="auto" w:fill="D2D2D2"/>
          </w:tcPr>
          <w:p>
            <w:pPr/>
          </w:p>
        </w:tc>
        <w:tc>
          <w:tcPr>
            <w:tcW w:w="1051" w:type="dxa"/>
            <w:vMerge/>
            <w:tcBorders>
              <w:left w:val="single" w:sz="4" w:space="0" w:color="000000"/>
              <w:bottom w:val="nil" w:sz="6" w:space="0" w:color="auto"/>
              <w:right w:val="single" w:sz="4" w:space="0" w:color="000000"/>
            </w:tcBorders>
            <w:shd w:val="clear" w:color="auto" w:fill="D2D2D2"/>
          </w:tcPr>
          <w:p>
            <w:pPr/>
          </w:p>
        </w:tc>
        <w:tc>
          <w:tcPr>
            <w:tcW w:w="791"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207" w:right="31" w:hanging="180"/>
              <w:jc w:val="left"/>
              <w:rPr>
                <w:rFonts w:ascii="宋体" w:hAnsi="宋体" w:cs="宋体" w:eastAsia="宋体" w:hint="default"/>
                <w:sz w:val="18"/>
                <w:szCs w:val="18"/>
              </w:rPr>
            </w:pPr>
            <w:r>
              <w:rPr>
                <w:rFonts w:ascii="宋体" w:hAnsi="宋体" w:cs="宋体" w:eastAsia="宋体" w:hint="default"/>
                <w:sz w:val="18"/>
                <w:szCs w:val="18"/>
              </w:rPr>
              <w:t>是否履行 完毕</w:t>
            </w:r>
          </w:p>
        </w:tc>
        <w:tc>
          <w:tcPr>
            <w:tcW w:w="785"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23" w:right="29"/>
              <w:jc w:val="left"/>
              <w:rPr>
                <w:rFonts w:ascii="宋体" w:hAnsi="宋体" w:cs="宋体" w:eastAsia="宋体" w:hint="default"/>
                <w:sz w:val="18"/>
                <w:szCs w:val="18"/>
              </w:rPr>
            </w:pPr>
            <w:r>
              <w:rPr>
                <w:rFonts w:ascii="宋体" w:hAnsi="宋体" w:cs="宋体" w:eastAsia="宋体" w:hint="default"/>
                <w:sz w:val="18"/>
                <w:szCs w:val="18"/>
              </w:rPr>
              <w:t>是否为关 联方担保</w:t>
            </w:r>
          </w:p>
        </w:tc>
      </w:tr>
      <w:tr>
        <w:trPr>
          <w:trHeight w:val="392" w:hRule="exact"/>
        </w:trPr>
        <w:tc>
          <w:tcPr>
            <w:tcW w:w="17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314"/>
              <w:jc w:val="right"/>
              <w:rPr>
                <w:rFonts w:ascii="宋体" w:hAnsi="宋体" w:cs="宋体" w:eastAsia="宋体" w:hint="default"/>
                <w:sz w:val="18"/>
                <w:szCs w:val="18"/>
              </w:rPr>
            </w:pPr>
            <w:r>
              <w:rPr>
                <w:rFonts w:ascii="宋体" w:hAnsi="宋体" w:cs="宋体" w:eastAsia="宋体" w:hint="default"/>
                <w:sz w:val="18"/>
                <w:szCs w:val="18"/>
              </w:rPr>
              <w:t>担保对象名称</w:t>
            </w:r>
          </w:p>
        </w:tc>
        <w:tc>
          <w:tcPr>
            <w:tcW w:w="907" w:type="dxa"/>
            <w:vMerge/>
            <w:tcBorders>
              <w:left w:val="single" w:sz="4" w:space="0" w:color="000000"/>
              <w:right w:val="single" w:sz="4" w:space="0" w:color="000000"/>
            </w:tcBorders>
            <w:shd w:val="clear" w:color="auto" w:fill="D2D2D2"/>
          </w:tcPr>
          <w:p>
            <w:pPr/>
          </w:p>
        </w:tc>
        <w:tc>
          <w:tcPr>
            <w:tcW w:w="92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97"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307" w:type="dxa"/>
            <w:vMerge/>
            <w:tcBorders>
              <w:left w:val="single" w:sz="4" w:space="0" w:color="000000"/>
              <w:right w:val="single" w:sz="4" w:space="0" w:color="000000"/>
            </w:tcBorders>
            <w:shd w:val="clear" w:color="auto" w:fill="D2D2D2"/>
          </w:tcPr>
          <w:p>
            <w:pPr/>
          </w:p>
        </w:tc>
        <w:tc>
          <w:tcPr>
            <w:tcW w:w="1045" w:type="dxa"/>
            <w:vMerge/>
            <w:tcBorders>
              <w:left w:val="single" w:sz="4" w:space="0" w:color="000000"/>
              <w:right w:val="single" w:sz="4" w:space="0" w:color="000000"/>
            </w:tcBorders>
            <w:shd w:val="clear" w:color="auto" w:fill="D2D2D2"/>
          </w:tcPr>
          <w:p>
            <w:pPr/>
          </w:p>
        </w:tc>
        <w:tc>
          <w:tcPr>
            <w:tcW w:w="104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担保类型</w:t>
            </w:r>
          </w:p>
        </w:tc>
        <w:tc>
          <w:tcPr>
            <w:tcW w:w="105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246"/>
              <w:jc w:val="right"/>
              <w:rPr>
                <w:rFonts w:ascii="宋体" w:hAnsi="宋体" w:cs="宋体" w:eastAsia="宋体" w:hint="default"/>
                <w:sz w:val="18"/>
                <w:szCs w:val="18"/>
              </w:rPr>
            </w:pPr>
            <w:r>
              <w:rPr>
                <w:rFonts w:ascii="宋体" w:hAnsi="宋体" w:cs="宋体" w:eastAsia="宋体" w:hint="default"/>
                <w:sz w:val="18"/>
                <w:szCs w:val="18"/>
              </w:rPr>
              <w:t>担保期</w:t>
            </w:r>
          </w:p>
        </w:tc>
        <w:tc>
          <w:tcPr>
            <w:tcW w:w="791" w:type="dxa"/>
            <w:vMerge/>
            <w:tcBorders>
              <w:left w:val="single" w:sz="4" w:space="0" w:color="000000"/>
              <w:right w:val="single" w:sz="4" w:space="0" w:color="000000"/>
            </w:tcBorders>
            <w:shd w:val="clear" w:color="auto" w:fill="D2D2D2"/>
          </w:tcPr>
          <w:p>
            <w:pPr/>
          </w:p>
        </w:tc>
        <w:tc>
          <w:tcPr>
            <w:tcW w:w="785" w:type="dxa"/>
            <w:vMerge/>
            <w:tcBorders>
              <w:left w:val="single" w:sz="4" w:space="0" w:color="000000"/>
              <w:right w:val="single" w:sz="4" w:space="0" w:color="000000"/>
            </w:tcBorders>
            <w:shd w:val="clear" w:color="auto" w:fill="D2D2D2"/>
          </w:tcPr>
          <w:p>
            <w:pPr/>
          </w:p>
        </w:tc>
      </w:tr>
      <w:tr>
        <w:trPr>
          <w:trHeight w:val="156" w:hRule="exact"/>
        </w:trPr>
        <w:tc>
          <w:tcPr>
            <w:tcW w:w="1715" w:type="dxa"/>
            <w:vMerge w:val="restart"/>
            <w:tcBorders>
              <w:top w:val="nil" w:sz="6" w:space="0" w:color="auto"/>
              <w:left w:val="single" w:sz="4" w:space="0" w:color="000000"/>
              <w:right w:val="single" w:sz="4" w:space="0" w:color="000000"/>
            </w:tcBorders>
            <w:shd w:val="clear" w:color="auto" w:fill="D2D2D2"/>
          </w:tcPr>
          <w:p>
            <w:pPr/>
          </w:p>
        </w:tc>
        <w:tc>
          <w:tcPr>
            <w:tcW w:w="907" w:type="dxa"/>
            <w:vMerge/>
            <w:tcBorders>
              <w:left w:val="single" w:sz="4" w:space="0" w:color="000000"/>
              <w:right w:val="single" w:sz="4" w:space="0" w:color="000000"/>
            </w:tcBorders>
            <w:shd w:val="clear" w:color="auto" w:fill="D2D2D2"/>
          </w:tcPr>
          <w:p>
            <w:pPr/>
          </w:p>
        </w:tc>
        <w:tc>
          <w:tcPr>
            <w:tcW w:w="929" w:type="dxa"/>
            <w:vMerge w:val="restart"/>
            <w:tcBorders>
              <w:top w:val="nil" w:sz="6" w:space="0" w:color="auto"/>
              <w:left w:val="single" w:sz="4" w:space="0" w:color="000000"/>
              <w:right w:val="single" w:sz="4" w:space="0" w:color="000000"/>
            </w:tcBorders>
            <w:shd w:val="clear" w:color="auto" w:fill="D2D2D2"/>
          </w:tcPr>
          <w:p>
            <w:pPr/>
          </w:p>
        </w:tc>
        <w:tc>
          <w:tcPr>
            <w:tcW w:w="1307" w:type="dxa"/>
            <w:vMerge/>
            <w:tcBorders>
              <w:left w:val="single" w:sz="4" w:space="0" w:color="000000"/>
              <w:bottom w:val="nil" w:sz="6" w:space="0" w:color="auto"/>
              <w:right w:val="single" w:sz="4" w:space="0" w:color="000000"/>
            </w:tcBorders>
            <w:shd w:val="clear" w:color="auto" w:fill="D2D2D2"/>
          </w:tcPr>
          <w:p>
            <w:pPr/>
          </w:p>
        </w:tc>
        <w:tc>
          <w:tcPr>
            <w:tcW w:w="1045" w:type="dxa"/>
            <w:vMerge/>
            <w:tcBorders>
              <w:left w:val="single" w:sz="4" w:space="0" w:color="000000"/>
              <w:bottom w:val="nil" w:sz="6" w:space="0" w:color="auto"/>
              <w:right w:val="single" w:sz="4" w:space="0" w:color="000000"/>
            </w:tcBorders>
            <w:shd w:val="clear" w:color="auto" w:fill="D2D2D2"/>
          </w:tcPr>
          <w:p>
            <w:pPr/>
          </w:p>
        </w:tc>
        <w:tc>
          <w:tcPr>
            <w:tcW w:w="1044" w:type="dxa"/>
            <w:vMerge w:val="restart"/>
            <w:tcBorders>
              <w:top w:val="nil" w:sz="6" w:space="0" w:color="auto"/>
              <w:left w:val="single" w:sz="4" w:space="0" w:color="000000"/>
              <w:right w:val="single" w:sz="4" w:space="0" w:color="000000"/>
            </w:tcBorders>
            <w:shd w:val="clear" w:color="auto" w:fill="D2D2D2"/>
          </w:tcPr>
          <w:p>
            <w:pPr/>
          </w:p>
        </w:tc>
        <w:tc>
          <w:tcPr>
            <w:tcW w:w="1051" w:type="dxa"/>
            <w:vMerge w:val="restart"/>
            <w:tcBorders>
              <w:top w:val="nil" w:sz="6" w:space="0" w:color="auto"/>
              <w:left w:val="single" w:sz="4" w:space="0" w:color="000000"/>
              <w:right w:val="single" w:sz="4" w:space="0" w:color="000000"/>
            </w:tcBorders>
            <w:shd w:val="clear" w:color="auto" w:fill="D2D2D2"/>
          </w:tcPr>
          <w:p>
            <w:pPr/>
          </w:p>
        </w:tc>
        <w:tc>
          <w:tcPr>
            <w:tcW w:w="791" w:type="dxa"/>
            <w:vMerge/>
            <w:tcBorders>
              <w:left w:val="single" w:sz="4" w:space="0" w:color="000000"/>
              <w:bottom w:val="nil" w:sz="6" w:space="0" w:color="auto"/>
              <w:right w:val="single" w:sz="4" w:space="0" w:color="000000"/>
            </w:tcBorders>
            <w:shd w:val="clear" w:color="auto" w:fill="D2D2D2"/>
          </w:tcPr>
          <w:p>
            <w:pPr/>
          </w:p>
        </w:tc>
        <w:tc>
          <w:tcPr>
            <w:tcW w:w="785" w:type="dxa"/>
            <w:vMerge/>
            <w:tcBorders>
              <w:left w:val="single" w:sz="4" w:space="0" w:color="000000"/>
              <w:bottom w:val="nil" w:sz="6" w:space="0" w:color="auto"/>
              <w:right w:val="single" w:sz="4" w:space="0" w:color="000000"/>
            </w:tcBorders>
            <w:shd w:val="clear" w:color="auto" w:fill="D2D2D2"/>
          </w:tcPr>
          <w:p>
            <w:pPr/>
          </w:p>
        </w:tc>
      </w:tr>
      <w:tr>
        <w:trPr>
          <w:trHeight w:val="161" w:hRule="exact"/>
        </w:trPr>
        <w:tc>
          <w:tcPr>
            <w:tcW w:w="1715" w:type="dxa"/>
            <w:vMerge/>
            <w:tcBorders>
              <w:left w:val="single" w:sz="4" w:space="0" w:color="000000"/>
              <w:bottom w:val="single" w:sz="4" w:space="0" w:color="000000"/>
              <w:right w:val="single" w:sz="4" w:space="0" w:color="000000"/>
            </w:tcBorders>
            <w:shd w:val="clear" w:color="auto" w:fill="D2D2D2"/>
          </w:tcPr>
          <w:p>
            <w:pPr/>
          </w:p>
        </w:tc>
        <w:tc>
          <w:tcPr>
            <w:tcW w:w="907" w:type="dxa"/>
            <w:vMerge/>
            <w:tcBorders>
              <w:left w:val="single" w:sz="4" w:space="0" w:color="000000"/>
              <w:bottom w:val="single" w:sz="4" w:space="0" w:color="000000"/>
              <w:right w:val="single" w:sz="4" w:space="0" w:color="000000"/>
            </w:tcBorders>
            <w:shd w:val="clear" w:color="auto" w:fill="D2D2D2"/>
          </w:tcPr>
          <w:p>
            <w:pPr/>
          </w:p>
        </w:tc>
        <w:tc>
          <w:tcPr>
            <w:tcW w:w="929" w:type="dxa"/>
            <w:vMerge/>
            <w:tcBorders>
              <w:left w:val="single" w:sz="4" w:space="0" w:color="000000"/>
              <w:bottom w:val="single" w:sz="4" w:space="0" w:color="000000"/>
              <w:right w:val="single" w:sz="4" w:space="0" w:color="000000"/>
            </w:tcBorders>
            <w:shd w:val="clear" w:color="auto" w:fill="D2D2D2"/>
          </w:tcPr>
          <w:p>
            <w:pPr/>
          </w:p>
        </w:tc>
        <w:tc>
          <w:tcPr>
            <w:tcW w:w="1307" w:type="dxa"/>
            <w:tcBorders>
              <w:top w:val="nil" w:sz="6" w:space="0" w:color="auto"/>
              <w:left w:val="single" w:sz="4" w:space="0" w:color="000000"/>
              <w:bottom w:val="single" w:sz="4" w:space="0" w:color="000000"/>
              <w:right w:val="single" w:sz="4" w:space="0" w:color="000000"/>
            </w:tcBorders>
            <w:shd w:val="clear" w:color="auto" w:fill="D2D2D2"/>
          </w:tcPr>
          <w:p>
            <w:pPr/>
          </w:p>
        </w:tc>
        <w:tc>
          <w:tcPr>
            <w:tcW w:w="1045" w:type="dxa"/>
            <w:tcBorders>
              <w:top w:val="nil" w:sz="6" w:space="0" w:color="auto"/>
              <w:left w:val="single" w:sz="4" w:space="0" w:color="000000"/>
              <w:bottom w:val="single" w:sz="4" w:space="0" w:color="000000"/>
              <w:right w:val="single" w:sz="4" w:space="0" w:color="000000"/>
            </w:tcBorders>
            <w:shd w:val="clear" w:color="auto" w:fill="D2D2D2"/>
          </w:tcPr>
          <w:p>
            <w:pPr/>
          </w:p>
        </w:tc>
        <w:tc>
          <w:tcPr>
            <w:tcW w:w="1044" w:type="dxa"/>
            <w:vMerge/>
            <w:tcBorders>
              <w:left w:val="single" w:sz="4" w:space="0" w:color="000000"/>
              <w:bottom w:val="single" w:sz="4" w:space="0" w:color="000000"/>
              <w:right w:val="single" w:sz="4" w:space="0" w:color="000000"/>
            </w:tcBorders>
            <w:shd w:val="clear" w:color="auto" w:fill="D2D2D2"/>
          </w:tcPr>
          <w:p>
            <w:pPr/>
          </w:p>
        </w:tc>
        <w:tc>
          <w:tcPr>
            <w:tcW w:w="1051" w:type="dxa"/>
            <w:vMerge/>
            <w:tcBorders>
              <w:left w:val="single" w:sz="4" w:space="0" w:color="000000"/>
              <w:bottom w:val="single" w:sz="4" w:space="0" w:color="000000"/>
              <w:right w:val="single" w:sz="4" w:space="0" w:color="000000"/>
            </w:tcBorders>
            <w:shd w:val="clear" w:color="auto" w:fill="D2D2D2"/>
          </w:tcPr>
          <w:p>
            <w:pPr/>
          </w:p>
        </w:tc>
        <w:tc>
          <w:tcPr>
            <w:tcW w:w="791" w:type="dxa"/>
            <w:tcBorders>
              <w:top w:val="nil" w:sz="6" w:space="0" w:color="auto"/>
              <w:left w:val="single" w:sz="4" w:space="0" w:color="000000"/>
              <w:bottom w:val="single" w:sz="4" w:space="0" w:color="000000"/>
              <w:right w:val="single" w:sz="4" w:space="0" w:color="000000"/>
            </w:tcBorders>
            <w:shd w:val="clear" w:color="auto" w:fill="D2D2D2"/>
          </w:tcPr>
          <w:p>
            <w:pPr/>
          </w:p>
        </w:tc>
        <w:tc>
          <w:tcPr>
            <w:tcW w:w="785"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2" w:hRule="exact"/>
        </w:trPr>
        <w:tc>
          <w:tcPr>
            <w:tcW w:w="17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907" w:type="dxa"/>
            <w:tcBorders>
              <w:top w:val="single" w:sz="4" w:space="0" w:color="000000"/>
              <w:left w:val="single" w:sz="4" w:space="0" w:color="000000"/>
              <w:bottom w:val="single" w:sz="4" w:space="0" w:color="000000"/>
              <w:right w:val="single" w:sz="4" w:space="0" w:color="000000"/>
            </w:tcBorders>
          </w:tcPr>
          <w:p>
            <w:pPr/>
          </w:p>
        </w:tc>
        <w:tc>
          <w:tcPr>
            <w:tcW w:w="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9"/>
              <w:jc w:val="right"/>
              <w:rPr>
                <w:rFonts w:ascii="Times New Roman" w:hAnsi="Times New Roman" w:cs="Times New Roman" w:eastAsia="Times New Roman" w:hint="default"/>
                <w:sz w:val="18"/>
                <w:szCs w:val="18"/>
              </w:rPr>
            </w:pPr>
            <w:r>
              <w:rPr>
                <w:rFonts w:ascii="Times New Roman"/>
                <w:sz w:val="18"/>
              </w:rPr>
              <w:t>0</w:t>
            </w:r>
          </w:p>
        </w:tc>
        <w:tc>
          <w:tcPr>
            <w:tcW w:w="1307" w:type="dxa"/>
            <w:tcBorders>
              <w:top w:val="single" w:sz="4" w:space="0" w:color="000000"/>
              <w:left w:val="single" w:sz="4" w:space="0" w:color="000000"/>
              <w:bottom w:val="single" w:sz="4" w:space="0" w:color="000000"/>
              <w:right w:val="single" w:sz="4" w:space="0" w:color="000000"/>
            </w:tcBorders>
          </w:tcPr>
          <w:p>
            <w:pP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5"/>
              <w:jc w:val="right"/>
              <w:rPr>
                <w:rFonts w:ascii="Times New Roman" w:hAnsi="Times New Roman" w:cs="Times New Roman" w:eastAsia="Times New Roman" w:hint="default"/>
                <w:sz w:val="18"/>
                <w:szCs w:val="18"/>
              </w:rPr>
            </w:pPr>
            <w:r>
              <w:rPr>
                <w:rFonts w:ascii="Times New Roman"/>
                <w:sz w:val="18"/>
              </w:rPr>
              <w:t>0</w:t>
            </w:r>
          </w:p>
        </w:tc>
        <w:tc>
          <w:tcPr>
            <w:tcW w:w="1044" w:type="dxa"/>
            <w:tcBorders>
              <w:top w:val="single" w:sz="4" w:space="0" w:color="000000"/>
              <w:left w:val="single" w:sz="4" w:space="0" w:color="000000"/>
              <w:bottom w:val="single" w:sz="4" w:space="0" w:color="000000"/>
              <w:right w:val="single" w:sz="4" w:space="0" w:color="000000"/>
            </w:tcBorders>
          </w:tcPr>
          <w:p>
            <w:pPr/>
          </w:p>
        </w:tc>
        <w:tc>
          <w:tcPr>
            <w:tcW w:w="1051" w:type="dxa"/>
            <w:tcBorders>
              <w:top w:val="single" w:sz="4" w:space="0" w:color="000000"/>
              <w:left w:val="single" w:sz="4" w:space="0" w:color="000000"/>
              <w:bottom w:val="single" w:sz="4" w:space="0" w:color="000000"/>
              <w:right w:val="single" w:sz="4" w:space="0" w:color="000000"/>
            </w:tcBorders>
          </w:tcPr>
          <w:p>
            <w:pPr/>
          </w:p>
        </w:tc>
        <w:tc>
          <w:tcPr>
            <w:tcW w:w="791"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62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67"/>
              <w:jc w:val="left"/>
              <w:rPr>
                <w:rFonts w:ascii="宋体" w:hAnsi="宋体" w:cs="宋体" w:eastAsia="宋体" w:hint="default"/>
                <w:sz w:val="18"/>
                <w:szCs w:val="18"/>
              </w:rPr>
            </w:pPr>
            <w:r>
              <w:rPr>
                <w:rFonts w:ascii="宋体" w:hAnsi="宋体" w:cs="宋体" w:eastAsia="宋体" w:hint="default"/>
                <w:sz w:val="18"/>
                <w:szCs w:val="18"/>
              </w:rPr>
              <w:t>报告期内审批对子公司担保额度 合计（</w:t>
            </w:r>
            <w:r>
              <w:rPr>
                <w:rFonts w:ascii="Times New Roman" w:hAnsi="Times New Roman" w:cs="Times New Roman" w:eastAsia="Times New Roman" w:hint="default"/>
                <w:sz w:val="18"/>
                <w:szCs w:val="18"/>
              </w:rPr>
              <w:t>C1</w:t>
            </w:r>
            <w:r>
              <w:rPr>
                <w:rFonts w:ascii="宋体" w:hAnsi="宋体" w:cs="宋体" w:eastAsia="宋体" w:hint="default"/>
                <w:sz w:val="18"/>
                <w:szCs w:val="18"/>
              </w:rPr>
              <w:t>）</w:t>
            </w:r>
          </w:p>
        </w:tc>
        <w:tc>
          <w:tcPr>
            <w:tcW w:w="2236" w:type="dxa"/>
            <w:gridSpan w:val="2"/>
            <w:tcBorders>
              <w:top w:val="single" w:sz="4" w:space="0" w:color="000000"/>
              <w:left w:val="single" w:sz="13" w:space="0" w:color="D2D2D2"/>
              <w:bottom w:val="single" w:sz="4" w:space="0" w:color="000000"/>
              <w:right w:val="single" w:sz="13" w:space="0" w:color="D2D2D2"/>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1"/>
              <w:jc w:val="right"/>
              <w:rPr>
                <w:rFonts w:ascii="Times New Roman" w:hAnsi="Times New Roman" w:cs="Times New Roman" w:eastAsia="Times New Roman" w:hint="default"/>
                <w:sz w:val="18"/>
                <w:szCs w:val="18"/>
              </w:rPr>
            </w:pPr>
            <w:r>
              <w:rPr>
                <w:rFonts w:ascii="Times New Roman"/>
                <w:sz w:val="18"/>
              </w:rPr>
              <w:t>0</w:t>
            </w:r>
          </w:p>
        </w:tc>
        <w:tc>
          <w:tcPr>
            <w:tcW w:w="209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0" w:right="77"/>
              <w:jc w:val="left"/>
              <w:rPr>
                <w:rFonts w:ascii="宋体" w:hAnsi="宋体" w:cs="宋体" w:eastAsia="宋体" w:hint="default"/>
                <w:sz w:val="18"/>
                <w:szCs w:val="18"/>
              </w:rPr>
            </w:pPr>
            <w:r>
              <w:rPr>
                <w:rFonts w:ascii="宋体" w:hAnsi="宋体" w:cs="宋体" w:eastAsia="宋体" w:hint="default"/>
                <w:sz w:val="18"/>
                <w:szCs w:val="18"/>
              </w:rPr>
              <w:t>报告期内对子公司担保实 际发生额合计（</w:t>
            </w:r>
            <w:r>
              <w:rPr>
                <w:rFonts w:ascii="Times New Roman" w:hAnsi="Times New Roman" w:cs="Times New Roman" w:eastAsia="Times New Roman" w:hint="default"/>
                <w:sz w:val="18"/>
                <w:szCs w:val="18"/>
              </w:rPr>
              <w:t>C2</w:t>
            </w:r>
            <w:r>
              <w:rPr>
                <w:rFonts w:ascii="宋体" w:hAnsi="宋体" w:cs="宋体" w:eastAsia="宋体" w:hint="default"/>
                <w:sz w:val="18"/>
                <w:szCs w:val="18"/>
              </w:rPr>
              <w:t>）</w:t>
            </w:r>
          </w:p>
        </w:tc>
        <w:tc>
          <w:tcPr>
            <w:tcW w:w="2627"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719" w:hRule="exact"/>
        </w:trPr>
        <w:tc>
          <w:tcPr>
            <w:tcW w:w="262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67"/>
              <w:jc w:val="left"/>
              <w:rPr>
                <w:rFonts w:ascii="宋体" w:hAnsi="宋体" w:cs="宋体" w:eastAsia="宋体" w:hint="default"/>
                <w:sz w:val="18"/>
                <w:szCs w:val="18"/>
              </w:rPr>
            </w:pPr>
            <w:r>
              <w:rPr>
                <w:rFonts w:ascii="宋体" w:hAnsi="宋体" w:cs="宋体" w:eastAsia="宋体" w:hint="default"/>
                <w:sz w:val="18"/>
                <w:szCs w:val="18"/>
              </w:rPr>
              <w:t>报告期末已审批的对子公司担保 额度合计（</w:t>
            </w:r>
            <w:r>
              <w:rPr>
                <w:rFonts w:ascii="Times New Roman" w:hAnsi="Times New Roman" w:cs="Times New Roman" w:eastAsia="Times New Roman" w:hint="default"/>
                <w:sz w:val="18"/>
                <w:szCs w:val="18"/>
              </w:rPr>
              <w:t>C3</w:t>
            </w:r>
            <w:r>
              <w:rPr>
                <w:rFonts w:ascii="宋体" w:hAnsi="宋体" w:cs="宋体" w:eastAsia="宋体" w:hint="default"/>
                <w:sz w:val="18"/>
                <w:szCs w:val="18"/>
              </w:rPr>
              <w:t>）</w:t>
            </w:r>
          </w:p>
        </w:tc>
        <w:tc>
          <w:tcPr>
            <w:tcW w:w="2236" w:type="dxa"/>
            <w:gridSpan w:val="2"/>
            <w:tcBorders>
              <w:top w:val="single" w:sz="4" w:space="0" w:color="000000"/>
              <w:left w:val="single" w:sz="13" w:space="0" w:color="D2D2D2"/>
              <w:bottom w:val="single" w:sz="4" w:space="0" w:color="000000"/>
              <w:right w:val="single" w:sz="13" w:space="0" w:color="D2D2D2"/>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1"/>
              <w:jc w:val="right"/>
              <w:rPr>
                <w:rFonts w:ascii="Times New Roman" w:hAnsi="Times New Roman" w:cs="Times New Roman" w:eastAsia="Times New Roman" w:hint="default"/>
                <w:sz w:val="18"/>
                <w:szCs w:val="18"/>
              </w:rPr>
            </w:pPr>
            <w:r>
              <w:rPr>
                <w:rFonts w:ascii="Times New Roman"/>
                <w:sz w:val="18"/>
              </w:rPr>
              <w:t>0</w:t>
            </w:r>
          </w:p>
        </w:tc>
        <w:tc>
          <w:tcPr>
            <w:tcW w:w="209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0" w:right="77"/>
              <w:jc w:val="left"/>
              <w:rPr>
                <w:rFonts w:ascii="宋体" w:hAnsi="宋体" w:cs="宋体" w:eastAsia="宋体" w:hint="default"/>
                <w:sz w:val="18"/>
                <w:szCs w:val="18"/>
              </w:rPr>
            </w:pPr>
            <w:r>
              <w:rPr>
                <w:rFonts w:ascii="宋体" w:hAnsi="宋体" w:cs="宋体" w:eastAsia="宋体" w:hint="default"/>
                <w:sz w:val="18"/>
                <w:szCs w:val="18"/>
              </w:rPr>
              <w:t>报告期末对子公司实际担 保余额合计（</w:t>
            </w:r>
            <w:r>
              <w:rPr>
                <w:rFonts w:ascii="Times New Roman" w:hAnsi="Times New Roman" w:cs="Times New Roman" w:eastAsia="Times New Roman" w:hint="default"/>
                <w:sz w:val="18"/>
                <w:szCs w:val="18"/>
              </w:rPr>
              <w:t>C4</w:t>
            </w:r>
            <w:r>
              <w:rPr>
                <w:rFonts w:ascii="宋体" w:hAnsi="宋体" w:cs="宋体" w:eastAsia="宋体" w:hint="default"/>
                <w:sz w:val="18"/>
                <w:szCs w:val="18"/>
              </w:rPr>
              <w:t>）</w:t>
            </w:r>
          </w:p>
        </w:tc>
        <w:tc>
          <w:tcPr>
            <w:tcW w:w="2627"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392" w:hRule="exact"/>
        </w:trPr>
        <w:tc>
          <w:tcPr>
            <w:tcW w:w="9575"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公司担保总额（即前三大项的合计）</w:t>
            </w:r>
          </w:p>
        </w:tc>
      </w:tr>
      <w:tr>
        <w:trPr>
          <w:trHeight w:val="719" w:hRule="exact"/>
        </w:trPr>
        <w:tc>
          <w:tcPr>
            <w:tcW w:w="262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报告期内审批担保额度合计</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A1+B1+C1</w:t>
            </w:r>
            <w:r>
              <w:rPr>
                <w:rFonts w:ascii="宋体" w:hAnsi="宋体" w:cs="宋体" w:eastAsia="宋体" w:hint="default"/>
                <w:sz w:val="18"/>
                <w:szCs w:val="18"/>
              </w:rPr>
              <w:t>）</w:t>
            </w:r>
          </w:p>
        </w:tc>
        <w:tc>
          <w:tcPr>
            <w:tcW w:w="2236" w:type="dxa"/>
            <w:gridSpan w:val="2"/>
            <w:tcBorders>
              <w:top w:val="single" w:sz="4" w:space="0" w:color="000000"/>
              <w:left w:val="single" w:sz="13" w:space="0" w:color="D2D2D2"/>
              <w:bottom w:val="single" w:sz="4" w:space="0" w:color="000000"/>
              <w:right w:val="single" w:sz="13" w:space="0" w:color="D2D2D2"/>
            </w:tcBorders>
          </w:tcPr>
          <w:p>
            <w:pPr>
              <w:pStyle w:val="TableParagraph"/>
              <w:spacing w:line="240" w:lineRule="auto" w:before="10"/>
              <w:ind w:right="0"/>
              <w:jc w:val="left"/>
              <w:rPr>
                <w:rFonts w:ascii="Times New Roman" w:hAnsi="Times New Roman" w:cs="Times New Roman" w:eastAsia="Times New Roman" w:hint="default"/>
                <w:sz w:val="21"/>
                <w:szCs w:val="21"/>
              </w:rPr>
            </w:pPr>
          </w:p>
          <w:p>
            <w:pPr>
              <w:pStyle w:val="TableParagraph"/>
              <w:spacing w:line="240" w:lineRule="auto"/>
              <w:ind w:right="10"/>
              <w:jc w:val="right"/>
              <w:rPr>
                <w:rFonts w:ascii="Times New Roman" w:hAnsi="Times New Roman" w:cs="Times New Roman" w:eastAsia="Times New Roman" w:hint="default"/>
                <w:sz w:val="18"/>
                <w:szCs w:val="18"/>
              </w:rPr>
            </w:pPr>
            <w:r>
              <w:rPr>
                <w:rFonts w:ascii="Times New Roman"/>
                <w:sz w:val="18"/>
              </w:rPr>
              <w:t>14,000</w:t>
            </w:r>
          </w:p>
        </w:tc>
        <w:tc>
          <w:tcPr>
            <w:tcW w:w="209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6"/>
              <w:ind w:left="20" w:right="77"/>
              <w:jc w:val="left"/>
              <w:rPr>
                <w:rFonts w:ascii="宋体" w:hAnsi="宋体" w:cs="宋体" w:eastAsia="宋体" w:hint="default"/>
                <w:sz w:val="18"/>
                <w:szCs w:val="18"/>
              </w:rPr>
            </w:pPr>
            <w:r>
              <w:rPr>
                <w:rFonts w:ascii="宋体" w:hAnsi="宋体" w:cs="宋体" w:eastAsia="宋体" w:hint="default"/>
                <w:sz w:val="18"/>
                <w:szCs w:val="18"/>
              </w:rPr>
              <w:t>报告期内担保实际发生额 合计（</w:t>
            </w:r>
            <w:r>
              <w:rPr>
                <w:rFonts w:ascii="Times New Roman" w:hAnsi="Times New Roman" w:cs="Times New Roman" w:eastAsia="Times New Roman" w:hint="default"/>
                <w:sz w:val="18"/>
                <w:szCs w:val="18"/>
              </w:rPr>
              <w:t>A2+B2+C2</w:t>
            </w:r>
            <w:r>
              <w:rPr>
                <w:rFonts w:ascii="宋体" w:hAnsi="宋体" w:cs="宋体" w:eastAsia="宋体" w:hint="default"/>
                <w:sz w:val="18"/>
                <w:szCs w:val="18"/>
              </w:rPr>
              <w:t>）</w:t>
            </w:r>
          </w:p>
        </w:tc>
        <w:tc>
          <w:tcPr>
            <w:tcW w:w="2627"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12,000</w:t>
            </w:r>
          </w:p>
        </w:tc>
      </w:tr>
      <w:tr>
        <w:trPr>
          <w:trHeight w:val="714" w:hRule="exact"/>
        </w:trPr>
        <w:tc>
          <w:tcPr>
            <w:tcW w:w="262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报告期末已审批的担保额度合计</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A3+B3+C3</w:t>
            </w:r>
            <w:r>
              <w:rPr>
                <w:rFonts w:ascii="宋体" w:hAnsi="宋体" w:cs="宋体" w:eastAsia="宋体" w:hint="default"/>
                <w:sz w:val="18"/>
                <w:szCs w:val="18"/>
              </w:rPr>
              <w:t>）</w:t>
            </w:r>
          </w:p>
        </w:tc>
        <w:tc>
          <w:tcPr>
            <w:tcW w:w="2236" w:type="dxa"/>
            <w:gridSpan w:val="2"/>
            <w:tcBorders>
              <w:top w:val="single" w:sz="4" w:space="0" w:color="000000"/>
              <w:left w:val="single" w:sz="13" w:space="0" w:color="D2D2D2"/>
              <w:bottom w:val="single" w:sz="4" w:space="0" w:color="000000"/>
              <w:right w:val="single" w:sz="13" w:space="0" w:color="D2D2D2"/>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
              <w:jc w:val="right"/>
              <w:rPr>
                <w:rFonts w:ascii="Times New Roman" w:hAnsi="Times New Roman" w:cs="Times New Roman" w:eastAsia="Times New Roman" w:hint="default"/>
                <w:sz w:val="18"/>
                <w:szCs w:val="18"/>
              </w:rPr>
            </w:pPr>
            <w:r>
              <w:rPr>
                <w:rFonts w:ascii="Times New Roman"/>
                <w:sz w:val="18"/>
              </w:rPr>
              <w:t>15,500</w:t>
            </w:r>
          </w:p>
        </w:tc>
        <w:tc>
          <w:tcPr>
            <w:tcW w:w="209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0" w:right="77"/>
              <w:jc w:val="left"/>
              <w:rPr>
                <w:rFonts w:ascii="宋体" w:hAnsi="宋体" w:cs="宋体" w:eastAsia="宋体" w:hint="default"/>
                <w:sz w:val="18"/>
                <w:szCs w:val="18"/>
              </w:rPr>
            </w:pPr>
            <w:r>
              <w:rPr>
                <w:rFonts w:ascii="宋体" w:hAnsi="宋体" w:cs="宋体" w:eastAsia="宋体" w:hint="default"/>
                <w:sz w:val="18"/>
                <w:szCs w:val="18"/>
              </w:rPr>
              <w:t>报告期末实际担保余额合 计（</w:t>
            </w:r>
            <w:r>
              <w:rPr>
                <w:rFonts w:ascii="Times New Roman" w:hAnsi="Times New Roman" w:cs="Times New Roman" w:eastAsia="Times New Roman" w:hint="default"/>
                <w:sz w:val="18"/>
                <w:szCs w:val="18"/>
              </w:rPr>
              <w:t>A4+B4+C4</w:t>
            </w:r>
            <w:r>
              <w:rPr>
                <w:rFonts w:ascii="宋体" w:hAnsi="宋体" w:cs="宋体" w:eastAsia="宋体" w:hint="default"/>
                <w:sz w:val="18"/>
                <w:szCs w:val="18"/>
              </w:rPr>
              <w:t>）</w:t>
            </w:r>
          </w:p>
        </w:tc>
        <w:tc>
          <w:tcPr>
            <w:tcW w:w="2627"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2302.31</w:t>
            </w:r>
          </w:p>
        </w:tc>
      </w:tr>
      <w:tr>
        <w:trPr>
          <w:trHeight w:val="407" w:hRule="exact"/>
        </w:trPr>
        <w:tc>
          <w:tcPr>
            <w:tcW w:w="4858"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实际担保总额（即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A4+B4+C4</w:t>
            </w:r>
            <w:r>
              <w:rPr>
                <w:rFonts w:ascii="宋体" w:hAnsi="宋体" w:cs="宋体" w:eastAsia="宋体" w:hint="default"/>
                <w:sz w:val="18"/>
                <w:szCs w:val="18"/>
              </w:rPr>
              <w:t>）占公司净资产的比例</w:t>
            </w:r>
          </w:p>
        </w:tc>
        <w:tc>
          <w:tcPr>
            <w:tcW w:w="4717" w:type="dxa"/>
            <w:gridSpan w:val="5"/>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2.02%</w:t>
            </w:r>
          </w:p>
        </w:tc>
      </w:tr>
      <w:tr>
        <w:trPr>
          <w:trHeight w:val="392" w:hRule="exact"/>
        </w:trPr>
        <w:tc>
          <w:tcPr>
            <w:tcW w:w="9575"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其中：</w:t>
            </w:r>
          </w:p>
        </w:tc>
      </w:tr>
      <w:tr>
        <w:trPr>
          <w:trHeight w:val="407" w:hRule="exact"/>
        </w:trPr>
        <w:tc>
          <w:tcPr>
            <w:tcW w:w="4858"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为股东、实际控制人及其关联方提供担保的余额（</w:t>
            </w:r>
            <w:r>
              <w:rPr>
                <w:rFonts w:ascii="Times New Roman" w:hAnsi="Times New Roman" w:cs="Times New Roman" w:eastAsia="Times New Roman" w:hint="default"/>
                <w:sz w:val="18"/>
                <w:szCs w:val="18"/>
              </w:rPr>
              <w:t>D</w:t>
            </w:r>
            <w:r>
              <w:rPr>
                <w:rFonts w:ascii="宋体" w:hAnsi="宋体" w:cs="宋体" w:eastAsia="宋体" w:hint="default"/>
                <w:sz w:val="18"/>
                <w:szCs w:val="18"/>
              </w:rPr>
              <w:t>）</w:t>
            </w:r>
          </w:p>
        </w:tc>
        <w:tc>
          <w:tcPr>
            <w:tcW w:w="4717" w:type="dxa"/>
            <w:gridSpan w:val="5"/>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4858"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直接或间接为资产负债率超过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70%</w:t>
            </w:r>
            <w:r>
              <w:rPr>
                <w:rFonts w:ascii="宋体" w:hAnsi="宋体" w:cs="宋体" w:eastAsia="宋体" w:hint="default"/>
                <w:sz w:val="18"/>
                <w:szCs w:val="18"/>
              </w:rPr>
              <w:t>的被担保对象提供的债务</w:t>
            </w:r>
          </w:p>
        </w:tc>
        <w:tc>
          <w:tcPr>
            <w:tcW w:w="4717" w:type="dxa"/>
            <w:gridSpan w:val="5"/>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4856"/>
        <w:gridCol w:w="4719"/>
      </w:tblGrid>
      <w:tr>
        <w:trPr>
          <w:trHeight w:val="362" w:hRule="exact"/>
        </w:trPr>
        <w:tc>
          <w:tcPr>
            <w:tcW w:w="48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担保余额（</w:t>
            </w:r>
            <w:r>
              <w:rPr>
                <w:rFonts w:ascii="Times New Roman" w:hAnsi="Times New Roman" w:cs="Times New Roman" w:eastAsia="Times New Roman" w:hint="default"/>
                <w:sz w:val="18"/>
                <w:szCs w:val="18"/>
              </w:rPr>
              <w:t>E</w:t>
            </w:r>
            <w:r>
              <w:rPr>
                <w:rFonts w:ascii="宋体" w:hAnsi="宋体" w:cs="宋体" w:eastAsia="宋体" w:hint="default"/>
                <w:sz w:val="18"/>
                <w:szCs w:val="18"/>
              </w:rPr>
              <w:t>）</w:t>
            </w:r>
          </w:p>
        </w:tc>
        <w:tc>
          <w:tcPr>
            <w:tcW w:w="471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8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担保总额超过净资产</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50%</w:t>
            </w:r>
            <w:r>
              <w:rPr>
                <w:rFonts w:ascii="宋体" w:hAnsi="宋体" w:cs="宋体" w:eastAsia="宋体" w:hint="default"/>
                <w:sz w:val="18"/>
                <w:szCs w:val="18"/>
              </w:rPr>
              <w:t>部分的金额（</w:t>
            </w:r>
            <w:r>
              <w:rPr>
                <w:rFonts w:ascii="Times New Roman" w:hAnsi="Times New Roman" w:cs="Times New Roman" w:eastAsia="Times New Roman" w:hint="default"/>
                <w:sz w:val="18"/>
                <w:szCs w:val="18"/>
              </w:rPr>
              <w:t>F</w:t>
            </w:r>
            <w:r>
              <w:rPr>
                <w:rFonts w:ascii="宋体" w:hAnsi="宋体" w:cs="宋体" w:eastAsia="宋体" w:hint="default"/>
                <w:sz w:val="18"/>
                <w:szCs w:val="18"/>
              </w:rPr>
              <w:t>）</w:t>
            </w:r>
          </w:p>
        </w:tc>
        <w:tc>
          <w:tcPr>
            <w:tcW w:w="47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48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上述三项担保金额合计（</w:t>
            </w:r>
            <w:r>
              <w:rPr>
                <w:rFonts w:ascii="Times New Roman" w:hAnsi="Times New Roman" w:cs="Times New Roman" w:eastAsia="Times New Roman" w:hint="default"/>
                <w:sz w:val="18"/>
                <w:szCs w:val="18"/>
              </w:rPr>
              <w:t>D+E+F</w:t>
            </w:r>
            <w:r>
              <w:rPr>
                <w:rFonts w:ascii="宋体" w:hAnsi="宋体" w:cs="宋体" w:eastAsia="宋体" w:hint="default"/>
                <w:sz w:val="18"/>
                <w:szCs w:val="18"/>
              </w:rPr>
              <w:t>）</w:t>
            </w:r>
          </w:p>
        </w:tc>
        <w:tc>
          <w:tcPr>
            <w:tcW w:w="47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48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22"/>
              <w:jc w:val="left"/>
              <w:rPr>
                <w:rFonts w:ascii="宋体" w:hAnsi="宋体" w:cs="宋体" w:eastAsia="宋体" w:hint="default"/>
                <w:sz w:val="18"/>
                <w:szCs w:val="18"/>
              </w:rPr>
            </w:pPr>
            <w:r>
              <w:rPr>
                <w:rFonts w:ascii="宋体" w:hAnsi="宋体" w:cs="宋体" w:eastAsia="宋体" w:hint="default"/>
                <w:spacing w:val="-3"/>
                <w:sz w:val="18"/>
                <w:szCs w:val="18"/>
              </w:rPr>
              <w:t>对未到期担保，报告期内已发生担保责任或可能承担连带清偿</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责任的情况说明（如有）</w:t>
            </w:r>
          </w:p>
        </w:tc>
        <w:tc>
          <w:tcPr>
            <w:tcW w:w="47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48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违反规定程序对外提供担保的说明（如有）</w:t>
            </w:r>
          </w:p>
        </w:tc>
        <w:tc>
          <w:tcPr>
            <w:tcW w:w="47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pStyle w:val="BodyText"/>
        <w:spacing w:line="360" w:lineRule="auto" w:before="51"/>
        <w:ind w:left="154" w:right="8052"/>
        <w:jc w:val="left"/>
      </w:pPr>
      <w:r>
        <w:rPr/>
        <w:t>采用复合方式担保的具体情况说明 不适用。</w:t>
      </w:r>
    </w:p>
    <w:p>
      <w:pPr>
        <w:spacing w:line="240" w:lineRule="auto" w:before="11"/>
        <w:rPr>
          <w:rFonts w:ascii="宋体" w:hAnsi="宋体" w:cs="宋体" w:eastAsia="宋体" w:hint="default"/>
          <w:sz w:val="19"/>
          <w:szCs w:val="19"/>
        </w:rPr>
      </w:pPr>
    </w:p>
    <w:p>
      <w:pPr>
        <w:pStyle w:val="Heading3"/>
        <w:spacing w:line="240" w:lineRule="auto"/>
        <w:ind w:right="0"/>
        <w:jc w:val="left"/>
        <w:rPr>
          <w:b w:val="0"/>
          <w:bCs w:val="0"/>
        </w:rPr>
      </w:pPr>
      <w:bookmarkStart w:name="（2）违规对外担保情况" w:id="93"/>
      <w:bookmarkEnd w:id="93"/>
      <w:r>
        <w:rPr>
          <w:b w:val="0"/>
          <w:bCs w:val="0"/>
        </w:rPr>
      </w:r>
      <w:r>
        <w:rPr/>
        <w:t>（</w:t>
      </w:r>
      <w:r>
        <w:rPr>
          <w:rFonts w:ascii="Times New Roman" w:hAnsi="Times New Roman" w:cs="Times New Roman" w:eastAsia="Times New Roman" w:hint="default"/>
        </w:rPr>
        <w:t>2</w:t>
      </w:r>
      <w:r>
        <w:rPr/>
        <w:t>）违规对外担保情况</w:t>
      </w:r>
      <w:r>
        <w:rPr>
          <w:b w:val="0"/>
          <w:bCs w:val="0"/>
        </w:rPr>
      </w:r>
    </w:p>
    <w:p>
      <w:pPr>
        <w:spacing w:line="240" w:lineRule="auto" w:before="9"/>
        <w:rPr>
          <w:rFonts w:ascii="宋体" w:hAnsi="宋体" w:cs="宋体" w:eastAsia="宋体" w:hint="default"/>
          <w:b/>
          <w:bCs/>
          <w:sz w:val="26"/>
          <w:szCs w:val="26"/>
        </w:rPr>
      </w:pPr>
    </w:p>
    <w:p>
      <w:pPr>
        <w:pStyle w:val="BodyText"/>
        <w:spacing w:line="338" w:lineRule="auto"/>
        <w:ind w:right="679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公司报告期无违规对外担保情况。</w:t>
      </w:r>
    </w:p>
    <w:p>
      <w:pPr>
        <w:spacing w:line="240" w:lineRule="auto" w:before="1"/>
        <w:rPr>
          <w:rFonts w:ascii="宋体" w:hAnsi="宋体" w:cs="宋体" w:eastAsia="宋体" w:hint="default"/>
          <w:sz w:val="21"/>
          <w:szCs w:val="21"/>
        </w:rPr>
      </w:pPr>
    </w:p>
    <w:p>
      <w:pPr>
        <w:pStyle w:val="Heading3"/>
        <w:spacing w:line="240" w:lineRule="auto"/>
        <w:ind w:left="153" w:right="0"/>
        <w:jc w:val="left"/>
        <w:rPr>
          <w:b w:val="0"/>
          <w:bCs w:val="0"/>
        </w:rPr>
      </w:pPr>
      <w:bookmarkStart w:name="3、委托他人进行现金资产管理情况" w:id="94"/>
      <w:bookmarkEnd w:id="94"/>
      <w:r>
        <w:rPr>
          <w:b w:val="0"/>
          <w:bCs w:val="0"/>
        </w:rPr>
      </w:r>
      <w:r>
        <w:rPr>
          <w:rFonts w:ascii="Times New Roman" w:hAnsi="Times New Roman" w:cs="Times New Roman" w:eastAsia="Times New Roman" w:hint="default"/>
        </w:rPr>
        <w:t>3</w:t>
      </w:r>
      <w:r>
        <w:rPr/>
        <w:t>、委托他人进行现金资产管理情况</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left="153" w:right="0"/>
        <w:jc w:val="left"/>
        <w:rPr>
          <w:b w:val="0"/>
          <w:bCs w:val="0"/>
        </w:rPr>
      </w:pPr>
      <w:bookmarkStart w:name="（1）委托理财情况" w:id="95"/>
      <w:bookmarkEnd w:id="95"/>
      <w:r>
        <w:rPr>
          <w:b w:val="0"/>
          <w:bCs w:val="0"/>
        </w:rPr>
      </w:r>
      <w:r>
        <w:rPr/>
        <w:t>（</w:t>
      </w:r>
      <w:r>
        <w:rPr>
          <w:rFonts w:ascii="Times New Roman" w:hAnsi="Times New Roman" w:cs="Times New Roman" w:eastAsia="Times New Roman" w:hint="default"/>
        </w:rPr>
        <w:t>1</w:t>
      </w:r>
      <w:r>
        <w:rPr/>
        <w:t>）委托理财情况</w:t>
      </w:r>
      <w:r>
        <w:rPr>
          <w:b w:val="0"/>
          <w:bCs w:val="0"/>
        </w:rPr>
      </w:r>
    </w:p>
    <w:p>
      <w:pPr>
        <w:spacing w:line="240" w:lineRule="auto" w:before="3"/>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747" w:footer="979" w:top="1060" w:bottom="1160" w:left="980" w:right="0"/>
        </w:sectPr>
      </w:pPr>
    </w:p>
    <w:p>
      <w:pPr>
        <w:pStyle w:val="BodyText"/>
        <w:spacing w:line="340" w:lineRule="auto" w:before="44"/>
        <w:ind w:right="-19"/>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报告期内委托理财概况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pStyle w:val="BodyText"/>
        <w:spacing w:line="240" w:lineRule="auto"/>
        <w:ind w:right="0"/>
        <w:jc w:val="left"/>
      </w:pPr>
      <w:r>
        <w:rPr/>
        <w:t>单位：万元</w:t>
      </w:r>
    </w:p>
    <w:p>
      <w:pPr>
        <w:spacing w:after="0" w:line="240" w:lineRule="auto"/>
        <w:jc w:val="left"/>
        <w:sectPr>
          <w:type w:val="continuous"/>
          <w:pgSz w:w="11910" w:h="16840"/>
          <w:pgMar w:top="1060" w:bottom="1160" w:left="980" w:right="0"/>
          <w:cols w:num="2" w:equalWidth="0">
            <w:col w:w="1955" w:space="6785"/>
            <w:col w:w="2190"/>
          </w:cols>
        </w:sectPr>
      </w:pP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869"/>
        <w:gridCol w:w="1962"/>
        <w:gridCol w:w="1981"/>
        <w:gridCol w:w="1908"/>
        <w:gridCol w:w="1853"/>
      </w:tblGrid>
      <w:tr>
        <w:trPr>
          <w:trHeight w:val="401" w:hRule="exact"/>
        </w:trPr>
        <w:tc>
          <w:tcPr>
            <w:tcW w:w="1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69" w:right="0"/>
              <w:jc w:val="left"/>
              <w:rPr>
                <w:rFonts w:ascii="宋体" w:hAnsi="宋体" w:cs="宋体" w:eastAsia="宋体" w:hint="default"/>
                <w:sz w:val="18"/>
                <w:szCs w:val="18"/>
              </w:rPr>
            </w:pPr>
            <w:r>
              <w:rPr>
                <w:rFonts w:ascii="宋体" w:hAnsi="宋体" w:cs="宋体" w:eastAsia="宋体" w:hint="default"/>
                <w:sz w:val="18"/>
                <w:szCs w:val="18"/>
              </w:rPr>
              <w:t>具体类型</w:t>
            </w:r>
          </w:p>
        </w:tc>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65" w:right="0"/>
              <w:jc w:val="left"/>
              <w:rPr>
                <w:rFonts w:ascii="宋体" w:hAnsi="宋体" w:cs="宋体" w:eastAsia="宋体" w:hint="default"/>
                <w:sz w:val="18"/>
                <w:szCs w:val="18"/>
              </w:rPr>
            </w:pPr>
            <w:r>
              <w:rPr>
                <w:rFonts w:ascii="宋体" w:hAnsi="宋体" w:cs="宋体" w:eastAsia="宋体" w:hint="default"/>
                <w:sz w:val="18"/>
                <w:szCs w:val="18"/>
              </w:rPr>
              <w:t>委托理财的资金来源</w:t>
            </w:r>
          </w:p>
        </w:tc>
        <w:tc>
          <w:tcPr>
            <w:tcW w:w="19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55" w:right="0"/>
              <w:jc w:val="left"/>
              <w:rPr>
                <w:rFonts w:ascii="宋体" w:hAnsi="宋体" w:cs="宋体" w:eastAsia="宋体" w:hint="default"/>
                <w:sz w:val="18"/>
                <w:szCs w:val="18"/>
              </w:rPr>
            </w:pPr>
            <w:r>
              <w:rPr>
                <w:rFonts w:ascii="宋体" w:hAnsi="宋体" w:cs="宋体" w:eastAsia="宋体" w:hint="default"/>
                <w:sz w:val="18"/>
                <w:szCs w:val="18"/>
              </w:rPr>
              <w:t>委托理财发生额</w:t>
            </w:r>
          </w:p>
        </w:tc>
        <w:tc>
          <w:tcPr>
            <w:tcW w:w="19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99" w:right="0"/>
              <w:jc w:val="left"/>
              <w:rPr>
                <w:rFonts w:ascii="宋体" w:hAnsi="宋体" w:cs="宋体" w:eastAsia="宋体" w:hint="default"/>
                <w:sz w:val="18"/>
                <w:szCs w:val="18"/>
              </w:rPr>
            </w:pPr>
            <w:r>
              <w:rPr>
                <w:rFonts w:ascii="宋体" w:hAnsi="宋体" w:cs="宋体" w:eastAsia="宋体" w:hint="default"/>
                <w:sz w:val="18"/>
                <w:szCs w:val="18"/>
              </w:rPr>
              <w:t>未到期余额</w:t>
            </w:r>
          </w:p>
        </w:tc>
        <w:tc>
          <w:tcPr>
            <w:tcW w:w="18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01" w:right="0"/>
              <w:jc w:val="left"/>
              <w:rPr>
                <w:rFonts w:ascii="宋体" w:hAnsi="宋体" w:cs="宋体" w:eastAsia="宋体" w:hint="default"/>
                <w:sz w:val="18"/>
                <w:szCs w:val="18"/>
              </w:rPr>
            </w:pPr>
            <w:r>
              <w:rPr>
                <w:rFonts w:ascii="宋体" w:hAnsi="宋体" w:cs="宋体" w:eastAsia="宋体" w:hint="default"/>
                <w:sz w:val="18"/>
                <w:szCs w:val="18"/>
              </w:rPr>
              <w:t>逾期未收回的金额</w:t>
            </w:r>
          </w:p>
        </w:tc>
      </w:tr>
      <w:tr>
        <w:trPr>
          <w:trHeight w:val="402" w:hRule="exact"/>
        </w:trPr>
        <w:tc>
          <w:tcPr>
            <w:tcW w:w="1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银行理财产品</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自有资金</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9,826.6</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3,200</w:t>
            </w:r>
          </w:p>
        </w:tc>
        <w:tc>
          <w:tcPr>
            <w:tcW w:w="1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1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银行理财产品</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募集资金</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5,100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5,100</w:t>
            </w:r>
          </w:p>
        </w:tc>
        <w:tc>
          <w:tcPr>
            <w:tcW w:w="1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383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14,926.6</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8,300</w:t>
            </w:r>
          </w:p>
        </w:tc>
        <w:tc>
          <w:tcPr>
            <w:tcW w:w="1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w:t>
            </w:r>
          </w:p>
        </w:tc>
      </w:tr>
    </w:tbl>
    <w:p>
      <w:pPr>
        <w:pStyle w:val="BodyText"/>
        <w:spacing w:line="240" w:lineRule="auto" w:before="51"/>
        <w:ind w:left="154" w:right="0"/>
        <w:jc w:val="left"/>
      </w:pPr>
      <w:r>
        <w:rPr/>
        <w:t>委托理财出现预期无法收回本金或存在其他可能导致减值的情形</w:t>
      </w:r>
    </w:p>
    <w:p>
      <w:pPr>
        <w:pStyle w:val="BodyText"/>
        <w:spacing w:line="240" w:lineRule="auto" w:before="116"/>
        <w:ind w:left="154"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0"/>
        <w:rPr>
          <w:rFonts w:ascii="宋体" w:hAnsi="宋体" w:cs="宋体" w:eastAsia="宋体" w:hint="default"/>
          <w:sz w:val="25"/>
          <w:szCs w:val="25"/>
        </w:rPr>
      </w:pPr>
    </w:p>
    <w:p>
      <w:pPr>
        <w:pStyle w:val="Heading3"/>
        <w:spacing w:line="240" w:lineRule="auto"/>
        <w:ind w:left="153" w:right="0"/>
        <w:jc w:val="left"/>
        <w:rPr>
          <w:b w:val="0"/>
          <w:bCs w:val="0"/>
        </w:rPr>
      </w:pPr>
      <w:bookmarkStart w:name="（2）委托贷款情况" w:id="96"/>
      <w:bookmarkEnd w:id="96"/>
      <w:r>
        <w:rPr>
          <w:b w:val="0"/>
          <w:bCs w:val="0"/>
        </w:rPr>
      </w:r>
      <w:r>
        <w:rPr/>
        <w:t>（</w:t>
      </w:r>
      <w:r>
        <w:rPr>
          <w:rFonts w:ascii="Times New Roman" w:hAnsi="Times New Roman" w:cs="Times New Roman" w:eastAsia="Times New Roman" w:hint="default"/>
        </w:rPr>
        <w:t>2</w:t>
      </w:r>
      <w:r>
        <w:rPr/>
        <w:t>）委托贷款情况</w:t>
      </w:r>
      <w:r>
        <w:rPr>
          <w:b w:val="0"/>
          <w:bCs w:val="0"/>
        </w:rPr>
      </w:r>
    </w:p>
    <w:p>
      <w:pPr>
        <w:spacing w:line="240" w:lineRule="auto" w:before="8"/>
        <w:rPr>
          <w:rFonts w:ascii="宋体" w:hAnsi="宋体" w:cs="宋体" w:eastAsia="宋体" w:hint="default"/>
          <w:b/>
          <w:bCs/>
          <w:sz w:val="26"/>
          <w:szCs w:val="26"/>
        </w:rPr>
      </w:pPr>
    </w:p>
    <w:p>
      <w:pPr>
        <w:pStyle w:val="BodyText"/>
        <w:spacing w:line="340" w:lineRule="auto"/>
        <w:ind w:right="841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公司报告期不存在委托贷款。</w:t>
      </w:r>
    </w:p>
    <w:p>
      <w:pPr>
        <w:spacing w:line="240" w:lineRule="auto" w:before="12"/>
        <w:rPr>
          <w:rFonts w:ascii="宋体" w:hAnsi="宋体" w:cs="宋体" w:eastAsia="宋体" w:hint="default"/>
          <w:sz w:val="20"/>
          <w:szCs w:val="20"/>
        </w:rPr>
      </w:pPr>
    </w:p>
    <w:p>
      <w:pPr>
        <w:pStyle w:val="Heading3"/>
        <w:spacing w:line="240" w:lineRule="auto"/>
        <w:ind w:left="153" w:right="0"/>
        <w:jc w:val="left"/>
        <w:rPr>
          <w:b w:val="0"/>
          <w:bCs w:val="0"/>
        </w:rPr>
      </w:pPr>
      <w:bookmarkStart w:name="4、其他重大合同" w:id="97"/>
      <w:bookmarkEnd w:id="97"/>
      <w:r>
        <w:rPr>
          <w:b w:val="0"/>
          <w:bCs w:val="0"/>
        </w:rPr>
      </w:r>
      <w:r>
        <w:rPr>
          <w:rFonts w:ascii="Times New Roman" w:hAnsi="Times New Roman" w:cs="Times New Roman" w:eastAsia="Times New Roman" w:hint="default"/>
        </w:rPr>
        <w:t>4</w:t>
      </w:r>
      <w:r>
        <w:rPr/>
        <w:t>、其他重大合同</w:t>
      </w:r>
      <w:r>
        <w:rPr>
          <w:b w:val="0"/>
          <w:bCs w:val="0"/>
        </w:rPr>
      </w:r>
    </w:p>
    <w:p>
      <w:pPr>
        <w:spacing w:line="240" w:lineRule="auto" w:before="9"/>
        <w:rPr>
          <w:rFonts w:ascii="宋体" w:hAnsi="宋体" w:cs="宋体" w:eastAsia="宋体" w:hint="default"/>
          <w:b/>
          <w:bCs/>
          <w:sz w:val="26"/>
          <w:szCs w:val="26"/>
        </w:rPr>
      </w:pPr>
    </w:p>
    <w:p>
      <w:pPr>
        <w:pStyle w:val="BodyText"/>
        <w:spacing w:line="338" w:lineRule="auto"/>
        <w:ind w:right="805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公司报告期不存在其他重大合同。</w:t>
      </w:r>
    </w:p>
    <w:p>
      <w:pPr>
        <w:spacing w:after="0" w:line="338" w:lineRule="auto"/>
        <w:jc w:val="left"/>
        <w:sectPr>
          <w:type w:val="continuous"/>
          <w:pgSz w:w="11910" w:h="16840"/>
          <w:pgMar w:top="1060" w:bottom="116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0"/>
        <w:jc w:val="left"/>
        <w:rPr>
          <w:b w:val="0"/>
          <w:bCs w:val="0"/>
        </w:rPr>
      </w:pPr>
      <w:bookmarkStart w:name="十八、社会责任情况" w:id="98"/>
      <w:bookmarkEnd w:id="98"/>
      <w:r>
        <w:rPr>
          <w:b w:val="0"/>
          <w:bCs w:val="0"/>
        </w:rPr>
      </w:r>
      <w:r>
        <w:rPr/>
        <w:t>十八、社会责任情况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left="153" w:right="0"/>
        <w:jc w:val="left"/>
        <w:rPr>
          <w:b w:val="0"/>
          <w:bCs w:val="0"/>
        </w:rPr>
      </w:pPr>
      <w:bookmarkStart w:name="1、履行社会责任情况" w:id="99"/>
      <w:bookmarkEnd w:id="99"/>
      <w:r>
        <w:rPr>
          <w:b w:val="0"/>
          <w:bCs w:val="0"/>
        </w:rPr>
      </w:r>
      <w:r>
        <w:rPr>
          <w:rFonts w:ascii="Times New Roman" w:hAnsi="Times New Roman" w:cs="Times New Roman" w:eastAsia="Times New Roman" w:hint="default"/>
        </w:rPr>
        <w:t>1</w:t>
      </w:r>
      <w:r>
        <w:rPr/>
        <w:t>、履行社会责任情况</w:t>
      </w:r>
      <w:r>
        <w:rPr>
          <w:b w:val="0"/>
          <w:bCs w:val="0"/>
        </w:rPr>
      </w:r>
    </w:p>
    <w:p>
      <w:pPr>
        <w:spacing w:line="240" w:lineRule="auto" w:before="7"/>
        <w:rPr>
          <w:rFonts w:ascii="宋体" w:hAnsi="宋体" w:cs="宋体" w:eastAsia="宋体" w:hint="default"/>
          <w:b/>
          <w:bCs/>
          <w:sz w:val="26"/>
          <w:szCs w:val="26"/>
        </w:rPr>
      </w:pPr>
    </w:p>
    <w:p>
      <w:pPr>
        <w:pStyle w:val="BodyText"/>
        <w:spacing w:line="316" w:lineRule="auto"/>
        <w:ind w:right="0" w:firstLine="360"/>
        <w:jc w:val="left"/>
      </w:pPr>
      <w:r>
        <w:rPr>
          <w:spacing w:val="-2"/>
        </w:rPr>
        <w:t>报告期内公司重视并积极履行社会责任，依据自身实际情况，在股东、债权人权益保护、职工权益保护、环境保护等方</w:t>
      </w:r>
      <w:r>
        <w:rPr/>
        <w:t> 面承担了相应的社会责任，促进了公司和区域经济和谐发展。</w:t>
      </w:r>
    </w:p>
    <w:p>
      <w:pPr>
        <w:pStyle w:val="BodyText"/>
        <w:spacing w:line="309" w:lineRule="auto" w:before="19"/>
        <w:ind w:left="154" w:right="1133" w:firstLine="360"/>
        <w:jc w:val="both"/>
      </w:pPr>
      <w:r>
        <w:rPr>
          <w:rFonts w:ascii="Times New Roman" w:hAnsi="Times New Roman" w:cs="Times New Roman" w:eastAsia="Times New Roman" w:hint="default"/>
        </w:rPr>
        <w:t>1</w:t>
      </w:r>
      <w:r>
        <w:rPr/>
        <w:t>、股东和债权人的权益保护。公司依据《公司法》、《证券法》等法律规定，不断完善公司治理，建立了以《公司章 </w:t>
      </w:r>
      <w:r>
        <w:rPr>
          <w:spacing w:val="-2"/>
        </w:rPr>
        <w:t>程》为基础的内控体系，形成了以股东大会、董事会、监事会及管理层为主体结构的决策与经营体系，切实保障全体股东和</w:t>
      </w:r>
      <w:r>
        <w:rPr>
          <w:spacing w:val="-66"/>
        </w:rPr>
        <w:t> </w:t>
      </w:r>
      <w:r>
        <w:rPr>
          <w:spacing w:val="-66"/>
        </w:rPr>
      </w:r>
      <w:r>
        <w:rPr/>
        <w:t>债权人的合法权益。</w:t>
      </w:r>
    </w:p>
    <w:p>
      <w:pPr>
        <w:pStyle w:val="BodyText"/>
        <w:spacing w:line="240" w:lineRule="auto" w:before="24"/>
        <w:ind w:left="513" w:right="0"/>
        <w:jc w:val="left"/>
      </w:pPr>
      <w:r>
        <w:rPr>
          <w:rFonts w:ascii="Times New Roman" w:hAnsi="Times New Roman" w:cs="Times New Roman" w:eastAsia="Times New Roman" w:hint="default"/>
        </w:rPr>
        <w:t>2</w:t>
      </w:r>
      <w:r>
        <w:rPr/>
        <w:t>、职工的权益保护。员工是公司最核心的宝贵财产。公司以人为本，把人才战略作为企业发展的重点，公司严格遵守</w:t>
      </w:r>
    </w:p>
    <w:p>
      <w:pPr>
        <w:pStyle w:val="BodyText"/>
        <w:spacing w:line="312" w:lineRule="auto" w:before="63"/>
        <w:ind w:left="0" w:right="1131"/>
        <w:jc w:val="right"/>
      </w:pPr>
      <w:r>
        <w:rPr>
          <w:spacing w:val="-2"/>
        </w:rPr>
        <w:t>《劳动法》、《劳动合同法》、《妇女权益保护法》等相关法律法规，尊重和维护员工的个人权益，切实关注员工健康，安</w:t>
      </w:r>
      <w:r>
        <w:rPr>
          <w:spacing w:val="-81"/>
        </w:rPr>
        <w:t> </w:t>
      </w:r>
      <w:r>
        <w:rPr>
          <w:spacing w:val="-81"/>
        </w:rPr>
      </w:r>
      <w:r>
        <w:rPr>
          <w:spacing w:val="-5"/>
        </w:rPr>
        <w:t>全和满意度，重视人才培养，实现员工与企业的共同成长，不断将企业的发展成果惠及全体员工，构建和谐稳定的劳资关系。</w:t>
      </w:r>
      <w:r>
        <w:rPr/>
        <w:t> </w:t>
      </w:r>
      <w:r>
        <w:rPr>
          <w:rFonts w:ascii="Times New Roman" w:hAnsi="Times New Roman" w:cs="Times New Roman" w:eastAsia="Times New Roman" w:hint="default"/>
        </w:rPr>
        <w:t>3</w:t>
      </w:r>
      <w:r>
        <w:rPr/>
        <w:t>、供应商、客户和消费者权益保护。公司按照诚实守信、互惠互利、合法合规的交易原则，与供应商和经销商保持了 </w:t>
      </w:r>
      <w:r>
        <w:rPr>
          <w:spacing w:val="-2"/>
        </w:rPr>
        <w:t>良好的合作关系；秉承</w:t>
      </w:r>
      <w:r>
        <w:rPr>
          <w:rFonts w:ascii="Times New Roman" w:hAnsi="Times New Roman" w:cs="Times New Roman" w:eastAsia="Times New Roman" w:hint="default"/>
          <w:spacing w:val="-2"/>
        </w:rPr>
        <w:t>“</w:t>
      </w:r>
      <w:r>
        <w:rPr>
          <w:spacing w:val="-2"/>
        </w:rPr>
        <w:t>尽善尽美、创造精品、服务客户</w:t>
      </w:r>
      <w:r>
        <w:rPr>
          <w:rFonts w:ascii="Times New Roman" w:hAnsi="Times New Roman" w:cs="Times New Roman" w:eastAsia="Times New Roman" w:hint="default"/>
          <w:spacing w:val="-2"/>
        </w:rPr>
        <w:t>”</w:t>
      </w:r>
      <w:r>
        <w:rPr>
          <w:spacing w:val="-2"/>
        </w:rPr>
        <w:t>的经营理念，通过科学分析市场和专业技术服务为顾客提供最佳的</w:t>
      </w:r>
    </w:p>
    <w:p>
      <w:pPr>
        <w:pStyle w:val="BodyText"/>
        <w:spacing w:line="240" w:lineRule="auto" w:before="3"/>
        <w:ind w:right="0"/>
        <w:jc w:val="left"/>
      </w:pPr>
      <w:r>
        <w:rPr/>
        <w:t>解决方案，真正为客户和消费者提供优质的产品和服务。</w:t>
      </w:r>
    </w:p>
    <w:p>
      <w:pPr>
        <w:pStyle w:val="BodyText"/>
        <w:spacing w:line="300" w:lineRule="auto" w:before="76"/>
        <w:ind w:left="154" w:right="1122" w:firstLine="360"/>
        <w:jc w:val="left"/>
      </w:pPr>
      <w:r>
        <w:rPr>
          <w:rFonts w:ascii="Times New Roman" w:hAnsi="Times New Roman" w:cs="Times New Roman" w:eastAsia="Times New Roman" w:hint="default"/>
        </w:rPr>
        <w:t>4</w:t>
      </w:r>
      <w:r>
        <w:rPr/>
        <w:t>、环境保护与可持续发展。多年来公司坚持推进节能减排，节能环保从个人、从日常做起。根据生产特点，公司建立 了环境保护管理体系，委派专人负责。公司已获得</w:t>
      </w:r>
      <w:r>
        <w:rPr>
          <w:rFonts w:ascii="Times New Roman" w:hAnsi="Times New Roman" w:cs="Times New Roman" w:eastAsia="Times New Roman" w:hint="default"/>
        </w:rPr>
        <w:t>ISO14001</w:t>
      </w:r>
      <w:r>
        <w:rPr/>
        <w:t>环境管理体系认证。同时，将环保理念贯穿到员工的日常工作 和生活中，督促和培养员工树立节约用电、用水、减少纸张使用等节能低碳的意识生活方式。</w:t>
      </w:r>
    </w:p>
    <w:p>
      <w:pPr>
        <w:pStyle w:val="BodyText"/>
        <w:spacing w:line="300" w:lineRule="auto" w:before="31"/>
        <w:ind w:left="154" w:right="1122" w:firstLine="360"/>
        <w:jc w:val="left"/>
      </w:pPr>
      <w:r>
        <w:rPr>
          <w:rFonts w:ascii="Times New Roman" w:hAnsi="Times New Roman" w:cs="Times New Roman" w:eastAsia="Times New Roman" w:hint="default"/>
        </w:rPr>
        <w:t>5</w:t>
      </w:r>
      <w:r>
        <w:rPr/>
        <w:t>、公共关系。公司在生产经营活动中遵循自愿、公平、诚实信用的原则，遵守社会公德、商业道德，主动接受政府部 门和监管机关的监督和检查，高度重视社会公众及新闻媒体对公司的评论。</w:t>
      </w:r>
    </w:p>
    <w:p>
      <w:pPr>
        <w:spacing w:line="240" w:lineRule="auto" w:before="6"/>
        <w:rPr>
          <w:rFonts w:ascii="宋体" w:hAnsi="宋体" w:cs="宋体" w:eastAsia="宋体" w:hint="default"/>
          <w:sz w:val="23"/>
          <w:szCs w:val="23"/>
        </w:rPr>
      </w:pPr>
    </w:p>
    <w:p>
      <w:pPr>
        <w:pStyle w:val="Heading3"/>
        <w:spacing w:line="240" w:lineRule="auto"/>
        <w:ind w:left="153" w:right="0"/>
        <w:jc w:val="left"/>
        <w:rPr>
          <w:b w:val="0"/>
          <w:bCs w:val="0"/>
        </w:rPr>
      </w:pPr>
      <w:bookmarkStart w:name="2、履行精准扶贫社会责任情况" w:id="100"/>
      <w:bookmarkEnd w:id="100"/>
      <w:r>
        <w:rPr>
          <w:b w:val="0"/>
          <w:bCs w:val="0"/>
        </w:rPr>
      </w:r>
      <w:r>
        <w:rPr>
          <w:rFonts w:ascii="Times New Roman" w:hAnsi="Times New Roman" w:cs="Times New Roman" w:eastAsia="Times New Roman" w:hint="default"/>
        </w:rPr>
        <w:t>2</w:t>
      </w:r>
      <w:r>
        <w:rPr/>
        <w:t>、履行精准扶贫社会责任情况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left="153" w:right="0"/>
        <w:jc w:val="left"/>
        <w:rPr>
          <w:b w:val="0"/>
          <w:bCs w:val="0"/>
        </w:rPr>
      </w:pPr>
      <w:bookmarkStart w:name="（1）精准扶贫规划" w:id="101"/>
      <w:bookmarkEnd w:id="101"/>
      <w:r>
        <w:rPr>
          <w:b w:val="0"/>
          <w:bCs w:val="0"/>
        </w:rPr>
      </w:r>
      <w:r>
        <w:rPr/>
        <w:t>（</w:t>
      </w:r>
      <w:r>
        <w:rPr>
          <w:rFonts w:ascii="Times New Roman" w:hAnsi="Times New Roman" w:cs="Times New Roman" w:eastAsia="Times New Roman" w:hint="default"/>
        </w:rPr>
        <w:t>1</w:t>
      </w:r>
      <w:r>
        <w:rPr/>
        <w:t>）精准扶贫规划</w:t>
      </w:r>
      <w:r>
        <w:rPr>
          <w:b w:val="0"/>
          <w:bCs w:val="0"/>
        </w:rPr>
      </w:r>
    </w:p>
    <w:p>
      <w:pPr>
        <w:spacing w:line="240" w:lineRule="auto" w:before="7"/>
        <w:rPr>
          <w:rFonts w:ascii="宋体" w:hAnsi="宋体" w:cs="宋体" w:eastAsia="宋体" w:hint="default"/>
          <w:b/>
          <w:bCs/>
          <w:sz w:val="26"/>
          <w:szCs w:val="26"/>
        </w:rPr>
      </w:pPr>
    </w:p>
    <w:p>
      <w:pPr>
        <w:pStyle w:val="BodyText"/>
        <w:spacing w:line="316" w:lineRule="auto"/>
        <w:ind w:left="154" w:right="0" w:firstLine="360"/>
        <w:jc w:val="left"/>
      </w:pPr>
      <w:r>
        <w:rPr>
          <w:spacing w:val="-2"/>
        </w:rPr>
        <w:t>倡导助学兴教，履行社会责任，公司计划通过设立公益基金会或捐赠形式，根据相关贫困地区在教育方面的具体实际情</w:t>
      </w:r>
      <w:r>
        <w:rPr/>
        <w:t> 况，开展公益性教育扶贫活动，资助贫困地区教育机构及贫困师生，促进教育文化事业发展。</w:t>
      </w:r>
    </w:p>
    <w:p>
      <w:pPr>
        <w:spacing w:line="240" w:lineRule="auto" w:before="7"/>
        <w:rPr>
          <w:rFonts w:ascii="宋体" w:hAnsi="宋体" w:cs="宋体" w:eastAsia="宋体" w:hint="default"/>
          <w:sz w:val="22"/>
          <w:szCs w:val="22"/>
        </w:rPr>
      </w:pPr>
    </w:p>
    <w:p>
      <w:pPr>
        <w:pStyle w:val="Heading3"/>
        <w:spacing w:line="240" w:lineRule="auto"/>
        <w:ind w:left="153" w:right="0"/>
        <w:jc w:val="left"/>
        <w:rPr>
          <w:b w:val="0"/>
          <w:bCs w:val="0"/>
        </w:rPr>
      </w:pPr>
      <w:bookmarkStart w:name="3、环境保护相关的情况" w:id="102"/>
      <w:bookmarkEnd w:id="102"/>
      <w:r>
        <w:rPr>
          <w:b w:val="0"/>
          <w:bCs w:val="0"/>
        </w:rPr>
      </w:r>
      <w:r>
        <w:rPr>
          <w:rFonts w:ascii="Times New Roman" w:hAnsi="Times New Roman" w:cs="Times New Roman" w:eastAsia="Times New Roman" w:hint="default"/>
        </w:rPr>
        <w:t>3</w:t>
      </w:r>
      <w:r>
        <w:rPr/>
        <w:t>、环境保护相关的情况</w:t>
      </w:r>
      <w:r>
        <w:rPr>
          <w:b w:val="0"/>
          <w:bCs w:val="0"/>
        </w:rPr>
      </w:r>
    </w:p>
    <w:p>
      <w:pPr>
        <w:spacing w:line="240" w:lineRule="auto" w:before="8"/>
        <w:rPr>
          <w:rFonts w:ascii="宋体" w:hAnsi="宋体" w:cs="宋体" w:eastAsia="宋体" w:hint="default"/>
          <w:b/>
          <w:bCs/>
          <w:sz w:val="26"/>
          <w:szCs w:val="26"/>
        </w:rPr>
      </w:pPr>
    </w:p>
    <w:p>
      <w:pPr>
        <w:pStyle w:val="BodyText"/>
        <w:spacing w:line="360" w:lineRule="auto"/>
        <w:ind w:left="154" w:right="5712"/>
        <w:jc w:val="left"/>
      </w:pPr>
      <w:r>
        <w:rPr/>
        <w:t>上市公司及其子公司是否属于环境保护部门公布的重点排污单位 不适用</w:t>
      </w:r>
    </w:p>
    <w:p>
      <w:pPr>
        <w:pStyle w:val="BodyText"/>
        <w:spacing w:line="240" w:lineRule="auto" w:before="25"/>
        <w:ind w:left="154" w:right="0"/>
        <w:jc w:val="left"/>
      </w:pPr>
      <w:r>
        <w:rPr/>
        <w:t>无。</w:t>
      </w:r>
    </w:p>
    <w:p>
      <w:pPr>
        <w:spacing w:line="240" w:lineRule="auto" w:before="2"/>
        <w:rPr>
          <w:rFonts w:ascii="宋体" w:hAnsi="宋体" w:cs="宋体" w:eastAsia="宋体" w:hint="default"/>
          <w:sz w:val="25"/>
          <w:szCs w:val="25"/>
        </w:rPr>
      </w:pPr>
    </w:p>
    <w:p>
      <w:pPr>
        <w:pStyle w:val="Heading2"/>
        <w:spacing w:line="240" w:lineRule="auto"/>
        <w:ind w:left="154" w:right="0"/>
        <w:jc w:val="left"/>
        <w:rPr>
          <w:b w:val="0"/>
          <w:bCs w:val="0"/>
        </w:rPr>
      </w:pPr>
      <w:bookmarkStart w:name="十九、其他重大事项的说明" w:id="103"/>
      <w:bookmarkEnd w:id="103"/>
      <w:r>
        <w:rPr>
          <w:b w:val="0"/>
          <w:bCs w:val="0"/>
        </w:rPr>
      </w:r>
      <w:r>
        <w:rPr/>
        <w:t>十九、其他重大事项的说明</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4"/>
          <w:szCs w:val="14"/>
        </w:rPr>
      </w:pPr>
    </w:p>
    <w:p>
      <w:pPr>
        <w:pStyle w:val="Heading2"/>
        <w:spacing w:line="240" w:lineRule="auto"/>
        <w:ind w:right="0"/>
        <w:jc w:val="left"/>
        <w:rPr>
          <w:b w:val="0"/>
          <w:bCs w:val="0"/>
        </w:rPr>
      </w:pPr>
      <w:bookmarkStart w:name="二十、公司子公司重大事项" w:id="104"/>
      <w:bookmarkEnd w:id="104"/>
      <w:r>
        <w:rPr>
          <w:b w:val="0"/>
          <w:bCs w:val="0"/>
        </w:rPr>
      </w:r>
      <w:r>
        <w:rPr/>
        <w:t>二十、公司子公司重大事项</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after="0" w:line="240" w:lineRule="auto"/>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right="0"/>
        <w:jc w:val="left"/>
        <w:rPr>
          <w:b w:val="0"/>
          <w:bCs w:val="0"/>
        </w:rPr>
      </w:pPr>
      <w:bookmarkStart w:name="第六节 股份变动及股东情况" w:id="105"/>
      <w:bookmarkEnd w:id="105"/>
      <w:r>
        <w:rPr>
          <w:b w:val="0"/>
          <w:bCs w:val="0"/>
        </w:rPr>
      </w:r>
      <w:bookmarkStart w:name="_bookmark4" w:id="106"/>
      <w:bookmarkEnd w:id="106"/>
      <w:r>
        <w:rPr>
          <w:b w:val="0"/>
          <w:bCs w:val="0"/>
        </w:rPr>
      </w:r>
      <w:r>
        <w:rPr/>
        <w:t>第六节</w:t>
      </w:r>
      <w:r>
        <w:rPr>
          <w:spacing w:val="-10"/>
        </w:rPr>
        <w:t> </w:t>
      </w:r>
      <w:r>
        <w:rPr/>
        <w:t>股份变动及股东情况</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before="26"/>
        <w:ind w:right="0"/>
        <w:jc w:val="left"/>
        <w:rPr>
          <w:b w:val="0"/>
          <w:bCs w:val="0"/>
        </w:rPr>
      </w:pPr>
      <w:bookmarkStart w:name="一、股份变动情况" w:id="107"/>
      <w:bookmarkEnd w:id="107"/>
      <w:r>
        <w:rPr>
          <w:b w:val="0"/>
          <w:bCs w:val="0"/>
        </w:rPr>
      </w:r>
      <w:r>
        <w:rPr/>
        <w:t>一、股份变动情况</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53" w:right="0"/>
        <w:jc w:val="left"/>
        <w:rPr>
          <w:b w:val="0"/>
          <w:bCs w:val="0"/>
        </w:rPr>
      </w:pPr>
      <w:bookmarkStart w:name="1、股份变动情况" w:id="108"/>
      <w:bookmarkEnd w:id="108"/>
      <w:r>
        <w:rPr>
          <w:b w:val="0"/>
          <w:bCs w:val="0"/>
        </w:rPr>
      </w:r>
      <w:r>
        <w:rPr>
          <w:rFonts w:ascii="Times New Roman" w:hAnsi="Times New Roman" w:cs="Times New Roman" w:eastAsia="Times New Roman" w:hint="default"/>
        </w:rPr>
        <w:t>1</w:t>
      </w:r>
      <w:r>
        <w:rPr/>
        <w:t>、股份变动情况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单位：股</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216"/>
        <w:gridCol w:w="823"/>
        <w:gridCol w:w="824"/>
        <w:gridCol w:w="822"/>
        <w:gridCol w:w="822"/>
        <w:gridCol w:w="822"/>
        <w:gridCol w:w="822"/>
        <w:gridCol w:w="822"/>
        <w:gridCol w:w="794"/>
        <w:gridCol w:w="794"/>
      </w:tblGrid>
      <w:tr>
        <w:trPr>
          <w:trHeight w:val="402" w:hRule="exact"/>
        </w:trPr>
        <w:tc>
          <w:tcPr>
            <w:tcW w:w="2216" w:type="dxa"/>
            <w:tcBorders>
              <w:top w:val="single" w:sz="4" w:space="0" w:color="000000"/>
              <w:left w:val="single" w:sz="4" w:space="0" w:color="000000"/>
              <w:bottom w:val="nil" w:sz="6" w:space="0" w:color="auto"/>
              <w:right w:val="single" w:sz="4" w:space="0" w:color="000000"/>
            </w:tcBorders>
            <w:shd w:val="clear" w:color="auto" w:fill="D2D2D2"/>
          </w:tcPr>
          <w:p>
            <w:pPr/>
          </w:p>
        </w:tc>
        <w:tc>
          <w:tcPr>
            <w:tcW w:w="164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67"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4110"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59" w:right="0"/>
              <w:jc w:val="left"/>
              <w:rPr>
                <w:rFonts w:ascii="宋体" w:hAnsi="宋体" w:cs="宋体" w:eastAsia="宋体" w:hint="default"/>
                <w:sz w:val="18"/>
                <w:szCs w:val="18"/>
              </w:rPr>
            </w:pPr>
            <w:r>
              <w:rPr>
                <w:rFonts w:ascii="宋体" w:hAnsi="宋体" w:cs="宋体" w:eastAsia="宋体" w:hint="default"/>
                <w:sz w:val="18"/>
                <w:szCs w:val="18"/>
              </w:rPr>
              <w:t>本次变动增减（＋，－）</w:t>
            </w:r>
          </w:p>
        </w:tc>
        <w:tc>
          <w:tcPr>
            <w:tcW w:w="158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39"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161" w:hRule="exact"/>
        </w:trPr>
        <w:tc>
          <w:tcPr>
            <w:tcW w:w="2216" w:type="dxa"/>
            <w:vMerge w:val="restart"/>
            <w:tcBorders>
              <w:top w:val="nil" w:sz="6" w:space="0" w:color="auto"/>
              <w:left w:val="single" w:sz="4" w:space="0" w:color="000000"/>
              <w:right w:val="single" w:sz="4" w:space="0" w:color="000000"/>
            </w:tcBorders>
            <w:shd w:val="clear" w:color="auto" w:fill="D2D2D2"/>
          </w:tcPr>
          <w:p>
            <w:pPr/>
          </w:p>
        </w:tc>
        <w:tc>
          <w:tcPr>
            <w:tcW w:w="823" w:type="dxa"/>
            <w:tcBorders>
              <w:top w:val="single" w:sz="4" w:space="0" w:color="000000"/>
              <w:left w:val="single" w:sz="4" w:space="0" w:color="000000"/>
              <w:bottom w:val="nil" w:sz="6" w:space="0" w:color="auto"/>
              <w:right w:val="single" w:sz="4" w:space="0" w:color="000000"/>
            </w:tcBorders>
            <w:shd w:val="clear" w:color="auto" w:fill="D2D2D2"/>
          </w:tcPr>
          <w:p>
            <w:pPr/>
          </w:p>
        </w:tc>
        <w:tc>
          <w:tcPr>
            <w:tcW w:w="824" w:type="dxa"/>
            <w:tcBorders>
              <w:top w:val="single" w:sz="4" w:space="0" w:color="000000"/>
              <w:left w:val="single" w:sz="4" w:space="0" w:color="000000"/>
              <w:bottom w:val="nil" w:sz="6" w:space="0" w:color="auto"/>
              <w:right w:val="single" w:sz="4" w:space="0" w:color="000000"/>
            </w:tcBorders>
            <w:shd w:val="clear" w:color="auto" w:fill="D2D2D2"/>
          </w:tcPr>
          <w:p>
            <w:pPr/>
          </w:p>
        </w:tc>
        <w:tc>
          <w:tcPr>
            <w:tcW w:w="822" w:type="dxa"/>
            <w:tcBorders>
              <w:top w:val="single" w:sz="4" w:space="0" w:color="000000"/>
              <w:left w:val="single" w:sz="4" w:space="0" w:color="000000"/>
              <w:bottom w:val="nil" w:sz="6" w:space="0" w:color="auto"/>
              <w:right w:val="single" w:sz="4" w:space="0" w:color="000000"/>
            </w:tcBorders>
            <w:shd w:val="clear" w:color="auto" w:fill="D2D2D2"/>
          </w:tcPr>
          <w:p>
            <w:pPr/>
          </w:p>
        </w:tc>
        <w:tc>
          <w:tcPr>
            <w:tcW w:w="822" w:type="dxa"/>
            <w:tcBorders>
              <w:top w:val="single" w:sz="4" w:space="0" w:color="000000"/>
              <w:left w:val="single" w:sz="4" w:space="0" w:color="000000"/>
              <w:bottom w:val="nil" w:sz="6" w:space="0" w:color="auto"/>
              <w:right w:val="single" w:sz="4" w:space="0" w:color="000000"/>
            </w:tcBorders>
            <w:shd w:val="clear" w:color="auto" w:fill="D2D2D2"/>
          </w:tcPr>
          <w:p>
            <w:pPr/>
          </w:p>
        </w:tc>
        <w:tc>
          <w:tcPr>
            <w:tcW w:w="82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316" w:right="43" w:hanging="270"/>
              <w:jc w:val="left"/>
              <w:rPr>
                <w:rFonts w:ascii="宋体" w:hAnsi="宋体" w:cs="宋体" w:eastAsia="宋体" w:hint="default"/>
                <w:sz w:val="18"/>
                <w:szCs w:val="18"/>
              </w:rPr>
            </w:pPr>
            <w:r>
              <w:rPr>
                <w:rFonts w:ascii="宋体" w:hAnsi="宋体" w:cs="宋体" w:eastAsia="宋体" w:hint="default"/>
                <w:sz w:val="18"/>
                <w:szCs w:val="18"/>
              </w:rPr>
              <w:t>公积金转 股</w:t>
            </w:r>
          </w:p>
        </w:tc>
        <w:tc>
          <w:tcPr>
            <w:tcW w:w="822" w:type="dxa"/>
            <w:tcBorders>
              <w:top w:val="single" w:sz="4" w:space="0" w:color="000000"/>
              <w:left w:val="single" w:sz="4" w:space="0" w:color="000000"/>
              <w:bottom w:val="nil" w:sz="6" w:space="0" w:color="auto"/>
              <w:right w:val="single" w:sz="4" w:space="0" w:color="000000"/>
            </w:tcBorders>
            <w:shd w:val="clear" w:color="auto" w:fill="D2D2D2"/>
          </w:tcPr>
          <w:p>
            <w:pPr/>
          </w:p>
        </w:tc>
        <w:tc>
          <w:tcPr>
            <w:tcW w:w="822" w:type="dxa"/>
            <w:tcBorders>
              <w:top w:val="single" w:sz="4" w:space="0" w:color="000000"/>
              <w:left w:val="single" w:sz="4" w:space="0" w:color="000000"/>
              <w:bottom w:val="nil" w:sz="6" w:space="0" w:color="auto"/>
              <w:right w:val="single" w:sz="4" w:space="0" w:color="000000"/>
            </w:tcBorders>
            <w:shd w:val="clear" w:color="auto" w:fill="D2D2D2"/>
          </w:tcPr>
          <w:p>
            <w:pPr/>
          </w:p>
        </w:tc>
        <w:tc>
          <w:tcPr>
            <w:tcW w:w="794" w:type="dxa"/>
            <w:tcBorders>
              <w:top w:val="single" w:sz="4" w:space="0" w:color="000000"/>
              <w:left w:val="single" w:sz="4" w:space="0" w:color="000000"/>
              <w:bottom w:val="nil" w:sz="6" w:space="0" w:color="auto"/>
              <w:right w:val="single" w:sz="4" w:space="0" w:color="000000"/>
            </w:tcBorders>
            <w:shd w:val="clear" w:color="auto" w:fill="D2D2D2"/>
          </w:tcPr>
          <w:p>
            <w:pPr/>
          </w:p>
        </w:tc>
        <w:tc>
          <w:tcPr>
            <w:tcW w:w="794"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1" w:hRule="exact"/>
        </w:trPr>
        <w:tc>
          <w:tcPr>
            <w:tcW w:w="2216" w:type="dxa"/>
            <w:vMerge/>
            <w:tcBorders>
              <w:left w:val="single" w:sz="4" w:space="0" w:color="000000"/>
              <w:bottom w:val="nil" w:sz="6" w:space="0" w:color="auto"/>
              <w:right w:val="single" w:sz="4" w:space="0" w:color="000000"/>
            </w:tcBorders>
            <w:shd w:val="clear" w:color="auto" w:fill="D2D2D2"/>
          </w:tcPr>
          <w:p>
            <w:pPr/>
          </w:p>
        </w:tc>
        <w:tc>
          <w:tcPr>
            <w:tcW w:w="82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25"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82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2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2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45"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82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26"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822" w:type="dxa"/>
            <w:vMerge/>
            <w:tcBorders>
              <w:left w:val="single" w:sz="4" w:space="0" w:color="000000"/>
              <w:right w:val="single" w:sz="4" w:space="0" w:color="000000"/>
            </w:tcBorders>
            <w:shd w:val="clear" w:color="auto" w:fill="D2D2D2"/>
          </w:tcPr>
          <w:p>
            <w:pPr/>
          </w:p>
        </w:tc>
        <w:tc>
          <w:tcPr>
            <w:tcW w:w="82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26"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2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26"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12"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79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11" w:right="0"/>
              <w:jc w:val="left"/>
              <w:rPr>
                <w:rFonts w:ascii="宋体" w:hAnsi="宋体" w:cs="宋体" w:eastAsia="宋体" w:hint="default"/>
                <w:sz w:val="18"/>
                <w:szCs w:val="18"/>
              </w:rPr>
            </w:pPr>
            <w:r>
              <w:rPr>
                <w:rFonts w:ascii="宋体" w:hAnsi="宋体" w:cs="宋体" w:eastAsia="宋体" w:hint="default"/>
                <w:sz w:val="18"/>
                <w:szCs w:val="18"/>
              </w:rPr>
              <w:t>比例</w:t>
            </w:r>
          </w:p>
        </w:tc>
      </w:tr>
      <w:tr>
        <w:trPr>
          <w:trHeight w:val="202" w:hRule="exact"/>
        </w:trPr>
        <w:tc>
          <w:tcPr>
            <w:tcW w:w="2216" w:type="dxa"/>
            <w:vMerge w:val="restart"/>
            <w:tcBorders>
              <w:top w:val="nil" w:sz="6" w:space="0" w:color="auto"/>
              <w:left w:val="single" w:sz="4" w:space="0" w:color="000000"/>
              <w:right w:val="single" w:sz="4" w:space="0" w:color="000000"/>
            </w:tcBorders>
            <w:shd w:val="clear" w:color="auto" w:fill="D2D2D2"/>
          </w:tcPr>
          <w:p>
            <w:pPr/>
          </w:p>
        </w:tc>
        <w:tc>
          <w:tcPr>
            <w:tcW w:w="823" w:type="dxa"/>
            <w:vMerge/>
            <w:tcBorders>
              <w:left w:val="single" w:sz="4" w:space="0" w:color="000000"/>
              <w:bottom w:val="nil" w:sz="6" w:space="0" w:color="auto"/>
              <w:right w:val="single" w:sz="4" w:space="0" w:color="000000"/>
            </w:tcBorders>
            <w:shd w:val="clear" w:color="auto" w:fill="D2D2D2"/>
          </w:tcPr>
          <w:p>
            <w:pPr/>
          </w:p>
        </w:tc>
        <w:tc>
          <w:tcPr>
            <w:tcW w:w="824" w:type="dxa"/>
            <w:vMerge/>
            <w:tcBorders>
              <w:left w:val="single" w:sz="4" w:space="0" w:color="000000"/>
              <w:bottom w:val="nil" w:sz="6" w:space="0" w:color="auto"/>
              <w:right w:val="single" w:sz="4" w:space="0" w:color="000000"/>
            </w:tcBorders>
            <w:shd w:val="clear" w:color="auto" w:fill="D2D2D2"/>
          </w:tcPr>
          <w:p>
            <w:pPr/>
          </w:p>
        </w:tc>
        <w:tc>
          <w:tcPr>
            <w:tcW w:w="822" w:type="dxa"/>
            <w:vMerge/>
            <w:tcBorders>
              <w:left w:val="single" w:sz="4" w:space="0" w:color="000000"/>
              <w:bottom w:val="nil" w:sz="6" w:space="0" w:color="auto"/>
              <w:right w:val="single" w:sz="4" w:space="0" w:color="000000"/>
            </w:tcBorders>
            <w:shd w:val="clear" w:color="auto" w:fill="D2D2D2"/>
          </w:tcPr>
          <w:p>
            <w:pPr/>
          </w:p>
        </w:tc>
        <w:tc>
          <w:tcPr>
            <w:tcW w:w="822" w:type="dxa"/>
            <w:vMerge/>
            <w:tcBorders>
              <w:left w:val="single" w:sz="4" w:space="0" w:color="000000"/>
              <w:bottom w:val="nil" w:sz="6" w:space="0" w:color="auto"/>
              <w:right w:val="single" w:sz="4" w:space="0" w:color="000000"/>
            </w:tcBorders>
            <w:shd w:val="clear" w:color="auto" w:fill="D2D2D2"/>
          </w:tcPr>
          <w:p>
            <w:pPr/>
          </w:p>
        </w:tc>
        <w:tc>
          <w:tcPr>
            <w:tcW w:w="822" w:type="dxa"/>
            <w:vMerge/>
            <w:tcBorders>
              <w:left w:val="single" w:sz="4" w:space="0" w:color="000000"/>
              <w:right w:val="single" w:sz="4" w:space="0" w:color="000000"/>
            </w:tcBorders>
            <w:shd w:val="clear" w:color="auto" w:fill="D2D2D2"/>
          </w:tcPr>
          <w:p>
            <w:pPr/>
          </w:p>
        </w:tc>
        <w:tc>
          <w:tcPr>
            <w:tcW w:w="822" w:type="dxa"/>
            <w:vMerge/>
            <w:tcBorders>
              <w:left w:val="single" w:sz="4" w:space="0" w:color="000000"/>
              <w:bottom w:val="nil" w:sz="6" w:space="0" w:color="auto"/>
              <w:right w:val="single" w:sz="4" w:space="0" w:color="000000"/>
            </w:tcBorders>
            <w:shd w:val="clear" w:color="auto" w:fill="D2D2D2"/>
          </w:tcPr>
          <w:p>
            <w:pPr/>
          </w:p>
        </w:tc>
        <w:tc>
          <w:tcPr>
            <w:tcW w:w="822" w:type="dxa"/>
            <w:vMerge/>
            <w:tcBorders>
              <w:left w:val="single" w:sz="4" w:space="0" w:color="000000"/>
              <w:bottom w:val="nil" w:sz="6" w:space="0" w:color="auto"/>
              <w:right w:val="single" w:sz="4" w:space="0" w:color="000000"/>
            </w:tcBorders>
            <w:shd w:val="clear" w:color="auto" w:fill="D2D2D2"/>
          </w:tcPr>
          <w:p>
            <w:pPr/>
          </w:p>
        </w:tc>
        <w:tc>
          <w:tcPr>
            <w:tcW w:w="794" w:type="dxa"/>
            <w:vMerge/>
            <w:tcBorders>
              <w:left w:val="single" w:sz="4" w:space="0" w:color="000000"/>
              <w:bottom w:val="nil" w:sz="6" w:space="0" w:color="auto"/>
              <w:right w:val="single" w:sz="4" w:space="0" w:color="000000"/>
            </w:tcBorders>
            <w:shd w:val="clear" w:color="auto" w:fill="D2D2D2"/>
          </w:tcPr>
          <w:p>
            <w:pPr/>
          </w:p>
        </w:tc>
        <w:tc>
          <w:tcPr>
            <w:tcW w:w="794" w:type="dxa"/>
            <w:vMerge/>
            <w:tcBorders>
              <w:left w:val="single" w:sz="4" w:space="0" w:color="000000"/>
              <w:bottom w:val="nil" w:sz="6" w:space="0" w:color="auto"/>
              <w:right w:val="single" w:sz="4" w:space="0" w:color="000000"/>
            </w:tcBorders>
            <w:shd w:val="clear" w:color="auto" w:fill="D2D2D2"/>
          </w:tcPr>
          <w:p>
            <w:pPr/>
          </w:p>
        </w:tc>
      </w:tr>
      <w:tr>
        <w:trPr>
          <w:trHeight w:val="161" w:hRule="exact"/>
        </w:trPr>
        <w:tc>
          <w:tcPr>
            <w:tcW w:w="2216" w:type="dxa"/>
            <w:vMerge/>
            <w:tcBorders>
              <w:left w:val="single" w:sz="4" w:space="0" w:color="000000"/>
              <w:bottom w:val="single" w:sz="4" w:space="0" w:color="000000"/>
              <w:right w:val="single" w:sz="4" w:space="0" w:color="000000"/>
            </w:tcBorders>
            <w:shd w:val="clear" w:color="auto" w:fill="D2D2D2"/>
          </w:tcPr>
          <w:p>
            <w:pPr/>
          </w:p>
        </w:tc>
        <w:tc>
          <w:tcPr>
            <w:tcW w:w="823" w:type="dxa"/>
            <w:tcBorders>
              <w:top w:val="nil" w:sz="6" w:space="0" w:color="auto"/>
              <w:left w:val="single" w:sz="4" w:space="0" w:color="000000"/>
              <w:bottom w:val="single" w:sz="4" w:space="0" w:color="000000"/>
              <w:right w:val="single" w:sz="4" w:space="0" w:color="000000"/>
            </w:tcBorders>
            <w:shd w:val="clear" w:color="auto" w:fill="D2D2D2"/>
          </w:tcPr>
          <w:p>
            <w:pPr/>
          </w:p>
        </w:tc>
        <w:tc>
          <w:tcPr>
            <w:tcW w:w="824" w:type="dxa"/>
            <w:tcBorders>
              <w:top w:val="nil" w:sz="6" w:space="0" w:color="auto"/>
              <w:left w:val="single" w:sz="4" w:space="0" w:color="000000"/>
              <w:bottom w:val="single" w:sz="4" w:space="0" w:color="000000"/>
              <w:right w:val="single" w:sz="4" w:space="0" w:color="000000"/>
            </w:tcBorders>
            <w:shd w:val="clear" w:color="auto" w:fill="D2D2D2"/>
          </w:tcPr>
          <w:p>
            <w:pPr/>
          </w:p>
        </w:tc>
        <w:tc>
          <w:tcPr>
            <w:tcW w:w="822" w:type="dxa"/>
            <w:tcBorders>
              <w:top w:val="nil" w:sz="6" w:space="0" w:color="auto"/>
              <w:left w:val="single" w:sz="4" w:space="0" w:color="000000"/>
              <w:bottom w:val="single" w:sz="4" w:space="0" w:color="000000"/>
              <w:right w:val="single" w:sz="4" w:space="0" w:color="000000"/>
            </w:tcBorders>
            <w:shd w:val="clear" w:color="auto" w:fill="D2D2D2"/>
          </w:tcPr>
          <w:p>
            <w:pPr/>
          </w:p>
        </w:tc>
        <w:tc>
          <w:tcPr>
            <w:tcW w:w="822" w:type="dxa"/>
            <w:tcBorders>
              <w:top w:val="nil" w:sz="6" w:space="0" w:color="auto"/>
              <w:left w:val="single" w:sz="4" w:space="0" w:color="000000"/>
              <w:bottom w:val="single" w:sz="4" w:space="0" w:color="000000"/>
              <w:right w:val="single" w:sz="4" w:space="0" w:color="000000"/>
            </w:tcBorders>
            <w:shd w:val="clear" w:color="auto" w:fill="D2D2D2"/>
          </w:tcPr>
          <w:p>
            <w:pPr/>
          </w:p>
        </w:tc>
        <w:tc>
          <w:tcPr>
            <w:tcW w:w="822" w:type="dxa"/>
            <w:vMerge/>
            <w:tcBorders>
              <w:left w:val="single" w:sz="4" w:space="0" w:color="000000"/>
              <w:bottom w:val="single" w:sz="4" w:space="0" w:color="000000"/>
              <w:right w:val="single" w:sz="4" w:space="0" w:color="000000"/>
            </w:tcBorders>
            <w:shd w:val="clear" w:color="auto" w:fill="D2D2D2"/>
          </w:tcPr>
          <w:p>
            <w:pPr/>
          </w:p>
        </w:tc>
        <w:tc>
          <w:tcPr>
            <w:tcW w:w="822" w:type="dxa"/>
            <w:tcBorders>
              <w:top w:val="nil" w:sz="6" w:space="0" w:color="auto"/>
              <w:left w:val="single" w:sz="4" w:space="0" w:color="000000"/>
              <w:bottom w:val="single" w:sz="4" w:space="0" w:color="000000"/>
              <w:right w:val="single" w:sz="4" w:space="0" w:color="000000"/>
            </w:tcBorders>
            <w:shd w:val="clear" w:color="auto" w:fill="D2D2D2"/>
          </w:tcPr>
          <w:p>
            <w:pPr/>
          </w:p>
        </w:tc>
        <w:tc>
          <w:tcPr>
            <w:tcW w:w="822" w:type="dxa"/>
            <w:tcBorders>
              <w:top w:val="nil" w:sz="6" w:space="0" w:color="auto"/>
              <w:left w:val="single" w:sz="4" w:space="0" w:color="000000"/>
              <w:bottom w:val="single" w:sz="4" w:space="0" w:color="000000"/>
              <w:right w:val="single" w:sz="4" w:space="0" w:color="000000"/>
            </w:tcBorders>
            <w:shd w:val="clear" w:color="auto" w:fill="D2D2D2"/>
          </w:tcPr>
          <w:p>
            <w:pPr/>
          </w:p>
        </w:tc>
        <w:tc>
          <w:tcPr>
            <w:tcW w:w="794" w:type="dxa"/>
            <w:tcBorders>
              <w:top w:val="nil" w:sz="6" w:space="0" w:color="auto"/>
              <w:left w:val="single" w:sz="4" w:space="0" w:color="000000"/>
              <w:bottom w:val="single" w:sz="4" w:space="0" w:color="000000"/>
              <w:right w:val="single" w:sz="4" w:space="0" w:color="000000"/>
            </w:tcBorders>
            <w:shd w:val="clear" w:color="auto" w:fill="D2D2D2"/>
          </w:tcPr>
          <w:p>
            <w:pPr/>
          </w:p>
        </w:tc>
        <w:tc>
          <w:tcPr>
            <w:tcW w:w="794"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161" w:hRule="exact"/>
        </w:trPr>
        <w:tc>
          <w:tcPr>
            <w:tcW w:w="2216" w:type="dxa"/>
            <w:tcBorders>
              <w:top w:val="single" w:sz="4" w:space="0" w:color="000000"/>
              <w:left w:val="single" w:sz="4" w:space="0" w:color="000000"/>
              <w:bottom w:val="nil" w:sz="6" w:space="0" w:color="auto"/>
              <w:right w:val="single" w:sz="4" w:space="0" w:color="000000"/>
            </w:tcBorders>
            <w:shd w:val="clear" w:color="auto" w:fill="D2D2D2"/>
          </w:tcPr>
          <w:p>
            <w:pPr/>
          </w:p>
        </w:tc>
        <w:tc>
          <w:tcPr>
            <w:tcW w:w="823" w:type="dxa"/>
            <w:vMerge w:val="restart"/>
            <w:tcBorders>
              <w:top w:val="single" w:sz="4" w:space="0" w:color="000000"/>
              <w:left w:val="single" w:sz="10" w:space="0" w:color="D2D2D2"/>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160,133,3</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29</w:t>
            </w:r>
          </w:p>
        </w:tc>
        <w:tc>
          <w:tcPr>
            <w:tcW w:w="8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5" w:right="0"/>
              <w:jc w:val="left"/>
              <w:rPr>
                <w:rFonts w:ascii="Times New Roman" w:hAnsi="Times New Roman" w:cs="Times New Roman" w:eastAsia="Times New Roman" w:hint="default"/>
                <w:sz w:val="18"/>
                <w:szCs w:val="18"/>
              </w:rPr>
            </w:pPr>
            <w:r>
              <w:rPr>
                <w:rFonts w:ascii="Times New Roman"/>
                <w:sz w:val="18"/>
              </w:rPr>
              <w:t>40.19%</w:t>
            </w: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10,928,56</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w:t>
            </w:r>
          </w:p>
        </w:tc>
        <w:tc>
          <w:tcPr>
            <w:tcW w:w="822" w:type="dxa"/>
            <w:vMerge w:val="restart"/>
            <w:tcBorders>
              <w:top w:val="single" w:sz="4" w:space="0" w:color="000000"/>
              <w:left w:val="single" w:sz="4" w:space="0" w:color="000000"/>
              <w:right w:val="single" w:sz="4" w:space="0" w:color="000000"/>
            </w:tcBorders>
          </w:tcPr>
          <w:p>
            <w:pP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17,161,68</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58,716,63</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w:t>
            </w: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86,806,87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6</w:t>
            </w: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246,940,2</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05</w:t>
            </w: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06" w:right="0"/>
              <w:jc w:val="left"/>
              <w:rPr>
                <w:rFonts w:ascii="Times New Roman" w:hAnsi="Times New Roman" w:cs="Times New Roman" w:eastAsia="Times New Roman" w:hint="default"/>
                <w:sz w:val="18"/>
                <w:szCs w:val="18"/>
              </w:rPr>
            </w:pPr>
            <w:r>
              <w:rPr>
                <w:rFonts w:ascii="Times New Roman"/>
                <w:sz w:val="18"/>
              </w:rPr>
              <w:t>40.39%</w:t>
            </w:r>
          </w:p>
        </w:tc>
      </w:tr>
      <w:tr>
        <w:trPr>
          <w:trHeight w:val="392" w:hRule="exact"/>
        </w:trPr>
        <w:tc>
          <w:tcPr>
            <w:tcW w:w="221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823" w:type="dxa"/>
            <w:vMerge/>
            <w:tcBorders>
              <w:left w:val="single" w:sz="10" w:space="0" w:color="D2D2D2"/>
              <w:right w:val="single" w:sz="4" w:space="0" w:color="000000"/>
            </w:tcBorders>
          </w:tcPr>
          <w:p>
            <w:pPr/>
          </w:p>
        </w:tc>
        <w:tc>
          <w:tcPr>
            <w:tcW w:w="824"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r>
      <w:tr>
        <w:trPr>
          <w:trHeight w:val="161" w:hRule="exact"/>
        </w:trPr>
        <w:tc>
          <w:tcPr>
            <w:tcW w:w="2216" w:type="dxa"/>
            <w:tcBorders>
              <w:top w:val="nil" w:sz="6" w:space="0" w:color="auto"/>
              <w:left w:val="single" w:sz="4" w:space="0" w:color="000000"/>
              <w:bottom w:val="single" w:sz="4" w:space="0" w:color="000000"/>
              <w:right w:val="single" w:sz="4" w:space="0" w:color="000000"/>
            </w:tcBorders>
            <w:shd w:val="clear" w:color="auto" w:fill="D2D2D2"/>
          </w:tcPr>
          <w:p>
            <w:pPr/>
          </w:p>
        </w:tc>
        <w:tc>
          <w:tcPr>
            <w:tcW w:w="823" w:type="dxa"/>
            <w:vMerge/>
            <w:tcBorders>
              <w:left w:val="single" w:sz="10" w:space="0" w:color="D2D2D2"/>
              <w:bottom w:val="single" w:sz="4" w:space="0" w:color="000000"/>
              <w:right w:val="single" w:sz="4" w:space="0" w:color="000000"/>
            </w:tcBorders>
          </w:tcPr>
          <w:p>
            <w:pPr/>
          </w:p>
        </w:tc>
        <w:tc>
          <w:tcPr>
            <w:tcW w:w="824"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r>
      <w:tr>
        <w:trPr>
          <w:trHeight w:val="402" w:hRule="exact"/>
        </w:trPr>
        <w:tc>
          <w:tcPr>
            <w:tcW w:w="22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、国家持股</w:t>
            </w:r>
          </w:p>
        </w:tc>
        <w:tc>
          <w:tcPr>
            <w:tcW w:w="823" w:type="dxa"/>
            <w:tcBorders>
              <w:top w:val="single" w:sz="4" w:space="0" w:color="000000"/>
              <w:left w:val="single" w:sz="13" w:space="0" w:color="D2D2D2"/>
              <w:bottom w:val="single" w:sz="4" w:space="0" w:color="000000"/>
              <w:right w:val="single" w:sz="4" w:space="0" w:color="000000"/>
            </w:tcBorders>
          </w:tcPr>
          <w:p>
            <w:pPr/>
          </w:p>
        </w:tc>
        <w:tc>
          <w:tcPr>
            <w:tcW w:w="824"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794" w:type="dxa"/>
            <w:tcBorders>
              <w:top w:val="single" w:sz="4" w:space="0" w:color="000000"/>
              <w:left w:val="single" w:sz="4" w:space="0" w:color="000000"/>
              <w:bottom w:val="single" w:sz="4" w:space="0" w:color="000000"/>
              <w:right w:val="single" w:sz="4" w:space="0" w:color="000000"/>
            </w:tcBorders>
          </w:tcPr>
          <w:p>
            <w:pPr/>
          </w:p>
        </w:tc>
        <w:tc>
          <w:tcPr>
            <w:tcW w:w="7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、国有法人持股</w:t>
            </w:r>
          </w:p>
        </w:tc>
        <w:tc>
          <w:tcPr>
            <w:tcW w:w="82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25" w:right="0"/>
              <w:jc w:val="left"/>
              <w:rPr>
                <w:rFonts w:ascii="Times New Roman" w:hAnsi="Times New Roman" w:cs="Times New Roman" w:eastAsia="Times New Roman" w:hint="default"/>
                <w:sz w:val="18"/>
                <w:szCs w:val="18"/>
              </w:rPr>
            </w:pPr>
            <w:r>
              <w:rPr>
                <w:rFonts w:ascii="Times New Roman"/>
                <w:sz w:val="18"/>
              </w:rPr>
              <w:t>0.00%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9" w:right="0"/>
              <w:jc w:val="left"/>
              <w:rPr>
                <w:rFonts w:ascii="Times New Roman" w:hAnsi="Times New Roman" w:cs="Times New Roman" w:eastAsia="Times New Roman" w:hint="default"/>
                <w:sz w:val="18"/>
                <w:szCs w:val="18"/>
              </w:rPr>
            </w:pPr>
            <w:r>
              <w:rPr>
                <w:rFonts w:ascii="Times New Roman"/>
                <w:sz w:val="18"/>
              </w:rPr>
              <w:t>1,415,625</w:t>
            </w: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5" w:right="0"/>
              <w:jc w:val="left"/>
              <w:rPr>
                <w:rFonts w:ascii="Times New Roman" w:hAnsi="Times New Roman" w:cs="Times New Roman" w:eastAsia="Times New Roman" w:hint="default"/>
                <w:sz w:val="18"/>
                <w:szCs w:val="18"/>
              </w:rPr>
            </w:pPr>
            <w:r>
              <w:rPr>
                <w:rFonts w:ascii="Times New Roman"/>
                <w:sz w:val="18"/>
              </w:rPr>
              <w:t>707,813</w:t>
            </w: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9" w:right="0"/>
              <w:jc w:val="left"/>
              <w:rPr>
                <w:rFonts w:ascii="Times New Roman" w:hAnsi="Times New Roman" w:cs="Times New Roman" w:eastAsia="Times New Roman" w:hint="default"/>
                <w:sz w:val="18"/>
                <w:szCs w:val="18"/>
              </w:rPr>
            </w:pPr>
            <w:r>
              <w:rPr>
                <w:rFonts w:ascii="Times New Roman"/>
                <w:sz w:val="18"/>
              </w:rPr>
              <w:t>2,123,438</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1" w:right="0"/>
              <w:jc w:val="left"/>
              <w:rPr>
                <w:rFonts w:ascii="Times New Roman" w:hAnsi="Times New Roman" w:cs="Times New Roman" w:eastAsia="Times New Roman" w:hint="default"/>
                <w:sz w:val="18"/>
                <w:szCs w:val="18"/>
              </w:rPr>
            </w:pPr>
            <w:r>
              <w:rPr>
                <w:rFonts w:ascii="Times New Roman"/>
                <w:sz w:val="18"/>
              </w:rPr>
              <w:t>2,123,438</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96" w:right="0"/>
              <w:jc w:val="left"/>
              <w:rPr>
                <w:rFonts w:ascii="Times New Roman" w:hAnsi="Times New Roman" w:cs="Times New Roman" w:eastAsia="Times New Roman" w:hint="default"/>
                <w:sz w:val="18"/>
                <w:szCs w:val="18"/>
              </w:rPr>
            </w:pPr>
            <w:r>
              <w:rPr>
                <w:rFonts w:ascii="Times New Roman"/>
                <w:sz w:val="18"/>
              </w:rPr>
              <w:t>0.35%</w:t>
            </w:r>
          </w:p>
        </w:tc>
      </w:tr>
      <w:tr>
        <w:trPr>
          <w:trHeight w:val="161" w:hRule="exact"/>
        </w:trPr>
        <w:tc>
          <w:tcPr>
            <w:tcW w:w="2216" w:type="dxa"/>
            <w:tcBorders>
              <w:top w:val="single" w:sz="4" w:space="0" w:color="000000"/>
              <w:left w:val="single" w:sz="4" w:space="0" w:color="000000"/>
              <w:bottom w:val="nil" w:sz="6" w:space="0" w:color="auto"/>
              <w:right w:val="single" w:sz="4" w:space="0" w:color="000000"/>
            </w:tcBorders>
            <w:shd w:val="clear" w:color="auto" w:fill="D2D2D2"/>
          </w:tcPr>
          <w:p>
            <w:pPr/>
          </w:p>
        </w:tc>
        <w:tc>
          <w:tcPr>
            <w:tcW w:w="823" w:type="dxa"/>
            <w:vMerge w:val="restart"/>
            <w:tcBorders>
              <w:top w:val="single" w:sz="4" w:space="0" w:color="000000"/>
              <w:left w:val="single" w:sz="10" w:space="0" w:color="D2D2D2"/>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160,133,3</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29</w:t>
            </w:r>
          </w:p>
        </w:tc>
        <w:tc>
          <w:tcPr>
            <w:tcW w:w="8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5" w:right="0"/>
              <w:jc w:val="left"/>
              <w:rPr>
                <w:rFonts w:ascii="Times New Roman" w:hAnsi="Times New Roman" w:cs="Times New Roman" w:eastAsia="Times New Roman" w:hint="default"/>
                <w:sz w:val="18"/>
                <w:szCs w:val="18"/>
              </w:rPr>
            </w:pPr>
            <w:r>
              <w:rPr>
                <w:rFonts w:ascii="Times New Roman"/>
                <w:sz w:val="18"/>
              </w:rPr>
              <w:t>40.19%</w:t>
            </w: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9" w:right="0"/>
              <w:jc w:val="left"/>
              <w:rPr>
                <w:rFonts w:ascii="Times New Roman" w:hAnsi="Times New Roman" w:cs="Times New Roman" w:eastAsia="Times New Roman" w:hint="default"/>
                <w:sz w:val="18"/>
                <w:szCs w:val="18"/>
              </w:rPr>
            </w:pPr>
            <w:r>
              <w:rPr>
                <w:rFonts w:ascii="Times New Roman"/>
                <w:sz w:val="18"/>
              </w:rPr>
              <w:t>9,512,936</w:t>
            </w:r>
          </w:p>
        </w:tc>
        <w:tc>
          <w:tcPr>
            <w:tcW w:w="822" w:type="dxa"/>
            <w:vMerge w:val="restart"/>
            <w:tcBorders>
              <w:top w:val="single" w:sz="4" w:space="0" w:color="000000"/>
              <w:left w:val="single" w:sz="4" w:space="0" w:color="000000"/>
              <w:right w:val="single" w:sz="4" w:space="0" w:color="000000"/>
            </w:tcBorders>
          </w:tcPr>
          <w:p>
            <w:pP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16,453,86</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w:t>
            </w: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58,716,63</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w:t>
            </w: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84,683,43</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8</w:t>
            </w: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244,816,7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67</w:t>
            </w: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06" w:right="0"/>
              <w:jc w:val="left"/>
              <w:rPr>
                <w:rFonts w:ascii="Times New Roman" w:hAnsi="Times New Roman" w:cs="Times New Roman" w:eastAsia="Times New Roman" w:hint="default"/>
                <w:sz w:val="18"/>
                <w:szCs w:val="18"/>
              </w:rPr>
            </w:pPr>
            <w:r>
              <w:rPr>
                <w:rFonts w:ascii="Times New Roman"/>
                <w:sz w:val="18"/>
              </w:rPr>
              <w:t>40.04%</w:t>
            </w:r>
          </w:p>
        </w:tc>
      </w:tr>
      <w:tr>
        <w:trPr>
          <w:trHeight w:val="392" w:hRule="exact"/>
        </w:trPr>
        <w:tc>
          <w:tcPr>
            <w:tcW w:w="221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w:t>
            </w:r>
          </w:p>
        </w:tc>
        <w:tc>
          <w:tcPr>
            <w:tcW w:w="823" w:type="dxa"/>
            <w:vMerge/>
            <w:tcBorders>
              <w:left w:val="single" w:sz="10" w:space="0" w:color="D2D2D2"/>
              <w:right w:val="single" w:sz="4" w:space="0" w:color="000000"/>
            </w:tcBorders>
          </w:tcPr>
          <w:p>
            <w:pPr/>
          </w:p>
        </w:tc>
        <w:tc>
          <w:tcPr>
            <w:tcW w:w="824"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r>
      <w:tr>
        <w:trPr>
          <w:trHeight w:val="161" w:hRule="exact"/>
        </w:trPr>
        <w:tc>
          <w:tcPr>
            <w:tcW w:w="2216" w:type="dxa"/>
            <w:tcBorders>
              <w:top w:val="nil" w:sz="6" w:space="0" w:color="auto"/>
              <w:left w:val="single" w:sz="4" w:space="0" w:color="000000"/>
              <w:bottom w:val="single" w:sz="4" w:space="0" w:color="000000"/>
              <w:right w:val="single" w:sz="4" w:space="0" w:color="000000"/>
            </w:tcBorders>
            <w:shd w:val="clear" w:color="auto" w:fill="D2D2D2"/>
          </w:tcPr>
          <w:p>
            <w:pPr/>
          </w:p>
        </w:tc>
        <w:tc>
          <w:tcPr>
            <w:tcW w:w="823" w:type="dxa"/>
            <w:vMerge/>
            <w:tcBorders>
              <w:left w:val="single" w:sz="10" w:space="0" w:color="D2D2D2"/>
              <w:bottom w:val="single" w:sz="4" w:space="0" w:color="000000"/>
              <w:right w:val="single" w:sz="4" w:space="0" w:color="000000"/>
            </w:tcBorders>
          </w:tcPr>
          <w:p>
            <w:pPr/>
          </w:p>
        </w:tc>
        <w:tc>
          <w:tcPr>
            <w:tcW w:w="824"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r>
      <w:tr>
        <w:trPr>
          <w:trHeight w:val="161" w:hRule="exact"/>
        </w:trPr>
        <w:tc>
          <w:tcPr>
            <w:tcW w:w="2216" w:type="dxa"/>
            <w:tcBorders>
              <w:top w:val="single" w:sz="4" w:space="0" w:color="000000"/>
              <w:left w:val="single" w:sz="4" w:space="0" w:color="000000"/>
              <w:bottom w:val="nil" w:sz="6" w:space="0" w:color="auto"/>
              <w:right w:val="single" w:sz="4" w:space="0" w:color="000000"/>
            </w:tcBorders>
            <w:shd w:val="clear" w:color="auto" w:fill="D2D2D2"/>
          </w:tcPr>
          <w:p>
            <w:pPr/>
          </w:p>
        </w:tc>
        <w:tc>
          <w:tcPr>
            <w:tcW w:w="823" w:type="dxa"/>
            <w:vMerge w:val="restart"/>
            <w:tcBorders>
              <w:top w:val="single" w:sz="4" w:space="0" w:color="000000"/>
              <w:left w:val="single" w:sz="10" w:space="0" w:color="D2D2D2"/>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2" w:right="0"/>
              <w:jc w:val="left"/>
              <w:rPr>
                <w:rFonts w:ascii="Times New Roman" w:hAnsi="Times New Roman" w:cs="Times New Roman" w:eastAsia="Times New Roman" w:hint="default"/>
                <w:sz w:val="18"/>
                <w:szCs w:val="18"/>
              </w:rPr>
            </w:pPr>
            <w:r>
              <w:rPr>
                <w:rFonts w:ascii="Times New Roman"/>
                <w:sz w:val="18"/>
              </w:rPr>
              <w:t>3,168,000</w:t>
            </w:r>
          </w:p>
        </w:tc>
        <w:tc>
          <w:tcPr>
            <w:tcW w:w="8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25" w:right="0"/>
              <w:jc w:val="left"/>
              <w:rPr>
                <w:rFonts w:ascii="Times New Roman" w:hAnsi="Times New Roman" w:cs="Times New Roman" w:eastAsia="Times New Roman" w:hint="default"/>
                <w:sz w:val="18"/>
                <w:szCs w:val="18"/>
              </w:rPr>
            </w:pPr>
            <w:r>
              <w:rPr>
                <w:rFonts w:ascii="Times New Roman"/>
                <w:sz w:val="18"/>
              </w:rPr>
              <w:t>0.80%</w:t>
            </w: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9" w:right="0"/>
              <w:jc w:val="left"/>
              <w:rPr>
                <w:rFonts w:ascii="Times New Roman" w:hAnsi="Times New Roman" w:cs="Times New Roman" w:eastAsia="Times New Roman" w:hint="default"/>
                <w:sz w:val="18"/>
                <w:szCs w:val="18"/>
              </w:rPr>
            </w:pPr>
            <w:r>
              <w:rPr>
                <w:rFonts w:ascii="Times New Roman"/>
                <w:sz w:val="18"/>
              </w:rPr>
              <w:t>6,468,797</w:t>
            </w:r>
          </w:p>
        </w:tc>
        <w:tc>
          <w:tcPr>
            <w:tcW w:w="822" w:type="dxa"/>
            <w:vMerge w:val="restart"/>
            <w:tcBorders>
              <w:top w:val="single" w:sz="4" w:space="0" w:color="000000"/>
              <w:left w:val="single" w:sz="4" w:space="0" w:color="000000"/>
              <w:right w:val="single" w:sz="4" w:space="0" w:color="000000"/>
            </w:tcBorders>
          </w:tcPr>
          <w:p>
            <w:pP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9" w:right="0"/>
              <w:jc w:val="left"/>
              <w:rPr>
                <w:rFonts w:ascii="Times New Roman" w:hAnsi="Times New Roman" w:cs="Times New Roman" w:eastAsia="Times New Roman" w:hint="default"/>
                <w:sz w:val="18"/>
                <w:szCs w:val="18"/>
              </w:rPr>
            </w:pPr>
            <w:r>
              <w:rPr>
                <w:rFonts w:ascii="Times New Roman"/>
                <w:sz w:val="18"/>
              </w:rPr>
              <w:t>4,818,397</w:t>
            </w:r>
          </w:p>
        </w:tc>
        <w:tc>
          <w:tcPr>
            <w:tcW w:w="822" w:type="dxa"/>
            <w:vMerge w:val="restart"/>
            <w:tcBorders>
              <w:top w:val="single" w:sz="4" w:space="0" w:color="000000"/>
              <w:left w:val="single" w:sz="4" w:space="0" w:color="000000"/>
              <w:right w:val="single" w:sz="4" w:space="0" w:color="000000"/>
            </w:tcBorders>
          </w:tcPr>
          <w:p>
            <w:pP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11,287,19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4</w:t>
            </w: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14,455,19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4</w:t>
            </w: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96" w:right="0"/>
              <w:jc w:val="left"/>
              <w:rPr>
                <w:rFonts w:ascii="Times New Roman" w:hAnsi="Times New Roman" w:cs="Times New Roman" w:eastAsia="Times New Roman" w:hint="default"/>
                <w:sz w:val="18"/>
                <w:szCs w:val="18"/>
              </w:rPr>
            </w:pPr>
            <w:r>
              <w:rPr>
                <w:rFonts w:ascii="Times New Roman"/>
                <w:sz w:val="18"/>
              </w:rPr>
              <w:t>2.36%</w:t>
            </w:r>
          </w:p>
        </w:tc>
      </w:tr>
      <w:tr>
        <w:trPr>
          <w:trHeight w:val="392" w:hRule="exact"/>
        </w:trPr>
        <w:tc>
          <w:tcPr>
            <w:tcW w:w="221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其中：境内法人持股</w:t>
            </w:r>
          </w:p>
        </w:tc>
        <w:tc>
          <w:tcPr>
            <w:tcW w:w="823" w:type="dxa"/>
            <w:vMerge/>
            <w:tcBorders>
              <w:left w:val="single" w:sz="10" w:space="0" w:color="D2D2D2"/>
              <w:right w:val="single" w:sz="4" w:space="0" w:color="000000"/>
            </w:tcBorders>
          </w:tcPr>
          <w:p>
            <w:pPr/>
          </w:p>
        </w:tc>
        <w:tc>
          <w:tcPr>
            <w:tcW w:w="824"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r>
      <w:tr>
        <w:trPr>
          <w:trHeight w:val="161" w:hRule="exact"/>
        </w:trPr>
        <w:tc>
          <w:tcPr>
            <w:tcW w:w="2216" w:type="dxa"/>
            <w:tcBorders>
              <w:top w:val="nil" w:sz="6" w:space="0" w:color="auto"/>
              <w:left w:val="single" w:sz="4" w:space="0" w:color="000000"/>
              <w:bottom w:val="single" w:sz="4" w:space="0" w:color="000000"/>
              <w:right w:val="single" w:sz="4" w:space="0" w:color="000000"/>
            </w:tcBorders>
            <w:shd w:val="clear" w:color="auto" w:fill="D2D2D2"/>
          </w:tcPr>
          <w:p>
            <w:pPr/>
          </w:p>
        </w:tc>
        <w:tc>
          <w:tcPr>
            <w:tcW w:w="823" w:type="dxa"/>
            <w:vMerge/>
            <w:tcBorders>
              <w:left w:val="single" w:sz="10" w:space="0" w:color="D2D2D2"/>
              <w:bottom w:val="single" w:sz="4" w:space="0" w:color="000000"/>
              <w:right w:val="single" w:sz="4" w:space="0" w:color="000000"/>
            </w:tcBorders>
          </w:tcPr>
          <w:p>
            <w:pPr/>
          </w:p>
        </w:tc>
        <w:tc>
          <w:tcPr>
            <w:tcW w:w="824"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r>
      <w:tr>
        <w:trPr>
          <w:trHeight w:val="161" w:hRule="exact"/>
        </w:trPr>
        <w:tc>
          <w:tcPr>
            <w:tcW w:w="2216" w:type="dxa"/>
            <w:tcBorders>
              <w:top w:val="single" w:sz="4" w:space="0" w:color="000000"/>
              <w:left w:val="single" w:sz="4" w:space="0" w:color="000000"/>
              <w:bottom w:val="nil" w:sz="6" w:space="0" w:color="auto"/>
              <w:right w:val="single" w:sz="4" w:space="0" w:color="000000"/>
            </w:tcBorders>
            <w:shd w:val="clear" w:color="auto" w:fill="D2D2D2"/>
          </w:tcPr>
          <w:p>
            <w:pPr/>
          </w:p>
        </w:tc>
        <w:tc>
          <w:tcPr>
            <w:tcW w:w="823" w:type="dxa"/>
            <w:vMerge w:val="restart"/>
            <w:tcBorders>
              <w:top w:val="single" w:sz="4" w:space="0" w:color="000000"/>
              <w:left w:val="single" w:sz="10" w:space="0" w:color="D2D2D2"/>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156,965,3</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29</w:t>
            </w:r>
          </w:p>
        </w:tc>
        <w:tc>
          <w:tcPr>
            <w:tcW w:w="8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5" w:right="0"/>
              <w:jc w:val="left"/>
              <w:rPr>
                <w:rFonts w:ascii="Times New Roman" w:hAnsi="Times New Roman" w:cs="Times New Roman" w:eastAsia="Times New Roman" w:hint="default"/>
                <w:sz w:val="18"/>
                <w:szCs w:val="18"/>
              </w:rPr>
            </w:pPr>
            <w:r>
              <w:rPr>
                <w:rFonts w:ascii="Times New Roman"/>
                <w:sz w:val="18"/>
              </w:rPr>
              <w:t>39.39%</w:t>
            </w: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9" w:right="0"/>
              <w:jc w:val="left"/>
              <w:rPr>
                <w:rFonts w:ascii="Times New Roman" w:hAnsi="Times New Roman" w:cs="Times New Roman" w:eastAsia="Times New Roman" w:hint="default"/>
                <w:sz w:val="18"/>
                <w:szCs w:val="18"/>
              </w:rPr>
            </w:pPr>
            <w:r>
              <w:rPr>
                <w:rFonts w:ascii="Times New Roman"/>
                <w:sz w:val="18"/>
              </w:rPr>
              <w:t>3,044,139</w:t>
            </w:r>
          </w:p>
        </w:tc>
        <w:tc>
          <w:tcPr>
            <w:tcW w:w="822" w:type="dxa"/>
            <w:vMerge w:val="restart"/>
            <w:tcBorders>
              <w:top w:val="single" w:sz="4" w:space="0" w:color="000000"/>
              <w:left w:val="single" w:sz="4" w:space="0" w:color="000000"/>
              <w:right w:val="single" w:sz="4" w:space="0" w:color="000000"/>
            </w:tcBorders>
          </w:tcPr>
          <w:p>
            <w:pP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11,635,47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58,716,63</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w:t>
            </w: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73,396,24</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4</w:t>
            </w: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230,361,5</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73</w:t>
            </w: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06" w:right="0"/>
              <w:jc w:val="left"/>
              <w:rPr>
                <w:rFonts w:ascii="Times New Roman" w:hAnsi="Times New Roman" w:cs="Times New Roman" w:eastAsia="Times New Roman" w:hint="default"/>
                <w:sz w:val="18"/>
                <w:szCs w:val="18"/>
              </w:rPr>
            </w:pPr>
            <w:r>
              <w:rPr>
                <w:rFonts w:ascii="Times New Roman"/>
                <w:sz w:val="18"/>
              </w:rPr>
              <w:t>37.68%</w:t>
            </w:r>
          </w:p>
        </w:tc>
      </w:tr>
      <w:tr>
        <w:trPr>
          <w:trHeight w:val="392" w:hRule="exact"/>
        </w:trPr>
        <w:tc>
          <w:tcPr>
            <w:tcW w:w="221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392"/>
              <w:jc w:val="right"/>
              <w:rPr>
                <w:rFonts w:ascii="宋体" w:hAnsi="宋体" w:cs="宋体" w:eastAsia="宋体" w:hint="default"/>
                <w:sz w:val="18"/>
                <w:szCs w:val="18"/>
              </w:rPr>
            </w:pPr>
            <w:r>
              <w:rPr>
                <w:rFonts w:ascii="宋体" w:hAnsi="宋体" w:cs="宋体" w:eastAsia="宋体" w:hint="default"/>
                <w:sz w:val="18"/>
                <w:szCs w:val="18"/>
              </w:rPr>
              <w:t>境内自然人持股</w:t>
            </w:r>
          </w:p>
        </w:tc>
        <w:tc>
          <w:tcPr>
            <w:tcW w:w="823" w:type="dxa"/>
            <w:vMerge/>
            <w:tcBorders>
              <w:left w:val="single" w:sz="10" w:space="0" w:color="D2D2D2"/>
              <w:right w:val="single" w:sz="4" w:space="0" w:color="000000"/>
            </w:tcBorders>
          </w:tcPr>
          <w:p>
            <w:pPr/>
          </w:p>
        </w:tc>
        <w:tc>
          <w:tcPr>
            <w:tcW w:w="824"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r>
      <w:tr>
        <w:trPr>
          <w:trHeight w:val="161" w:hRule="exact"/>
        </w:trPr>
        <w:tc>
          <w:tcPr>
            <w:tcW w:w="2216" w:type="dxa"/>
            <w:tcBorders>
              <w:top w:val="nil" w:sz="6" w:space="0" w:color="auto"/>
              <w:left w:val="single" w:sz="4" w:space="0" w:color="000000"/>
              <w:bottom w:val="single" w:sz="4" w:space="0" w:color="000000"/>
              <w:right w:val="single" w:sz="4" w:space="0" w:color="000000"/>
            </w:tcBorders>
            <w:shd w:val="clear" w:color="auto" w:fill="D2D2D2"/>
          </w:tcPr>
          <w:p>
            <w:pPr/>
          </w:p>
        </w:tc>
        <w:tc>
          <w:tcPr>
            <w:tcW w:w="823" w:type="dxa"/>
            <w:vMerge/>
            <w:tcBorders>
              <w:left w:val="single" w:sz="10" w:space="0" w:color="D2D2D2"/>
              <w:bottom w:val="single" w:sz="4" w:space="0" w:color="000000"/>
              <w:right w:val="single" w:sz="4" w:space="0" w:color="000000"/>
            </w:tcBorders>
          </w:tcPr>
          <w:p>
            <w:pPr/>
          </w:p>
        </w:tc>
        <w:tc>
          <w:tcPr>
            <w:tcW w:w="824"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r>
      <w:tr>
        <w:trPr>
          <w:trHeight w:val="402" w:hRule="exact"/>
        </w:trPr>
        <w:tc>
          <w:tcPr>
            <w:tcW w:w="22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、外资持股</w:t>
            </w:r>
          </w:p>
        </w:tc>
        <w:tc>
          <w:tcPr>
            <w:tcW w:w="823" w:type="dxa"/>
            <w:tcBorders>
              <w:top w:val="single" w:sz="4" w:space="0" w:color="000000"/>
              <w:left w:val="single" w:sz="13" w:space="0" w:color="D2D2D2"/>
              <w:bottom w:val="single" w:sz="4" w:space="0" w:color="000000"/>
              <w:right w:val="single" w:sz="4" w:space="0" w:color="000000"/>
            </w:tcBorders>
          </w:tcPr>
          <w:p>
            <w:pPr/>
          </w:p>
        </w:tc>
        <w:tc>
          <w:tcPr>
            <w:tcW w:w="824"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794" w:type="dxa"/>
            <w:tcBorders>
              <w:top w:val="single" w:sz="4" w:space="0" w:color="000000"/>
              <w:left w:val="single" w:sz="4" w:space="0" w:color="000000"/>
              <w:bottom w:val="single" w:sz="4" w:space="0" w:color="000000"/>
              <w:right w:val="single" w:sz="4" w:space="0" w:color="000000"/>
            </w:tcBorders>
          </w:tcPr>
          <w:p>
            <w:pPr/>
          </w:p>
        </w:tc>
        <w:tc>
          <w:tcPr>
            <w:tcW w:w="7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其中：境外法人持股</w:t>
            </w:r>
          </w:p>
        </w:tc>
        <w:tc>
          <w:tcPr>
            <w:tcW w:w="823" w:type="dxa"/>
            <w:tcBorders>
              <w:top w:val="single" w:sz="4" w:space="0" w:color="000000"/>
              <w:left w:val="single" w:sz="13" w:space="0" w:color="D2D2D2"/>
              <w:bottom w:val="single" w:sz="4" w:space="0" w:color="000000"/>
              <w:right w:val="single" w:sz="4" w:space="0" w:color="000000"/>
            </w:tcBorders>
          </w:tcPr>
          <w:p>
            <w:pPr/>
          </w:p>
        </w:tc>
        <w:tc>
          <w:tcPr>
            <w:tcW w:w="824"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794" w:type="dxa"/>
            <w:tcBorders>
              <w:top w:val="single" w:sz="4" w:space="0" w:color="000000"/>
              <w:left w:val="single" w:sz="4" w:space="0" w:color="000000"/>
              <w:bottom w:val="single" w:sz="4" w:space="0" w:color="000000"/>
              <w:right w:val="single" w:sz="4" w:space="0" w:color="000000"/>
            </w:tcBorders>
          </w:tcPr>
          <w:p>
            <w:pPr/>
          </w:p>
        </w:tc>
        <w:tc>
          <w:tcPr>
            <w:tcW w:w="7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392"/>
              <w:jc w:val="right"/>
              <w:rPr>
                <w:rFonts w:ascii="宋体" w:hAnsi="宋体" w:cs="宋体" w:eastAsia="宋体" w:hint="default"/>
                <w:sz w:val="18"/>
                <w:szCs w:val="18"/>
              </w:rPr>
            </w:pPr>
            <w:r>
              <w:rPr>
                <w:rFonts w:ascii="宋体" w:hAnsi="宋体" w:cs="宋体" w:eastAsia="宋体" w:hint="default"/>
                <w:sz w:val="18"/>
                <w:szCs w:val="18"/>
              </w:rPr>
              <w:t>境外自然人持股</w:t>
            </w:r>
          </w:p>
        </w:tc>
        <w:tc>
          <w:tcPr>
            <w:tcW w:w="823" w:type="dxa"/>
            <w:tcBorders>
              <w:top w:val="single" w:sz="4" w:space="0" w:color="000000"/>
              <w:left w:val="single" w:sz="13" w:space="0" w:color="D2D2D2"/>
              <w:bottom w:val="single" w:sz="4" w:space="0" w:color="000000"/>
              <w:right w:val="single" w:sz="4" w:space="0" w:color="000000"/>
            </w:tcBorders>
          </w:tcPr>
          <w:p>
            <w:pPr/>
          </w:p>
        </w:tc>
        <w:tc>
          <w:tcPr>
            <w:tcW w:w="824"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794" w:type="dxa"/>
            <w:tcBorders>
              <w:top w:val="single" w:sz="4" w:space="0" w:color="000000"/>
              <w:left w:val="single" w:sz="4" w:space="0" w:color="000000"/>
              <w:bottom w:val="single" w:sz="4" w:space="0" w:color="000000"/>
              <w:right w:val="single" w:sz="4" w:space="0" w:color="000000"/>
            </w:tcBorders>
          </w:tcPr>
          <w:p>
            <w:pPr/>
          </w:p>
        </w:tc>
        <w:tc>
          <w:tcPr>
            <w:tcW w:w="794" w:type="dxa"/>
            <w:tcBorders>
              <w:top w:val="single" w:sz="4" w:space="0" w:color="000000"/>
              <w:left w:val="single" w:sz="4" w:space="0" w:color="000000"/>
              <w:bottom w:val="single" w:sz="4" w:space="0" w:color="000000"/>
              <w:right w:val="single" w:sz="4" w:space="0" w:color="000000"/>
            </w:tcBorders>
          </w:tcPr>
          <w:p>
            <w:pPr/>
          </w:p>
        </w:tc>
      </w:tr>
      <w:tr>
        <w:trPr>
          <w:trHeight w:val="161" w:hRule="exact"/>
        </w:trPr>
        <w:tc>
          <w:tcPr>
            <w:tcW w:w="2216" w:type="dxa"/>
            <w:tcBorders>
              <w:top w:val="single" w:sz="4" w:space="0" w:color="000000"/>
              <w:left w:val="single" w:sz="4" w:space="0" w:color="000000"/>
              <w:bottom w:val="nil" w:sz="6" w:space="0" w:color="auto"/>
              <w:right w:val="single" w:sz="4" w:space="0" w:color="000000"/>
            </w:tcBorders>
            <w:shd w:val="clear" w:color="auto" w:fill="D2D2D2"/>
          </w:tcPr>
          <w:p>
            <w:pPr/>
          </w:p>
        </w:tc>
        <w:tc>
          <w:tcPr>
            <w:tcW w:w="823" w:type="dxa"/>
            <w:vMerge w:val="restart"/>
            <w:tcBorders>
              <w:top w:val="single" w:sz="4" w:space="0" w:color="000000"/>
              <w:left w:val="single" w:sz="10" w:space="0" w:color="D2D2D2"/>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238,297,6</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17</w:t>
            </w:r>
          </w:p>
        </w:tc>
        <w:tc>
          <w:tcPr>
            <w:tcW w:w="8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5" w:right="0"/>
              <w:jc w:val="left"/>
              <w:rPr>
                <w:rFonts w:ascii="Times New Roman" w:hAnsi="Times New Roman" w:cs="Times New Roman" w:eastAsia="Times New Roman" w:hint="default"/>
                <w:sz w:val="18"/>
                <w:szCs w:val="18"/>
              </w:rPr>
            </w:pPr>
            <w:r>
              <w:rPr>
                <w:rFonts w:ascii="Times New Roman"/>
                <w:sz w:val="18"/>
              </w:rPr>
              <w:t>59.81%</w:t>
            </w:r>
          </w:p>
        </w:tc>
        <w:tc>
          <w:tcPr>
            <w:tcW w:w="822" w:type="dxa"/>
            <w:vMerge w:val="restart"/>
            <w:tcBorders>
              <w:top w:val="single" w:sz="4" w:space="0" w:color="000000"/>
              <w:left w:val="single" w:sz="4" w:space="0" w:color="000000"/>
              <w:right w:val="single" w:sz="4" w:space="0" w:color="000000"/>
            </w:tcBorders>
          </w:tcPr>
          <w:p>
            <w:pPr/>
          </w:p>
        </w:tc>
        <w:tc>
          <w:tcPr>
            <w:tcW w:w="822" w:type="dxa"/>
            <w:vMerge w:val="restart"/>
            <w:tcBorders>
              <w:top w:val="single" w:sz="4" w:space="0" w:color="000000"/>
              <w:left w:val="single" w:sz="4" w:space="0" w:color="000000"/>
              <w:right w:val="single" w:sz="4" w:space="0" w:color="000000"/>
            </w:tcBorders>
          </w:tcPr>
          <w:p>
            <w:pP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186,633,5</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98</w:t>
            </w: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-60,485,5</w:t>
            </w:r>
            <w:r>
              <w:rPr>
                <w:rFonts w:ascii="Times New Roman"/>
                <w:sz w:val="18"/>
              </w:rPr>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86</w:t>
            </w: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126,148,0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12</w:t>
            </w: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364,445,6</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29</w:t>
            </w: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06" w:right="0"/>
              <w:jc w:val="left"/>
              <w:rPr>
                <w:rFonts w:ascii="Times New Roman" w:hAnsi="Times New Roman" w:cs="Times New Roman" w:eastAsia="Times New Roman" w:hint="default"/>
                <w:sz w:val="18"/>
                <w:szCs w:val="18"/>
              </w:rPr>
            </w:pPr>
            <w:r>
              <w:rPr>
                <w:rFonts w:ascii="Times New Roman"/>
                <w:sz w:val="18"/>
              </w:rPr>
              <w:t>59.61%</w:t>
            </w:r>
          </w:p>
        </w:tc>
      </w:tr>
      <w:tr>
        <w:trPr>
          <w:trHeight w:val="392" w:hRule="exact"/>
        </w:trPr>
        <w:tc>
          <w:tcPr>
            <w:tcW w:w="221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二、无限售条件股份</w:t>
            </w:r>
          </w:p>
        </w:tc>
        <w:tc>
          <w:tcPr>
            <w:tcW w:w="823" w:type="dxa"/>
            <w:vMerge/>
            <w:tcBorders>
              <w:left w:val="single" w:sz="10" w:space="0" w:color="D2D2D2"/>
              <w:right w:val="single" w:sz="4" w:space="0" w:color="000000"/>
            </w:tcBorders>
          </w:tcPr>
          <w:p>
            <w:pPr/>
          </w:p>
        </w:tc>
        <w:tc>
          <w:tcPr>
            <w:tcW w:w="824"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r>
      <w:tr>
        <w:trPr>
          <w:trHeight w:val="161" w:hRule="exact"/>
        </w:trPr>
        <w:tc>
          <w:tcPr>
            <w:tcW w:w="2216" w:type="dxa"/>
            <w:tcBorders>
              <w:top w:val="nil" w:sz="6" w:space="0" w:color="auto"/>
              <w:left w:val="single" w:sz="4" w:space="0" w:color="000000"/>
              <w:bottom w:val="single" w:sz="4" w:space="0" w:color="000000"/>
              <w:right w:val="single" w:sz="4" w:space="0" w:color="000000"/>
            </w:tcBorders>
            <w:shd w:val="clear" w:color="auto" w:fill="D2D2D2"/>
          </w:tcPr>
          <w:p>
            <w:pPr/>
          </w:p>
        </w:tc>
        <w:tc>
          <w:tcPr>
            <w:tcW w:w="823" w:type="dxa"/>
            <w:vMerge/>
            <w:tcBorders>
              <w:left w:val="single" w:sz="10" w:space="0" w:color="D2D2D2"/>
              <w:bottom w:val="single" w:sz="4" w:space="0" w:color="000000"/>
              <w:right w:val="single" w:sz="4" w:space="0" w:color="000000"/>
            </w:tcBorders>
          </w:tcPr>
          <w:p>
            <w:pPr/>
          </w:p>
        </w:tc>
        <w:tc>
          <w:tcPr>
            <w:tcW w:w="824"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r>
      <w:tr>
        <w:trPr>
          <w:trHeight w:val="161" w:hRule="exact"/>
        </w:trPr>
        <w:tc>
          <w:tcPr>
            <w:tcW w:w="2216" w:type="dxa"/>
            <w:tcBorders>
              <w:top w:val="single" w:sz="4" w:space="0" w:color="000000"/>
              <w:left w:val="single" w:sz="4" w:space="0" w:color="000000"/>
              <w:bottom w:val="nil" w:sz="6" w:space="0" w:color="auto"/>
              <w:right w:val="single" w:sz="4" w:space="0" w:color="000000"/>
            </w:tcBorders>
            <w:shd w:val="clear" w:color="auto" w:fill="D2D2D2"/>
          </w:tcPr>
          <w:p>
            <w:pPr/>
          </w:p>
        </w:tc>
        <w:tc>
          <w:tcPr>
            <w:tcW w:w="823" w:type="dxa"/>
            <w:vMerge w:val="restart"/>
            <w:tcBorders>
              <w:top w:val="single" w:sz="4" w:space="0" w:color="000000"/>
              <w:left w:val="single" w:sz="10" w:space="0" w:color="D2D2D2"/>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238,297,6</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17</w:t>
            </w:r>
          </w:p>
        </w:tc>
        <w:tc>
          <w:tcPr>
            <w:tcW w:w="8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5" w:right="0"/>
              <w:jc w:val="left"/>
              <w:rPr>
                <w:rFonts w:ascii="Times New Roman" w:hAnsi="Times New Roman" w:cs="Times New Roman" w:eastAsia="Times New Roman" w:hint="default"/>
                <w:sz w:val="18"/>
                <w:szCs w:val="18"/>
              </w:rPr>
            </w:pPr>
            <w:r>
              <w:rPr>
                <w:rFonts w:ascii="Times New Roman"/>
                <w:sz w:val="18"/>
              </w:rPr>
              <w:t>59.81%</w:t>
            </w:r>
          </w:p>
        </w:tc>
        <w:tc>
          <w:tcPr>
            <w:tcW w:w="822" w:type="dxa"/>
            <w:vMerge w:val="restart"/>
            <w:tcBorders>
              <w:top w:val="single" w:sz="4" w:space="0" w:color="000000"/>
              <w:left w:val="single" w:sz="4" w:space="0" w:color="000000"/>
              <w:right w:val="single" w:sz="4" w:space="0" w:color="000000"/>
            </w:tcBorders>
          </w:tcPr>
          <w:p>
            <w:pPr/>
          </w:p>
        </w:tc>
        <w:tc>
          <w:tcPr>
            <w:tcW w:w="822" w:type="dxa"/>
            <w:vMerge w:val="restart"/>
            <w:tcBorders>
              <w:top w:val="single" w:sz="4" w:space="0" w:color="000000"/>
              <w:left w:val="single" w:sz="4" w:space="0" w:color="000000"/>
              <w:right w:val="single" w:sz="4" w:space="0" w:color="000000"/>
            </w:tcBorders>
          </w:tcPr>
          <w:p>
            <w:pP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186,633,5</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98</w:t>
            </w: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-60,485,5</w:t>
            </w:r>
            <w:r>
              <w:rPr>
                <w:rFonts w:ascii="Times New Roman"/>
                <w:sz w:val="18"/>
              </w:rPr>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86</w:t>
            </w: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126,148,0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12</w:t>
            </w: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364,445,6</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29</w:t>
            </w: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06" w:right="0"/>
              <w:jc w:val="left"/>
              <w:rPr>
                <w:rFonts w:ascii="Times New Roman" w:hAnsi="Times New Roman" w:cs="Times New Roman" w:eastAsia="Times New Roman" w:hint="default"/>
                <w:sz w:val="18"/>
                <w:szCs w:val="18"/>
              </w:rPr>
            </w:pPr>
            <w:r>
              <w:rPr>
                <w:rFonts w:ascii="Times New Roman"/>
                <w:sz w:val="18"/>
              </w:rPr>
              <w:t>59.61%</w:t>
            </w:r>
          </w:p>
        </w:tc>
      </w:tr>
      <w:tr>
        <w:trPr>
          <w:trHeight w:val="392" w:hRule="exact"/>
        </w:trPr>
        <w:tc>
          <w:tcPr>
            <w:tcW w:w="221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823" w:type="dxa"/>
            <w:vMerge/>
            <w:tcBorders>
              <w:left w:val="single" w:sz="10" w:space="0" w:color="D2D2D2"/>
              <w:right w:val="single" w:sz="4" w:space="0" w:color="000000"/>
            </w:tcBorders>
          </w:tcPr>
          <w:p>
            <w:pPr/>
          </w:p>
        </w:tc>
        <w:tc>
          <w:tcPr>
            <w:tcW w:w="824"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r>
      <w:tr>
        <w:trPr>
          <w:trHeight w:val="161" w:hRule="exact"/>
        </w:trPr>
        <w:tc>
          <w:tcPr>
            <w:tcW w:w="2216" w:type="dxa"/>
            <w:tcBorders>
              <w:top w:val="nil" w:sz="6" w:space="0" w:color="auto"/>
              <w:left w:val="single" w:sz="4" w:space="0" w:color="000000"/>
              <w:bottom w:val="single" w:sz="4" w:space="0" w:color="000000"/>
              <w:right w:val="single" w:sz="4" w:space="0" w:color="000000"/>
            </w:tcBorders>
            <w:shd w:val="clear" w:color="auto" w:fill="D2D2D2"/>
          </w:tcPr>
          <w:p>
            <w:pPr/>
          </w:p>
        </w:tc>
        <w:tc>
          <w:tcPr>
            <w:tcW w:w="823" w:type="dxa"/>
            <w:vMerge/>
            <w:tcBorders>
              <w:left w:val="single" w:sz="10" w:space="0" w:color="D2D2D2"/>
              <w:bottom w:val="single" w:sz="4" w:space="0" w:color="000000"/>
              <w:right w:val="single" w:sz="4" w:space="0" w:color="000000"/>
            </w:tcBorders>
          </w:tcPr>
          <w:p>
            <w:pPr/>
          </w:p>
        </w:tc>
        <w:tc>
          <w:tcPr>
            <w:tcW w:w="824"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r>
      <w:tr>
        <w:trPr>
          <w:trHeight w:val="402" w:hRule="exact"/>
        </w:trPr>
        <w:tc>
          <w:tcPr>
            <w:tcW w:w="22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、境内上市的外资股</w:t>
            </w:r>
          </w:p>
        </w:tc>
        <w:tc>
          <w:tcPr>
            <w:tcW w:w="823" w:type="dxa"/>
            <w:tcBorders>
              <w:top w:val="single" w:sz="4" w:space="0" w:color="000000"/>
              <w:left w:val="single" w:sz="13" w:space="0" w:color="D2D2D2"/>
              <w:bottom w:val="single" w:sz="4" w:space="0" w:color="000000"/>
              <w:right w:val="single" w:sz="4" w:space="0" w:color="000000"/>
            </w:tcBorders>
          </w:tcPr>
          <w:p>
            <w:pPr/>
          </w:p>
        </w:tc>
        <w:tc>
          <w:tcPr>
            <w:tcW w:w="824"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794" w:type="dxa"/>
            <w:tcBorders>
              <w:top w:val="single" w:sz="4" w:space="0" w:color="000000"/>
              <w:left w:val="single" w:sz="4" w:space="0" w:color="000000"/>
              <w:bottom w:val="single" w:sz="4" w:space="0" w:color="000000"/>
              <w:right w:val="single" w:sz="4" w:space="0" w:color="000000"/>
            </w:tcBorders>
          </w:tcPr>
          <w:p>
            <w:pPr/>
          </w:p>
        </w:tc>
        <w:tc>
          <w:tcPr>
            <w:tcW w:w="7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、境外上市的外资股</w:t>
            </w:r>
          </w:p>
        </w:tc>
        <w:tc>
          <w:tcPr>
            <w:tcW w:w="823" w:type="dxa"/>
            <w:tcBorders>
              <w:top w:val="single" w:sz="4" w:space="0" w:color="000000"/>
              <w:left w:val="single" w:sz="13" w:space="0" w:color="D2D2D2"/>
              <w:bottom w:val="single" w:sz="4" w:space="0" w:color="000000"/>
              <w:right w:val="single" w:sz="4" w:space="0" w:color="000000"/>
            </w:tcBorders>
          </w:tcPr>
          <w:p>
            <w:pPr/>
          </w:p>
        </w:tc>
        <w:tc>
          <w:tcPr>
            <w:tcW w:w="824"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794" w:type="dxa"/>
            <w:tcBorders>
              <w:top w:val="single" w:sz="4" w:space="0" w:color="000000"/>
              <w:left w:val="single" w:sz="4" w:space="0" w:color="000000"/>
              <w:bottom w:val="single" w:sz="4" w:space="0" w:color="000000"/>
              <w:right w:val="single" w:sz="4" w:space="0" w:color="000000"/>
            </w:tcBorders>
          </w:tcPr>
          <w:p>
            <w:pPr/>
          </w:p>
        </w:tc>
        <w:tc>
          <w:tcPr>
            <w:tcW w:w="7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823" w:type="dxa"/>
            <w:tcBorders>
              <w:top w:val="single" w:sz="4" w:space="0" w:color="000000"/>
              <w:left w:val="single" w:sz="13" w:space="0" w:color="D2D2D2"/>
              <w:bottom w:val="single" w:sz="4" w:space="0" w:color="000000"/>
              <w:right w:val="single" w:sz="4" w:space="0" w:color="000000"/>
            </w:tcBorders>
          </w:tcPr>
          <w:p>
            <w:pPr/>
          </w:p>
        </w:tc>
        <w:tc>
          <w:tcPr>
            <w:tcW w:w="824"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794" w:type="dxa"/>
            <w:tcBorders>
              <w:top w:val="single" w:sz="4" w:space="0" w:color="000000"/>
              <w:left w:val="single" w:sz="4" w:space="0" w:color="000000"/>
              <w:bottom w:val="single" w:sz="4" w:space="0" w:color="000000"/>
              <w:right w:val="single" w:sz="4" w:space="0" w:color="000000"/>
            </w:tcBorders>
          </w:tcPr>
          <w:p>
            <w:pPr/>
          </w:p>
        </w:tc>
        <w:tc>
          <w:tcPr>
            <w:tcW w:w="794" w:type="dxa"/>
            <w:tcBorders>
              <w:top w:val="single" w:sz="4" w:space="0" w:color="000000"/>
              <w:left w:val="single" w:sz="4" w:space="0" w:color="000000"/>
              <w:bottom w:val="single" w:sz="4" w:space="0" w:color="000000"/>
              <w:right w:val="single" w:sz="4" w:space="0" w:color="000000"/>
            </w:tcBorders>
          </w:tcPr>
          <w:p>
            <w:pPr/>
          </w:p>
        </w:tc>
      </w:tr>
      <w:tr>
        <w:trPr>
          <w:trHeight w:val="161" w:hRule="exact"/>
        </w:trPr>
        <w:tc>
          <w:tcPr>
            <w:tcW w:w="2216" w:type="dxa"/>
            <w:tcBorders>
              <w:top w:val="single" w:sz="4" w:space="0" w:color="000000"/>
              <w:left w:val="single" w:sz="4" w:space="0" w:color="000000"/>
              <w:bottom w:val="nil" w:sz="6" w:space="0" w:color="auto"/>
              <w:right w:val="single" w:sz="4" w:space="0" w:color="000000"/>
            </w:tcBorders>
            <w:shd w:val="clear" w:color="auto" w:fill="D2D2D2"/>
          </w:tcPr>
          <w:p>
            <w:pPr/>
          </w:p>
        </w:tc>
        <w:tc>
          <w:tcPr>
            <w:tcW w:w="823" w:type="dxa"/>
            <w:vMerge w:val="restart"/>
            <w:tcBorders>
              <w:top w:val="single" w:sz="4" w:space="0" w:color="000000"/>
              <w:left w:val="single" w:sz="10" w:space="0" w:color="D2D2D2"/>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398,430,9</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46</w:t>
            </w:r>
          </w:p>
        </w:tc>
        <w:tc>
          <w:tcPr>
            <w:tcW w:w="8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5" w:right="0"/>
              <w:jc w:val="left"/>
              <w:rPr>
                <w:rFonts w:ascii="Times New Roman" w:hAnsi="Times New Roman" w:cs="Times New Roman" w:eastAsia="Times New Roman" w:hint="default"/>
                <w:sz w:val="18"/>
                <w:szCs w:val="18"/>
              </w:rPr>
            </w:pPr>
            <w:r>
              <w:rPr>
                <w:rFonts w:ascii="Times New Roman"/>
                <w:sz w:val="18"/>
              </w:rPr>
              <w:t>100.00%</w:t>
            </w: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10,928,56</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w:t>
            </w:r>
          </w:p>
        </w:tc>
        <w:tc>
          <w:tcPr>
            <w:tcW w:w="822" w:type="dxa"/>
            <w:vMerge w:val="restart"/>
            <w:tcBorders>
              <w:top w:val="single" w:sz="4" w:space="0" w:color="000000"/>
              <w:left w:val="single" w:sz="4" w:space="0" w:color="000000"/>
              <w:right w:val="single" w:sz="4" w:space="0" w:color="000000"/>
            </w:tcBorders>
          </w:tcPr>
          <w:p>
            <w:pP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203,795,2</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78</w:t>
            </w: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-1,768,95</w:t>
            </w:r>
            <w:r>
              <w:rPr>
                <w:rFonts w:ascii="Times New Roman"/>
                <w:sz w:val="18"/>
              </w:rPr>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w:t>
            </w: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212,954,8</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88</w:t>
            </w: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611,385,8</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34</w:t>
            </w: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16" w:right="0"/>
              <w:jc w:val="left"/>
              <w:rPr>
                <w:rFonts w:ascii="Times New Roman" w:hAnsi="Times New Roman" w:cs="Times New Roman" w:eastAsia="Times New Roman" w:hint="default"/>
                <w:sz w:val="18"/>
                <w:szCs w:val="18"/>
              </w:rPr>
            </w:pPr>
            <w:r>
              <w:rPr>
                <w:rFonts w:ascii="Times New Roman"/>
                <w:sz w:val="18"/>
              </w:rPr>
              <w:t>100.00%</w:t>
            </w:r>
          </w:p>
        </w:tc>
      </w:tr>
      <w:tr>
        <w:trPr>
          <w:trHeight w:val="392" w:hRule="exact"/>
        </w:trPr>
        <w:tc>
          <w:tcPr>
            <w:tcW w:w="221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823" w:type="dxa"/>
            <w:vMerge/>
            <w:tcBorders>
              <w:left w:val="single" w:sz="10" w:space="0" w:color="D2D2D2"/>
              <w:right w:val="single" w:sz="4" w:space="0" w:color="000000"/>
            </w:tcBorders>
          </w:tcPr>
          <w:p>
            <w:pPr/>
          </w:p>
        </w:tc>
        <w:tc>
          <w:tcPr>
            <w:tcW w:w="824"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r>
      <w:tr>
        <w:trPr>
          <w:trHeight w:val="161" w:hRule="exact"/>
        </w:trPr>
        <w:tc>
          <w:tcPr>
            <w:tcW w:w="2216" w:type="dxa"/>
            <w:tcBorders>
              <w:top w:val="nil" w:sz="6" w:space="0" w:color="auto"/>
              <w:left w:val="single" w:sz="4" w:space="0" w:color="000000"/>
              <w:bottom w:val="single" w:sz="4" w:space="0" w:color="000000"/>
              <w:right w:val="single" w:sz="4" w:space="0" w:color="000000"/>
            </w:tcBorders>
            <w:shd w:val="clear" w:color="auto" w:fill="D2D2D2"/>
          </w:tcPr>
          <w:p>
            <w:pPr/>
          </w:p>
        </w:tc>
        <w:tc>
          <w:tcPr>
            <w:tcW w:w="823" w:type="dxa"/>
            <w:vMerge/>
            <w:tcBorders>
              <w:left w:val="single" w:sz="10" w:space="0" w:color="D2D2D2"/>
              <w:bottom w:val="single" w:sz="4" w:space="0" w:color="000000"/>
              <w:right w:val="single" w:sz="4" w:space="0" w:color="000000"/>
            </w:tcBorders>
          </w:tcPr>
          <w:p>
            <w:pPr/>
          </w:p>
        </w:tc>
        <w:tc>
          <w:tcPr>
            <w:tcW w:w="824"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r>
    </w:tbl>
    <w:p>
      <w:pPr>
        <w:pStyle w:val="BodyText"/>
        <w:spacing w:line="240" w:lineRule="auto" w:before="51"/>
        <w:ind w:left="154" w:right="0"/>
        <w:jc w:val="left"/>
      </w:pPr>
      <w:r>
        <w:rPr/>
        <w:t>股份变动的原因</w:t>
      </w:r>
    </w:p>
    <w:p>
      <w:pPr>
        <w:pStyle w:val="BodyText"/>
        <w:spacing w:line="240" w:lineRule="auto" w:before="117"/>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240" w:lineRule="auto" w:before="101"/>
        <w:ind w:left="513" w:right="0"/>
        <w:jc w:val="left"/>
      </w:pPr>
      <w:r>
        <w:rPr>
          <w:rFonts w:ascii="Times New Roman" w:hAnsi="Times New Roman" w:cs="Times New Roman" w:eastAsia="Times New Roman" w:hint="default"/>
        </w:rPr>
        <w:t>1</w:t>
      </w:r>
      <w:r>
        <w:rPr/>
        <w:t>、实施</w:t>
      </w:r>
      <w:r>
        <w:rPr>
          <w:rFonts w:ascii="Times New Roman" w:hAnsi="Times New Roman" w:cs="Times New Roman" w:eastAsia="Times New Roman" w:hint="default"/>
        </w:rPr>
        <w:t>2013</w:t>
      </w:r>
      <w:r>
        <w:rPr/>
        <w:t>年股票期权与限制性股票激励计划部分股票期权和部分限制性股票回购注销。</w:t>
      </w:r>
    </w:p>
    <w:p>
      <w:pPr>
        <w:pStyle w:val="BodyText"/>
        <w:spacing w:line="300" w:lineRule="auto" w:before="63"/>
        <w:ind w:left="154" w:right="1122" w:firstLine="360"/>
        <w:jc w:val="left"/>
      </w:pPr>
      <w:r>
        <w:rPr>
          <w:rFonts w:ascii="Times New Roman" w:hAnsi="Times New Roman" w:cs="Times New Roman" w:eastAsia="Times New Roman" w:hint="default"/>
        </w:rPr>
        <w:t>2</w:t>
      </w:r>
      <w:r>
        <w:rPr/>
        <w:t>、实施</w:t>
      </w:r>
      <w:r>
        <w:rPr>
          <w:rFonts w:ascii="Times New Roman" w:hAnsi="Times New Roman" w:cs="Times New Roman" w:eastAsia="Times New Roman" w:hint="default"/>
        </w:rPr>
        <w:t>2016</w:t>
      </w:r>
      <w:r>
        <w:rPr/>
        <w:t>年限制性股票激励计划相关限制性股票解锁、回购注销以及暂缓授予的激励对象授予限制性股票授予登记 完成。</w:t>
      </w:r>
    </w:p>
    <w:p>
      <w:pPr>
        <w:spacing w:after="0" w:line="300"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240" w:lineRule="auto" w:before="44"/>
        <w:ind w:left="513" w:right="0"/>
        <w:jc w:val="left"/>
      </w:pPr>
      <w:r>
        <w:rPr>
          <w:rFonts w:ascii="Times New Roman" w:hAnsi="Times New Roman" w:cs="Times New Roman" w:eastAsia="Times New Roman" w:hint="default"/>
        </w:rPr>
        <w:t>3</w:t>
      </w:r>
      <w:r>
        <w:rPr/>
        <w:t>、发行股份及支付现金购买资产新增股份。</w:t>
      </w:r>
    </w:p>
    <w:p>
      <w:pPr>
        <w:pStyle w:val="BodyText"/>
        <w:spacing w:line="240" w:lineRule="auto" w:before="63"/>
        <w:ind w:left="514" w:right="0"/>
        <w:jc w:val="left"/>
      </w:pPr>
      <w:r>
        <w:rPr>
          <w:rFonts w:ascii="Times New Roman" w:hAnsi="Times New Roman" w:cs="Times New Roman" w:eastAsia="Times New Roman" w:hint="default"/>
        </w:rPr>
        <w:t>4</w:t>
      </w:r>
      <w:r>
        <w:rPr/>
        <w:t>、公司</w:t>
      </w:r>
      <w:r>
        <w:rPr>
          <w:rFonts w:ascii="Times New Roman" w:hAnsi="Times New Roman" w:cs="Times New Roman" w:eastAsia="Times New Roman" w:hint="default"/>
        </w:rPr>
        <w:t>2016</w:t>
      </w:r>
      <w:r>
        <w:rPr/>
        <w:t>年度权益分派。</w:t>
      </w:r>
    </w:p>
    <w:p>
      <w:pPr>
        <w:pStyle w:val="BodyText"/>
        <w:spacing w:line="340" w:lineRule="auto" w:before="63"/>
        <w:ind w:right="3643" w:firstLine="360"/>
        <w:jc w:val="left"/>
      </w:pPr>
      <w:r>
        <w:rPr>
          <w:rFonts w:ascii="Times New Roman" w:hAnsi="Times New Roman" w:cs="Times New Roman" w:eastAsia="Times New Roman" w:hint="default"/>
        </w:rPr>
        <w:t>5</w:t>
      </w:r>
      <w:r>
        <w:rPr/>
        <w:t>、部分董事、监事及高级管理人员所持股份按照中国证监会的有关规定进行了解锁。 股份变动的批准情况</w:t>
      </w:r>
    </w:p>
    <w:p>
      <w:pPr>
        <w:pStyle w:val="BodyText"/>
        <w:spacing w:line="240" w:lineRule="auto" w:before="42"/>
        <w:ind w:right="0"/>
        <w:jc w:val="both"/>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300" w:lineRule="auto" w:before="101"/>
        <w:ind w:right="1132" w:firstLine="360"/>
        <w:jc w:val="both"/>
        <w:rPr>
          <w:rFonts w:ascii="Times New Roman" w:hAnsi="Times New Roman" w:cs="Times New Roman" w:eastAsia="Times New Roman" w:hint="default"/>
        </w:rPr>
      </w:pPr>
      <w:r>
        <w:rPr>
          <w:rFonts w:ascii="Times New Roman" w:hAnsi="Times New Roman" w:cs="Times New Roman" w:eastAsia="Times New Roman" w:hint="default"/>
          <w:spacing w:val="-2"/>
        </w:rPr>
        <w:t>2016</w:t>
      </w:r>
      <w:r>
        <w:rPr>
          <w:spacing w:val="-2"/>
        </w:rPr>
        <w:t>年</w:t>
      </w:r>
      <w:r>
        <w:rPr>
          <w:rFonts w:ascii="Times New Roman" w:hAnsi="Times New Roman" w:cs="Times New Roman" w:eastAsia="Times New Roman" w:hint="default"/>
          <w:spacing w:val="-2"/>
        </w:rPr>
        <w:t>11</w:t>
      </w:r>
      <w:r>
        <w:rPr>
          <w:spacing w:val="-2"/>
        </w:rPr>
        <w:t>月</w:t>
      </w:r>
      <w:r>
        <w:rPr>
          <w:rFonts w:ascii="Times New Roman" w:hAnsi="Times New Roman" w:cs="Times New Roman" w:eastAsia="Times New Roman" w:hint="default"/>
          <w:spacing w:val="-2"/>
        </w:rPr>
        <w:t>23</w:t>
      </w:r>
      <w:r>
        <w:rPr>
          <w:spacing w:val="-2"/>
        </w:rPr>
        <w:t>日，公司召开第三届董事会第十四次会议，审议通过了《关于延期回购注销部分限制性股票和注销剩余股</w:t>
      </w:r>
      <w:r>
        <w:rPr/>
        <w:t> 票期权的议案》：</w:t>
      </w:r>
      <w:r>
        <w:rPr>
          <w:rFonts w:ascii="Times New Roman" w:hAnsi="Times New Roman" w:cs="Times New Roman" w:eastAsia="Times New Roman" w:hint="default"/>
        </w:rPr>
        <w:t>“</w:t>
      </w:r>
      <w:r>
        <w:rPr/>
        <w:t>经公司第三届董事会第十四次会议审议，公司拟回购注销</w:t>
      </w:r>
      <w:r>
        <w:rPr>
          <w:rFonts w:ascii="Times New Roman" w:hAnsi="Times New Roman" w:cs="Times New Roman" w:eastAsia="Times New Roman" w:hint="default"/>
        </w:rPr>
        <w:t>2,126,951</w:t>
      </w:r>
      <w:r>
        <w:rPr/>
        <w:t>股限制性股票和注销</w:t>
      </w:r>
      <w:r>
        <w:rPr>
          <w:rFonts w:ascii="Times New Roman" w:hAnsi="Times New Roman" w:cs="Times New Roman" w:eastAsia="Times New Roman" w:hint="default"/>
        </w:rPr>
        <w:t>1,941,223</w:t>
      </w:r>
      <w:r>
        <w:rPr/>
        <w:t>份股票 期权（以下简称</w:t>
      </w:r>
      <w:r>
        <w:rPr>
          <w:rFonts w:ascii="Times New Roman" w:hAnsi="Times New Roman" w:cs="Times New Roman" w:eastAsia="Times New Roman" w:hint="default"/>
        </w:rPr>
        <w:t>‘</w:t>
      </w:r>
      <w:r>
        <w:rPr/>
        <w:t>回购注销事项</w:t>
      </w:r>
      <w:r>
        <w:rPr>
          <w:rFonts w:ascii="Times New Roman" w:hAnsi="Times New Roman" w:cs="Times New Roman" w:eastAsia="Times New Roman" w:hint="default"/>
        </w:rPr>
        <w:t>’</w:t>
      </w:r>
      <w:r>
        <w:rPr/>
        <w:t>）。经中国证监会上市公司并购重组审核委员会（以下简称</w:t>
      </w:r>
      <w:r>
        <w:rPr>
          <w:rFonts w:ascii="Times New Roman" w:hAnsi="Times New Roman" w:cs="Times New Roman" w:eastAsia="Times New Roman" w:hint="default"/>
        </w:rPr>
        <w:t>‘</w:t>
      </w:r>
      <w:r>
        <w:rPr/>
        <w:t>并购重组委</w:t>
      </w:r>
      <w:r>
        <w:rPr>
          <w:rFonts w:ascii="Times New Roman" w:hAnsi="Times New Roman" w:cs="Times New Roman" w:eastAsia="Times New Roman" w:hint="default"/>
        </w:rPr>
        <w:t>’</w:t>
      </w:r>
      <w:r>
        <w:rPr/>
        <w:t>）于</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10</w:t>
      </w:r>
      <w:r>
        <w:rPr/>
        <w:t>月</w:t>
      </w:r>
      <w:r>
        <w:rPr>
          <w:rFonts w:ascii="Times New Roman" w:hAnsi="Times New Roman" w:cs="Times New Roman" w:eastAsia="Times New Roman" w:hint="default"/>
        </w:rPr>
        <w:t>11 </w:t>
      </w:r>
      <w:r>
        <w:rPr/>
        <w:t>日召开的</w:t>
      </w:r>
      <w:r>
        <w:rPr>
          <w:rFonts w:ascii="Times New Roman" w:hAnsi="Times New Roman" w:cs="Times New Roman" w:eastAsia="Times New Roman" w:hint="default"/>
        </w:rPr>
        <w:t>2016</w:t>
      </w:r>
      <w:r>
        <w:rPr/>
        <w:t>年第</w:t>
      </w:r>
      <w:r>
        <w:rPr>
          <w:rFonts w:ascii="Times New Roman" w:hAnsi="Times New Roman" w:cs="Times New Roman" w:eastAsia="Times New Roman" w:hint="default"/>
        </w:rPr>
        <w:t>75</w:t>
      </w:r>
      <w:r>
        <w:rPr/>
        <w:t>次并购重组委工作会议审核，公司发行股份及支付现金购买资产并募集配套资金事项（以下简称</w:t>
      </w:r>
      <w:r>
        <w:rPr>
          <w:rFonts w:ascii="Times New Roman" w:hAnsi="Times New Roman" w:cs="Times New Roman" w:eastAsia="Times New Roman" w:hint="default"/>
        </w:rPr>
        <w:t>‘</w:t>
      </w:r>
      <w:r>
        <w:rPr/>
        <w:t>发行 股份购买资产事项</w:t>
      </w:r>
      <w:r>
        <w:rPr>
          <w:rFonts w:ascii="Times New Roman" w:hAnsi="Times New Roman" w:cs="Times New Roman" w:eastAsia="Times New Roman" w:hint="default"/>
        </w:rPr>
        <w:t>’</w:t>
      </w:r>
      <w:r>
        <w:rPr/>
        <w:t>）获得有条件通过。本次发行股份购买资产事项尚待收到中国证监会的书面核准文件后方可实施。经董 事会审议，根据上述事项的进展情况，待发行股份购买资产事项实施后，再行实施回购注销事项。</w:t>
      </w:r>
      <w:r>
        <w:rPr>
          <w:rFonts w:ascii="Times New Roman" w:hAnsi="Times New Roman" w:cs="Times New Roman" w:eastAsia="Times New Roman" w:hint="default"/>
        </w:rPr>
        <w:t>”</w:t>
      </w:r>
    </w:p>
    <w:p>
      <w:pPr>
        <w:pStyle w:val="BodyText"/>
        <w:spacing w:line="300" w:lineRule="auto" w:before="13"/>
        <w:ind w:left="154" w:right="1131" w:firstLine="360"/>
        <w:jc w:val="both"/>
      </w:pPr>
      <w:r>
        <w:rPr>
          <w:rFonts w:ascii="Times New Roman" w:hAnsi="Times New Roman" w:cs="Times New Roman" w:eastAsia="Times New Roman" w:hint="default"/>
          <w:spacing w:val="-2"/>
        </w:rPr>
        <w:t>2016</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15</w:t>
      </w:r>
      <w:r>
        <w:rPr>
          <w:spacing w:val="-2"/>
        </w:rPr>
        <w:t>日，公司收到中国证监会《关于核准深圳市奥拓电子股份有限公司向沈永健等发行股份购买资产并募集配</w:t>
      </w:r>
      <w:r>
        <w:rPr/>
        <w:t> 套资金的批复》（证监许可</w:t>
      </w:r>
      <w:r>
        <w:rPr>
          <w:rFonts w:ascii="Times New Roman" w:hAnsi="Times New Roman" w:cs="Times New Roman" w:eastAsia="Times New Roman" w:hint="default"/>
        </w:rPr>
        <w:t>[2016]3079</w:t>
      </w:r>
      <w:r>
        <w:rPr>
          <w:rFonts w:ascii="Times New Roman" w:hAnsi="Times New Roman" w:cs="Times New Roman" w:eastAsia="Times New Roman" w:hint="default"/>
          <w:spacing w:val="26"/>
        </w:rPr>
        <w:t> </w:t>
      </w:r>
      <w:r>
        <w:rPr/>
        <w:t>号），公司发行股份购买资产并募集配套资金事宜获证监会核准。</w:t>
      </w:r>
    </w:p>
    <w:p>
      <w:pPr>
        <w:pStyle w:val="BodyText"/>
        <w:spacing w:line="300" w:lineRule="auto" w:before="13"/>
        <w:ind w:right="1132" w:firstLine="360"/>
        <w:jc w:val="both"/>
      </w:pPr>
      <w:r>
        <w:rPr>
          <w:rFonts w:ascii="Times New Roman" w:hAnsi="Times New Roman" w:cs="Times New Roman" w:eastAsia="Times New Roman" w:hint="default"/>
          <w:spacing w:val="-2"/>
        </w:rPr>
        <w:t>2016</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30</w:t>
      </w:r>
      <w:r>
        <w:rPr>
          <w:spacing w:val="-2"/>
        </w:rPr>
        <w:t>日，公司召开第三届董事会第十五次会议，审议通过了《关于向暂缓授予的激励对象授予限制性股票的议</w:t>
      </w:r>
      <w:r>
        <w:rPr/>
        <w:t> 案》。因参与公司</w:t>
      </w:r>
      <w:r>
        <w:rPr>
          <w:rFonts w:ascii="Times New Roman" w:hAnsi="Times New Roman" w:cs="Times New Roman" w:eastAsia="Times New Roman" w:hint="default"/>
        </w:rPr>
        <w:t>2016</w:t>
      </w:r>
      <w:r>
        <w:rPr/>
        <w:t>年限制性股票激励计划的激励对象矫人全先生系公司高级管理人员，其在首次授予日</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2</w:t>
      </w:r>
      <w:r>
        <w:rPr/>
        <w:t>月</w:t>
      </w:r>
      <w:r>
        <w:rPr>
          <w:rFonts w:ascii="Times New Roman" w:hAnsi="Times New Roman" w:cs="Times New Roman" w:eastAsia="Times New Roman" w:hint="default"/>
        </w:rPr>
        <w:t>29</w:t>
      </w:r>
      <w:r>
        <w:rPr/>
        <w:t>日 前</w:t>
      </w:r>
      <w:r>
        <w:rPr>
          <w:rFonts w:ascii="Times New Roman" w:hAnsi="Times New Roman" w:cs="Times New Roman" w:eastAsia="Times New Roman" w:hint="default"/>
        </w:rPr>
        <w:t>6</w:t>
      </w:r>
      <w:r>
        <w:rPr/>
        <w:t>个月内存在卖出公司股票情况，暂缓其</w:t>
      </w:r>
      <w:r>
        <w:rPr>
          <w:rFonts w:ascii="Times New Roman" w:hAnsi="Times New Roman" w:cs="Times New Roman" w:eastAsia="Times New Roman" w:hint="default"/>
        </w:rPr>
        <w:t>48</w:t>
      </w:r>
      <w:r>
        <w:rPr/>
        <w:t>万股限制性股票的授予。</w:t>
      </w:r>
    </w:p>
    <w:p>
      <w:pPr>
        <w:pStyle w:val="BodyText"/>
        <w:spacing w:line="302" w:lineRule="auto" w:before="13"/>
        <w:ind w:right="0" w:firstLine="360"/>
        <w:jc w:val="left"/>
      </w:pPr>
      <w:r>
        <w:rPr>
          <w:rFonts w:ascii="Times New Roman" w:hAnsi="Times New Roman" w:cs="Times New Roman" w:eastAsia="Times New Roman" w:hint="default"/>
        </w:rPr>
        <w:t>2017</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30</w:t>
      </w:r>
      <w:r>
        <w:rPr/>
        <w:t>日，公司召开第三届董事会第十七次会议，审议通过了《关于回购注销部分限制性股票的议案》，鉴于公 司</w:t>
      </w:r>
      <w:r>
        <w:rPr>
          <w:rFonts w:ascii="Times New Roman" w:hAnsi="Times New Roman" w:cs="Times New Roman" w:eastAsia="Times New Roman" w:hint="default"/>
        </w:rPr>
        <w:t>2016</w:t>
      </w:r>
      <w:r>
        <w:rPr/>
        <w:t>年限制性股票激励计划（以下简称</w:t>
      </w:r>
      <w:r>
        <w:rPr>
          <w:rFonts w:ascii="Times New Roman" w:hAnsi="Times New Roman" w:cs="Times New Roman" w:eastAsia="Times New Roman" w:hint="default"/>
        </w:rPr>
        <w:t>“</w:t>
      </w:r>
      <w:r>
        <w:rPr/>
        <w:t>激励计划</w:t>
      </w:r>
      <w:r>
        <w:rPr>
          <w:rFonts w:ascii="Times New Roman" w:hAnsi="Times New Roman" w:cs="Times New Roman" w:eastAsia="Times New Roman" w:hint="default"/>
        </w:rPr>
        <w:t>”</w:t>
      </w:r>
      <w:r>
        <w:rPr/>
        <w:t>）激励对象罗丽华、蔡九飞、张鹏、江鹏、周黄娅、崔正波、周艳红、</w:t>
      </w:r>
      <w:r>
        <w:rPr>
          <w:spacing w:val="-67"/>
        </w:rPr>
        <w:t> </w:t>
      </w:r>
      <w:r>
        <w:rPr>
          <w:spacing w:val="-67"/>
        </w:rPr>
      </w:r>
      <w:r>
        <w:rPr/>
        <w:t>覃业军、郭燕、刘少武、李华根已离职，根据本激励计划第十四章</w:t>
      </w:r>
      <w:r>
        <w:rPr>
          <w:rFonts w:ascii="Times New Roman" w:hAnsi="Times New Roman" w:cs="Times New Roman" w:eastAsia="Times New Roman" w:hint="default"/>
        </w:rPr>
        <w:t>“</w:t>
      </w:r>
      <w:r>
        <w:rPr/>
        <w:t>股权激励计划的变更、终止</w:t>
      </w:r>
      <w:r>
        <w:rPr>
          <w:rFonts w:ascii="Times New Roman" w:hAnsi="Times New Roman" w:cs="Times New Roman" w:eastAsia="Times New Roman" w:hint="default"/>
        </w:rPr>
        <w:t>”</w:t>
      </w:r>
      <w:r>
        <w:rPr/>
        <w:t>之</w:t>
      </w:r>
      <w:r>
        <w:rPr>
          <w:rFonts w:ascii="Times New Roman" w:hAnsi="Times New Roman" w:cs="Times New Roman" w:eastAsia="Times New Roman" w:hint="default"/>
        </w:rPr>
        <w:t>“</w:t>
      </w:r>
      <w:r>
        <w:rPr/>
        <w:t>二、激励对象个人情况 变化的处理方式</w:t>
      </w:r>
      <w:r>
        <w:rPr>
          <w:rFonts w:ascii="Times New Roman" w:hAnsi="Times New Roman" w:cs="Times New Roman" w:eastAsia="Times New Roman" w:hint="default"/>
        </w:rPr>
        <w:t>”</w:t>
      </w:r>
      <w:r>
        <w:rPr/>
        <w:t>相关规定，激励对象因辞职、公司裁员而离职，董事会可以决定对激励对象根据本计划在情况发生之日， </w:t>
      </w:r>
      <w:r>
        <w:rPr>
          <w:spacing w:val="-2"/>
        </w:rPr>
        <w:t>对激励对象已获授但尚未解锁的限制性股票不得解锁，由公司按授予价格回购注销。因此，根据本激励计划的相关规定及公</w:t>
      </w:r>
      <w:r>
        <w:rPr>
          <w:spacing w:val="-66"/>
        </w:rPr>
        <w:t> </w:t>
      </w:r>
      <w:r>
        <w:rPr>
          <w:spacing w:val="-66"/>
        </w:rPr>
      </w:r>
      <w:r>
        <w:rPr>
          <w:spacing w:val="-2"/>
        </w:rPr>
        <w:t>司</w:t>
      </w:r>
      <w:r>
        <w:rPr>
          <w:rFonts w:ascii="Times New Roman" w:hAnsi="Times New Roman" w:cs="Times New Roman" w:eastAsia="Times New Roman" w:hint="default"/>
          <w:spacing w:val="-2"/>
        </w:rPr>
        <w:t>2016</w:t>
      </w:r>
      <w:r>
        <w:rPr>
          <w:spacing w:val="-2"/>
        </w:rPr>
        <w:t>年第二次临时股东大会对董事会的授权，公司董事会同意对上述</w:t>
      </w:r>
      <w:r>
        <w:rPr>
          <w:rFonts w:ascii="Times New Roman" w:hAnsi="Times New Roman" w:cs="Times New Roman" w:eastAsia="Times New Roman" w:hint="default"/>
          <w:spacing w:val="-2"/>
        </w:rPr>
        <w:t>11</w:t>
      </w:r>
      <w:r>
        <w:rPr>
          <w:spacing w:val="-2"/>
        </w:rPr>
        <w:t>名离职的激励对象持有的已获授但尚未解除限售的</w:t>
      </w:r>
      <w:r>
        <w:rPr>
          <w:spacing w:val="-58"/>
        </w:rPr>
        <w:t> </w:t>
      </w:r>
      <w:r>
        <w:rPr>
          <w:rFonts w:ascii="Times New Roman" w:hAnsi="Times New Roman" w:cs="Times New Roman" w:eastAsia="Times New Roman" w:hint="default"/>
        </w:rPr>
        <w:t>12.20</w:t>
      </w:r>
      <w:r>
        <w:rPr/>
        <w:t>万股限制性股票进行回购注销处理。</w:t>
      </w:r>
    </w:p>
    <w:p>
      <w:pPr>
        <w:pStyle w:val="BodyText"/>
        <w:spacing w:line="300" w:lineRule="auto" w:before="11"/>
        <w:ind w:left="154" w:right="1130" w:firstLine="360"/>
        <w:jc w:val="both"/>
      </w:pPr>
      <w:r>
        <w:rPr>
          <w:rFonts w:ascii="Times New Roman" w:hAnsi="Times New Roman" w:cs="Times New Roman" w:eastAsia="Times New Roman" w:hint="default"/>
          <w:spacing w:val="-1"/>
        </w:rPr>
        <w:t>2017</w:t>
      </w:r>
      <w:r>
        <w:rPr>
          <w:spacing w:val="-1"/>
        </w:rPr>
        <w:t>年</w:t>
      </w:r>
      <w:r>
        <w:rPr>
          <w:rFonts w:ascii="Times New Roman" w:hAnsi="Times New Roman" w:cs="Times New Roman" w:eastAsia="Times New Roman" w:hint="default"/>
          <w:spacing w:val="-1"/>
        </w:rPr>
        <w:t>4</w:t>
      </w:r>
      <w:r>
        <w:rPr>
          <w:spacing w:val="-1"/>
        </w:rPr>
        <w:t>月</w:t>
      </w:r>
      <w:r>
        <w:rPr>
          <w:rFonts w:ascii="Times New Roman" w:hAnsi="Times New Roman" w:cs="Times New Roman" w:eastAsia="Times New Roman" w:hint="default"/>
          <w:spacing w:val="-1"/>
        </w:rPr>
        <w:t>24</w:t>
      </w:r>
      <w:r>
        <w:rPr>
          <w:spacing w:val="-1"/>
        </w:rPr>
        <w:t>日，公司召开</w:t>
      </w:r>
      <w:r>
        <w:rPr>
          <w:rFonts w:ascii="Times New Roman" w:hAnsi="Times New Roman" w:cs="Times New Roman" w:eastAsia="Times New Roman" w:hint="default"/>
          <w:spacing w:val="-1"/>
        </w:rPr>
        <w:t>2016</w:t>
      </w:r>
      <w:r>
        <w:rPr>
          <w:spacing w:val="-1"/>
        </w:rPr>
        <w:t>年度股东大会，审议通过了《关于</w:t>
      </w:r>
      <w:r>
        <w:rPr>
          <w:rFonts w:ascii="Times New Roman" w:hAnsi="Times New Roman" w:cs="Times New Roman" w:eastAsia="Times New Roman" w:hint="default"/>
          <w:spacing w:val="-1"/>
        </w:rPr>
        <w:t>&lt;</w:t>
      </w:r>
      <w:r>
        <w:rPr>
          <w:spacing w:val="-1"/>
        </w:rPr>
        <w:t>公司</w:t>
      </w:r>
      <w:r>
        <w:rPr>
          <w:rFonts w:ascii="Times New Roman" w:hAnsi="Times New Roman" w:cs="Times New Roman" w:eastAsia="Times New Roman" w:hint="default"/>
          <w:spacing w:val="-1"/>
        </w:rPr>
        <w:t>2016</w:t>
      </w:r>
      <w:r>
        <w:rPr>
          <w:spacing w:val="-1"/>
        </w:rPr>
        <w:t>年度利润分配预案及资本公积转增股本</w:t>
      </w:r>
      <w:r>
        <w:rPr>
          <w:rFonts w:ascii="Times New Roman" w:hAnsi="Times New Roman" w:cs="Times New Roman" w:eastAsia="Times New Roman" w:hint="default"/>
          <w:spacing w:val="-1"/>
        </w:rPr>
        <w:t>&gt;</w:t>
      </w:r>
      <w:r>
        <w:rPr>
          <w:spacing w:val="-1"/>
        </w:rPr>
        <w:t>的</w:t>
      </w:r>
      <w:r>
        <w:rPr/>
        <w:t> 议案》，以资本公积金向全体股东每</w:t>
      </w:r>
      <w:r>
        <w:rPr>
          <w:rFonts w:ascii="Times New Roman" w:hAnsi="Times New Roman" w:cs="Times New Roman" w:eastAsia="Times New Roman" w:hint="default"/>
        </w:rPr>
        <w:t>10</w:t>
      </w:r>
      <w:r>
        <w:rPr/>
        <w:t>股转增</w:t>
      </w:r>
      <w:r>
        <w:rPr>
          <w:rFonts w:ascii="Times New Roman" w:hAnsi="Times New Roman" w:cs="Times New Roman" w:eastAsia="Times New Roman" w:hint="default"/>
        </w:rPr>
        <w:t>5</w:t>
      </w:r>
      <w:r>
        <w:rPr/>
        <w:t>股。</w:t>
      </w:r>
    </w:p>
    <w:p>
      <w:pPr>
        <w:pStyle w:val="BodyText"/>
        <w:spacing w:line="300" w:lineRule="auto" w:before="13"/>
        <w:ind w:left="154" w:right="1141" w:firstLine="360"/>
        <w:jc w:val="both"/>
      </w:pPr>
      <w:r>
        <w:rPr>
          <w:rFonts w:ascii="Times New Roman" w:hAnsi="Times New Roman" w:cs="Times New Roman" w:eastAsia="Times New Roman" w:hint="default"/>
        </w:rPr>
        <w:t>2017</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25</w:t>
      </w:r>
      <w:r>
        <w:rPr/>
        <w:t>日，公司召开第三届董事会第十八次会议，审议通过了《关于公司限制性股票激励计划第一个解锁期可解 锁的议案》，根据公司</w:t>
      </w:r>
      <w:r>
        <w:rPr>
          <w:rFonts w:ascii="Times New Roman" w:hAnsi="Times New Roman" w:cs="Times New Roman" w:eastAsia="Times New Roman" w:hint="default"/>
        </w:rPr>
        <w:t>2016</w:t>
      </w:r>
      <w:r>
        <w:rPr/>
        <w:t>年第二次临时股东大会对董事会的相关授权以及公司《</w:t>
      </w:r>
      <w:r>
        <w:rPr>
          <w:rFonts w:ascii="Times New Roman" w:hAnsi="Times New Roman" w:cs="Times New Roman" w:eastAsia="Times New Roman" w:hint="default"/>
        </w:rPr>
        <w:t>2016</w:t>
      </w:r>
      <w:r>
        <w:rPr>
          <w:rFonts w:ascii="Times New Roman" w:hAnsi="Times New Roman" w:cs="Times New Roman" w:eastAsia="Times New Roman" w:hint="default"/>
          <w:spacing w:val="26"/>
        </w:rPr>
        <w:t> </w:t>
      </w:r>
      <w:r>
        <w:rPr/>
        <w:t>年限制性股票激励计划（草案）》</w:t>
      </w:r>
    </w:p>
    <w:p>
      <w:pPr>
        <w:pStyle w:val="BodyText"/>
        <w:spacing w:line="300" w:lineRule="auto" w:before="13"/>
        <w:ind w:left="154" w:right="1130"/>
        <w:jc w:val="both"/>
      </w:pPr>
      <w:r>
        <w:rPr>
          <w:spacing w:val="-1"/>
        </w:rPr>
        <w:t>（以下简称</w:t>
      </w:r>
      <w:r>
        <w:rPr>
          <w:rFonts w:ascii="Times New Roman" w:hAnsi="Times New Roman" w:cs="Times New Roman" w:eastAsia="Times New Roman" w:hint="default"/>
          <w:spacing w:val="-1"/>
        </w:rPr>
        <w:t>“</w:t>
      </w:r>
      <w:r>
        <w:rPr>
          <w:spacing w:val="-1"/>
        </w:rPr>
        <w:t>激励计划</w:t>
      </w:r>
      <w:r>
        <w:rPr>
          <w:rFonts w:ascii="Times New Roman" w:hAnsi="Times New Roman" w:cs="Times New Roman" w:eastAsia="Times New Roman" w:hint="default"/>
          <w:spacing w:val="-1"/>
        </w:rPr>
        <w:t>”</w:t>
      </w:r>
      <w:r>
        <w:rPr>
          <w:spacing w:val="-1"/>
        </w:rPr>
        <w:t>）和《</w:t>
      </w:r>
      <w:r>
        <w:rPr>
          <w:rFonts w:ascii="Times New Roman" w:hAnsi="Times New Roman" w:cs="Times New Roman" w:eastAsia="Times New Roman" w:hint="default"/>
          <w:spacing w:val="-1"/>
        </w:rPr>
        <w:t>2016</w:t>
      </w:r>
      <w:r>
        <w:rPr>
          <w:spacing w:val="-1"/>
        </w:rPr>
        <w:t>年限制性股票激励计划实施考核管理办法》（以下简称</w:t>
      </w:r>
      <w:r>
        <w:rPr>
          <w:rFonts w:ascii="Times New Roman" w:hAnsi="Times New Roman" w:cs="Times New Roman" w:eastAsia="Times New Roman" w:hint="default"/>
          <w:spacing w:val="-1"/>
        </w:rPr>
        <w:t>“</w:t>
      </w:r>
      <w:r>
        <w:rPr>
          <w:spacing w:val="-1"/>
        </w:rPr>
        <w:t>考核管理办法</w:t>
      </w:r>
      <w:r>
        <w:rPr>
          <w:rFonts w:ascii="Times New Roman" w:hAnsi="Times New Roman" w:cs="Times New Roman" w:eastAsia="Times New Roman" w:hint="default"/>
          <w:spacing w:val="-1"/>
        </w:rPr>
        <w:t>”</w:t>
      </w:r>
      <w:r>
        <w:rPr>
          <w:spacing w:val="-1"/>
        </w:rPr>
        <w:t>）相关规定，公司</w:t>
      </w:r>
      <w:r>
        <w:rPr>
          <w:spacing w:val="-79"/>
        </w:rPr>
        <w:t> </w:t>
      </w:r>
      <w:r>
        <w:rPr>
          <w:spacing w:val="-79"/>
        </w:rPr>
      </w:r>
      <w:r>
        <w:rPr>
          <w:spacing w:val="-4"/>
        </w:rPr>
        <w:t>激励计划第一个解锁期部分限制性股票的解锁条件已满足，董事会根据股东大会的授权，按照相关规定为符合解锁条件的</w:t>
      </w:r>
      <w:r>
        <w:rPr>
          <w:rFonts w:ascii="Times New Roman" w:hAnsi="Times New Roman" w:cs="Times New Roman" w:eastAsia="Times New Roman" w:hint="default"/>
          <w:spacing w:val="-4"/>
        </w:rPr>
        <w:t>144</w:t>
      </w:r>
      <w:r>
        <w:rPr>
          <w:rFonts w:ascii="Times New Roman" w:hAnsi="Times New Roman" w:cs="Times New Roman" w:eastAsia="Times New Roman" w:hint="default"/>
          <w:spacing w:val="6"/>
        </w:rPr>
        <w:t> </w:t>
      </w:r>
      <w:r>
        <w:rPr/>
        <w:t>名激励对象办理解锁事宜。</w:t>
      </w:r>
    </w:p>
    <w:p>
      <w:pPr>
        <w:pStyle w:val="BodyText"/>
        <w:spacing w:line="240" w:lineRule="auto" w:before="72"/>
        <w:ind w:left="154" w:right="0"/>
        <w:jc w:val="both"/>
      </w:pPr>
      <w:r>
        <w:rPr/>
        <w:t>股份变动的过户情况</w:t>
      </w:r>
    </w:p>
    <w:p>
      <w:pPr>
        <w:pStyle w:val="BodyText"/>
        <w:spacing w:line="240" w:lineRule="auto" w:before="117"/>
        <w:ind w:left="154" w:right="0"/>
        <w:jc w:val="both"/>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300" w:lineRule="auto" w:before="101"/>
        <w:ind w:left="154" w:right="1141" w:firstLine="360"/>
        <w:jc w:val="both"/>
      </w:pP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10</w:t>
      </w:r>
      <w:r>
        <w:rPr/>
        <w:t>日，公司披露了《关于向暂缓授予的激励对象授予限制性股票授予登记完成的公告》，公司向暂缓授予激 励对象矫人全先生授予限制性股票，授予价格为</w:t>
      </w:r>
      <w:r>
        <w:rPr>
          <w:rFonts w:ascii="Times New Roman" w:hAnsi="Times New Roman" w:cs="Times New Roman" w:eastAsia="Times New Roman" w:hint="default"/>
        </w:rPr>
        <w:t>5.17</w:t>
      </w:r>
      <w:r>
        <w:rPr/>
        <w:t>元</w:t>
      </w:r>
      <w:r>
        <w:rPr>
          <w:rFonts w:ascii="Times New Roman" w:hAnsi="Times New Roman" w:cs="Times New Roman" w:eastAsia="Times New Roman" w:hint="default"/>
        </w:rPr>
        <w:t>/</w:t>
      </w:r>
      <w:r>
        <w:rPr/>
        <w:t>股，授予限制性股票定向增发股份的上市日期为</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11</w:t>
      </w:r>
      <w:r>
        <w:rPr/>
        <w:t>日。</w:t>
      </w:r>
    </w:p>
    <w:p>
      <w:pPr>
        <w:pStyle w:val="BodyText"/>
        <w:spacing w:line="300" w:lineRule="auto" w:before="13"/>
        <w:ind w:right="1132" w:firstLine="360"/>
        <w:jc w:val="both"/>
      </w:pPr>
      <w:r>
        <w:rPr>
          <w:rFonts w:ascii="Times New Roman" w:hAnsi="Times New Roman" w:cs="Times New Roman" w:eastAsia="Times New Roman" w:hint="default"/>
        </w:rPr>
        <w:t>2017</w:t>
      </w:r>
      <w:r>
        <w:rPr/>
        <w:t>年</w:t>
      </w:r>
      <w:r>
        <w:rPr>
          <w:rFonts w:ascii="Times New Roman" w:hAnsi="Times New Roman" w:cs="Times New Roman" w:eastAsia="Times New Roman" w:hint="default"/>
        </w:rPr>
        <w:t>2</w:t>
      </w:r>
      <w:r>
        <w:rPr/>
        <w:t>月</w:t>
      </w:r>
      <w:r>
        <w:rPr>
          <w:rFonts w:ascii="Times New Roman" w:hAnsi="Times New Roman" w:cs="Times New Roman" w:eastAsia="Times New Roman" w:hint="default"/>
        </w:rPr>
        <w:t>16</w:t>
      </w:r>
      <w:r>
        <w:rPr/>
        <w:t>日，公司披露了《发行股份及支付现金购买资产并募集配套资金实施情况暨新增股份上市报告书》等相关 </w:t>
      </w:r>
      <w:r>
        <w:rPr>
          <w:spacing w:val="-2"/>
        </w:rPr>
        <w:t>公告、公司合计向西藏泓涵股权投资管理有限公司等</w:t>
      </w:r>
      <w:r>
        <w:rPr>
          <w:rFonts w:ascii="Times New Roman" w:hAnsi="Times New Roman" w:cs="Times New Roman" w:eastAsia="Times New Roman" w:hint="default"/>
          <w:spacing w:val="-2"/>
        </w:rPr>
        <w:t>6</w:t>
      </w:r>
      <w:r>
        <w:rPr>
          <w:spacing w:val="-2"/>
        </w:rPr>
        <w:t>家投资者发行</w:t>
      </w:r>
      <w:r>
        <w:rPr>
          <w:rFonts w:ascii="Times New Roman" w:hAnsi="Times New Roman" w:cs="Times New Roman" w:eastAsia="Times New Roman" w:hint="default"/>
          <w:spacing w:val="-2"/>
        </w:rPr>
        <w:t>10,928,561</w:t>
      </w:r>
      <w:r>
        <w:rPr>
          <w:spacing w:val="-2"/>
        </w:rPr>
        <w:t>股，新增股份的性质为有限售条件流通股，上</w:t>
      </w:r>
      <w:r>
        <w:rPr>
          <w:spacing w:val="-56"/>
        </w:rPr>
        <w:t> </w:t>
      </w:r>
      <w:r>
        <w:rPr>
          <w:spacing w:val="-56"/>
        </w:rPr>
      </w:r>
      <w:r>
        <w:rPr/>
        <w:t>市日为</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2</w:t>
      </w:r>
      <w:r>
        <w:rPr/>
        <w:t>月</w:t>
      </w:r>
      <w:r>
        <w:rPr>
          <w:rFonts w:ascii="Times New Roman" w:hAnsi="Times New Roman" w:cs="Times New Roman" w:eastAsia="Times New Roman" w:hint="default"/>
        </w:rPr>
        <w:t>20</w:t>
      </w:r>
      <w:r>
        <w:rPr/>
        <w:t>日。</w:t>
      </w:r>
    </w:p>
    <w:p>
      <w:pPr>
        <w:pStyle w:val="BodyText"/>
        <w:spacing w:line="240" w:lineRule="auto" w:before="13"/>
        <w:ind w:left="514" w:right="0"/>
        <w:jc w:val="left"/>
        <w:rPr>
          <w:rFonts w:ascii="Times New Roman" w:hAnsi="Times New Roman" w:cs="Times New Roman" w:eastAsia="Times New Roman" w:hint="default"/>
        </w:rPr>
      </w:pPr>
      <w:r>
        <w:rPr>
          <w:rFonts w:ascii="Times New Roman" w:hAnsi="Times New Roman" w:cs="Times New Roman" w:eastAsia="Times New Roman" w:hint="default"/>
        </w:rPr>
        <w:t>2017</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20</w:t>
      </w:r>
      <w:r>
        <w:rPr/>
        <w:t>日，公司披露了《关于部分股票期权注销和部分限制性股票回购注销完成的公告》，公司已完成</w:t>
      </w:r>
      <w:r>
        <w:rPr>
          <w:rFonts w:ascii="Times New Roman" w:hAnsi="Times New Roman" w:cs="Times New Roman" w:eastAsia="Times New Roman" w:hint="default"/>
        </w:rPr>
        <w:t>1,941,223</w:t>
      </w:r>
    </w:p>
    <w:p>
      <w:pPr>
        <w:pStyle w:val="BodyText"/>
        <w:spacing w:line="240" w:lineRule="auto" w:before="63"/>
        <w:ind w:right="0"/>
        <w:jc w:val="both"/>
      </w:pPr>
      <w:r>
        <w:rPr/>
        <w:t>份股票期权、</w:t>
      </w:r>
      <w:r>
        <w:rPr>
          <w:rFonts w:ascii="Times New Roman" w:hAnsi="Times New Roman" w:cs="Times New Roman" w:eastAsia="Times New Roman" w:hint="default"/>
        </w:rPr>
        <w:t>1,693,402</w:t>
      </w:r>
      <w:r>
        <w:rPr/>
        <w:t>股限制性股票及</w:t>
      </w:r>
      <w:r>
        <w:rPr>
          <w:rFonts w:ascii="Times New Roman" w:hAnsi="Times New Roman" w:cs="Times New Roman" w:eastAsia="Times New Roman" w:hint="default"/>
        </w:rPr>
        <w:t>433,549</w:t>
      </w:r>
      <w:r>
        <w:rPr/>
        <w:t>股预留限制性股票的回购注销工作。</w:t>
      </w:r>
    </w:p>
    <w:p>
      <w:pPr>
        <w:pStyle w:val="BodyText"/>
        <w:spacing w:line="300" w:lineRule="auto" w:before="63"/>
        <w:ind w:left="154" w:right="1141" w:firstLine="360"/>
        <w:jc w:val="both"/>
      </w:pPr>
      <w:r>
        <w:rPr>
          <w:rFonts w:ascii="Times New Roman" w:hAnsi="Times New Roman" w:cs="Times New Roman" w:eastAsia="Times New Roman" w:hint="default"/>
        </w:rPr>
        <w:t>2017</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16</w:t>
      </w:r>
      <w:r>
        <w:rPr/>
        <w:t>日，公司披露了《关于限制性股票激励计划第一个解锁期限制性股票上市流通的提示性公告》，限制性股 票解锁数量为</w:t>
      </w:r>
      <w:r>
        <w:rPr>
          <w:rFonts w:ascii="Times New Roman" w:hAnsi="Times New Roman" w:cs="Times New Roman" w:eastAsia="Times New Roman" w:hint="default"/>
        </w:rPr>
        <w:t>1,943,200</w:t>
      </w:r>
      <w:r>
        <w:rPr/>
        <w:t>股，拟定上市流通日期为</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19</w:t>
      </w:r>
      <w:r>
        <w:rPr/>
        <w:t>日。</w:t>
      </w:r>
    </w:p>
    <w:p>
      <w:pPr>
        <w:pStyle w:val="BodyText"/>
        <w:spacing w:line="300" w:lineRule="auto" w:before="13"/>
        <w:ind w:right="1139" w:firstLine="360"/>
        <w:jc w:val="both"/>
      </w:pPr>
      <w:r>
        <w:rPr>
          <w:rFonts w:ascii="Times New Roman" w:hAnsi="Times New Roman" w:cs="Times New Roman" w:eastAsia="Times New Roman" w:hint="default"/>
        </w:rPr>
        <w:t>2017</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24</w:t>
      </w:r>
      <w:r>
        <w:rPr/>
        <w:t>日，公司披露了《关于部分限制性股票回购注销完成的公告》，公司已完成</w:t>
      </w:r>
      <w:r>
        <w:rPr>
          <w:rFonts w:ascii="Times New Roman" w:hAnsi="Times New Roman" w:cs="Times New Roman" w:eastAsia="Times New Roman" w:hint="default"/>
        </w:rPr>
        <w:t>11</w:t>
      </w:r>
      <w:r>
        <w:rPr/>
        <w:t>名相关激励对象首次授予的 限制性股票</w:t>
      </w:r>
      <w:r>
        <w:rPr>
          <w:rFonts w:ascii="Times New Roman" w:hAnsi="Times New Roman" w:cs="Times New Roman" w:eastAsia="Times New Roman" w:hint="default"/>
        </w:rPr>
        <w:t>122,000</w:t>
      </w:r>
      <w:r>
        <w:rPr/>
        <w:t>股的回购注销工作。</w:t>
      </w:r>
    </w:p>
    <w:p>
      <w:pPr>
        <w:pStyle w:val="BodyText"/>
        <w:spacing w:line="240" w:lineRule="auto" w:before="13"/>
        <w:ind w:left="513" w:right="0"/>
        <w:jc w:val="left"/>
      </w:pPr>
      <w:r>
        <w:rPr>
          <w:rFonts w:ascii="Times New Roman" w:hAnsi="Times New Roman" w:cs="Times New Roman" w:eastAsia="Times New Roman" w:hint="default"/>
        </w:rPr>
        <w:t>2017</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27</w:t>
      </w:r>
      <w:r>
        <w:rPr/>
        <w:t>日，公司披露了《</w:t>
      </w:r>
      <w:r>
        <w:rPr>
          <w:rFonts w:ascii="Times New Roman" w:hAnsi="Times New Roman" w:cs="Times New Roman" w:eastAsia="Times New Roman" w:hint="default"/>
        </w:rPr>
        <w:t>2016</w:t>
      </w:r>
      <w:r>
        <w:rPr/>
        <w:t>年年度权益分派实施公告的更正公告》，以资本公积金向全体股东每</w:t>
      </w:r>
      <w:r>
        <w:rPr>
          <w:rFonts w:ascii="Times New Roman" w:hAnsi="Times New Roman" w:cs="Times New Roman" w:eastAsia="Times New Roman" w:hint="default"/>
        </w:rPr>
        <w:t>10</w:t>
      </w:r>
      <w:r>
        <w:rPr/>
        <w:t>股转增</w:t>
      </w:r>
      <w:r>
        <w:rPr>
          <w:rFonts w:ascii="Times New Roman" w:hAnsi="Times New Roman" w:cs="Times New Roman" w:eastAsia="Times New Roman" w:hint="default"/>
        </w:rPr>
        <w:t>5</w:t>
      </w:r>
      <w:r>
        <w:rPr/>
        <w:t>股，</w:t>
      </w:r>
    </w:p>
    <w:p>
      <w:pPr>
        <w:spacing w:after="0" w:line="240"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40" w:lineRule="auto" w:before="44"/>
        <w:ind w:right="1393"/>
        <w:jc w:val="left"/>
      </w:pPr>
      <w:r>
        <w:rPr/>
        <w:t>权益分派股权登记日为：</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5</w:t>
      </w:r>
      <w:r>
        <w:rPr/>
        <w:t>日，除权除息日为：</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6</w:t>
      </w:r>
      <w:r>
        <w:rPr/>
        <w:t>日。 股份变动对最近一年和最近一期基本每股收益和稀释每股收益、归属于公司普通股股东的每股净资产等财务指标的影响</w:t>
      </w:r>
    </w:p>
    <w:p>
      <w:pPr>
        <w:pStyle w:val="BodyText"/>
        <w:spacing w:line="338" w:lineRule="auto" w:before="41"/>
        <w:ind w:left="513" w:right="1113" w:hanging="36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按股本</w:t>
      </w:r>
      <w:r>
        <w:rPr>
          <w:rFonts w:ascii="Times New Roman" w:hAnsi="Times New Roman" w:cs="Times New Roman" w:eastAsia="Times New Roman" w:hint="default"/>
        </w:rPr>
        <w:t>611,385,834</w:t>
      </w:r>
      <w:r>
        <w:rPr/>
        <w:t>股计算，公司</w:t>
      </w:r>
      <w:r>
        <w:rPr>
          <w:rFonts w:ascii="Times New Roman" w:hAnsi="Times New Roman" w:cs="Times New Roman" w:eastAsia="Times New Roman" w:hint="default"/>
        </w:rPr>
        <w:t>2017</w:t>
      </w:r>
      <w:r>
        <w:rPr/>
        <w:t>年度基本每股收益</w:t>
      </w:r>
      <w:r>
        <w:rPr>
          <w:rFonts w:ascii="宋体" w:hAnsi="宋体" w:cs="宋体" w:eastAsia="宋体" w:hint="default"/>
        </w:rPr>
        <w:t>0.22</w:t>
      </w:r>
      <w:r>
        <w:rPr/>
        <w:t>元</w:t>
      </w:r>
      <w:r>
        <w:rPr>
          <w:rFonts w:ascii="Times New Roman" w:hAnsi="Times New Roman" w:cs="Times New Roman" w:eastAsia="Times New Roman" w:hint="default"/>
        </w:rPr>
        <w:t>/</w:t>
      </w:r>
      <w:r>
        <w:rPr/>
        <w:t>股、稀释每股收益</w:t>
      </w:r>
      <w:r>
        <w:rPr>
          <w:rFonts w:ascii="宋体" w:hAnsi="宋体" w:cs="宋体" w:eastAsia="宋体" w:hint="default"/>
        </w:rPr>
        <w:t>0.22</w:t>
      </w:r>
      <w:r>
        <w:rPr/>
        <w:t>元</w:t>
      </w:r>
      <w:r>
        <w:rPr>
          <w:rFonts w:ascii="Times New Roman" w:hAnsi="Times New Roman" w:cs="Times New Roman" w:eastAsia="Times New Roman" w:hint="default"/>
        </w:rPr>
        <w:t>/</w:t>
      </w:r>
      <w:r>
        <w:rPr/>
        <w:t>股、归属于公司普通股股东的</w:t>
      </w:r>
    </w:p>
    <w:p>
      <w:pPr>
        <w:pStyle w:val="BodyText"/>
        <w:spacing w:line="217" w:lineRule="exact"/>
        <w:ind w:right="0"/>
        <w:jc w:val="left"/>
      </w:pPr>
      <w:r>
        <w:rPr/>
        <w:t>每股净资产</w:t>
      </w:r>
      <w:r>
        <w:rPr>
          <w:rFonts w:ascii="宋体" w:hAnsi="宋体" w:cs="宋体" w:eastAsia="宋体" w:hint="default"/>
        </w:rPr>
        <w:t>1.87</w:t>
      </w:r>
      <w:r>
        <w:rPr/>
        <w:t>元。</w:t>
      </w:r>
    </w:p>
    <w:p>
      <w:pPr>
        <w:pStyle w:val="BodyText"/>
        <w:spacing w:line="240" w:lineRule="auto" w:before="117"/>
        <w:ind w:left="154" w:right="0"/>
        <w:jc w:val="left"/>
      </w:pPr>
      <w:r>
        <w:rPr/>
        <w:t>公司认为必要或证券监管机构要求披露的其他内容</w:t>
      </w:r>
    </w:p>
    <w:p>
      <w:pPr>
        <w:pStyle w:val="BodyText"/>
        <w:spacing w:line="240" w:lineRule="auto" w:before="117"/>
        <w:ind w:left="154"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9"/>
        <w:rPr>
          <w:rFonts w:ascii="宋体" w:hAnsi="宋体" w:cs="宋体" w:eastAsia="宋体" w:hint="default"/>
          <w:sz w:val="25"/>
          <w:szCs w:val="25"/>
        </w:rPr>
      </w:pPr>
    </w:p>
    <w:p>
      <w:pPr>
        <w:pStyle w:val="Heading3"/>
        <w:spacing w:line="240" w:lineRule="auto"/>
        <w:ind w:left="153" w:right="0"/>
        <w:jc w:val="left"/>
        <w:rPr>
          <w:b w:val="0"/>
          <w:bCs w:val="0"/>
        </w:rPr>
      </w:pPr>
      <w:bookmarkStart w:name="2、限售股份变动情况" w:id="109"/>
      <w:bookmarkEnd w:id="109"/>
      <w:r>
        <w:rPr>
          <w:b w:val="0"/>
          <w:bCs w:val="0"/>
        </w:rPr>
      </w:r>
      <w:r>
        <w:rPr>
          <w:rFonts w:ascii="Times New Roman" w:hAnsi="Times New Roman" w:cs="Times New Roman" w:eastAsia="Times New Roman" w:hint="default"/>
        </w:rPr>
        <w:t>2</w:t>
      </w:r>
      <w:r>
        <w:rPr/>
        <w:t>、限售股份变动情况</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240" w:lineRule="auto" w:before="102"/>
        <w:ind w:left="0" w:right="1130"/>
        <w:jc w:val="right"/>
      </w:pPr>
      <w:r>
        <w:rPr/>
        <w:t>单位：股</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70"/>
        <w:gridCol w:w="1367"/>
        <w:gridCol w:w="1367"/>
        <w:gridCol w:w="1367"/>
        <w:gridCol w:w="1368"/>
        <w:gridCol w:w="1367"/>
        <w:gridCol w:w="1367"/>
      </w:tblGrid>
      <w:tr>
        <w:trPr>
          <w:trHeight w:val="713" w:hRule="exact"/>
        </w:trPr>
        <w:tc>
          <w:tcPr>
            <w:tcW w:w="13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37" w:right="0"/>
              <w:jc w:val="left"/>
              <w:rPr>
                <w:rFonts w:ascii="宋体" w:hAnsi="宋体" w:cs="宋体" w:eastAsia="宋体" w:hint="default"/>
                <w:sz w:val="18"/>
                <w:szCs w:val="18"/>
              </w:rPr>
            </w:pPr>
            <w:r>
              <w:rPr>
                <w:rFonts w:ascii="宋体" w:hAnsi="宋体" w:cs="宋体" w:eastAsia="宋体" w:hint="default"/>
                <w:sz w:val="18"/>
                <w:szCs w:val="18"/>
              </w:rPr>
              <w:t>期初限售股数</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588" w:right="47" w:hanging="540"/>
              <w:jc w:val="left"/>
              <w:rPr>
                <w:rFonts w:ascii="宋体" w:hAnsi="宋体" w:cs="宋体" w:eastAsia="宋体" w:hint="default"/>
                <w:sz w:val="18"/>
                <w:szCs w:val="18"/>
              </w:rPr>
            </w:pPr>
            <w:r>
              <w:rPr>
                <w:rFonts w:ascii="宋体" w:hAnsi="宋体" w:cs="宋体" w:eastAsia="宋体" w:hint="default"/>
                <w:sz w:val="18"/>
                <w:szCs w:val="18"/>
              </w:rPr>
              <w:t>本期解除限售股 数</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587" w:right="47" w:hanging="540"/>
              <w:jc w:val="left"/>
              <w:rPr>
                <w:rFonts w:ascii="宋体" w:hAnsi="宋体" w:cs="宋体" w:eastAsia="宋体" w:hint="default"/>
                <w:sz w:val="18"/>
                <w:szCs w:val="18"/>
              </w:rPr>
            </w:pPr>
            <w:r>
              <w:rPr>
                <w:rFonts w:ascii="宋体" w:hAnsi="宋体" w:cs="宋体" w:eastAsia="宋体" w:hint="default"/>
                <w:sz w:val="18"/>
                <w:szCs w:val="18"/>
              </w:rPr>
              <w:t>本期增加限售股 数</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39" w:right="0"/>
              <w:jc w:val="left"/>
              <w:rPr>
                <w:rFonts w:ascii="宋体" w:hAnsi="宋体" w:cs="宋体" w:eastAsia="宋体" w:hint="default"/>
                <w:sz w:val="18"/>
                <w:szCs w:val="18"/>
              </w:rPr>
            </w:pPr>
            <w:r>
              <w:rPr>
                <w:rFonts w:ascii="宋体" w:hAnsi="宋体" w:cs="宋体" w:eastAsia="宋体" w:hint="default"/>
                <w:sz w:val="18"/>
                <w:szCs w:val="18"/>
              </w:rPr>
              <w:t>期末限售股数</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18" w:right="0"/>
              <w:jc w:val="left"/>
              <w:rPr>
                <w:rFonts w:ascii="宋体" w:hAnsi="宋体" w:cs="宋体" w:eastAsia="宋体" w:hint="default"/>
                <w:sz w:val="18"/>
                <w:szCs w:val="18"/>
              </w:rPr>
            </w:pPr>
            <w:r>
              <w:rPr>
                <w:rFonts w:ascii="宋体" w:hAnsi="宋体" w:cs="宋体" w:eastAsia="宋体" w:hint="default"/>
                <w:sz w:val="18"/>
                <w:szCs w:val="18"/>
              </w:rPr>
              <w:t>限售原因</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37" w:right="0"/>
              <w:jc w:val="left"/>
              <w:rPr>
                <w:rFonts w:ascii="宋体" w:hAnsi="宋体" w:cs="宋体" w:eastAsia="宋体" w:hint="default"/>
                <w:sz w:val="18"/>
                <w:szCs w:val="18"/>
              </w:rPr>
            </w:pPr>
            <w:r>
              <w:rPr>
                <w:rFonts w:ascii="宋体" w:hAnsi="宋体" w:cs="宋体" w:eastAsia="宋体" w:hint="default"/>
                <w:sz w:val="18"/>
                <w:szCs w:val="18"/>
              </w:rPr>
              <w:t>解除限售日期</w:t>
            </w:r>
          </w:p>
        </w:tc>
      </w:tr>
      <w:tr>
        <w:trPr>
          <w:trHeight w:val="1026"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吴涵渠</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84,733,980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42,366,990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127,100,970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72"/>
              <w:jc w:val="left"/>
              <w:rPr>
                <w:rFonts w:ascii="宋体" w:hAnsi="宋体" w:cs="宋体" w:eastAsia="宋体" w:hint="default"/>
                <w:sz w:val="18"/>
                <w:szCs w:val="18"/>
              </w:rPr>
            </w:pPr>
            <w:r>
              <w:rPr>
                <w:rFonts w:ascii="宋体" w:hAnsi="宋体" w:cs="宋体" w:eastAsia="宋体" w:hint="default"/>
                <w:sz w:val="18"/>
                <w:szCs w:val="18"/>
              </w:rPr>
              <w:t>担任董监高锁 定、权益分派转 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59"/>
              <w:jc w:val="both"/>
              <w:rPr>
                <w:rFonts w:ascii="宋体" w:hAnsi="宋体" w:cs="宋体" w:eastAsia="宋体" w:hint="default"/>
                <w:sz w:val="18"/>
                <w:szCs w:val="18"/>
              </w:rPr>
            </w:pPr>
            <w:r>
              <w:rPr>
                <w:rFonts w:ascii="宋体" w:hAnsi="宋体" w:cs="宋体" w:eastAsia="宋体" w:hint="default"/>
                <w:sz w:val="18"/>
                <w:szCs w:val="18"/>
              </w:rPr>
              <w:t>任职期间每年按 其上年末持股数 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解除限售</w:t>
            </w:r>
          </w:p>
        </w:tc>
      </w:tr>
      <w:tr>
        <w:trPr>
          <w:trHeight w:val="1026"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黄斌</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14,452,572</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7,226,286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21,678,857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72"/>
              <w:jc w:val="left"/>
              <w:rPr>
                <w:rFonts w:ascii="宋体" w:hAnsi="宋体" w:cs="宋体" w:eastAsia="宋体" w:hint="default"/>
                <w:sz w:val="18"/>
                <w:szCs w:val="18"/>
              </w:rPr>
            </w:pPr>
            <w:r>
              <w:rPr>
                <w:rFonts w:ascii="宋体" w:hAnsi="宋体" w:cs="宋体" w:eastAsia="宋体" w:hint="default"/>
                <w:sz w:val="18"/>
                <w:szCs w:val="18"/>
              </w:rPr>
              <w:t>担任董监高锁 定、权益分派转 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59"/>
              <w:jc w:val="both"/>
              <w:rPr>
                <w:rFonts w:ascii="宋体" w:hAnsi="宋体" w:cs="宋体" w:eastAsia="宋体" w:hint="default"/>
                <w:sz w:val="18"/>
                <w:szCs w:val="18"/>
              </w:rPr>
            </w:pPr>
            <w:r>
              <w:rPr>
                <w:rFonts w:ascii="宋体" w:hAnsi="宋体" w:cs="宋体" w:eastAsia="宋体" w:hint="default"/>
                <w:sz w:val="18"/>
                <w:szCs w:val="18"/>
              </w:rPr>
              <w:t>任职期间每年按 其上年末持股数 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解除限售</w:t>
            </w:r>
          </w:p>
        </w:tc>
      </w:tr>
      <w:tr>
        <w:trPr>
          <w:trHeight w:val="1026"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沈永健</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12,266,666</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6,133,333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18,399,999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2" w:right="72"/>
              <w:jc w:val="both"/>
              <w:rPr>
                <w:rFonts w:ascii="宋体" w:hAnsi="宋体" w:cs="宋体" w:eastAsia="宋体" w:hint="default"/>
                <w:sz w:val="18"/>
                <w:szCs w:val="18"/>
              </w:rPr>
            </w:pPr>
            <w:r>
              <w:rPr>
                <w:rFonts w:ascii="宋体" w:hAnsi="宋体" w:cs="宋体" w:eastAsia="宋体" w:hint="default"/>
                <w:sz w:val="18"/>
                <w:szCs w:val="18"/>
              </w:rPr>
              <w:t>首发后个人类限 售股、权益分派 转增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1026"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赵旭峰</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9,979,393</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5,514,733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15,494,126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72"/>
              <w:jc w:val="left"/>
              <w:rPr>
                <w:rFonts w:ascii="宋体" w:hAnsi="宋体" w:cs="宋体" w:eastAsia="宋体" w:hint="default"/>
                <w:sz w:val="18"/>
                <w:szCs w:val="18"/>
              </w:rPr>
            </w:pPr>
            <w:r>
              <w:rPr>
                <w:rFonts w:ascii="宋体" w:hAnsi="宋体" w:cs="宋体" w:eastAsia="宋体" w:hint="default"/>
                <w:sz w:val="18"/>
                <w:szCs w:val="18"/>
              </w:rPr>
              <w:t>担任董监高锁 定、权益分派转 增、增持</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59"/>
              <w:jc w:val="both"/>
              <w:rPr>
                <w:rFonts w:ascii="宋体" w:hAnsi="宋体" w:cs="宋体" w:eastAsia="宋体" w:hint="default"/>
                <w:sz w:val="18"/>
                <w:szCs w:val="18"/>
              </w:rPr>
            </w:pPr>
            <w:r>
              <w:rPr>
                <w:rFonts w:ascii="宋体" w:hAnsi="宋体" w:cs="宋体" w:eastAsia="宋体" w:hint="default"/>
                <w:sz w:val="18"/>
                <w:szCs w:val="18"/>
              </w:rPr>
              <w:t>任职期间每年按 其上年末持股数 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解除限售</w:t>
            </w:r>
          </w:p>
        </w:tc>
      </w:tr>
      <w:tr>
        <w:trPr>
          <w:trHeight w:val="1026"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邱荣邦</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9,085,915</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4,542,958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13,628,873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72"/>
              <w:jc w:val="left"/>
              <w:rPr>
                <w:rFonts w:ascii="宋体" w:hAnsi="宋体" w:cs="宋体" w:eastAsia="宋体" w:hint="default"/>
                <w:sz w:val="18"/>
                <w:szCs w:val="18"/>
              </w:rPr>
            </w:pPr>
            <w:r>
              <w:rPr>
                <w:rFonts w:ascii="宋体" w:hAnsi="宋体" w:cs="宋体" w:eastAsia="宋体" w:hint="default"/>
                <w:sz w:val="18"/>
                <w:szCs w:val="18"/>
              </w:rPr>
              <w:t>担任董监高锁 定、权益分派转 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59"/>
              <w:jc w:val="both"/>
              <w:rPr>
                <w:rFonts w:ascii="宋体" w:hAnsi="宋体" w:cs="宋体" w:eastAsia="宋体" w:hint="default"/>
                <w:sz w:val="18"/>
                <w:szCs w:val="18"/>
              </w:rPr>
            </w:pPr>
            <w:r>
              <w:rPr>
                <w:rFonts w:ascii="宋体" w:hAnsi="宋体" w:cs="宋体" w:eastAsia="宋体" w:hint="default"/>
                <w:sz w:val="18"/>
                <w:szCs w:val="18"/>
              </w:rPr>
              <w:t>任职期间每年按 其上年末持股数 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解除限售</w:t>
            </w:r>
          </w:p>
        </w:tc>
      </w:tr>
      <w:tr>
        <w:trPr>
          <w:trHeight w:val="1026"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郭卫华</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8,037,286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4,018,643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2,009,321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6,027,964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20"/>
              <w:jc w:val="both"/>
              <w:rPr>
                <w:rFonts w:ascii="Times New Roman" w:hAnsi="Times New Roman" w:cs="Times New Roman" w:eastAsia="Times New Roman" w:hint="default"/>
                <w:sz w:val="18"/>
                <w:szCs w:val="18"/>
              </w:rPr>
            </w:pPr>
            <w:r>
              <w:rPr>
                <w:rFonts w:ascii="宋体" w:hAnsi="宋体" w:cs="宋体" w:eastAsia="宋体" w:hint="default"/>
                <w:sz w:val="18"/>
                <w:szCs w:val="18"/>
              </w:rPr>
              <w:t>离任董监高职务 已满六个月未满 </w:t>
            </w:r>
            <w:r>
              <w:rPr>
                <w:rFonts w:ascii="Times New Roman" w:hAnsi="Times New Roman" w:cs="Times New Roman" w:eastAsia="Times New Roman" w:hint="default"/>
                <w:sz w:val="18"/>
                <w:szCs w:val="18"/>
              </w:rPr>
              <w:t>18 </w:t>
            </w:r>
            <w:r>
              <w:rPr>
                <w:rFonts w:ascii="宋体" w:hAnsi="宋体" w:cs="宋体" w:eastAsia="宋体" w:hint="default"/>
                <w:sz w:val="18"/>
                <w:szCs w:val="18"/>
              </w:rPr>
              <w:t>个月锁定</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50%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1026"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周维君</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4,133,333</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2,066,667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6,200,000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72"/>
              <w:jc w:val="both"/>
              <w:rPr>
                <w:rFonts w:ascii="宋体" w:hAnsi="宋体" w:cs="宋体" w:eastAsia="宋体" w:hint="default"/>
                <w:sz w:val="18"/>
                <w:szCs w:val="18"/>
              </w:rPr>
            </w:pPr>
            <w:r>
              <w:rPr>
                <w:rFonts w:ascii="宋体" w:hAnsi="宋体" w:cs="宋体" w:eastAsia="宋体" w:hint="default"/>
                <w:sz w:val="18"/>
                <w:szCs w:val="18"/>
              </w:rPr>
              <w:t>首发后个人类限 售股、权益分派 转增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1923"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6"/>
                <w:szCs w:val="26"/>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彭世新</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z w:val="18"/>
              </w:rPr>
              <w:t>3,789,815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z w:val="18"/>
              </w:rPr>
              <w:t>255,029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z w:val="18"/>
              </w:rPr>
              <w:t>1,767,393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z w:val="18"/>
              </w:rPr>
              <w:t>5,302,179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314" w:lineRule="auto"/>
              <w:ind w:left="22" w:right="29"/>
              <w:jc w:val="left"/>
              <w:rPr>
                <w:rFonts w:ascii="宋体" w:hAnsi="宋体" w:cs="宋体" w:eastAsia="宋体" w:hint="default"/>
                <w:sz w:val="18"/>
                <w:szCs w:val="18"/>
              </w:rPr>
            </w:pPr>
            <w:r>
              <w:rPr>
                <w:rFonts w:ascii="宋体" w:hAnsi="宋体" w:cs="宋体" w:eastAsia="宋体" w:hint="default"/>
                <w:sz w:val="18"/>
                <w:szCs w:val="18"/>
              </w:rPr>
              <w:t>担任董监高锁 定、</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年限制 性股票激励计划 限售股、权益分 派转增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2"/>
              <w:ind w:left="22" w:right="29"/>
              <w:jc w:val="left"/>
              <w:rPr>
                <w:rFonts w:ascii="宋体" w:hAnsi="宋体" w:cs="宋体" w:eastAsia="宋体" w:hint="default"/>
                <w:sz w:val="18"/>
                <w:szCs w:val="18"/>
              </w:rPr>
            </w:pPr>
            <w:r>
              <w:rPr>
                <w:rFonts w:ascii="宋体" w:hAnsi="宋体" w:cs="宋体" w:eastAsia="宋体" w:hint="default"/>
                <w:sz w:val="18"/>
                <w:szCs w:val="18"/>
              </w:rPr>
              <w:t>任职期间每年按 其上年末持股数 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解除限 售、自授予日起 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个月后分</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期根据每期的解</w:t>
            </w:r>
          </w:p>
        </w:tc>
      </w:tr>
    </w:tbl>
    <w:p>
      <w:pPr>
        <w:spacing w:after="0" w:line="309"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370"/>
        <w:gridCol w:w="1367"/>
        <w:gridCol w:w="1367"/>
        <w:gridCol w:w="1367"/>
        <w:gridCol w:w="1368"/>
        <w:gridCol w:w="1367"/>
        <w:gridCol w:w="1367"/>
      </w:tblGrid>
      <w:tr>
        <w:trPr>
          <w:trHeight w:val="674" w:hRule="exact"/>
        </w:trPr>
        <w:tc>
          <w:tcPr>
            <w:tcW w:w="1370"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2" w:right="72"/>
              <w:jc w:val="left"/>
              <w:rPr>
                <w:rFonts w:ascii="宋体" w:hAnsi="宋体" w:cs="宋体" w:eastAsia="宋体" w:hint="default"/>
                <w:sz w:val="18"/>
                <w:szCs w:val="18"/>
              </w:rPr>
            </w:pPr>
            <w:r>
              <w:rPr>
                <w:rFonts w:ascii="宋体" w:hAnsi="宋体" w:cs="宋体" w:eastAsia="宋体" w:hint="default"/>
                <w:sz w:val="18"/>
                <w:szCs w:val="18"/>
              </w:rPr>
              <w:t>锁条件达成情况 解锁。</w:t>
            </w:r>
          </w:p>
        </w:tc>
      </w:tr>
      <w:tr>
        <w:trPr>
          <w:trHeight w:val="2586"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9"/>
              <w:ind w:left="22" w:right="0"/>
              <w:jc w:val="left"/>
              <w:rPr>
                <w:rFonts w:ascii="宋体" w:hAnsi="宋体" w:cs="宋体" w:eastAsia="宋体" w:hint="default"/>
                <w:sz w:val="18"/>
                <w:szCs w:val="18"/>
              </w:rPr>
            </w:pPr>
            <w:r>
              <w:rPr>
                <w:rFonts w:ascii="宋体" w:hAnsi="宋体" w:cs="宋体" w:eastAsia="宋体" w:hint="default"/>
                <w:sz w:val="18"/>
                <w:szCs w:val="18"/>
              </w:rPr>
              <w:t>沈毅</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20"/>
              <w:jc w:val="right"/>
              <w:rPr>
                <w:rFonts w:ascii="Times New Roman" w:hAnsi="Times New Roman" w:cs="Times New Roman" w:eastAsia="Times New Roman" w:hint="default"/>
                <w:sz w:val="18"/>
                <w:szCs w:val="18"/>
              </w:rPr>
            </w:pPr>
            <w:r>
              <w:rPr>
                <w:rFonts w:ascii="Times New Roman"/>
                <w:sz w:val="18"/>
              </w:rPr>
              <w:t>3,683,314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20"/>
              <w:jc w:val="right"/>
              <w:rPr>
                <w:rFonts w:ascii="Times New Roman" w:hAnsi="Times New Roman" w:cs="Times New Roman" w:eastAsia="Times New Roman" w:hint="default"/>
                <w:sz w:val="18"/>
                <w:szCs w:val="18"/>
              </w:rPr>
            </w:pPr>
            <w:r>
              <w:rPr>
                <w:rFonts w:ascii="Times New Roman"/>
                <w:sz w:val="18"/>
              </w:rPr>
              <w:t>520,261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20"/>
              <w:jc w:val="right"/>
              <w:rPr>
                <w:rFonts w:ascii="Times New Roman" w:hAnsi="Times New Roman" w:cs="Times New Roman" w:eastAsia="Times New Roman" w:hint="default"/>
                <w:sz w:val="18"/>
                <w:szCs w:val="18"/>
              </w:rPr>
            </w:pPr>
            <w:r>
              <w:rPr>
                <w:rFonts w:ascii="Times New Roman"/>
                <w:sz w:val="18"/>
              </w:rPr>
              <w:t>1,581,526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20"/>
              <w:jc w:val="right"/>
              <w:rPr>
                <w:rFonts w:ascii="Times New Roman" w:hAnsi="Times New Roman" w:cs="Times New Roman" w:eastAsia="Times New Roman" w:hint="default"/>
                <w:sz w:val="18"/>
                <w:szCs w:val="18"/>
              </w:rPr>
            </w:pPr>
            <w:r>
              <w:rPr>
                <w:rFonts w:ascii="Times New Roman"/>
                <w:sz w:val="18"/>
              </w:rPr>
              <w:t>4,744,579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4" w:lineRule="auto" w:before="106"/>
              <w:ind w:left="22" w:right="29"/>
              <w:jc w:val="left"/>
              <w:rPr>
                <w:rFonts w:ascii="宋体" w:hAnsi="宋体" w:cs="宋体" w:eastAsia="宋体" w:hint="default"/>
                <w:sz w:val="18"/>
                <w:szCs w:val="18"/>
              </w:rPr>
            </w:pPr>
            <w:r>
              <w:rPr>
                <w:rFonts w:ascii="宋体" w:hAnsi="宋体" w:cs="宋体" w:eastAsia="宋体" w:hint="default"/>
                <w:sz w:val="18"/>
                <w:szCs w:val="18"/>
              </w:rPr>
              <w:t>担任董监高锁 定、</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年限制 性股票激励计划 限售股、权益分 派转增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22" w:right="29"/>
              <w:jc w:val="left"/>
              <w:rPr>
                <w:rFonts w:ascii="宋体" w:hAnsi="宋体" w:cs="宋体" w:eastAsia="宋体" w:hint="default"/>
                <w:sz w:val="18"/>
                <w:szCs w:val="18"/>
              </w:rPr>
            </w:pPr>
            <w:r>
              <w:rPr>
                <w:rFonts w:ascii="宋体" w:hAnsi="宋体" w:cs="宋体" w:eastAsia="宋体" w:hint="default"/>
                <w:sz w:val="18"/>
                <w:szCs w:val="18"/>
              </w:rPr>
              <w:t>任职期间每年按 其上年末持股数 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解除限 售、自授予日起 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个月后分</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期根据每期的解 锁条件达成情况 解锁。</w:t>
            </w:r>
          </w:p>
        </w:tc>
      </w:tr>
      <w:tr>
        <w:trPr>
          <w:trHeight w:val="1026"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5"/>
              <w:jc w:val="left"/>
              <w:rPr>
                <w:rFonts w:ascii="宋体" w:hAnsi="宋体" w:cs="宋体" w:eastAsia="宋体" w:hint="default"/>
                <w:sz w:val="18"/>
                <w:szCs w:val="18"/>
              </w:rPr>
            </w:pPr>
            <w:r>
              <w:rPr>
                <w:rFonts w:ascii="宋体" w:hAnsi="宋体" w:cs="宋体" w:eastAsia="宋体" w:hint="default"/>
                <w:sz w:val="18"/>
                <w:szCs w:val="18"/>
              </w:rPr>
              <w:t>广州中照龙腾资 产管理合伙企业</w:t>
            </w:r>
          </w:p>
          <w:p>
            <w:pPr>
              <w:pStyle w:val="TableParagraph"/>
              <w:spacing w:line="240" w:lineRule="auto" w:before="20"/>
              <w:ind w:left="22" w:right="0"/>
              <w:jc w:val="left"/>
              <w:rPr>
                <w:rFonts w:ascii="宋体" w:hAnsi="宋体" w:cs="宋体" w:eastAsia="宋体" w:hint="default"/>
                <w:sz w:val="18"/>
                <w:szCs w:val="18"/>
              </w:rPr>
            </w:pPr>
            <w:r>
              <w:rPr>
                <w:rFonts w:ascii="宋体" w:hAnsi="宋体" w:cs="宋体" w:eastAsia="宋体" w:hint="default"/>
                <w:sz w:val="18"/>
                <w:szCs w:val="18"/>
              </w:rPr>
              <w:t>（有限合伙）</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1,800,000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900,000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2,700,000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2"/>
              <w:jc w:val="both"/>
              <w:rPr>
                <w:rFonts w:ascii="宋体" w:hAnsi="宋体" w:cs="宋体" w:eastAsia="宋体" w:hint="default"/>
                <w:sz w:val="18"/>
                <w:szCs w:val="18"/>
              </w:rPr>
            </w:pPr>
            <w:r>
              <w:rPr>
                <w:rFonts w:ascii="宋体" w:hAnsi="宋体" w:cs="宋体" w:eastAsia="宋体" w:hint="default"/>
                <w:sz w:val="18"/>
                <w:szCs w:val="18"/>
              </w:rPr>
              <w:t>首发后机构类限 售股、权益分派 转增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1026"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5"/>
              <w:jc w:val="both"/>
              <w:rPr>
                <w:rFonts w:ascii="宋体" w:hAnsi="宋体" w:cs="宋体" w:eastAsia="宋体" w:hint="default"/>
                <w:sz w:val="18"/>
                <w:szCs w:val="18"/>
              </w:rPr>
            </w:pPr>
            <w:r>
              <w:rPr>
                <w:rFonts w:ascii="宋体" w:hAnsi="宋体" w:cs="宋体" w:eastAsia="宋体" w:hint="default"/>
                <w:sz w:val="18"/>
                <w:szCs w:val="18"/>
              </w:rPr>
              <w:t>深圳前海汉华源 投资企业（有限 合伙）</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1,368,000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684,000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2,052,000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2"/>
              <w:jc w:val="both"/>
              <w:rPr>
                <w:rFonts w:ascii="宋体" w:hAnsi="宋体" w:cs="宋体" w:eastAsia="宋体" w:hint="default"/>
                <w:sz w:val="18"/>
                <w:szCs w:val="18"/>
              </w:rPr>
            </w:pPr>
            <w:r>
              <w:rPr>
                <w:rFonts w:ascii="宋体" w:hAnsi="宋体" w:cs="宋体" w:eastAsia="宋体" w:hint="default"/>
                <w:sz w:val="18"/>
                <w:szCs w:val="18"/>
              </w:rPr>
              <w:t>首发后机构类限 售股、权益分派 转增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2586"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22" w:right="0"/>
              <w:jc w:val="left"/>
              <w:rPr>
                <w:rFonts w:ascii="宋体" w:hAnsi="宋体" w:cs="宋体" w:eastAsia="宋体" w:hint="default"/>
                <w:sz w:val="18"/>
                <w:szCs w:val="18"/>
              </w:rPr>
            </w:pPr>
            <w:r>
              <w:rPr>
                <w:rFonts w:ascii="宋体" w:hAnsi="宋体" w:cs="宋体" w:eastAsia="宋体" w:hint="default"/>
                <w:sz w:val="18"/>
                <w:szCs w:val="18"/>
              </w:rPr>
              <w:t>杨四化</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20"/>
              <w:jc w:val="right"/>
              <w:rPr>
                <w:rFonts w:ascii="Times New Roman" w:hAnsi="Times New Roman" w:cs="Times New Roman" w:eastAsia="Times New Roman" w:hint="default"/>
                <w:sz w:val="18"/>
                <w:szCs w:val="18"/>
              </w:rPr>
            </w:pPr>
            <w:r>
              <w:rPr>
                <w:rFonts w:ascii="Times New Roman"/>
                <w:sz w:val="18"/>
              </w:rPr>
              <w:t>1,089,504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20"/>
              <w:jc w:val="right"/>
              <w:rPr>
                <w:rFonts w:ascii="Times New Roman" w:hAnsi="Times New Roman" w:cs="Times New Roman" w:eastAsia="Times New Roman" w:hint="default"/>
                <w:sz w:val="18"/>
                <w:szCs w:val="18"/>
              </w:rPr>
            </w:pPr>
            <w:r>
              <w:rPr>
                <w:rFonts w:ascii="Times New Roman"/>
                <w:sz w:val="18"/>
              </w:rPr>
              <w:t>255,029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20"/>
              <w:jc w:val="right"/>
              <w:rPr>
                <w:rFonts w:ascii="Times New Roman" w:hAnsi="Times New Roman" w:cs="Times New Roman" w:eastAsia="Times New Roman" w:hint="default"/>
                <w:sz w:val="18"/>
                <w:szCs w:val="18"/>
              </w:rPr>
            </w:pPr>
            <w:r>
              <w:rPr>
                <w:rFonts w:ascii="Times New Roman"/>
                <w:sz w:val="18"/>
              </w:rPr>
              <w:t>1,003,265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20"/>
              <w:jc w:val="right"/>
              <w:rPr>
                <w:rFonts w:ascii="Times New Roman" w:hAnsi="Times New Roman" w:cs="Times New Roman" w:eastAsia="Times New Roman" w:hint="default"/>
                <w:sz w:val="18"/>
                <w:szCs w:val="18"/>
              </w:rPr>
            </w:pPr>
            <w:r>
              <w:rPr>
                <w:rFonts w:ascii="Times New Roman"/>
                <w:sz w:val="18"/>
              </w:rPr>
              <w:t>1,837,740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4" w:lineRule="auto" w:before="105"/>
              <w:ind w:left="22" w:right="29"/>
              <w:jc w:val="left"/>
              <w:rPr>
                <w:rFonts w:ascii="宋体" w:hAnsi="宋体" w:cs="宋体" w:eastAsia="宋体" w:hint="default"/>
                <w:sz w:val="18"/>
                <w:szCs w:val="18"/>
              </w:rPr>
            </w:pPr>
            <w:r>
              <w:rPr>
                <w:rFonts w:ascii="宋体" w:hAnsi="宋体" w:cs="宋体" w:eastAsia="宋体" w:hint="default"/>
                <w:sz w:val="18"/>
                <w:szCs w:val="18"/>
              </w:rPr>
              <w:t>担任董监高锁 定、</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年限制 性股票激励计划 限售股、权益分 派转增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22" w:right="29"/>
              <w:jc w:val="left"/>
              <w:rPr>
                <w:rFonts w:ascii="宋体" w:hAnsi="宋体" w:cs="宋体" w:eastAsia="宋体" w:hint="default"/>
                <w:sz w:val="18"/>
                <w:szCs w:val="18"/>
              </w:rPr>
            </w:pPr>
            <w:r>
              <w:rPr>
                <w:rFonts w:ascii="宋体" w:hAnsi="宋体" w:cs="宋体" w:eastAsia="宋体" w:hint="default"/>
                <w:sz w:val="18"/>
                <w:szCs w:val="18"/>
              </w:rPr>
              <w:t>任职期间每年按 其上年末持股数 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解除限 售、自授予日起 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个月后分</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期根据每期的解 锁条件达成情况 解锁。</w:t>
            </w:r>
          </w:p>
        </w:tc>
      </w:tr>
      <w:tr>
        <w:trPr>
          <w:trHeight w:val="2586"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22" w:right="0"/>
              <w:jc w:val="left"/>
              <w:rPr>
                <w:rFonts w:ascii="宋体" w:hAnsi="宋体" w:cs="宋体" w:eastAsia="宋体" w:hint="default"/>
                <w:sz w:val="18"/>
                <w:szCs w:val="18"/>
              </w:rPr>
            </w:pPr>
            <w:r>
              <w:rPr>
                <w:rFonts w:ascii="宋体" w:hAnsi="宋体" w:cs="宋体" w:eastAsia="宋体" w:hint="default"/>
                <w:sz w:val="18"/>
                <w:szCs w:val="18"/>
              </w:rPr>
              <w:t>吴振志</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19"/>
              <w:jc w:val="right"/>
              <w:rPr>
                <w:rFonts w:ascii="Times New Roman" w:hAnsi="Times New Roman" w:cs="Times New Roman" w:eastAsia="Times New Roman" w:hint="default"/>
                <w:sz w:val="18"/>
                <w:szCs w:val="18"/>
              </w:rPr>
            </w:pPr>
            <w:r>
              <w:rPr>
                <w:rFonts w:ascii="Times New Roman"/>
                <w:sz w:val="18"/>
              </w:rPr>
              <w:t>591,847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20"/>
              <w:jc w:val="right"/>
              <w:rPr>
                <w:rFonts w:ascii="Times New Roman" w:hAnsi="Times New Roman" w:cs="Times New Roman" w:eastAsia="Times New Roman" w:hint="default"/>
                <w:sz w:val="18"/>
                <w:szCs w:val="18"/>
              </w:rPr>
            </w:pPr>
            <w:r>
              <w:rPr>
                <w:rFonts w:ascii="Times New Roman"/>
                <w:sz w:val="18"/>
              </w:rPr>
              <w:t>153,019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19"/>
              <w:jc w:val="right"/>
              <w:rPr>
                <w:rFonts w:ascii="Times New Roman" w:hAnsi="Times New Roman" w:cs="Times New Roman" w:eastAsia="Times New Roman" w:hint="default"/>
                <w:sz w:val="18"/>
                <w:szCs w:val="18"/>
              </w:rPr>
            </w:pPr>
            <w:r>
              <w:rPr>
                <w:rFonts w:ascii="Times New Roman"/>
                <w:sz w:val="18"/>
              </w:rPr>
              <w:t>219,413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19"/>
              <w:jc w:val="right"/>
              <w:rPr>
                <w:rFonts w:ascii="Times New Roman" w:hAnsi="Times New Roman" w:cs="Times New Roman" w:eastAsia="Times New Roman" w:hint="default"/>
                <w:sz w:val="18"/>
                <w:szCs w:val="18"/>
              </w:rPr>
            </w:pPr>
            <w:r>
              <w:rPr>
                <w:rFonts w:ascii="Times New Roman"/>
                <w:sz w:val="18"/>
              </w:rPr>
              <w:t>658,241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4" w:lineRule="auto" w:before="105"/>
              <w:ind w:left="22" w:right="29"/>
              <w:jc w:val="left"/>
              <w:rPr>
                <w:rFonts w:ascii="宋体" w:hAnsi="宋体" w:cs="宋体" w:eastAsia="宋体" w:hint="default"/>
                <w:sz w:val="18"/>
                <w:szCs w:val="18"/>
              </w:rPr>
            </w:pPr>
            <w:r>
              <w:rPr>
                <w:rFonts w:ascii="宋体" w:hAnsi="宋体" w:cs="宋体" w:eastAsia="宋体" w:hint="default"/>
                <w:sz w:val="18"/>
                <w:szCs w:val="18"/>
              </w:rPr>
              <w:t>担任董监高锁 定、</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年限制 性股票激励计划 限售股、权益分 派转增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22" w:right="29"/>
              <w:jc w:val="left"/>
              <w:rPr>
                <w:rFonts w:ascii="宋体" w:hAnsi="宋体" w:cs="宋体" w:eastAsia="宋体" w:hint="default"/>
                <w:sz w:val="18"/>
                <w:szCs w:val="18"/>
              </w:rPr>
            </w:pPr>
            <w:r>
              <w:rPr>
                <w:rFonts w:ascii="宋体" w:hAnsi="宋体" w:cs="宋体" w:eastAsia="宋体" w:hint="default"/>
                <w:sz w:val="18"/>
                <w:szCs w:val="18"/>
              </w:rPr>
              <w:t>任职期间每年按 其上年末持股数 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解除限 售、自授予日起 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个月后分</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期根据每期的解 锁条件达成情况 解锁。</w:t>
            </w:r>
          </w:p>
        </w:tc>
      </w:tr>
      <w:tr>
        <w:trPr>
          <w:trHeight w:val="2586"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22" w:right="0"/>
              <w:jc w:val="left"/>
              <w:rPr>
                <w:rFonts w:ascii="宋体" w:hAnsi="宋体" w:cs="宋体" w:eastAsia="宋体" w:hint="default"/>
                <w:sz w:val="18"/>
                <w:szCs w:val="18"/>
              </w:rPr>
            </w:pPr>
            <w:r>
              <w:rPr>
                <w:rFonts w:ascii="宋体" w:hAnsi="宋体" w:cs="宋体" w:eastAsia="宋体" w:hint="default"/>
                <w:sz w:val="18"/>
                <w:szCs w:val="18"/>
              </w:rPr>
              <w:t>矫人全</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19"/>
              <w:jc w:val="right"/>
              <w:rPr>
                <w:rFonts w:ascii="Times New Roman" w:hAnsi="Times New Roman" w:cs="Times New Roman" w:eastAsia="Times New Roman" w:hint="default"/>
                <w:sz w:val="18"/>
                <w:szCs w:val="18"/>
              </w:rPr>
            </w:pPr>
            <w:r>
              <w:rPr>
                <w:rFonts w:ascii="Times New Roman"/>
                <w:sz w:val="18"/>
              </w:rPr>
              <w:t>401,725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20"/>
              <w:jc w:val="right"/>
              <w:rPr>
                <w:rFonts w:ascii="Times New Roman" w:hAnsi="Times New Roman" w:cs="Times New Roman" w:eastAsia="Times New Roman" w:hint="default"/>
                <w:sz w:val="18"/>
                <w:szCs w:val="18"/>
              </w:rPr>
            </w:pPr>
            <w:r>
              <w:rPr>
                <w:rFonts w:ascii="Times New Roman"/>
                <w:sz w:val="18"/>
              </w:rPr>
              <w:t>285,634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19"/>
              <w:jc w:val="right"/>
              <w:rPr>
                <w:rFonts w:ascii="Times New Roman" w:hAnsi="Times New Roman" w:cs="Times New Roman" w:eastAsia="Times New Roman" w:hint="default"/>
                <w:sz w:val="18"/>
                <w:szCs w:val="18"/>
              </w:rPr>
            </w:pPr>
            <w:r>
              <w:rPr>
                <w:rFonts w:ascii="Times New Roman"/>
                <w:sz w:val="18"/>
              </w:rPr>
              <w:t>778,045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19"/>
              <w:jc w:val="right"/>
              <w:rPr>
                <w:rFonts w:ascii="Times New Roman" w:hAnsi="Times New Roman" w:cs="Times New Roman" w:eastAsia="Times New Roman" w:hint="default"/>
                <w:sz w:val="18"/>
                <w:szCs w:val="18"/>
              </w:rPr>
            </w:pPr>
            <w:r>
              <w:rPr>
                <w:rFonts w:ascii="Times New Roman"/>
                <w:sz w:val="18"/>
              </w:rPr>
              <w:t>894,136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4" w:lineRule="auto" w:before="105"/>
              <w:ind w:left="22" w:right="29"/>
              <w:jc w:val="left"/>
              <w:rPr>
                <w:rFonts w:ascii="宋体" w:hAnsi="宋体" w:cs="宋体" w:eastAsia="宋体" w:hint="default"/>
                <w:sz w:val="18"/>
                <w:szCs w:val="18"/>
              </w:rPr>
            </w:pPr>
            <w:r>
              <w:rPr>
                <w:rFonts w:ascii="宋体" w:hAnsi="宋体" w:cs="宋体" w:eastAsia="宋体" w:hint="default"/>
                <w:sz w:val="18"/>
                <w:szCs w:val="18"/>
              </w:rPr>
              <w:t>担任董监高锁 定、</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年限制 性股票激励计划 限售股、权益分 派转增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22" w:right="29"/>
              <w:jc w:val="left"/>
              <w:rPr>
                <w:rFonts w:ascii="宋体" w:hAnsi="宋体" w:cs="宋体" w:eastAsia="宋体" w:hint="default"/>
                <w:sz w:val="18"/>
                <w:szCs w:val="18"/>
              </w:rPr>
            </w:pPr>
            <w:r>
              <w:rPr>
                <w:rFonts w:ascii="宋体" w:hAnsi="宋体" w:cs="宋体" w:eastAsia="宋体" w:hint="default"/>
                <w:sz w:val="18"/>
                <w:szCs w:val="18"/>
              </w:rPr>
              <w:t>任职期间每年按 其上年末持股数 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解除限 售、自授予日起 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个月后分</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期根据每期的解 锁条件达成情况 解锁。</w:t>
            </w:r>
          </w:p>
        </w:tc>
      </w:tr>
      <w:tr>
        <w:trPr>
          <w:trHeight w:val="714"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罗晓珊</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216,000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108,000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324,000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71"/>
              <w:ind w:left="22" w:right="72"/>
              <w:jc w:val="left"/>
              <w:rPr>
                <w:rFonts w:ascii="宋体" w:hAnsi="宋体" w:cs="宋体" w:eastAsia="宋体" w:hint="default"/>
                <w:sz w:val="18"/>
                <w:szCs w:val="18"/>
              </w:rPr>
            </w:pPr>
            <w:r>
              <w:rPr>
                <w:rFonts w:ascii="宋体" w:hAnsi="宋体" w:cs="宋体" w:eastAsia="宋体" w:hint="default"/>
                <w:sz w:val="18"/>
                <w:szCs w:val="18"/>
              </w:rPr>
              <w:t>首发后个人类限 售股、权益分派</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370"/>
        <w:gridCol w:w="1367"/>
        <w:gridCol w:w="1367"/>
        <w:gridCol w:w="1367"/>
        <w:gridCol w:w="1368"/>
        <w:gridCol w:w="1367"/>
        <w:gridCol w:w="1367"/>
      </w:tblGrid>
      <w:tr>
        <w:trPr>
          <w:trHeight w:val="362" w:hRule="exact"/>
        </w:trPr>
        <w:tc>
          <w:tcPr>
            <w:tcW w:w="1370"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转增</w:t>
            </w: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王亚伟</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216,000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108,000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324,000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2"/>
              <w:jc w:val="both"/>
              <w:rPr>
                <w:rFonts w:ascii="宋体" w:hAnsi="宋体" w:cs="宋体" w:eastAsia="宋体" w:hint="default"/>
                <w:sz w:val="18"/>
                <w:szCs w:val="18"/>
              </w:rPr>
            </w:pPr>
            <w:r>
              <w:rPr>
                <w:rFonts w:ascii="宋体" w:hAnsi="宋体" w:cs="宋体" w:eastAsia="宋体" w:hint="default"/>
                <w:sz w:val="18"/>
                <w:szCs w:val="18"/>
              </w:rPr>
              <w:t>首发后个人类限 售股、权益分派 转增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2586"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22" w:right="0"/>
              <w:jc w:val="left"/>
              <w:rPr>
                <w:rFonts w:ascii="宋体" w:hAnsi="宋体" w:cs="宋体" w:eastAsia="宋体" w:hint="default"/>
                <w:sz w:val="18"/>
                <w:szCs w:val="18"/>
              </w:rPr>
            </w:pPr>
            <w:r>
              <w:rPr>
                <w:rFonts w:ascii="宋体" w:hAnsi="宋体" w:cs="宋体" w:eastAsia="宋体" w:hint="default"/>
                <w:sz w:val="18"/>
                <w:szCs w:val="18"/>
              </w:rPr>
              <w:t>孔德建</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19"/>
              <w:jc w:val="right"/>
              <w:rPr>
                <w:rFonts w:ascii="Times New Roman" w:hAnsi="Times New Roman" w:cs="Times New Roman" w:eastAsia="Times New Roman" w:hint="default"/>
                <w:sz w:val="18"/>
                <w:szCs w:val="18"/>
              </w:rPr>
            </w:pPr>
            <w:r>
              <w:rPr>
                <w:rFonts w:ascii="Times New Roman"/>
                <w:sz w:val="18"/>
              </w:rPr>
              <w:t>100,000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left="840" w:right="0"/>
              <w:jc w:val="left"/>
              <w:rPr>
                <w:rFonts w:ascii="Times New Roman" w:hAnsi="Times New Roman" w:cs="Times New Roman" w:eastAsia="Times New Roman" w:hint="default"/>
                <w:sz w:val="18"/>
                <w:szCs w:val="18"/>
              </w:rPr>
            </w:pPr>
            <w:r>
              <w:rPr>
                <w:rFonts w:ascii="Times New Roman"/>
                <w:sz w:val="18"/>
              </w:rPr>
              <w:t>25,000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19"/>
              <w:jc w:val="right"/>
              <w:rPr>
                <w:rFonts w:ascii="Times New Roman" w:hAnsi="Times New Roman" w:cs="Times New Roman" w:eastAsia="Times New Roman" w:hint="default"/>
                <w:sz w:val="18"/>
                <w:szCs w:val="18"/>
              </w:rPr>
            </w:pPr>
            <w:r>
              <w:rPr>
                <w:rFonts w:ascii="Times New Roman"/>
                <w:sz w:val="18"/>
              </w:rPr>
              <w:t>37,500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21"/>
              <w:jc w:val="right"/>
              <w:rPr>
                <w:rFonts w:ascii="Times New Roman" w:hAnsi="Times New Roman" w:cs="Times New Roman" w:eastAsia="Times New Roman" w:hint="default"/>
                <w:sz w:val="18"/>
                <w:szCs w:val="18"/>
              </w:rPr>
            </w:pPr>
            <w:r>
              <w:rPr>
                <w:rFonts w:ascii="Times New Roman"/>
                <w:spacing w:val="-2"/>
                <w:sz w:val="18"/>
              </w:rPr>
              <w:t>112,500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4" w:lineRule="auto" w:before="105"/>
              <w:ind w:left="22" w:right="29"/>
              <w:jc w:val="left"/>
              <w:rPr>
                <w:rFonts w:ascii="宋体" w:hAnsi="宋体" w:cs="宋体" w:eastAsia="宋体" w:hint="default"/>
                <w:sz w:val="18"/>
                <w:szCs w:val="18"/>
              </w:rPr>
            </w:pPr>
            <w:r>
              <w:rPr>
                <w:rFonts w:ascii="宋体" w:hAnsi="宋体" w:cs="宋体" w:eastAsia="宋体" w:hint="default"/>
                <w:sz w:val="18"/>
                <w:szCs w:val="18"/>
              </w:rPr>
              <w:t>担任董监高锁 定、</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年限制 性股票激励计划 限售股、权益分 派转增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22" w:right="29"/>
              <w:jc w:val="left"/>
              <w:rPr>
                <w:rFonts w:ascii="宋体" w:hAnsi="宋体" w:cs="宋体" w:eastAsia="宋体" w:hint="default"/>
                <w:sz w:val="18"/>
                <w:szCs w:val="18"/>
              </w:rPr>
            </w:pPr>
            <w:r>
              <w:rPr>
                <w:rFonts w:ascii="宋体" w:hAnsi="宋体" w:cs="宋体" w:eastAsia="宋体" w:hint="default"/>
                <w:sz w:val="18"/>
                <w:szCs w:val="18"/>
              </w:rPr>
              <w:t>任职期间每年按 其上年末持股数 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解除限 售、自授予日起 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个月后分</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期根据每期的解 锁条件达成情况 解锁。</w:t>
            </w:r>
          </w:p>
        </w:tc>
      </w:tr>
      <w:tr>
        <w:trPr>
          <w:trHeight w:val="1650"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2" w:right="30"/>
              <w:jc w:val="both"/>
              <w:rPr>
                <w:rFonts w:ascii="宋体" w:hAnsi="宋体" w:cs="宋体" w:eastAsia="宋体" w:hint="default"/>
                <w:sz w:val="18"/>
                <w:szCs w:val="18"/>
              </w:rPr>
            </w:pPr>
            <w:r>
              <w:rPr>
                <w:rFonts w:ascii="宋体" w:hAnsi="宋体" w:cs="宋体" w:eastAsia="宋体" w:hint="default"/>
                <w:sz w:val="18"/>
                <w:szCs w:val="18"/>
              </w:rPr>
              <w:t>中融基金－平安 银行－中融国际 信托－融耀定增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号集合资金信 托计划</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456,621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456,621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22" w:right="72"/>
              <w:jc w:val="both"/>
              <w:rPr>
                <w:rFonts w:ascii="宋体" w:hAnsi="宋体" w:cs="宋体" w:eastAsia="宋体" w:hint="default"/>
                <w:sz w:val="18"/>
                <w:szCs w:val="18"/>
              </w:rPr>
            </w:pPr>
            <w:r>
              <w:rPr>
                <w:rFonts w:ascii="宋体" w:hAnsi="宋体" w:cs="宋体" w:eastAsia="宋体" w:hint="default"/>
                <w:sz w:val="18"/>
                <w:szCs w:val="18"/>
              </w:rPr>
              <w:t>首发后机构类限 售股、权益分派 转增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1650"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2" w:right="30"/>
              <w:jc w:val="both"/>
              <w:rPr>
                <w:rFonts w:ascii="宋体" w:hAnsi="宋体" w:cs="宋体" w:eastAsia="宋体" w:hint="default"/>
                <w:sz w:val="18"/>
                <w:szCs w:val="18"/>
              </w:rPr>
            </w:pPr>
            <w:r>
              <w:rPr>
                <w:rFonts w:ascii="宋体" w:hAnsi="宋体" w:cs="宋体" w:eastAsia="宋体" w:hint="default"/>
                <w:sz w:val="18"/>
                <w:szCs w:val="18"/>
              </w:rPr>
              <w:t>中融基金－平安 银行－中融国际 信托－融耀定增 </w:t>
            </w: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号集合资金信 托计划</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799,087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799,087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22" w:right="72"/>
              <w:jc w:val="both"/>
              <w:rPr>
                <w:rFonts w:ascii="宋体" w:hAnsi="宋体" w:cs="宋体" w:eastAsia="宋体" w:hint="default"/>
                <w:sz w:val="18"/>
                <w:szCs w:val="18"/>
              </w:rPr>
            </w:pPr>
            <w:r>
              <w:rPr>
                <w:rFonts w:ascii="宋体" w:hAnsi="宋体" w:cs="宋体" w:eastAsia="宋体" w:hint="default"/>
                <w:sz w:val="18"/>
                <w:szCs w:val="18"/>
              </w:rPr>
              <w:t>首发后机构类限 售股、权益分派 转增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1650"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2" w:right="30"/>
              <w:jc w:val="both"/>
              <w:rPr>
                <w:rFonts w:ascii="宋体" w:hAnsi="宋体" w:cs="宋体" w:eastAsia="宋体" w:hint="default"/>
                <w:sz w:val="18"/>
                <w:szCs w:val="18"/>
              </w:rPr>
            </w:pPr>
            <w:r>
              <w:rPr>
                <w:rFonts w:ascii="宋体" w:hAnsi="宋体" w:cs="宋体" w:eastAsia="宋体" w:hint="default"/>
                <w:sz w:val="18"/>
                <w:szCs w:val="18"/>
              </w:rPr>
              <w:t>中融基金－平安 银行－中融国际 信托－融耀定增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号集合资金信 托计划</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342,465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342,465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22" w:right="72"/>
              <w:jc w:val="both"/>
              <w:rPr>
                <w:rFonts w:ascii="宋体" w:hAnsi="宋体" w:cs="宋体" w:eastAsia="宋体" w:hint="default"/>
                <w:sz w:val="18"/>
                <w:szCs w:val="18"/>
              </w:rPr>
            </w:pPr>
            <w:r>
              <w:rPr>
                <w:rFonts w:ascii="宋体" w:hAnsi="宋体" w:cs="宋体" w:eastAsia="宋体" w:hint="default"/>
                <w:sz w:val="18"/>
                <w:szCs w:val="18"/>
              </w:rPr>
              <w:t>首发后机构类限 售股、权益分派 转增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1650"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2" w:right="30"/>
              <w:jc w:val="both"/>
              <w:rPr>
                <w:rFonts w:ascii="宋体" w:hAnsi="宋体" w:cs="宋体" w:eastAsia="宋体" w:hint="default"/>
                <w:sz w:val="18"/>
                <w:szCs w:val="18"/>
              </w:rPr>
            </w:pPr>
            <w:r>
              <w:rPr>
                <w:rFonts w:ascii="宋体" w:hAnsi="宋体" w:cs="宋体" w:eastAsia="宋体" w:hint="default"/>
                <w:sz w:val="18"/>
                <w:szCs w:val="18"/>
              </w:rPr>
              <w:t>中融基金－平安 银行－中融国际 信托－融耀定增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号集合资金信 托计划</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456,621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456,621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22" w:right="72"/>
              <w:jc w:val="both"/>
              <w:rPr>
                <w:rFonts w:ascii="宋体" w:hAnsi="宋体" w:cs="宋体" w:eastAsia="宋体" w:hint="default"/>
                <w:sz w:val="18"/>
                <w:szCs w:val="18"/>
              </w:rPr>
            </w:pPr>
            <w:r>
              <w:rPr>
                <w:rFonts w:ascii="宋体" w:hAnsi="宋体" w:cs="宋体" w:eastAsia="宋体" w:hint="default"/>
                <w:sz w:val="18"/>
                <w:szCs w:val="18"/>
              </w:rPr>
              <w:t>首发后机构类限 售股、权益分派 转增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1650"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2" w:right="30"/>
              <w:jc w:val="both"/>
              <w:rPr>
                <w:rFonts w:ascii="宋体" w:hAnsi="宋体" w:cs="宋体" w:eastAsia="宋体" w:hint="default"/>
                <w:sz w:val="18"/>
                <w:szCs w:val="18"/>
              </w:rPr>
            </w:pPr>
            <w:r>
              <w:rPr>
                <w:rFonts w:ascii="宋体" w:hAnsi="宋体" w:cs="宋体" w:eastAsia="宋体" w:hint="default"/>
                <w:sz w:val="18"/>
                <w:szCs w:val="18"/>
              </w:rPr>
              <w:t>中融基金－平安 银行－中融国际 信托－融耀定增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号集合资金信 托计划</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2,054,794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2,054,794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22" w:right="72"/>
              <w:jc w:val="both"/>
              <w:rPr>
                <w:rFonts w:ascii="宋体" w:hAnsi="宋体" w:cs="宋体" w:eastAsia="宋体" w:hint="default"/>
                <w:sz w:val="18"/>
                <w:szCs w:val="18"/>
              </w:rPr>
            </w:pPr>
            <w:r>
              <w:rPr>
                <w:rFonts w:ascii="宋体" w:hAnsi="宋体" w:cs="宋体" w:eastAsia="宋体" w:hint="default"/>
                <w:sz w:val="18"/>
                <w:szCs w:val="18"/>
              </w:rPr>
              <w:t>首发后机构类限 售股、权益分派 转增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1611"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5"/>
              <w:jc w:val="both"/>
              <w:rPr>
                <w:rFonts w:ascii="宋体" w:hAnsi="宋体" w:cs="宋体" w:eastAsia="宋体" w:hint="default"/>
                <w:sz w:val="18"/>
                <w:szCs w:val="18"/>
              </w:rPr>
            </w:pPr>
            <w:r>
              <w:rPr>
                <w:rFonts w:ascii="宋体" w:hAnsi="宋体" w:cs="宋体" w:eastAsia="宋体" w:hint="default"/>
                <w:sz w:val="18"/>
                <w:szCs w:val="18"/>
              </w:rPr>
              <w:t>中融基金－平安 银行－中融国际 信托－中融信托</w:t>
            </w:r>
          </w:p>
          <w:p>
            <w:pPr>
              <w:pStyle w:val="TableParagraph"/>
              <w:spacing w:line="300" w:lineRule="auto" w:before="19"/>
              <w:ind w:left="22" w:right="23"/>
              <w:jc w:val="both"/>
              <w:rPr>
                <w:rFonts w:ascii="宋体" w:hAnsi="宋体" w:cs="宋体" w:eastAsia="宋体" w:hint="default"/>
                <w:sz w:val="18"/>
                <w:szCs w:val="18"/>
              </w:rPr>
            </w:pPr>
            <w:r>
              <w:rPr>
                <w:rFonts w:ascii="宋体" w:hAnsi="宋体" w:cs="宋体" w:eastAsia="宋体" w:hint="default"/>
                <w:sz w:val="18"/>
                <w:szCs w:val="18"/>
              </w:rPr>
              <w:t>－融耀定增</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号 集合资金信托计</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456,621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456,621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36"/>
              <w:ind w:left="22" w:right="72"/>
              <w:jc w:val="both"/>
              <w:rPr>
                <w:rFonts w:ascii="宋体" w:hAnsi="宋体" w:cs="宋体" w:eastAsia="宋体" w:hint="default"/>
                <w:sz w:val="18"/>
                <w:szCs w:val="18"/>
              </w:rPr>
            </w:pPr>
            <w:r>
              <w:rPr>
                <w:rFonts w:ascii="宋体" w:hAnsi="宋体" w:cs="宋体" w:eastAsia="宋体" w:hint="default"/>
                <w:sz w:val="18"/>
                <w:szCs w:val="18"/>
              </w:rPr>
              <w:t>首发后机构类限 售股、权益分派 转增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5"/>
                <w:szCs w:val="25"/>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370"/>
        <w:gridCol w:w="1367"/>
        <w:gridCol w:w="1367"/>
        <w:gridCol w:w="1367"/>
        <w:gridCol w:w="1368"/>
        <w:gridCol w:w="1367"/>
        <w:gridCol w:w="1367"/>
      </w:tblGrid>
      <w:tr>
        <w:trPr>
          <w:trHeight w:val="36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划</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22" w:right="75"/>
              <w:jc w:val="left"/>
              <w:rPr>
                <w:rFonts w:ascii="宋体" w:hAnsi="宋体" w:cs="宋体" w:eastAsia="宋体" w:hint="default"/>
                <w:sz w:val="18"/>
                <w:szCs w:val="18"/>
              </w:rPr>
            </w:pPr>
            <w:r>
              <w:rPr>
                <w:rFonts w:ascii="宋体" w:hAnsi="宋体" w:cs="宋体" w:eastAsia="宋体" w:hint="default"/>
                <w:sz w:val="18"/>
                <w:szCs w:val="18"/>
              </w:rPr>
              <w:t>西藏泓涵股权投 资管理有限公司</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1,712,328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1,712,328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2"/>
              <w:jc w:val="both"/>
              <w:rPr>
                <w:rFonts w:ascii="宋体" w:hAnsi="宋体" w:cs="宋体" w:eastAsia="宋体" w:hint="default"/>
                <w:sz w:val="18"/>
                <w:szCs w:val="18"/>
              </w:rPr>
            </w:pPr>
            <w:r>
              <w:rPr>
                <w:rFonts w:ascii="宋体" w:hAnsi="宋体" w:cs="宋体" w:eastAsia="宋体" w:hint="default"/>
                <w:sz w:val="18"/>
                <w:szCs w:val="18"/>
              </w:rPr>
              <w:t>首发后机构类限 售股、权益分派 转增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1650"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5"/>
              <w:jc w:val="both"/>
              <w:rPr>
                <w:rFonts w:ascii="宋体" w:hAnsi="宋体" w:cs="宋体" w:eastAsia="宋体" w:hint="default"/>
                <w:sz w:val="18"/>
                <w:szCs w:val="18"/>
              </w:rPr>
            </w:pPr>
            <w:r>
              <w:rPr>
                <w:rFonts w:ascii="宋体" w:hAnsi="宋体" w:cs="宋体" w:eastAsia="宋体" w:hint="default"/>
                <w:sz w:val="18"/>
                <w:szCs w:val="18"/>
              </w:rPr>
              <w:t>鹏华资产－浦发 银行－华宝信托</w:t>
            </w:r>
          </w:p>
          <w:p>
            <w:pPr>
              <w:pStyle w:val="TableParagraph"/>
              <w:spacing w:line="309" w:lineRule="auto" w:before="19"/>
              <w:ind w:left="22" w:right="30"/>
              <w:jc w:val="both"/>
              <w:rPr>
                <w:rFonts w:ascii="宋体" w:hAnsi="宋体" w:cs="宋体" w:eastAsia="宋体" w:hint="default"/>
                <w:sz w:val="18"/>
                <w:szCs w:val="18"/>
              </w:rPr>
            </w:pPr>
            <w:r>
              <w:rPr>
                <w:rFonts w:ascii="宋体" w:hAnsi="宋体" w:cs="宋体" w:eastAsia="宋体" w:hint="default"/>
                <w:sz w:val="18"/>
                <w:szCs w:val="18"/>
              </w:rPr>
              <w:t>－华宝－银河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51 </w:t>
            </w:r>
            <w:r>
              <w:rPr>
                <w:rFonts w:ascii="宋体" w:hAnsi="宋体" w:cs="宋体" w:eastAsia="宋体" w:hint="default"/>
                <w:sz w:val="18"/>
                <w:szCs w:val="18"/>
              </w:rPr>
              <w:t>号集合资金信托 计划</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3,424,657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3,424,657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22" w:right="72"/>
              <w:jc w:val="both"/>
              <w:rPr>
                <w:rFonts w:ascii="宋体" w:hAnsi="宋体" w:cs="宋体" w:eastAsia="宋体" w:hint="default"/>
                <w:sz w:val="18"/>
                <w:szCs w:val="18"/>
              </w:rPr>
            </w:pPr>
            <w:r>
              <w:rPr>
                <w:rFonts w:ascii="宋体" w:hAnsi="宋体" w:cs="宋体" w:eastAsia="宋体" w:hint="default"/>
                <w:sz w:val="18"/>
                <w:szCs w:val="18"/>
              </w:rPr>
              <w:t>首发后机构类限 售股、权益分派 转增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1026"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5"/>
              <w:jc w:val="both"/>
              <w:rPr>
                <w:rFonts w:ascii="宋体" w:hAnsi="宋体" w:cs="宋体" w:eastAsia="宋体" w:hint="default"/>
                <w:sz w:val="18"/>
                <w:szCs w:val="18"/>
              </w:rPr>
            </w:pPr>
            <w:r>
              <w:rPr>
                <w:rFonts w:ascii="宋体" w:hAnsi="宋体" w:cs="宋体" w:eastAsia="宋体" w:hint="default"/>
                <w:sz w:val="18"/>
                <w:szCs w:val="18"/>
              </w:rPr>
              <w:t>山东省国有资产 投资控股有限公 司</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2,123,438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2,123,438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2"/>
              <w:jc w:val="both"/>
              <w:rPr>
                <w:rFonts w:ascii="宋体" w:hAnsi="宋体" w:cs="宋体" w:eastAsia="宋体" w:hint="default"/>
                <w:sz w:val="18"/>
                <w:szCs w:val="18"/>
              </w:rPr>
            </w:pPr>
            <w:r>
              <w:rPr>
                <w:rFonts w:ascii="宋体" w:hAnsi="宋体" w:cs="宋体" w:eastAsia="宋体" w:hint="default"/>
                <w:sz w:val="18"/>
                <w:szCs w:val="18"/>
              </w:rPr>
              <w:t>首发后机构类限 售股、权益分派 转增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1338"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22" w:right="75"/>
              <w:jc w:val="both"/>
              <w:rPr>
                <w:rFonts w:ascii="宋体" w:hAnsi="宋体" w:cs="宋体" w:eastAsia="宋体" w:hint="default"/>
                <w:sz w:val="18"/>
                <w:szCs w:val="18"/>
              </w:rPr>
            </w:pPr>
            <w:r>
              <w:rPr>
                <w:rFonts w:ascii="宋体" w:hAnsi="宋体" w:cs="宋体" w:eastAsia="宋体" w:hint="default"/>
                <w:sz w:val="18"/>
                <w:szCs w:val="18"/>
              </w:rPr>
              <w:t>深圳市晨钟资产 管理有限责任公 司－晨钟报晓</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号基金</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z w:val="18"/>
              </w:rPr>
              <w:t>1,712,328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z w:val="18"/>
              </w:rPr>
              <w:t>1,712,328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22" w:right="72"/>
              <w:jc w:val="both"/>
              <w:rPr>
                <w:rFonts w:ascii="宋体" w:hAnsi="宋体" w:cs="宋体" w:eastAsia="宋体" w:hint="default"/>
                <w:sz w:val="18"/>
                <w:szCs w:val="18"/>
              </w:rPr>
            </w:pPr>
            <w:r>
              <w:rPr>
                <w:rFonts w:ascii="宋体" w:hAnsi="宋体" w:cs="宋体" w:eastAsia="宋体" w:hint="default"/>
                <w:sz w:val="18"/>
                <w:szCs w:val="18"/>
              </w:rPr>
              <w:t>首发后个人类限 售股、权益分派 转增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1026"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李辉</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2,853,881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2,853,881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2"/>
              <w:jc w:val="both"/>
              <w:rPr>
                <w:rFonts w:ascii="宋体" w:hAnsi="宋体" w:cs="宋体" w:eastAsia="宋体" w:hint="default"/>
                <w:sz w:val="18"/>
                <w:szCs w:val="18"/>
              </w:rPr>
            </w:pPr>
            <w:r>
              <w:rPr>
                <w:rFonts w:ascii="宋体" w:hAnsi="宋体" w:cs="宋体" w:eastAsia="宋体" w:hint="default"/>
                <w:sz w:val="18"/>
                <w:szCs w:val="18"/>
              </w:rPr>
              <w:t>首发后个人类限 售股、权益分派 转增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1650"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股权激励对象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4,187,979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2,485,179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1,022,400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2,725,200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9" w:lineRule="auto" w:before="156"/>
              <w:ind w:left="22" w:right="29"/>
              <w:jc w:val="both"/>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年限制性股 票激励计划限售 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自授予日起满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p>
          <w:p>
            <w:pPr>
              <w:pStyle w:val="TableParagraph"/>
              <w:spacing w:line="312" w:lineRule="auto" w:before="62"/>
              <w:ind w:left="22" w:right="71"/>
              <w:jc w:val="left"/>
              <w:rPr>
                <w:rFonts w:ascii="宋体" w:hAnsi="宋体" w:cs="宋体" w:eastAsia="宋体" w:hint="default"/>
                <w:sz w:val="18"/>
                <w:szCs w:val="18"/>
              </w:rPr>
            </w:pPr>
            <w:r>
              <w:rPr>
                <w:rFonts w:ascii="宋体" w:hAnsi="宋体" w:cs="宋体" w:eastAsia="宋体" w:hint="default"/>
                <w:sz w:val="18"/>
                <w:szCs w:val="18"/>
              </w:rPr>
              <w:t>个月后分</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期根</w:t>
            </w:r>
            <w:r>
              <w:rPr>
                <w:rFonts w:ascii="宋体" w:hAnsi="宋体" w:cs="宋体" w:eastAsia="宋体" w:hint="default"/>
                <w:spacing w:val="1"/>
                <w:sz w:val="18"/>
                <w:szCs w:val="18"/>
              </w:rPr>
              <w:t> </w:t>
            </w:r>
            <w:r>
              <w:rPr>
                <w:rFonts w:ascii="宋体" w:hAnsi="宋体" w:cs="宋体" w:eastAsia="宋体" w:hint="default"/>
                <w:sz w:val="18"/>
                <w:szCs w:val="18"/>
              </w:rPr>
              <w:t>据每期的解锁条</w:t>
            </w:r>
            <w:r>
              <w:rPr>
                <w:rFonts w:ascii="宋体" w:hAnsi="宋体" w:cs="宋体" w:eastAsia="宋体" w:hint="default"/>
                <w:sz w:val="18"/>
                <w:szCs w:val="18"/>
              </w:rPr>
              <w:t> 件达成情况解 锁。</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160,133,329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7,997,794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94,462,671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246,598,205</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7"/>
        <w:rPr>
          <w:rFonts w:ascii="Times New Roman" w:hAnsi="Times New Roman" w:cs="Times New Roman" w:eastAsia="Times New Roman" w:hint="default"/>
          <w:sz w:val="20"/>
          <w:szCs w:val="20"/>
        </w:rPr>
      </w:pPr>
    </w:p>
    <w:p>
      <w:pPr>
        <w:pStyle w:val="Heading2"/>
        <w:spacing w:line="240" w:lineRule="auto" w:before="26"/>
        <w:ind w:left="154" w:right="0"/>
        <w:jc w:val="left"/>
        <w:rPr>
          <w:b w:val="0"/>
          <w:bCs w:val="0"/>
        </w:rPr>
      </w:pPr>
      <w:bookmarkStart w:name="二、证券发行与上市情况" w:id="110"/>
      <w:bookmarkEnd w:id="110"/>
      <w:r>
        <w:rPr>
          <w:b w:val="0"/>
          <w:bCs w:val="0"/>
        </w:rPr>
      </w:r>
      <w:r>
        <w:rPr/>
        <w:t>二、证券发行与上市情况</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53" w:right="0"/>
        <w:jc w:val="left"/>
        <w:rPr>
          <w:b w:val="0"/>
          <w:bCs w:val="0"/>
        </w:rPr>
      </w:pPr>
      <w:bookmarkStart w:name="1、报告期内证券发行（不含优先股）情况" w:id="111"/>
      <w:bookmarkEnd w:id="111"/>
      <w:r>
        <w:rPr>
          <w:b w:val="0"/>
          <w:bCs w:val="0"/>
        </w:rPr>
      </w:r>
      <w:r>
        <w:rPr>
          <w:rFonts w:ascii="Times New Roman" w:hAnsi="Times New Roman" w:cs="Times New Roman" w:eastAsia="Times New Roman" w:hint="default"/>
        </w:rPr>
        <w:t>1</w:t>
      </w:r>
      <w:r>
        <w:rPr/>
        <w:t>、报告期内证券发行（不含优先股）情况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3"/>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1413"/>
        <w:gridCol w:w="1292"/>
        <w:gridCol w:w="1295"/>
        <w:gridCol w:w="1296"/>
        <w:gridCol w:w="1296"/>
        <w:gridCol w:w="1295"/>
        <w:gridCol w:w="1682"/>
      </w:tblGrid>
      <w:tr>
        <w:trPr>
          <w:trHeight w:val="714" w:hRule="exact"/>
        </w:trPr>
        <w:tc>
          <w:tcPr>
            <w:tcW w:w="14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430" w:right="70" w:hanging="360"/>
              <w:jc w:val="left"/>
              <w:rPr>
                <w:rFonts w:ascii="宋体" w:hAnsi="宋体" w:cs="宋体" w:eastAsia="宋体" w:hint="default"/>
                <w:sz w:val="18"/>
                <w:szCs w:val="18"/>
              </w:rPr>
            </w:pPr>
            <w:r>
              <w:rPr>
                <w:rFonts w:ascii="宋体" w:hAnsi="宋体" w:cs="宋体" w:eastAsia="宋体" w:hint="default"/>
                <w:sz w:val="18"/>
                <w:szCs w:val="18"/>
              </w:rPr>
              <w:t>股票及其衍生证 券名称</w:t>
            </w:r>
          </w:p>
        </w:tc>
        <w:tc>
          <w:tcPr>
            <w:tcW w:w="12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80" w:right="0"/>
              <w:jc w:val="left"/>
              <w:rPr>
                <w:rFonts w:ascii="宋体" w:hAnsi="宋体" w:cs="宋体" w:eastAsia="宋体" w:hint="default"/>
                <w:sz w:val="18"/>
                <w:szCs w:val="18"/>
              </w:rPr>
            </w:pPr>
            <w:r>
              <w:rPr>
                <w:rFonts w:ascii="宋体" w:hAnsi="宋体" w:cs="宋体" w:eastAsia="宋体" w:hint="default"/>
                <w:sz w:val="18"/>
                <w:szCs w:val="18"/>
              </w:rPr>
              <w:t>发行日期</w:t>
            </w:r>
          </w:p>
        </w:tc>
        <w:tc>
          <w:tcPr>
            <w:tcW w:w="1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462" w:right="22" w:hanging="440"/>
              <w:jc w:val="left"/>
              <w:rPr>
                <w:rFonts w:ascii="宋体" w:hAnsi="宋体" w:cs="宋体" w:eastAsia="宋体" w:hint="default"/>
                <w:sz w:val="18"/>
                <w:szCs w:val="18"/>
              </w:rPr>
            </w:pPr>
            <w:r>
              <w:rPr>
                <w:rFonts w:ascii="宋体" w:hAnsi="宋体" w:cs="宋体" w:eastAsia="宋体" w:hint="default"/>
                <w:spacing w:val="-4"/>
                <w:sz w:val="18"/>
                <w:szCs w:val="18"/>
              </w:rPr>
              <w:t>发行价格（或利</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率）</w:t>
            </w:r>
          </w:p>
        </w:tc>
        <w:tc>
          <w:tcPr>
            <w:tcW w:w="1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83" w:right="0"/>
              <w:jc w:val="left"/>
              <w:rPr>
                <w:rFonts w:ascii="宋体" w:hAnsi="宋体" w:cs="宋体" w:eastAsia="宋体" w:hint="default"/>
                <w:sz w:val="18"/>
                <w:szCs w:val="18"/>
              </w:rPr>
            </w:pPr>
            <w:r>
              <w:rPr>
                <w:rFonts w:ascii="宋体" w:hAnsi="宋体" w:cs="宋体" w:eastAsia="宋体" w:hint="default"/>
                <w:sz w:val="18"/>
                <w:szCs w:val="18"/>
              </w:rPr>
              <w:t>发行数量</w:t>
            </w:r>
          </w:p>
        </w:tc>
        <w:tc>
          <w:tcPr>
            <w:tcW w:w="1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82" w:right="0"/>
              <w:jc w:val="left"/>
              <w:rPr>
                <w:rFonts w:ascii="宋体" w:hAnsi="宋体" w:cs="宋体" w:eastAsia="宋体" w:hint="default"/>
                <w:sz w:val="18"/>
                <w:szCs w:val="18"/>
              </w:rPr>
            </w:pPr>
            <w:r>
              <w:rPr>
                <w:rFonts w:ascii="宋体" w:hAnsi="宋体" w:cs="宋体" w:eastAsia="宋体" w:hint="default"/>
                <w:sz w:val="18"/>
                <w:szCs w:val="18"/>
              </w:rPr>
              <w:t>上市日期</w:t>
            </w:r>
          </w:p>
        </w:tc>
        <w:tc>
          <w:tcPr>
            <w:tcW w:w="1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462" w:right="101" w:hanging="361"/>
              <w:jc w:val="left"/>
              <w:rPr>
                <w:rFonts w:ascii="宋体" w:hAnsi="宋体" w:cs="宋体" w:eastAsia="宋体" w:hint="default"/>
                <w:sz w:val="18"/>
                <w:szCs w:val="18"/>
              </w:rPr>
            </w:pPr>
            <w:r>
              <w:rPr>
                <w:rFonts w:ascii="宋体" w:hAnsi="宋体" w:cs="宋体" w:eastAsia="宋体" w:hint="default"/>
                <w:sz w:val="18"/>
                <w:szCs w:val="18"/>
              </w:rPr>
              <w:t>获准上市交易 数量</w:t>
            </w:r>
          </w:p>
        </w:tc>
        <w:tc>
          <w:tcPr>
            <w:tcW w:w="16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96" w:right="0"/>
              <w:jc w:val="left"/>
              <w:rPr>
                <w:rFonts w:ascii="宋体" w:hAnsi="宋体" w:cs="宋体" w:eastAsia="宋体" w:hint="default"/>
                <w:sz w:val="18"/>
                <w:szCs w:val="18"/>
              </w:rPr>
            </w:pPr>
            <w:r>
              <w:rPr>
                <w:rFonts w:ascii="宋体" w:hAnsi="宋体" w:cs="宋体" w:eastAsia="宋体" w:hint="default"/>
                <w:sz w:val="18"/>
                <w:szCs w:val="18"/>
              </w:rPr>
              <w:t>交易终止日期</w:t>
            </w:r>
          </w:p>
        </w:tc>
      </w:tr>
      <w:tr>
        <w:trPr>
          <w:trHeight w:val="401" w:hRule="exact"/>
        </w:trPr>
        <w:tc>
          <w:tcPr>
            <w:tcW w:w="9570"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股票类</w:t>
            </w:r>
          </w:p>
        </w:tc>
      </w:tr>
      <w:tr>
        <w:trPr>
          <w:trHeight w:val="715" w:hRule="exact"/>
        </w:trPr>
        <w:tc>
          <w:tcPr>
            <w:tcW w:w="14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非公开发行股票</w:t>
            </w:r>
          </w:p>
        </w:tc>
        <w:tc>
          <w:tcPr>
            <w:tcW w:w="12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13.14</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52" w:right="0"/>
              <w:jc w:val="left"/>
              <w:rPr>
                <w:rFonts w:ascii="Times New Roman" w:hAnsi="Times New Roman" w:cs="Times New Roman" w:eastAsia="Times New Roman" w:hint="default"/>
                <w:sz w:val="18"/>
                <w:szCs w:val="18"/>
              </w:rPr>
            </w:pPr>
            <w:r>
              <w:rPr>
                <w:rFonts w:ascii="Times New Roman"/>
                <w:sz w:val="18"/>
              </w:rPr>
              <w:t>10,928,561</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20</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51" w:right="0"/>
              <w:jc w:val="left"/>
              <w:rPr>
                <w:rFonts w:ascii="Times New Roman" w:hAnsi="Times New Roman" w:cs="Times New Roman" w:eastAsia="Times New Roman" w:hint="default"/>
                <w:sz w:val="18"/>
                <w:szCs w:val="18"/>
              </w:rPr>
            </w:pPr>
            <w:r>
              <w:rPr>
                <w:rFonts w:ascii="Times New Roman"/>
                <w:sz w:val="18"/>
              </w:rPr>
              <w:t>10,928,561</w:t>
            </w: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9570"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可转换公司债券、分离交易的可转换公司债券、公司债类</w:t>
            </w:r>
          </w:p>
        </w:tc>
      </w:tr>
      <w:tr>
        <w:trPr>
          <w:trHeight w:val="402" w:hRule="exact"/>
        </w:trPr>
        <w:tc>
          <w:tcPr>
            <w:tcW w:w="9570"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其他衍生证券类</w:t>
            </w:r>
          </w:p>
        </w:tc>
      </w:tr>
    </w:tbl>
    <w:p>
      <w:pPr>
        <w:pStyle w:val="BodyText"/>
        <w:spacing w:line="357" w:lineRule="auto" w:before="52"/>
        <w:ind w:left="514" w:right="0" w:hanging="360"/>
        <w:jc w:val="left"/>
      </w:pPr>
      <w:r>
        <w:rPr/>
        <w:t>报告期内证券发行（不含优先股）情况的说明 </w:t>
      </w:r>
      <w:r>
        <w:rPr>
          <w:spacing w:val="-2"/>
        </w:rPr>
        <w:t>经中国证券监督管理委员会《关于核准深圳市奥拓电子股份有限公司向沈永健等发行股份购买资产并募集配套资金的批</w:t>
      </w:r>
    </w:p>
    <w:p>
      <w:pPr>
        <w:spacing w:after="0" w:line="357"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00" w:lineRule="auto" w:before="44"/>
        <w:ind w:right="1130"/>
        <w:jc w:val="both"/>
      </w:pPr>
      <w:r>
        <w:rPr/>
        <w:t>复》</w:t>
      </w:r>
      <w:r>
        <w:rPr>
          <w:rFonts w:ascii="Times New Roman" w:hAnsi="Times New Roman" w:cs="Times New Roman" w:eastAsia="Times New Roman" w:hint="default"/>
        </w:rPr>
        <w:t>(</w:t>
      </w:r>
      <w:r>
        <w:rPr/>
        <w:t>证监许可</w:t>
      </w:r>
      <w:r>
        <w:rPr>
          <w:rFonts w:ascii="Times New Roman" w:hAnsi="Times New Roman" w:cs="Times New Roman" w:eastAsia="Times New Roman" w:hint="default"/>
        </w:rPr>
        <w:t>[2016]3079</w:t>
      </w:r>
      <w:r>
        <w:rPr/>
        <w:t>号</w:t>
      </w:r>
      <w:r>
        <w:rPr>
          <w:rFonts w:ascii="Times New Roman" w:hAnsi="Times New Roman" w:cs="Times New Roman" w:eastAsia="Times New Roman" w:hint="default"/>
        </w:rPr>
        <w:t>)</w:t>
      </w:r>
      <w:r>
        <w:rPr/>
        <w:t>核准，同意公司以非公开发行股票的方式向西藏泓涵股权投资管理有限公司、鹏华资产管理有</w:t>
      </w:r>
      <w:r>
        <w:rPr>
          <w:spacing w:val="-60"/>
        </w:rPr>
        <w:t> </w:t>
      </w:r>
      <w:r>
        <w:rPr>
          <w:spacing w:val="-60"/>
        </w:rPr>
      </w:r>
      <w:r>
        <w:rPr/>
        <w:t>限公司、李辉、深圳市晨钟资产管理有限责任公司、中融基金管理有限公司、山东省国有资产投资控股有限公司等</w:t>
      </w:r>
      <w:r>
        <w:rPr>
          <w:rFonts w:ascii="Times New Roman" w:hAnsi="Times New Roman" w:cs="Times New Roman" w:eastAsia="Times New Roman" w:hint="default"/>
        </w:rPr>
        <w:t>6</w:t>
      </w:r>
      <w:r>
        <w:rPr/>
        <w:t>名特定</w:t>
      </w:r>
      <w:r>
        <w:rPr>
          <w:spacing w:val="-83"/>
        </w:rPr>
        <w:t> </w:t>
      </w:r>
      <w:r>
        <w:rPr>
          <w:spacing w:val="-83"/>
        </w:rPr>
      </w:r>
      <w:r>
        <w:rPr>
          <w:spacing w:val="-1"/>
        </w:rPr>
        <w:t>投资者发行</w:t>
      </w:r>
      <w:r>
        <w:rPr>
          <w:rFonts w:ascii="Times New Roman" w:hAnsi="Times New Roman" w:cs="Times New Roman" w:eastAsia="Times New Roman" w:hint="default"/>
          <w:spacing w:val="-1"/>
        </w:rPr>
        <w:t>10,928,561</w:t>
      </w:r>
      <w:r>
        <w:rPr>
          <w:spacing w:val="-1"/>
        </w:rPr>
        <w:t>股新股，发行价格为每股人民币</w:t>
      </w:r>
      <w:r>
        <w:rPr>
          <w:rFonts w:ascii="Times New Roman" w:hAnsi="Times New Roman" w:cs="Times New Roman" w:eastAsia="Times New Roman" w:hint="default"/>
          <w:spacing w:val="-1"/>
        </w:rPr>
        <w:t>13.14</w:t>
      </w:r>
      <w:r>
        <w:rPr>
          <w:spacing w:val="-1"/>
        </w:rPr>
        <w:t>元，瑞华会计师事务所（特殊普通合伙）对公司本次发行的新增</w:t>
      </w:r>
      <w:r>
        <w:rPr>
          <w:spacing w:val="-70"/>
        </w:rPr>
        <w:t> </w:t>
      </w:r>
      <w:r>
        <w:rPr>
          <w:spacing w:val="-70"/>
        </w:rPr>
      </w:r>
      <w:r>
        <w:rPr/>
        <w:t>注册资本及股本情况进行了审验，并出具了</w:t>
      </w:r>
      <w:r>
        <w:rPr>
          <w:rFonts w:ascii="Times New Roman" w:hAnsi="Times New Roman" w:cs="Times New Roman" w:eastAsia="Times New Roman" w:hint="default"/>
        </w:rPr>
        <w:t>“</w:t>
      </w:r>
      <w:r>
        <w:rPr/>
        <w:t>瑞华验字</w:t>
      </w:r>
      <w:r>
        <w:rPr>
          <w:rFonts w:ascii="Times New Roman" w:hAnsi="Times New Roman" w:cs="Times New Roman" w:eastAsia="Times New Roman" w:hint="default"/>
        </w:rPr>
        <w:t>[2017]48170001</w:t>
      </w:r>
      <w:r>
        <w:rPr/>
        <w:t>号</w:t>
      </w:r>
      <w:r>
        <w:rPr>
          <w:rFonts w:ascii="Times New Roman" w:hAnsi="Times New Roman" w:cs="Times New Roman" w:eastAsia="Times New Roman" w:hint="default"/>
        </w:rPr>
        <w:t>”</w:t>
      </w:r>
      <w:r>
        <w:rPr/>
        <w:t>《验资报告》，非公开发行的</w:t>
      </w:r>
      <w:r>
        <w:rPr>
          <w:rFonts w:ascii="Times New Roman" w:hAnsi="Times New Roman" w:cs="Times New Roman" w:eastAsia="Times New Roman" w:hint="default"/>
        </w:rPr>
        <w:t>10,928,561</w:t>
      </w:r>
      <w:r>
        <w:rPr/>
        <w:t>股于</w:t>
      </w:r>
      <w:r>
        <w:rPr>
          <w:rFonts w:ascii="Times New Roman" w:hAnsi="Times New Roman" w:cs="Times New Roman" w:eastAsia="Times New Roman" w:hint="default"/>
        </w:rPr>
        <w:t>2017</w:t>
      </w:r>
      <w:r>
        <w:rPr>
          <w:rFonts w:ascii="Times New Roman" w:hAnsi="Times New Roman" w:cs="Times New Roman" w:eastAsia="Times New Roman" w:hint="default"/>
          <w:spacing w:val="30"/>
        </w:rPr>
        <w:t> </w:t>
      </w:r>
      <w:r>
        <w:rPr/>
        <w:t>年</w:t>
      </w:r>
      <w:r>
        <w:rPr>
          <w:rFonts w:ascii="Times New Roman" w:hAnsi="Times New Roman" w:cs="Times New Roman" w:eastAsia="Times New Roman" w:hint="default"/>
        </w:rPr>
        <w:t>2</w:t>
      </w:r>
      <w:r>
        <w:rPr/>
        <w:t>月</w:t>
      </w:r>
      <w:r>
        <w:rPr>
          <w:rFonts w:ascii="Times New Roman" w:hAnsi="Times New Roman" w:cs="Times New Roman" w:eastAsia="Times New Roman" w:hint="default"/>
        </w:rPr>
        <w:t>20</w:t>
      </w:r>
      <w:r>
        <w:rPr/>
        <w:t>日在深圳证券交易所上市。</w:t>
      </w:r>
    </w:p>
    <w:p>
      <w:pPr>
        <w:spacing w:line="240" w:lineRule="auto" w:before="1"/>
        <w:rPr>
          <w:rFonts w:ascii="宋体" w:hAnsi="宋体" w:cs="宋体" w:eastAsia="宋体" w:hint="default"/>
          <w:sz w:val="22"/>
          <w:szCs w:val="22"/>
        </w:rPr>
      </w:pPr>
    </w:p>
    <w:p>
      <w:pPr>
        <w:pStyle w:val="Heading3"/>
        <w:spacing w:line="240" w:lineRule="auto"/>
        <w:ind w:left="153" w:right="0"/>
        <w:jc w:val="left"/>
        <w:rPr>
          <w:b w:val="0"/>
          <w:bCs w:val="0"/>
        </w:rPr>
      </w:pPr>
      <w:bookmarkStart w:name="2、公司股份总数及股东结构的变动、公司资产和负债结构的变动情况说明" w:id="112"/>
      <w:bookmarkEnd w:id="112"/>
      <w:r>
        <w:rPr>
          <w:b w:val="0"/>
          <w:bCs w:val="0"/>
        </w:rPr>
      </w:r>
      <w:r>
        <w:rPr>
          <w:rFonts w:ascii="Times New Roman" w:hAnsi="Times New Roman" w:cs="Times New Roman" w:eastAsia="Times New Roman" w:hint="default"/>
        </w:rPr>
        <w:t>2</w:t>
      </w:r>
      <w:r>
        <w:rPr/>
        <w:t>、公司股份总数及股东结构的变动、公司资产和负债结构的变动情况说明</w:t>
      </w:r>
      <w:r>
        <w:rPr>
          <w:b w:val="0"/>
          <w:bCs w:val="0"/>
        </w:rPr>
      </w:r>
    </w:p>
    <w:p>
      <w:pPr>
        <w:spacing w:line="240" w:lineRule="auto" w:before="8"/>
        <w:rPr>
          <w:rFonts w:ascii="宋体" w:hAnsi="宋体" w:cs="宋体" w:eastAsia="宋体" w:hint="default"/>
          <w:b/>
          <w:bCs/>
          <w:sz w:val="26"/>
          <w:szCs w:val="26"/>
        </w:rPr>
      </w:pPr>
    </w:p>
    <w:p>
      <w:pPr>
        <w:pStyle w:val="BodyText"/>
        <w:spacing w:line="338" w:lineRule="auto"/>
        <w:ind w:left="513" w:right="1118" w:hanging="36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w:t>
      </w:r>
      <w:r>
        <w:rPr>
          <w:spacing w:val="-2"/>
        </w:rPr>
        <w:t>报告期内，公司完成以非公开发行股票的方式向西藏泓涵股权投资管理有限公司、鹏华资产管理有限公司、李辉、深圳</w:t>
      </w:r>
    </w:p>
    <w:p>
      <w:pPr>
        <w:pStyle w:val="BodyText"/>
        <w:spacing w:line="300" w:lineRule="auto" w:before="2"/>
        <w:ind w:right="1033"/>
        <w:jc w:val="left"/>
      </w:pPr>
      <w:r>
        <w:rPr>
          <w:spacing w:val="-2"/>
        </w:rPr>
        <w:t>市晨钟资产管理有限责任公司、中融基金管理有限公司、山东省国有资产投资控股有限公司等</w:t>
      </w:r>
      <w:r>
        <w:rPr>
          <w:rFonts w:ascii="Times New Roman" w:hAnsi="Times New Roman" w:cs="Times New Roman" w:eastAsia="Times New Roman" w:hint="default"/>
          <w:spacing w:val="-2"/>
        </w:rPr>
        <w:t>6</w:t>
      </w:r>
      <w:r>
        <w:rPr>
          <w:spacing w:val="-2"/>
        </w:rPr>
        <w:t>名特定投资者发行</w:t>
      </w:r>
      <w:r>
        <w:rPr>
          <w:rFonts w:ascii="Times New Roman" w:hAnsi="Times New Roman" w:cs="Times New Roman" w:eastAsia="Times New Roman" w:hint="default"/>
          <w:spacing w:val="-2"/>
        </w:rPr>
        <w:t>10,928,561</w:t>
      </w:r>
      <w:r>
        <w:rPr>
          <w:rFonts w:ascii="Times New Roman" w:hAnsi="Times New Roman" w:cs="Times New Roman" w:eastAsia="Times New Roman" w:hint="default"/>
          <w:spacing w:val="-8"/>
        </w:rPr>
        <w:t> </w:t>
      </w:r>
      <w:r>
        <w:rPr>
          <w:rFonts w:ascii="Times New Roman" w:hAnsi="Times New Roman" w:cs="Times New Roman" w:eastAsia="Times New Roman" w:hint="default"/>
          <w:spacing w:val="-8"/>
        </w:rPr>
      </w:r>
      <w:r>
        <w:rPr/>
        <w:t>股新股，完成</w:t>
      </w:r>
      <w:r>
        <w:rPr>
          <w:rFonts w:ascii="Times New Roman" w:hAnsi="Times New Roman" w:cs="Times New Roman" w:eastAsia="Times New Roman" w:hint="default"/>
        </w:rPr>
        <w:t>2016</w:t>
      </w:r>
      <w:r>
        <w:rPr/>
        <w:t>年限制性股票激励计划相关离职的股权激励对象的</w:t>
      </w:r>
      <w:r>
        <w:rPr>
          <w:rFonts w:ascii="Times New Roman" w:hAnsi="Times New Roman" w:cs="Times New Roman" w:eastAsia="Times New Roman" w:hint="default"/>
        </w:rPr>
        <w:t>122,000</w:t>
      </w:r>
      <w:r>
        <w:rPr/>
        <w:t>股的注销，完成</w:t>
      </w:r>
      <w:r>
        <w:rPr>
          <w:rFonts w:ascii="Times New Roman" w:hAnsi="Times New Roman" w:cs="Times New Roman" w:eastAsia="Times New Roman" w:hint="default"/>
        </w:rPr>
        <w:t>2016</w:t>
      </w:r>
      <w:r>
        <w:rPr/>
        <w:t>年度权益分派，以资本公 积金转增股本共计</w:t>
      </w:r>
      <w:r>
        <w:rPr>
          <w:rFonts w:ascii="Times New Roman" w:hAnsi="Times New Roman" w:cs="Times New Roman" w:eastAsia="Times New Roman" w:hint="default"/>
        </w:rPr>
        <w:t>203,795,278</w:t>
      </w:r>
      <w:r>
        <w:rPr/>
        <w:t>股。截至报告期末公司总股份数为</w:t>
      </w:r>
      <w:r>
        <w:rPr>
          <w:rFonts w:ascii="Times New Roman" w:hAnsi="Times New Roman" w:cs="Times New Roman" w:eastAsia="Times New Roman" w:hint="default"/>
        </w:rPr>
        <w:t>611,385,834</w:t>
      </w:r>
      <w:r>
        <w:rPr/>
        <w:t>股。由于</w:t>
      </w:r>
      <w:r>
        <w:rPr>
          <w:rFonts w:ascii="Times New Roman" w:hAnsi="Times New Roman" w:cs="Times New Roman" w:eastAsia="Times New Roman" w:hint="default"/>
        </w:rPr>
        <w:t>2017</w:t>
      </w:r>
      <w:r>
        <w:rPr/>
        <w:t>年度，千百辉与奥拓立翔的并表，</w:t>
      </w:r>
      <w:r>
        <w:rPr>
          <w:spacing w:val="-87"/>
        </w:rPr>
        <w:t> </w:t>
      </w:r>
      <w:r>
        <w:rPr>
          <w:spacing w:val="-87"/>
        </w:rPr>
      </w:r>
      <w:r>
        <w:rPr/>
        <w:t>公司的资产负债率为</w:t>
      </w:r>
      <w:r>
        <w:rPr>
          <w:rFonts w:ascii="宋体" w:hAnsi="宋体" w:cs="宋体" w:eastAsia="宋体" w:hint="default"/>
        </w:rPr>
        <w:t>35.25%</w:t>
      </w:r>
      <w:r>
        <w:rPr/>
        <w:t>。</w:t>
      </w:r>
    </w:p>
    <w:p>
      <w:pPr>
        <w:spacing w:line="240" w:lineRule="auto" w:before="6"/>
        <w:rPr>
          <w:rFonts w:ascii="宋体" w:hAnsi="宋体" w:cs="宋体" w:eastAsia="宋体" w:hint="default"/>
          <w:sz w:val="23"/>
          <w:szCs w:val="23"/>
        </w:rPr>
      </w:pPr>
    </w:p>
    <w:p>
      <w:pPr>
        <w:pStyle w:val="Heading3"/>
        <w:spacing w:line="240" w:lineRule="auto"/>
        <w:ind w:right="0"/>
        <w:jc w:val="left"/>
        <w:rPr>
          <w:b w:val="0"/>
          <w:bCs w:val="0"/>
        </w:rPr>
      </w:pPr>
      <w:bookmarkStart w:name="3、现存的内部职工股情况" w:id="113"/>
      <w:bookmarkEnd w:id="113"/>
      <w:r>
        <w:rPr>
          <w:b w:val="0"/>
          <w:bCs w:val="0"/>
        </w:rPr>
      </w:r>
      <w:r>
        <w:rPr>
          <w:rFonts w:ascii="Times New Roman" w:hAnsi="Times New Roman" w:cs="Times New Roman" w:eastAsia="Times New Roman" w:hint="default"/>
        </w:rPr>
        <w:t>3</w:t>
      </w:r>
      <w:r>
        <w:rPr/>
        <w:t>、现存的内部职工股情况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154"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0"/>
        <w:rPr>
          <w:rFonts w:ascii="宋体" w:hAnsi="宋体" w:cs="宋体" w:eastAsia="宋体" w:hint="default"/>
          <w:sz w:val="24"/>
          <w:szCs w:val="24"/>
        </w:rPr>
      </w:pPr>
    </w:p>
    <w:p>
      <w:pPr>
        <w:pStyle w:val="Heading2"/>
        <w:spacing w:line="240" w:lineRule="auto"/>
        <w:ind w:right="0"/>
        <w:jc w:val="left"/>
        <w:rPr>
          <w:b w:val="0"/>
          <w:bCs w:val="0"/>
        </w:rPr>
      </w:pPr>
      <w:bookmarkStart w:name="三、股东和实际控制人情况" w:id="114"/>
      <w:bookmarkEnd w:id="114"/>
      <w:r>
        <w:rPr>
          <w:b w:val="0"/>
          <w:bCs w:val="0"/>
        </w:rPr>
      </w:r>
      <w:r>
        <w:rPr/>
        <w:t>三、股东和实际控制人情况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left="153" w:right="0"/>
        <w:jc w:val="left"/>
        <w:rPr>
          <w:b w:val="0"/>
          <w:bCs w:val="0"/>
        </w:rPr>
      </w:pPr>
      <w:bookmarkStart w:name="1、公司股东数量及持股情况" w:id="115"/>
      <w:bookmarkEnd w:id="115"/>
      <w:r>
        <w:rPr>
          <w:b w:val="0"/>
          <w:bCs w:val="0"/>
        </w:rPr>
      </w:r>
      <w:r>
        <w:rPr>
          <w:rFonts w:ascii="Times New Roman" w:hAnsi="Times New Roman" w:cs="Times New Roman" w:eastAsia="Times New Roman" w:hint="default"/>
        </w:rPr>
        <w:t>1</w:t>
      </w:r>
      <w:r>
        <w:rPr/>
        <w:t>、公司股东数量及持股情况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单位：股</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196"/>
        <w:gridCol w:w="274"/>
        <w:gridCol w:w="934"/>
        <w:gridCol w:w="478"/>
        <w:gridCol w:w="695"/>
        <w:gridCol w:w="93"/>
        <w:gridCol w:w="786"/>
        <w:gridCol w:w="339"/>
        <w:gridCol w:w="449"/>
        <w:gridCol w:w="755"/>
        <w:gridCol w:w="872"/>
        <w:gridCol w:w="317"/>
        <w:gridCol w:w="1033"/>
        <w:gridCol w:w="140"/>
        <w:gridCol w:w="1207"/>
      </w:tblGrid>
      <w:tr>
        <w:trPr>
          <w:trHeight w:val="161" w:hRule="exact"/>
        </w:trPr>
        <w:tc>
          <w:tcPr>
            <w:tcW w:w="1196" w:type="dxa"/>
            <w:vMerge w:val="restart"/>
            <w:tcBorders>
              <w:top w:val="single" w:sz="4" w:space="0" w:color="000000"/>
              <w:left w:val="single" w:sz="4" w:space="0" w:color="000000"/>
              <w:right w:val="single" w:sz="4" w:space="0" w:color="000000"/>
            </w:tcBorders>
            <w:shd w:val="clear" w:color="auto" w:fill="D2D2D2"/>
          </w:tcPr>
          <w:p>
            <w:pPr/>
          </w:p>
        </w:tc>
        <w:tc>
          <w:tcPr>
            <w:tcW w:w="1208" w:type="dxa"/>
            <w:gridSpan w:val="2"/>
            <w:vMerge w:val="restart"/>
            <w:tcBorders>
              <w:top w:val="single" w:sz="4" w:space="0" w:color="000000"/>
              <w:left w:val="single" w:sz="10" w:space="0" w:color="D2D2D2"/>
              <w:right w:val="single" w:sz="9"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661" w:right="0"/>
              <w:jc w:val="left"/>
              <w:rPr>
                <w:rFonts w:ascii="Times New Roman" w:hAnsi="Times New Roman" w:cs="Times New Roman" w:eastAsia="Times New Roman" w:hint="default"/>
                <w:sz w:val="18"/>
                <w:szCs w:val="18"/>
              </w:rPr>
            </w:pPr>
            <w:r>
              <w:rPr>
                <w:rFonts w:ascii="Times New Roman"/>
                <w:sz w:val="18"/>
              </w:rPr>
              <w:t>32,574</w:t>
            </w:r>
          </w:p>
        </w:tc>
        <w:tc>
          <w:tcPr>
            <w:tcW w:w="1174" w:type="dxa"/>
            <w:gridSpan w:val="2"/>
            <w:vMerge w:val="restart"/>
            <w:tcBorders>
              <w:top w:val="single" w:sz="4" w:space="0" w:color="000000"/>
              <w:left w:val="single" w:sz="4" w:space="0" w:color="000000"/>
              <w:right w:val="single" w:sz="4" w:space="0" w:color="000000"/>
            </w:tcBorders>
            <w:shd w:val="clear" w:color="auto" w:fill="D2D2D2"/>
          </w:tcPr>
          <w:p>
            <w:pPr/>
          </w:p>
        </w:tc>
        <w:tc>
          <w:tcPr>
            <w:tcW w:w="1218" w:type="dxa"/>
            <w:gridSpan w:val="3"/>
            <w:vMerge w:val="restart"/>
            <w:tcBorders>
              <w:top w:val="single" w:sz="4" w:space="0" w:color="000000"/>
              <w:left w:val="single" w:sz="9" w:space="0" w:color="D2D2D2"/>
              <w:right w:val="single" w:sz="9"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672" w:right="0"/>
              <w:jc w:val="left"/>
              <w:rPr>
                <w:rFonts w:ascii="Times New Roman" w:hAnsi="Times New Roman" w:cs="Times New Roman" w:eastAsia="Times New Roman" w:hint="default"/>
                <w:sz w:val="18"/>
                <w:szCs w:val="18"/>
              </w:rPr>
            </w:pPr>
            <w:r>
              <w:rPr>
                <w:rFonts w:ascii="Times New Roman"/>
                <w:sz w:val="18"/>
              </w:rPr>
              <w:t>36,473</w:t>
            </w:r>
          </w:p>
        </w:tc>
        <w:tc>
          <w:tcPr>
            <w:tcW w:w="1205"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1188" w:type="dxa"/>
            <w:gridSpan w:val="2"/>
            <w:vMerge w:val="restart"/>
            <w:tcBorders>
              <w:top w:val="single" w:sz="4" w:space="0" w:color="000000"/>
              <w:left w:val="single" w:sz="9" w:space="0" w:color="D2D2D2"/>
              <w:right w:val="single" w:sz="13"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73"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11" w:right="8"/>
              <w:jc w:val="left"/>
              <w:rPr>
                <w:rFonts w:ascii="宋体" w:hAnsi="宋体" w:cs="宋体" w:eastAsia="宋体" w:hint="default"/>
                <w:sz w:val="18"/>
                <w:szCs w:val="18"/>
              </w:rPr>
            </w:pPr>
            <w:r>
              <w:rPr>
                <w:rFonts w:ascii="宋体" w:hAnsi="宋体" w:cs="宋体" w:eastAsia="宋体" w:hint="default"/>
                <w:sz w:val="18"/>
                <w:szCs w:val="18"/>
              </w:rPr>
              <w:t>年度报告披露 日前上一月末 表决权恢复的 优先股股东总 </w:t>
            </w:r>
            <w:r>
              <w:rPr>
                <w:rFonts w:ascii="宋体" w:hAnsi="宋体" w:cs="宋体" w:eastAsia="宋体" w:hint="default"/>
                <w:spacing w:val="-18"/>
                <w:sz w:val="18"/>
                <w:szCs w:val="18"/>
              </w:rPr>
              <w:t>数（如有）（参</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见注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w:t>
            </w:r>
            <w:r>
              <w:rPr>
                <w:rFonts w:ascii="宋体" w:hAnsi="宋体" w:cs="宋体" w:eastAsia="宋体" w:hint="default"/>
                <w:sz w:val="18"/>
                <w:szCs w:val="18"/>
              </w:rPr>
              <w:t>）</w:t>
            </w:r>
          </w:p>
        </w:tc>
        <w:tc>
          <w:tcPr>
            <w:tcW w:w="1207" w:type="dxa"/>
            <w:vMerge w:val="restart"/>
            <w:tcBorders>
              <w:top w:val="single" w:sz="4" w:space="0" w:color="000000"/>
              <w:left w:val="single" w:sz="13"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156" w:hRule="exact"/>
        </w:trPr>
        <w:tc>
          <w:tcPr>
            <w:tcW w:w="1196" w:type="dxa"/>
            <w:vMerge/>
            <w:tcBorders>
              <w:left w:val="single" w:sz="4" w:space="0" w:color="000000"/>
              <w:right w:val="single" w:sz="4" w:space="0" w:color="000000"/>
            </w:tcBorders>
            <w:shd w:val="clear" w:color="auto" w:fill="D2D2D2"/>
          </w:tcPr>
          <w:p>
            <w:pPr/>
          </w:p>
        </w:tc>
        <w:tc>
          <w:tcPr>
            <w:tcW w:w="1208" w:type="dxa"/>
            <w:gridSpan w:val="2"/>
            <w:vMerge/>
            <w:tcBorders>
              <w:left w:val="single" w:sz="10" w:space="0" w:color="D2D2D2"/>
              <w:right w:val="single" w:sz="9" w:space="0" w:color="D2D2D2"/>
            </w:tcBorders>
          </w:tcPr>
          <w:p>
            <w:pPr/>
          </w:p>
        </w:tc>
        <w:tc>
          <w:tcPr>
            <w:tcW w:w="1174" w:type="dxa"/>
            <w:gridSpan w:val="2"/>
            <w:vMerge/>
            <w:tcBorders>
              <w:left w:val="single" w:sz="4" w:space="0" w:color="000000"/>
              <w:bottom w:val="nil" w:sz="6" w:space="0" w:color="auto"/>
              <w:right w:val="single" w:sz="4" w:space="0" w:color="000000"/>
            </w:tcBorders>
            <w:shd w:val="clear" w:color="auto" w:fill="D2D2D2"/>
          </w:tcPr>
          <w:p>
            <w:pPr/>
          </w:p>
        </w:tc>
        <w:tc>
          <w:tcPr>
            <w:tcW w:w="1218" w:type="dxa"/>
            <w:gridSpan w:val="3"/>
            <w:vMerge/>
            <w:tcBorders>
              <w:left w:val="single" w:sz="9" w:space="0" w:color="D2D2D2"/>
              <w:right w:val="single" w:sz="9" w:space="0" w:color="D2D2D2"/>
            </w:tcBorders>
          </w:tcPr>
          <w:p>
            <w:pPr/>
          </w:p>
        </w:tc>
        <w:tc>
          <w:tcPr>
            <w:tcW w:w="1205"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11" w:right="101"/>
              <w:jc w:val="both"/>
              <w:rPr>
                <w:rFonts w:ascii="宋体" w:hAnsi="宋体" w:cs="宋体" w:eastAsia="宋体" w:hint="default"/>
                <w:sz w:val="18"/>
                <w:szCs w:val="18"/>
              </w:rPr>
            </w:pPr>
            <w:r>
              <w:rPr>
                <w:rFonts w:ascii="宋体" w:hAnsi="宋体" w:cs="宋体" w:eastAsia="宋体" w:hint="default"/>
                <w:sz w:val="18"/>
                <w:szCs w:val="18"/>
              </w:rPr>
              <w:t>报告期末表决 权恢复的优先 股股东总数</w:t>
            </w:r>
          </w:p>
          <w:p>
            <w:pPr>
              <w:pStyle w:val="TableParagraph"/>
              <w:spacing w:line="319" w:lineRule="auto" w:before="19"/>
              <w:ind w:left="11" w:right="41"/>
              <w:jc w:val="both"/>
              <w:rPr>
                <w:rFonts w:ascii="宋体" w:hAnsi="宋体" w:cs="宋体" w:eastAsia="宋体" w:hint="default"/>
                <w:sz w:val="18"/>
                <w:szCs w:val="18"/>
              </w:rPr>
            </w:pPr>
            <w:r>
              <w:rPr>
                <w:rFonts w:ascii="宋体" w:hAnsi="宋体" w:cs="宋体" w:eastAsia="宋体" w:hint="default"/>
                <w:spacing w:val="-18"/>
                <w:sz w:val="18"/>
                <w:szCs w:val="18"/>
              </w:rPr>
              <w:t>（如有）（参见</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w:t>
            </w:r>
            <w:r>
              <w:rPr>
                <w:rFonts w:ascii="宋体" w:hAnsi="宋体" w:cs="宋体" w:eastAsia="宋体" w:hint="default"/>
                <w:sz w:val="18"/>
                <w:szCs w:val="18"/>
              </w:rPr>
              <w:t>）</w:t>
            </w:r>
          </w:p>
        </w:tc>
        <w:tc>
          <w:tcPr>
            <w:tcW w:w="1188" w:type="dxa"/>
            <w:gridSpan w:val="2"/>
            <w:vMerge/>
            <w:tcBorders>
              <w:left w:val="single" w:sz="9" w:space="0" w:color="D2D2D2"/>
              <w:right w:val="single" w:sz="13" w:space="0" w:color="D2D2D2"/>
            </w:tcBorders>
          </w:tcPr>
          <w:p>
            <w:pPr/>
          </w:p>
        </w:tc>
        <w:tc>
          <w:tcPr>
            <w:tcW w:w="1173" w:type="dxa"/>
            <w:gridSpan w:val="2"/>
            <w:vMerge/>
            <w:tcBorders>
              <w:left w:val="single" w:sz="4" w:space="0" w:color="000000"/>
              <w:right w:val="single" w:sz="4" w:space="0" w:color="000000"/>
            </w:tcBorders>
            <w:shd w:val="clear" w:color="auto" w:fill="D2D2D2"/>
          </w:tcPr>
          <w:p>
            <w:pPr/>
          </w:p>
        </w:tc>
        <w:tc>
          <w:tcPr>
            <w:tcW w:w="1207" w:type="dxa"/>
            <w:vMerge/>
            <w:tcBorders>
              <w:left w:val="single" w:sz="13" w:space="0" w:color="D2D2D2"/>
              <w:right w:val="single" w:sz="4" w:space="0" w:color="000000"/>
            </w:tcBorders>
          </w:tcPr>
          <w:p>
            <w:pPr/>
          </w:p>
        </w:tc>
      </w:tr>
      <w:tr>
        <w:trPr>
          <w:trHeight w:val="312" w:hRule="exact"/>
        </w:trPr>
        <w:tc>
          <w:tcPr>
            <w:tcW w:w="1196" w:type="dxa"/>
            <w:vMerge/>
            <w:tcBorders>
              <w:left w:val="single" w:sz="4" w:space="0" w:color="000000"/>
              <w:bottom w:val="nil" w:sz="6" w:space="0" w:color="auto"/>
              <w:right w:val="single" w:sz="4" w:space="0" w:color="000000"/>
            </w:tcBorders>
            <w:shd w:val="clear" w:color="auto" w:fill="D2D2D2"/>
          </w:tcPr>
          <w:p>
            <w:pPr/>
          </w:p>
        </w:tc>
        <w:tc>
          <w:tcPr>
            <w:tcW w:w="1208" w:type="dxa"/>
            <w:gridSpan w:val="2"/>
            <w:vMerge/>
            <w:tcBorders>
              <w:left w:val="single" w:sz="10" w:space="0" w:color="D2D2D2"/>
              <w:right w:val="single" w:sz="9" w:space="0" w:color="D2D2D2"/>
            </w:tcBorders>
          </w:tcPr>
          <w:p>
            <w:pPr/>
          </w:p>
        </w:tc>
        <w:tc>
          <w:tcPr>
            <w:tcW w:w="1174"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11" w:right="70"/>
              <w:jc w:val="both"/>
              <w:rPr>
                <w:rFonts w:ascii="宋体" w:hAnsi="宋体" w:cs="宋体" w:eastAsia="宋体" w:hint="default"/>
                <w:sz w:val="18"/>
                <w:szCs w:val="18"/>
              </w:rPr>
            </w:pPr>
            <w:r>
              <w:rPr>
                <w:rFonts w:ascii="宋体" w:hAnsi="宋体" w:cs="宋体" w:eastAsia="宋体" w:hint="default"/>
                <w:sz w:val="18"/>
                <w:szCs w:val="18"/>
              </w:rPr>
              <w:t>年度报告披露 日前上一月末 普通股股东总 数</w:t>
            </w:r>
          </w:p>
        </w:tc>
        <w:tc>
          <w:tcPr>
            <w:tcW w:w="1218" w:type="dxa"/>
            <w:gridSpan w:val="3"/>
            <w:vMerge/>
            <w:tcBorders>
              <w:left w:val="single" w:sz="9" w:space="0" w:color="D2D2D2"/>
              <w:right w:val="single" w:sz="9" w:space="0" w:color="D2D2D2"/>
            </w:tcBorders>
          </w:tcPr>
          <w:p>
            <w:pPr/>
          </w:p>
        </w:tc>
        <w:tc>
          <w:tcPr>
            <w:tcW w:w="1205" w:type="dxa"/>
            <w:gridSpan w:val="2"/>
            <w:vMerge/>
            <w:tcBorders>
              <w:left w:val="single" w:sz="4" w:space="0" w:color="000000"/>
              <w:right w:val="single" w:sz="4" w:space="0" w:color="000000"/>
            </w:tcBorders>
            <w:shd w:val="clear" w:color="auto" w:fill="D2D2D2"/>
          </w:tcPr>
          <w:p>
            <w:pPr/>
          </w:p>
        </w:tc>
        <w:tc>
          <w:tcPr>
            <w:tcW w:w="1188" w:type="dxa"/>
            <w:gridSpan w:val="2"/>
            <w:vMerge/>
            <w:tcBorders>
              <w:left w:val="single" w:sz="9" w:space="0" w:color="D2D2D2"/>
              <w:right w:val="single" w:sz="13" w:space="0" w:color="D2D2D2"/>
            </w:tcBorders>
          </w:tcPr>
          <w:p>
            <w:pPr/>
          </w:p>
        </w:tc>
        <w:tc>
          <w:tcPr>
            <w:tcW w:w="1173" w:type="dxa"/>
            <w:gridSpan w:val="2"/>
            <w:vMerge/>
            <w:tcBorders>
              <w:left w:val="single" w:sz="4" w:space="0" w:color="000000"/>
              <w:right w:val="single" w:sz="4" w:space="0" w:color="000000"/>
            </w:tcBorders>
            <w:shd w:val="clear" w:color="auto" w:fill="D2D2D2"/>
          </w:tcPr>
          <w:p>
            <w:pPr/>
          </w:p>
        </w:tc>
        <w:tc>
          <w:tcPr>
            <w:tcW w:w="1207" w:type="dxa"/>
            <w:vMerge/>
            <w:tcBorders>
              <w:left w:val="single" w:sz="13" w:space="0" w:color="D2D2D2"/>
              <w:right w:val="single" w:sz="4" w:space="0" w:color="000000"/>
            </w:tcBorders>
          </w:tcPr>
          <w:p>
            <w:pPr/>
          </w:p>
        </w:tc>
      </w:tr>
      <w:tr>
        <w:trPr>
          <w:trHeight w:val="704" w:hRule="exact"/>
        </w:trPr>
        <w:tc>
          <w:tcPr>
            <w:tcW w:w="119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9" w:lineRule="auto" w:before="51"/>
              <w:ind w:left="22" w:right="81"/>
              <w:jc w:val="left"/>
              <w:rPr>
                <w:rFonts w:ascii="宋体" w:hAnsi="宋体" w:cs="宋体" w:eastAsia="宋体" w:hint="default"/>
                <w:sz w:val="18"/>
                <w:szCs w:val="18"/>
              </w:rPr>
            </w:pPr>
            <w:r>
              <w:rPr>
                <w:rFonts w:ascii="宋体" w:hAnsi="宋体" w:cs="宋体" w:eastAsia="宋体" w:hint="default"/>
                <w:sz w:val="18"/>
                <w:szCs w:val="18"/>
              </w:rPr>
              <w:t>报告期末普通 股股东总数</w:t>
            </w:r>
          </w:p>
        </w:tc>
        <w:tc>
          <w:tcPr>
            <w:tcW w:w="1208" w:type="dxa"/>
            <w:gridSpan w:val="2"/>
            <w:vMerge/>
            <w:tcBorders>
              <w:left w:val="single" w:sz="10" w:space="0" w:color="D2D2D2"/>
              <w:right w:val="single" w:sz="9" w:space="0" w:color="D2D2D2"/>
            </w:tcBorders>
          </w:tcPr>
          <w:p>
            <w:pPr/>
          </w:p>
        </w:tc>
        <w:tc>
          <w:tcPr>
            <w:tcW w:w="1174" w:type="dxa"/>
            <w:gridSpan w:val="2"/>
            <w:vMerge/>
            <w:tcBorders>
              <w:left w:val="single" w:sz="4" w:space="0" w:color="000000"/>
              <w:right w:val="single" w:sz="4" w:space="0" w:color="000000"/>
            </w:tcBorders>
            <w:shd w:val="clear" w:color="auto" w:fill="D2D2D2"/>
          </w:tcPr>
          <w:p>
            <w:pPr/>
          </w:p>
        </w:tc>
        <w:tc>
          <w:tcPr>
            <w:tcW w:w="1218" w:type="dxa"/>
            <w:gridSpan w:val="3"/>
            <w:vMerge/>
            <w:tcBorders>
              <w:left w:val="single" w:sz="9" w:space="0" w:color="D2D2D2"/>
              <w:right w:val="single" w:sz="9" w:space="0" w:color="D2D2D2"/>
            </w:tcBorders>
          </w:tcPr>
          <w:p>
            <w:pPr/>
          </w:p>
        </w:tc>
        <w:tc>
          <w:tcPr>
            <w:tcW w:w="1205" w:type="dxa"/>
            <w:gridSpan w:val="2"/>
            <w:vMerge/>
            <w:tcBorders>
              <w:left w:val="single" w:sz="4" w:space="0" w:color="000000"/>
              <w:right w:val="single" w:sz="4" w:space="0" w:color="000000"/>
            </w:tcBorders>
            <w:shd w:val="clear" w:color="auto" w:fill="D2D2D2"/>
          </w:tcPr>
          <w:p>
            <w:pPr/>
          </w:p>
        </w:tc>
        <w:tc>
          <w:tcPr>
            <w:tcW w:w="1188" w:type="dxa"/>
            <w:gridSpan w:val="2"/>
            <w:vMerge/>
            <w:tcBorders>
              <w:left w:val="single" w:sz="9" w:space="0" w:color="D2D2D2"/>
              <w:right w:val="single" w:sz="13" w:space="0" w:color="D2D2D2"/>
            </w:tcBorders>
          </w:tcPr>
          <w:p>
            <w:pPr/>
          </w:p>
        </w:tc>
        <w:tc>
          <w:tcPr>
            <w:tcW w:w="1173" w:type="dxa"/>
            <w:gridSpan w:val="2"/>
            <w:vMerge/>
            <w:tcBorders>
              <w:left w:val="single" w:sz="4" w:space="0" w:color="000000"/>
              <w:right w:val="single" w:sz="4" w:space="0" w:color="000000"/>
            </w:tcBorders>
            <w:shd w:val="clear" w:color="auto" w:fill="D2D2D2"/>
          </w:tcPr>
          <w:p>
            <w:pPr/>
          </w:p>
        </w:tc>
        <w:tc>
          <w:tcPr>
            <w:tcW w:w="1207" w:type="dxa"/>
            <w:vMerge/>
            <w:tcBorders>
              <w:left w:val="single" w:sz="13" w:space="0" w:color="D2D2D2"/>
              <w:right w:val="single" w:sz="4" w:space="0" w:color="000000"/>
            </w:tcBorders>
          </w:tcPr>
          <w:p>
            <w:pPr/>
          </w:p>
        </w:tc>
      </w:tr>
      <w:tr>
        <w:trPr>
          <w:trHeight w:val="312" w:hRule="exact"/>
        </w:trPr>
        <w:tc>
          <w:tcPr>
            <w:tcW w:w="1196" w:type="dxa"/>
            <w:vMerge w:val="restart"/>
            <w:tcBorders>
              <w:top w:val="nil" w:sz="6" w:space="0" w:color="auto"/>
              <w:left w:val="single" w:sz="4" w:space="0" w:color="000000"/>
              <w:right w:val="single" w:sz="4" w:space="0" w:color="000000"/>
            </w:tcBorders>
            <w:shd w:val="clear" w:color="auto" w:fill="D2D2D2"/>
          </w:tcPr>
          <w:p>
            <w:pPr/>
          </w:p>
        </w:tc>
        <w:tc>
          <w:tcPr>
            <w:tcW w:w="1208" w:type="dxa"/>
            <w:gridSpan w:val="2"/>
            <w:vMerge/>
            <w:tcBorders>
              <w:left w:val="single" w:sz="10" w:space="0" w:color="D2D2D2"/>
              <w:right w:val="single" w:sz="9" w:space="0" w:color="D2D2D2"/>
            </w:tcBorders>
          </w:tcPr>
          <w:p>
            <w:pPr/>
          </w:p>
        </w:tc>
        <w:tc>
          <w:tcPr>
            <w:tcW w:w="1174" w:type="dxa"/>
            <w:gridSpan w:val="2"/>
            <w:vMerge/>
            <w:tcBorders>
              <w:left w:val="single" w:sz="4" w:space="0" w:color="000000"/>
              <w:bottom w:val="nil" w:sz="6" w:space="0" w:color="auto"/>
              <w:right w:val="single" w:sz="4" w:space="0" w:color="000000"/>
            </w:tcBorders>
            <w:shd w:val="clear" w:color="auto" w:fill="D2D2D2"/>
          </w:tcPr>
          <w:p>
            <w:pPr/>
          </w:p>
        </w:tc>
        <w:tc>
          <w:tcPr>
            <w:tcW w:w="1218" w:type="dxa"/>
            <w:gridSpan w:val="3"/>
            <w:vMerge/>
            <w:tcBorders>
              <w:left w:val="single" w:sz="9" w:space="0" w:color="D2D2D2"/>
              <w:right w:val="single" w:sz="9" w:space="0" w:color="D2D2D2"/>
            </w:tcBorders>
          </w:tcPr>
          <w:p>
            <w:pPr/>
          </w:p>
        </w:tc>
        <w:tc>
          <w:tcPr>
            <w:tcW w:w="1205" w:type="dxa"/>
            <w:gridSpan w:val="2"/>
            <w:vMerge/>
            <w:tcBorders>
              <w:left w:val="single" w:sz="4" w:space="0" w:color="000000"/>
              <w:right w:val="single" w:sz="4" w:space="0" w:color="000000"/>
            </w:tcBorders>
            <w:shd w:val="clear" w:color="auto" w:fill="D2D2D2"/>
          </w:tcPr>
          <w:p>
            <w:pPr/>
          </w:p>
        </w:tc>
        <w:tc>
          <w:tcPr>
            <w:tcW w:w="1188" w:type="dxa"/>
            <w:gridSpan w:val="2"/>
            <w:vMerge/>
            <w:tcBorders>
              <w:left w:val="single" w:sz="9" w:space="0" w:color="D2D2D2"/>
              <w:right w:val="single" w:sz="13" w:space="0" w:color="D2D2D2"/>
            </w:tcBorders>
          </w:tcPr>
          <w:p>
            <w:pPr/>
          </w:p>
        </w:tc>
        <w:tc>
          <w:tcPr>
            <w:tcW w:w="1173" w:type="dxa"/>
            <w:gridSpan w:val="2"/>
            <w:vMerge/>
            <w:tcBorders>
              <w:left w:val="single" w:sz="4" w:space="0" w:color="000000"/>
              <w:right w:val="single" w:sz="4" w:space="0" w:color="000000"/>
            </w:tcBorders>
            <w:shd w:val="clear" w:color="auto" w:fill="D2D2D2"/>
          </w:tcPr>
          <w:p>
            <w:pPr/>
          </w:p>
        </w:tc>
        <w:tc>
          <w:tcPr>
            <w:tcW w:w="1207" w:type="dxa"/>
            <w:vMerge/>
            <w:tcBorders>
              <w:left w:val="single" w:sz="13" w:space="0" w:color="D2D2D2"/>
              <w:right w:val="single" w:sz="4" w:space="0" w:color="000000"/>
            </w:tcBorders>
          </w:tcPr>
          <w:p>
            <w:pPr/>
          </w:p>
        </w:tc>
      </w:tr>
      <w:tr>
        <w:trPr>
          <w:trHeight w:val="156" w:hRule="exact"/>
        </w:trPr>
        <w:tc>
          <w:tcPr>
            <w:tcW w:w="1196" w:type="dxa"/>
            <w:vMerge/>
            <w:tcBorders>
              <w:left w:val="single" w:sz="4" w:space="0" w:color="000000"/>
              <w:right w:val="single" w:sz="4" w:space="0" w:color="000000"/>
            </w:tcBorders>
            <w:shd w:val="clear" w:color="auto" w:fill="D2D2D2"/>
          </w:tcPr>
          <w:p>
            <w:pPr/>
          </w:p>
        </w:tc>
        <w:tc>
          <w:tcPr>
            <w:tcW w:w="1208" w:type="dxa"/>
            <w:gridSpan w:val="2"/>
            <w:vMerge/>
            <w:tcBorders>
              <w:left w:val="single" w:sz="10" w:space="0" w:color="D2D2D2"/>
              <w:right w:val="single" w:sz="9" w:space="0" w:color="D2D2D2"/>
            </w:tcBorders>
          </w:tcPr>
          <w:p>
            <w:pPr/>
          </w:p>
        </w:tc>
        <w:tc>
          <w:tcPr>
            <w:tcW w:w="1174" w:type="dxa"/>
            <w:gridSpan w:val="2"/>
            <w:vMerge w:val="restart"/>
            <w:tcBorders>
              <w:top w:val="nil" w:sz="6" w:space="0" w:color="auto"/>
              <w:left w:val="single" w:sz="4" w:space="0" w:color="000000"/>
              <w:right w:val="single" w:sz="4" w:space="0" w:color="000000"/>
            </w:tcBorders>
            <w:shd w:val="clear" w:color="auto" w:fill="D2D2D2"/>
          </w:tcPr>
          <w:p>
            <w:pPr/>
          </w:p>
        </w:tc>
        <w:tc>
          <w:tcPr>
            <w:tcW w:w="1218" w:type="dxa"/>
            <w:gridSpan w:val="3"/>
            <w:vMerge/>
            <w:tcBorders>
              <w:left w:val="single" w:sz="9" w:space="0" w:color="D2D2D2"/>
              <w:right w:val="single" w:sz="9" w:space="0" w:color="D2D2D2"/>
            </w:tcBorders>
          </w:tcPr>
          <w:p>
            <w:pPr/>
          </w:p>
        </w:tc>
        <w:tc>
          <w:tcPr>
            <w:tcW w:w="1205" w:type="dxa"/>
            <w:gridSpan w:val="2"/>
            <w:vMerge/>
            <w:tcBorders>
              <w:left w:val="single" w:sz="4" w:space="0" w:color="000000"/>
              <w:bottom w:val="nil" w:sz="6" w:space="0" w:color="auto"/>
              <w:right w:val="single" w:sz="4" w:space="0" w:color="000000"/>
            </w:tcBorders>
            <w:shd w:val="clear" w:color="auto" w:fill="D2D2D2"/>
          </w:tcPr>
          <w:p>
            <w:pPr/>
          </w:p>
        </w:tc>
        <w:tc>
          <w:tcPr>
            <w:tcW w:w="1188" w:type="dxa"/>
            <w:gridSpan w:val="2"/>
            <w:vMerge/>
            <w:tcBorders>
              <w:left w:val="single" w:sz="9" w:space="0" w:color="D2D2D2"/>
              <w:right w:val="single" w:sz="13" w:space="0" w:color="D2D2D2"/>
            </w:tcBorders>
          </w:tcPr>
          <w:p>
            <w:pPr/>
          </w:p>
        </w:tc>
        <w:tc>
          <w:tcPr>
            <w:tcW w:w="1173" w:type="dxa"/>
            <w:gridSpan w:val="2"/>
            <w:vMerge/>
            <w:tcBorders>
              <w:left w:val="single" w:sz="4" w:space="0" w:color="000000"/>
              <w:right w:val="single" w:sz="4" w:space="0" w:color="000000"/>
            </w:tcBorders>
            <w:shd w:val="clear" w:color="auto" w:fill="D2D2D2"/>
          </w:tcPr>
          <w:p>
            <w:pPr/>
          </w:p>
        </w:tc>
        <w:tc>
          <w:tcPr>
            <w:tcW w:w="1207" w:type="dxa"/>
            <w:vMerge/>
            <w:tcBorders>
              <w:left w:val="single" w:sz="13" w:space="0" w:color="D2D2D2"/>
              <w:right w:val="single" w:sz="4" w:space="0" w:color="000000"/>
            </w:tcBorders>
          </w:tcPr>
          <w:p>
            <w:pPr/>
          </w:p>
        </w:tc>
      </w:tr>
      <w:tr>
        <w:trPr>
          <w:trHeight w:val="166" w:hRule="exact"/>
        </w:trPr>
        <w:tc>
          <w:tcPr>
            <w:tcW w:w="1196" w:type="dxa"/>
            <w:vMerge/>
            <w:tcBorders>
              <w:left w:val="single" w:sz="4" w:space="0" w:color="000000"/>
              <w:bottom w:val="single" w:sz="4" w:space="0" w:color="000000"/>
              <w:right w:val="single" w:sz="4" w:space="0" w:color="000000"/>
            </w:tcBorders>
            <w:shd w:val="clear" w:color="auto" w:fill="D2D2D2"/>
          </w:tcPr>
          <w:p>
            <w:pPr/>
          </w:p>
        </w:tc>
        <w:tc>
          <w:tcPr>
            <w:tcW w:w="1208" w:type="dxa"/>
            <w:gridSpan w:val="2"/>
            <w:vMerge/>
            <w:tcBorders>
              <w:left w:val="single" w:sz="10" w:space="0" w:color="D2D2D2"/>
              <w:bottom w:val="single" w:sz="4" w:space="0" w:color="000000"/>
              <w:right w:val="single" w:sz="9" w:space="0" w:color="D2D2D2"/>
            </w:tcBorders>
          </w:tcPr>
          <w:p>
            <w:pPr/>
          </w:p>
        </w:tc>
        <w:tc>
          <w:tcPr>
            <w:tcW w:w="1174" w:type="dxa"/>
            <w:gridSpan w:val="2"/>
            <w:vMerge/>
            <w:tcBorders>
              <w:left w:val="single" w:sz="4" w:space="0" w:color="000000"/>
              <w:bottom w:val="single" w:sz="4" w:space="0" w:color="000000"/>
              <w:right w:val="single" w:sz="4" w:space="0" w:color="000000"/>
            </w:tcBorders>
            <w:shd w:val="clear" w:color="auto" w:fill="D2D2D2"/>
          </w:tcPr>
          <w:p>
            <w:pPr/>
          </w:p>
        </w:tc>
        <w:tc>
          <w:tcPr>
            <w:tcW w:w="1218" w:type="dxa"/>
            <w:gridSpan w:val="3"/>
            <w:vMerge/>
            <w:tcBorders>
              <w:left w:val="single" w:sz="9" w:space="0" w:color="D2D2D2"/>
              <w:bottom w:val="single" w:sz="4" w:space="0" w:color="000000"/>
              <w:right w:val="single" w:sz="9" w:space="0" w:color="D2D2D2"/>
            </w:tcBorders>
          </w:tcPr>
          <w:p>
            <w:pPr/>
          </w:p>
        </w:tc>
        <w:tc>
          <w:tcPr>
            <w:tcW w:w="1205"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1188" w:type="dxa"/>
            <w:gridSpan w:val="2"/>
            <w:vMerge/>
            <w:tcBorders>
              <w:left w:val="single" w:sz="9" w:space="0" w:color="D2D2D2"/>
              <w:bottom w:val="single" w:sz="4" w:space="0" w:color="000000"/>
              <w:right w:val="single" w:sz="13" w:space="0" w:color="D2D2D2"/>
            </w:tcBorders>
          </w:tcPr>
          <w:p>
            <w:pPr/>
          </w:p>
        </w:tc>
        <w:tc>
          <w:tcPr>
            <w:tcW w:w="1173" w:type="dxa"/>
            <w:gridSpan w:val="2"/>
            <w:vMerge/>
            <w:tcBorders>
              <w:left w:val="single" w:sz="4" w:space="0" w:color="000000"/>
              <w:bottom w:val="single" w:sz="4" w:space="0" w:color="000000"/>
              <w:right w:val="single" w:sz="4" w:space="0" w:color="000000"/>
            </w:tcBorders>
            <w:shd w:val="clear" w:color="auto" w:fill="D2D2D2"/>
          </w:tcPr>
          <w:p>
            <w:pPr/>
          </w:p>
        </w:tc>
        <w:tc>
          <w:tcPr>
            <w:tcW w:w="1207" w:type="dxa"/>
            <w:vMerge/>
            <w:tcBorders>
              <w:left w:val="single" w:sz="13" w:space="0" w:color="D2D2D2"/>
              <w:bottom w:val="single" w:sz="4" w:space="0" w:color="000000"/>
              <w:right w:val="single" w:sz="4" w:space="0" w:color="000000"/>
            </w:tcBorders>
          </w:tcPr>
          <w:p>
            <w:pPr/>
          </w:p>
        </w:tc>
      </w:tr>
      <w:tr>
        <w:trPr>
          <w:trHeight w:val="392" w:hRule="exact"/>
        </w:trPr>
        <w:tc>
          <w:tcPr>
            <w:tcW w:w="9569" w:type="dxa"/>
            <w:gridSpan w:val="1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3061" w:right="0"/>
              <w:jc w:val="left"/>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以上的股东或前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名股东持股情况</w:t>
            </w:r>
          </w:p>
        </w:tc>
      </w:tr>
      <w:tr>
        <w:trPr>
          <w:trHeight w:val="166" w:hRule="exact"/>
        </w:trPr>
        <w:tc>
          <w:tcPr>
            <w:tcW w:w="1469" w:type="dxa"/>
            <w:gridSpan w:val="2"/>
            <w:vMerge w:val="restart"/>
            <w:tcBorders>
              <w:top w:val="single" w:sz="4" w:space="0" w:color="000000"/>
              <w:left w:val="single" w:sz="4" w:space="0" w:color="000000"/>
              <w:right w:val="single" w:sz="4" w:space="0" w:color="000000"/>
            </w:tcBorders>
            <w:shd w:val="clear" w:color="auto" w:fill="D2D2D2"/>
          </w:tcPr>
          <w:p>
            <w:pPr/>
          </w:p>
        </w:tc>
        <w:tc>
          <w:tcPr>
            <w:tcW w:w="1412" w:type="dxa"/>
            <w:gridSpan w:val="2"/>
            <w:vMerge w:val="restart"/>
            <w:tcBorders>
              <w:top w:val="single" w:sz="4" w:space="0" w:color="000000"/>
              <w:left w:val="single" w:sz="4" w:space="0" w:color="000000"/>
              <w:right w:val="single" w:sz="4" w:space="0" w:color="000000"/>
            </w:tcBorders>
            <w:shd w:val="clear" w:color="auto" w:fill="D2D2D2"/>
          </w:tcPr>
          <w:p>
            <w:pPr/>
          </w:p>
        </w:tc>
        <w:tc>
          <w:tcPr>
            <w:tcW w:w="788" w:type="dxa"/>
            <w:gridSpan w:val="2"/>
            <w:vMerge w:val="restart"/>
            <w:tcBorders>
              <w:top w:val="single" w:sz="4" w:space="0" w:color="000000"/>
              <w:left w:val="single" w:sz="4" w:space="0" w:color="000000"/>
              <w:right w:val="single" w:sz="4" w:space="0" w:color="000000"/>
            </w:tcBorders>
            <w:shd w:val="clear" w:color="auto" w:fill="D2D2D2"/>
          </w:tcPr>
          <w:p>
            <w:pPr/>
          </w:p>
        </w:tc>
        <w:tc>
          <w:tcPr>
            <w:tcW w:w="786" w:type="dxa"/>
            <w:tcBorders>
              <w:top w:val="single" w:sz="4" w:space="0" w:color="000000"/>
              <w:left w:val="single" w:sz="4" w:space="0" w:color="000000"/>
              <w:bottom w:val="nil" w:sz="6" w:space="0" w:color="auto"/>
              <w:right w:val="single" w:sz="4" w:space="0" w:color="000000"/>
            </w:tcBorders>
            <w:shd w:val="clear" w:color="auto" w:fill="D2D2D2"/>
          </w:tcPr>
          <w:p>
            <w:pPr/>
          </w:p>
        </w:tc>
        <w:tc>
          <w:tcPr>
            <w:tcW w:w="788"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6"/>
              <w:ind w:left="28" w:right="29"/>
              <w:jc w:val="center"/>
              <w:rPr>
                <w:rFonts w:ascii="宋体" w:hAnsi="宋体" w:cs="宋体" w:eastAsia="宋体" w:hint="default"/>
                <w:sz w:val="18"/>
                <w:szCs w:val="18"/>
              </w:rPr>
            </w:pPr>
            <w:r>
              <w:rPr>
                <w:rFonts w:ascii="宋体" w:hAnsi="宋体" w:cs="宋体" w:eastAsia="宋体" w:hint="default"/>
                <w:sz w:val="18"/>
                <w:szCs w:val="18"/>
              </w:rPr>
              <w:t>报告期内 增减变动 情况</w:t>
            </w:r>
          </w:p>
        </w:tc>
        <w:tc>
          <w:tcPr>
            <w:tcW w:w="755"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6"/>
              <w:ind w:left="27" w:right="-2"/>
              <w:jc w:val="both"/>
              <w:rPr>
                <w:rFonts w:ascii="宋体" w:hAnsi="宋体" w:cs="宋体" w:eastAsia="宋体" w:hint="default"/>
                <w:sz w:val="18"/>
                <w:szCs w:val="18"/>
              </w:rPr>
            </w:pPr>
            <w:r>
              <w:rPr>
                <w:rFonts w:ascii="宋体" w:hAnsi="宋体" w:cs="宋体" w:eastAsia="宋体" w:hint="default"/>
                <w:sz w:val="18"/>
                <w:szCs w:val="18"/>
              </w:rPr>
              <w:t>持有有限 售条件的 股份数量</w:t>
            </w:r>
          </w:p>
        </w:tc>
        <w:tc>
          <w:tcPr>
            <w:tcW w:w="872"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6"/>
              <w:ind w:left="85" w:right="54"/>
              <w:jc w:val="both"/>
              <w:rPr>
                <w:rFonts w:ascii="宋体" w:hAnsi="宋体" w:cs="宋体" w:eastAsia="宋体" w:hint="default"/>
                <w:sz w:val="18"/>
                <w:szCs w:val="18"/>
              </w:rPr>
            </w:pPr>
            <w:r>
              <w:rPr>
                <w:rFonts w:ascii="宋体" w:hAnsi="宋体" w:cs="宋体" w:eastAsia="宋体" w:hint="default"/>
                <w:sz w:val="18"/>
                <w:szCs w:val="18"/>
              </w:rPr>
              <w:t>持有无限 售条件的 股份数量</w:t>
            </w:r>
          </w:p>
        </w:tc>
        <w:tc>
          <w:tcPr>
            <w:tcW w:w="2697" w:type="dxa"/>
            <w:gridSpan w:val="4"/>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713" w:right="0"/>
              <w:jc w:val="left"/>
              <w:rPr>
                <w:rFonts w:ascii="宋体" w:hAnsi="宋体" w:cs="宋体" w:eastAsia="宋体" w:hint="default"/>
                <w:sz w:val="18"/>
                <w:szCs w:val="18"/>
              </w:rPr>
            </w:pPr>
            <w:r>
              <w:rPr>
                <w:rFonts w:ascii="宋体" w:hAnsi="宋体" w:cs="宋体" w:eastAsia="宋体" w:hint="default"/>
                <w:sz w:val="18"/>
                <w:szCs w:val="18"/>
              </w:rPr>
              <w:t>质押或冻结情况</w:t>
            </w:r>
          </w:p>
        </w:tc>
      </w:tr>
      <w:tr>
        <w:trPr>
          <w:trHeight w:val="156" w:hRule="exact"/>
        </w:trPr>
        <w:tc>
          <w:tcPr>
            <w:tcW w:w="1469" w:type="dxa"/>
            <w:gridSpan w:val="2"/>
            <w:vMerge/>
            <w:tcBorders>
              <w:left w:val="single" w:sz="4" w:space="0" w:color="000000"/>
              <w:bottom w:val="nil" w:sz="6" w:space="0" w:color="auto"/>
              <w:right w:val="single" w:sz="4" w:space="0" w:color="000000"/>
            </w:tcBorders>
            <w:shd w:val="clear" w:color="auto" w:fill="D2D2D2"/>
          </w:tcPr>
          <w:p>
            <w:pPr/>
          </w:p>
        </w:tc>
        <w:tc>
          <w:tcPr>
            <w:tcW w:w="1412" w:type="dxa"/>
            <w:gridSpan w:val="2"/>
            <w:vMerge/>
            <w:tcBorders>
              <w:left w:val="single" w:sz="4" w:space="0" w:color="000000"/>
              <w:bottom w:val="nil" w:sz="6" w:space="0" w:color="auto"/>
              <w:right w:val="single" w:sz="4" w:space="0" w:color="000000"/>
            </w:tcBorders>
            <w:shd w:val="clear" w:color="auto" w:fill="D2D2D2"/>
          </w:tcPr>
          <w:p>
            <w:pPr/>
          </w:p>
        </w:tc>
        <w:tc>
          <w:tcPr>
            <w:tcW w:w="788" w:type="dxa"/>
            <w:gridSpan w:val="2"/>
            <w:vMerge/>
            <w:tcBorders>
              <w:left w:val="single" w:sz="4" w:space="0" w:color="000000"/>
              <w:bottom w:val="nil" w:sz="6" w:space="0" w:color="auto"/>
              <w:right w:val="single" w:sz="4" w:space="0" w:color="000000"/>
            </w:tcBorders>
            <w:shd w:val="clear" w:color="auto" w:fill="D2D2D2"/>
          </w:tcPr>
          <w:p>
            <w:pPr/>
          </w:p>
        </w:tc>
        <w:tc>
          <w:tcPr>
            <w:tcW w:w="786"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27" w:right="27"/>
              <w:jc w:val="left"/>
              <w:rPr>
                <w:rFonts w:ascii="宋体" w:hAnsi="宋体" w:cs="宋体" w:eastAsia="宋体" w:hint="default"/>
                <w:sz w:val="18"/>
                <w:szCs w:val="18"/>
              </w:rPr>
            </w:pPr>
            <w:r>
              <w:rPr>
                <w:rFonts w:ascii="宋体" w:hAnsi="宋体" w:cs="宋体" w:eastAsia="宋体" w:hint="default"/>
                <w:sz w:val="18"/>
                <w:szCs w:val="18"/>
              </w:rPr>
              <w:t>报告期末 持股数量</w:t>
            </w:r>
          </w:p>
        </w:tc>
        <w:tc>
          <w:tcPr>
            <w:tcW w:w="788" w:type="dxa"/>
            <w:gridSpan w:val="2"/>
            <w:vMerge/>
            <w:tcBorders>
              <w:left w:val="single" w:sz="4" w:space="0" w:color="000000"/>
              <w:right w:val="single" w:sz="4" w:space="0" w:color="000000"/>
            </w:tcBorders>
            <w:shd w:val="clear" w:color="auto" w:fill="D2D2D2"/>
          </w:tcPr>
          <w:p>
            <w:pPr/>
          </w:p>
        </w:tc>
        <w:tc>
          <w:tcPr>
            <w:tcW w:w="755" w:type="dxa"/>
            <w:vMerge/>
            <w:tcBorders>
              <w:left w:val="single" w:sz="4" w:space="0" w:color="000000"/>
              <w:right w:val="single" w:sz="4" w:space="0" w:color="000000"/>
            </w:tcBorders>
            <w:shd w:val="clear" w:color="auto" w:fill="D2D2D2"/>
          </w:tcPr>
          <w:p>
            <w:pPr/>
          </w:p>
        </w:tc>
        <w:tc>
          <w:tcPr>
            <w:tcW w:w="872" w:type="dxa"/>
            <w:vMerge/>
            <w:tcBorders>
              <w:left w:val="single" w:sz="4" w:space="0" w:color="000000"/>
              <w:right w:val="single" w:sz="4" w:space="0" w:color="000000"/>
            </w:tcBorders>
            <w:shd w:val="clear" w:color="auto" w:fill="D2D2D2"/>
          </w:tcPr>
          <w:p>
            <w:pPr/>
          </w:p>
        </w:tc>
        <w:tc>
          <w:tcPr>
            <w:tcW w:w="2697" w:type="dxa"/>
            <w:gridSpan w:val="4"/>
            <w:vMerge/>
            <w:tcBorders>
              <w:left w:val="single" w:sz="4" w:space="0" w:color="000000"/>
              <w:right w:val="single" w:sz="4" w:space="0" w:color="000000"/>
            </w:tcBorders>
            <w:shd w:val="clear" w:color="auto" w:fill="D2D2D2"/>
          </w:tcPr>
          <w:p>
            <w:pPr/>
          </w:p>
        </w:tc>
      </w:tr>
      <w:tr>
        <w:trPr>
          <w:trHeight w:val="141" w:hRule="exact"/>
        </w:trPr>
        <w:tc>
          <w:tcPr>
            <w:tcW w:w="1469"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68"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412"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40" w:right="0"/>
              <w:jc w:val="left"/>
              <w:rPr>
                <w:rFonts w:ascii="宋体" w:hAnsi="宋体" w:cs="宋体" w:eastAsia="宋体" w:hint="default"/>
                <w:sz w:val="18"/>
                <w:szCs w:val="18"/>
              </w:rPr>
            </w:pPr>
            <w:r>
              <w:rPr>
                <w:rFonts w:ascii="宋体" w:hAnsi="宋体" w:cs="宋体" w:eastAsia="宋体" w:hint="default"/>
                <w:sz w:val="18"/>
                <w:szCs w:val="18"/>
              </w:rPr>
              <w:t>股东性质</w:t>
            </w:r>
          </w:p>
        </w:tc>
        <w:tc>
          <w:tcPr>
            <w:tcW w:w="788"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8" w:right="0"/>
              <w:jc w:val="left"/>
              <w:rPr>
                <w:rFonts w:ascii="宋体" w:hAnsi="宋体" w:cs="宋体" w:eastAsia="宋体" w:hint="default"/>
                <w:sz w:val="18"/>
                <w:szCs w:val="18"/>
              </w:rPr>
            </w:pPr>
            <w:r>
              <w:rPr>
                <w:rFonts w:ascii="宋体" w:hAnsi="宋体" w:cs="宋体" w:eastAsia="宋体" w:hint="default"/>
                <w:sz w:val="18"/>
                <w:szCs w:val="18"/>
              </w:rPr>
              <w:t>持股比例</w:t>
            </w:r>
          </w:p>
        </w:tc>
        <w:tc>
          <w:tcPr>
            <w:tcW w:w="786" w:type="dxa"/>
            <w:vMerge/>
            <w:tcBorders>
              <w:left w:val="single" w:sz="4" w:space="0" w:color="000000"/>
              <w:right w:val="single" w:sz="4" w:space="0" w:color="000000"/>
            </w:tcBorders>
            <w:shd w:val="clear" w:color="auto" w:fill="D2D2D2"/>
          </w:tcPr>
          <w:p>
            <w:pPr/>
          </w:p>
        </w:tc>
        <w:tc>
          <w:tcPr>
            <w:tcW w:w="788" w:type="dxa"/>
            <w:gridSpan w:val="2"/>
            <w:vMerge/>
            <w:tcBorders>
              <w:left w:val="single" w:sz="4" w:space="0" w:color="000000"/>
              <w:right w:val="single" w:sz="4" w:space="0" w:color="000000"/>
            </w:tcBorders>
            <w:shd w:val="clear" w:color="auto" w:fill="D2D2D2"/>
          </w:tcPr>
          <w:p>
            <w:pPr/>
          </w:p>
        </w:tc>
        <w:tc>
          <w:tcPr>
            <w:tcW w:w="755" w:type="dxa"/>
            <w:vMerge/>
            <w:tcBorders>
              <w:left w:val="single" w:sz="4" w:space="0" w:color="000000"/>
              <w:right w:val="single" w:sz="4" w:space="0" w:color="000000"/>
            </w:tcBorders>
            <w:shd w:val="clear" w:color="auto" w:fill="D2D2D2"/>
          </w:tcPr>
          <w:p>
            <w:pPr/>
          </w:p>
        </w:tc>
        <w:tc>
          <w:tcPr>
            <w:tcW w:w="872" w:type="dxa"/>
            <w:vMerge/>
            <w:tcBorders>
              <w:left w:val="single" w:sz="4" w:space="0" w:color="000000"/>
              <w:right w:val="single" w:sz="4" w:space="0" w:color="000000"/>
            </w:tcBorders>
            <w:shd w:val="clear" w:color="auto" w:fill="D2D2D2"/>
          </w:tcPr>
          <w:p>
            <w:pPr/>
          </w:p>
        </w:tc>
        <w:tc>
          <w:tcPr>
            <w:tcW w:w="2697" w:type="dxa"/>
            <w:gridSpan w:val="4"/>
            <w:vMerge/>
            <w:tcBorders>
              <w:left w:val="single" w:sz="4" w:space="0" w:color="000000"/>
              <w:bottom w:val="single" w:sz="4" w:space="0" w:color="000000"/>
              <w:right w:val="single" w:sz="4" w:space="0" w:color="000000"/>
            </w:tcBorders>
            <w:shd w:val="clear" w:color="auto" w:fill="D2D2D2"/>
          </w:tcPr>
          <w:p>
            <w:pPr/>
          </w:p>
        </w:tc>
      </w:tr>
      <w:tr>
        <w:trPr>
          <w:trHeight w:val="251" w:hRule="exact"/>
        </w:trPr>
        <w:tc>
          <w:tcPr>
            <w:tcW w:w="1469" w:type="dxa"/>
            <w:gridSpan w:val="2"/>
            <w:vMerge/>
            <w:tcBorders>
              <w:left w:val="single" w:sz="4" w:space="0" w:color="000000"/>
              <w:bottom w:val="nil" w:sz="6" w:space="0" w:color="auto"/>
              <w:right w:val="single" w:sz="4" w:space="0" w:color="000000"/>
            </w:tcBorders>
            <w:shd w:val="clear" w:color="auto" w:fill="D2D2D2"/>
          </w:tcPr>
          <w:p>
            <w:pPr/>
          </w:p>
        </w:tc>
        <w:tc>
          <w:tcPr>
            <w:tcW w:w="1412" w:type="dxa"/>
            <w:gridSpan w:val="2"/>
            <w:vMerge/>
            <w:tcBorders>
              <w:left w:val="single" w:sz="4" w:space="0" w:color="000000"/>
              <w:bottom w:val="nil" w:sz="6" w:space="0" w:color="auto"/>
              <w:right w:val="single" w:sz="4" w:space="0" w:color="000000"/>
            </w:tcBorders>
            <w:shd w:val="clear" w:color="auto" w:fill="D2D2D2"/>
          </w:tcPr>
          <w:p>
            <w:pPr/>
          </w:p>
        </w:tc>
        <w:tc>
          <w:tcPr>
            <w:tcW w:w="788" w:type="dxa"/>
            <w:gridSpan w:val="2"/>
            <w:vMerge/>
            <w:tcBorders>
              <w:left w:val="single" w:sz="4" w:space="0" w:color="000000"/>
              <w:bottom w:val="nil" w:sz="6" w:space="0" w:color="auto"/>
              <w:right w:val="single" w:sz="4" w:space="0" w:color="000000"/>
            </w:tcBorders>
            <w:shd w:val="clear" w:color="auto" w:fill="D2D2D2"/>
          </w:tcPr>
          <w:p>
            <w:pPr/>
          </w:p>
        </w:tc>
        <w:tc>
          <w:tcPr>
            <w:tcW w:w="786" w:type="dxa"/>
            <w:vMerge/>
            <w:tcBorders>
              <w:left w:val="single" w:sz="4" w:space="0" w:color="000000"/>
              <w:right w:val="single" w:sz="4" w:space="0" w:color="000000"/>
            </w:tcBorders>
            <w:shd w:val="clear" w:color="auto" w:fill="D2D2D2"/>
          </w:tcPr>
          <w:p>
            <w:pPr/>
          </w:p>
        </w:tc>
        <w:tc>
          <w:tcPr>
            <w:tcW w:w="788" w:type="dxa"/>
            <w:gridSpan w:val="2"/>
            <w:vMerge/>
            <w:tcBorders>
              <w:left w:val="single" w:sz="4" w:space="0" w:color="000000"/>
              <w:right w:val="single" w:sz="4" w:space="0" w:color="000000"/>
            </w:tcBorders>
            <w:shd w:val="clear" w:color="auto" w:fill="D2D2D2"/>
          </w:tcPr>
          <w:p>
            <w:pPr/>
          </w:p>
        </w:tc>
        <w:tc>
          <w:tcPr>
            <w:tcW w:w="755" w:type="dxa"/>
            <w:vMerge/>
            <w:tcBorders>
              <w:left w:val="single" w:sz="4" w:space="0" w:color="000000"/>
              <w:right w:val="single" w:sz="4" w:space="0" w:color="000000"/>
            </w:tcBorders>
            <w:shd w:val="clear" w:color="auto" w:fill="D2D2D2"/>
          </w:tcPr>
          <w:p>
            <w:pPr/>
          </w:p>
        </w:tc>
        <w:tc>
          <w:tcPr>
            <w:tcW w:w="872" w:type="dxa"/>
            <w:vMerge/>
            <w:tcBorders>
              <w:left w:val="single" w:sz="4" w:space="0" w:color="000000"/>
              <w:right w:val="single" w:sz="4" w:space="0" w:color="000000"/>
            </w:tcBorders>
            <w:shd w:val="clear" w:color="auto" w:fill="D2D2D2"/>
          </w:tcPr>
          <w:p>
            <w:pPr/>
          </w:p>
        </w:tc>
        <w:tc>
          <w:tcPr>
            <w:tcW w:w="134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7"/>
              <w:ind w:left="308" w:right="0"/>
              <w:jc w:val="left"/>
              <w:rPr>
                <w:rFonts w:ascii="宋体" w:hAnsi="宋体" w:cs="宋体" w:eastAsia="宋体" w:hint="default"/>
                <w:sz w:val="18"/>
                <w:szCs w:val="18"/>
              </w:rPr>
            </w:pPr>
            <w:r>
              <w:rPr>
                <w:rFonts w:ascii="宋体" w:hAnsi="宋体" w:cs="宋体" w:eastAsia="宋体" w:hint="default"/>
                <w:sz w:val="18"/>
                <w:szCs w:val="18"/>
              </w:rPr>
              <w:t>股份状态</w:t>
            </w:r>
          </w:p>
        </w:tc>
        <w:tc>
          <w:tcPr>
            <w:tcW w:w="1348"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7"/>
              <w:ind w:right="1"/>
              <w:jc w:val="center"/>
              <w:rPr>
                <w:rFonts w:ascii="宋体" w:hAnsi="宋体" w:cs="宋体" w:eastAsia="宋体" w:hint="default"/>
                <w:sz w:val="18"/>
                <w:szCs w:val="18"/>
              </w:rPr>
            </w:pPr>
            <w:r>
              <w:rPr>
                <w:rFonts w:ascii="宋体" w:hAnsi="宋体" w:cs="宋体" w:eastAsia="宋体" w:hint="default"/>
                <w:sz w:val="18"/>
                <w:szCs w:val="18"/>
              </w:rPr>
              <w:t>数量</w:t>
            </w:r>
          </w:p>
        </w:tc>
      </w:tr>
      <w:tr>
        <w:trPr>
          <w:trHeight w:val="156" w:hRule="exact"/>
        </w:trPr>
        <w:tc>
          <w:tcPr>
            <w:tcW w:w="1469" w:type="dxa"/>
            <w:gridSpan w:val="2"/>
            <w:vMerge w:val="restart"/>
            <w:tcBorders>
              <w:top w:val="nil" w:sz="6" w:space="0" w:color="auto"/>
              <w:left w:val="single" w:sz="4" w:space="0" w:color="000000"/>
              <w:right w:val="single" w:sz="4" w:space="0" w:color="000000"/>
            </w:tcBorders>
            <w:shd w:val="clear" w:color="auto" w:fill="D2D2D2"/>
          </w:tcPr>
          <w:p>
            <w:pPr/>
          </w:p>
        </w:tc>
        <w:tc>
          <w:tcPr>
            <w:tcW w:w="1412" w:type="dxa"/>
            <w:gridSpan w:val="2"/>
            <w:vMerge w:val="restart"/>
            <w:tcBorders>
              <w:top w:val="nil" w:sz="6" w:space="0" w:color="auto"/>
              <w:left w:val="single" w:sz="4" w:space="0" w:color="000000"/>
              <w:right w:val="single" w:sz="4" w:space="0" w:color="000000"/>
            </w:tcBorders>
            <w:shd w:val="clear" w:color="auto" w:fill="D2D2D2"/>
          </w:tcPr>
          <w:p>
            <w:pPr/>
          </w:p>
        </w:tc>
        <w:tc>
          <w:tcPr>
            <w:tcW w:w="788" w:type="dxa"/>
            <w:gridSpan w:val="2"/>
            <w:vMerge w:val="restart"/>
            <w:tcBorders>
              <w:top w:val="nil" w:sz="6" w:space="0" w:color="auto"/>
              <w:left w:val="single" w:sz="4" w:space="0" w:color="000000"/>
              <w:right w:val="single" w:sz="4" w:space="0" w:color="000000"/>
            </w:tcBorders>
            <w:shd w:val="clear" w:color="auto" w:fill="D2D2D2"/>
          </w:tcPr>
          <w:p>
            <w:pPr/>
          </w:p>
        </w:tc>
        <w:tc>
          <w:tcPr>
            <w:tcW w:w="786" w:type="dxa"/>
            <w:vMerge/>
            <w:tcBorders>
              <w:left w:val="single" w:sz="4" w:space="0" w:color="000000"/>
              <w:bottom w:val="nil" w:sz="6" w:space="0" w:color="auto"/>
              <w:right w:val="single" w:sz="4" w:space="0" w:color="000000"/>
            </w:tcBorders>
            <w:shd w:val="clear" w:color="auto" w:fill="D2D2D2"/>
          </w:tcPr>
          <w:p>
            <w:pPr/>
          </w:p>
        </w:tc>
        <w:tc>
          <w:tcPr>
            <w:tcW w:w="788" w:type="dxa"/>
            <w:gridSpan w:val="2"/>
            <w:vMerge/>
            <w:tcBorders>
              <w:left w:val="single" w:sz="4" w:space="0" w:color="000000"/>
              <w:right w:val="single" w:sz="4" w:space="0" w:color="000000"/>
            </w:tcBorders>
            <w:shd w:val="clear" w:color="auto" w:fill="D2D2D2"/>
          </w:tcPr>
          <w:p>
            <w:pPr/>
          </w:p>
        </w:tc>
        <w:tc>
          <w:tcPr>
            <w:tcW w:w="755" w:type="dxa"/>
            <w:vMerge/>
            <w:tcBorders>
              <w:left w:val="single" w:sz="4" w:space="0" w:color="000000"/>
              <w:right w:val="single" w:sz="4" w:space="0" w:color="000000"/>
            </w:tcBorders>
            <w:shd w:val="clear" w:color="auto" w:fill="D2D2D2"/>
          </w:tcPr>
          <w:p>
            <w:pPr/>
          </w:p>
        </w:tc>
        <w:tc>
          <w:tcPr>
            <w:tcW w:w="872" w:type="dxa"/>
            <w:vMerge/>
            <w:tcBorders>
              <w:left w:val="single" w:sz="4" w:space="0" w:color="000000"/>
              <w:right w:val="single" w:sz="4" w:space="0" w:color="000000"/>
            </w:tcBorders>
            <w:shd w:val="clear" w:color="auto" w:fill="D2D2D2"/>
          </w:tcPr>
          <w:p>
            <w:pPr/>
          </w:p>
        </w:tc>
        <w:tc>
          <w:tcPr>
            <w:tcW w:w="1349" w:type="dxa"/>
            <w:gridSpan w:val="2"/>
            <w:vMerge/>
            <w:tcBorders>
              <w:left w:val="single" w:sz="4" w:space="0" w:color="000000"/>
              <w:right w:val="single" w:sz="4" w:space="0" w:color="000000"/>
            </w:tcBorders>
            <w:shd w:val="clear" w:color="auto" w:fill="D2D2D2"/>
          </w:tcPr>
          <w:p>
            <w:pPr/>
          </w:p>
        </w:tc>
        <w:tc>
          <w:tcPr>
            <w:tcW w:w="1348" w:type="dxa"/>
            <w:gridSpan w:val="2"/>
            <w:vMerge/>
            <w:tcBorders>
              <w:left w:val="single" w:sz="4" w:space="0" w:color="000000"/>
              <w:right w:val="single" w:sz="4" w:space="0" w:color="000000"/>
            </w:tcBorders>
            <w:shd w:val="clear" w:color="auto" w:fill="D2D2D2"/>
          </w:tcPr>
          <w:p>
            <w:pPr/>
          </w:p>
        </w:tc>
      </w:tr>
      <w:tr>
        <w:trPr>
          <w:trHeight w:val="161" w:hRule="exact"/>
        </w:trPr>
        <w:tc>
          <w:tcPr>
            <w:tcW w:w="1469" w:type="dxa"/>
            <w:gridSpan w:val="2"/>
            <w:vMerge/>
            <w:tcBorders>
              <w:left w:val="single" w:sz="4" w:space="0" w:color="000000"/>
              <w:bottom w:val="single" w:sz="4" w:space="0" w:color="000000"/>
              <w:right w:val="single" w:sz="4" w:space="0" w:color="000000"/>
            </w:tcBorders>
            <w:shd w:val="clear" w:color="auto" w:fill="D2D2D2"/>
          </w:tcPr>
          <w:p>
            <w:pPr/>
          </w:p>
        </w:tc>
        <w:tc>
          <w:tcPr>
            <w:tcW w:w="1412" w:type="dxa"/>
            <w:gridSpan w:val="2"/>
            <w:vMerge/>
            <w:tcBorders>
              <w:left w:val="single" w:sz="4" w:space="0" w:color="000000"/>
              <w:bottom w:val="single" w:sz="4" w:space="0" w:color="000000"/>
              <w:right w:val="single" w:sz="4" w:space="0" w:color="000000"/>
            </w:tcBorders>
            <w:shd w:val="clear" w:color="auto" w:fill="D2D2D2"/>
          </w:tcPr>
          <w:p>
            <w:pPr/>
          </w:p>
        </w:tc>
        <w:tc>
          <w:tcPr>
            <w:tcW w:w="788" w:type="dxa"/>
            <w:gridSpan w:val="2"/>
            <w:vMerge/>
            <w:tcBorders>
              <w:left w:val="single" w:sz="4" w:space="0" w:color="000000"/>
              <w:bottom w:val="single" w:sz="4" w:space="0" w:color="000000"/>
              <w:right w:val="single" w:sz="4" w:space="0" w:color="000000"/>
            </w:tcBorders>
            <w:shd w:val="clear" w:color="auto" w:fill="D2D2D2"/>
          </w:tcPr>
          <w:p>
            <w:pPr/>
          </w:p>
        </w:tc>
        <w:tc>
          <w:tcPr>
            <w:tcW w:w="786" w:type="dxa"/>
            <w:tcBorders>
              <w:top w:val="nil" w:sz="6" w:space="0" w:color="auto"/>
              <w:left w:val="single" w:sz="4" w:space="0" w:color="000000"/>
              <w:bottom w:val="single" w:sz="4" w:space="0" w:color="000000"/>
              <w:right w:val="single" w:sz="4" w:space="0" w:color="000000"/>
            </w:tcBorders>
            <w:shd w:val="clear" w:color="auto" w:fill="D2D2D2"/>
          </w:tcPr>
          <w:p>
            <w:pPr/>
          </w:p>
        </w:tc>
        <w:tc>
          <w:tcPr>
            <w:tcW w:w="788" w:type="dxa"/>
            <w:gridSpan w:val="2"/>
            <w:vMerge/>
            <w:tcBorders>
              <w:left w:val="single" w:sz="4" w:space="0" w:color="000000"/>
              <w:bottom w:val="single" w:sz="4" w:space="0" w:color="000000"/>
              <w:right w:val="single" w:sz="4" w:space="0" w:color="000000"/>
            </w:tcBorders>
            <w:shd w:val="clear" w:color="auto" w:fill="D2D2D2"/>
          </w:tcPr>
          <w:p>
            <w:pPr/>
          </w:p>
        </w:tc>
        <w:tc>
          <w:tcPr>
            <w:tcW w:w="755" w:type="dxa"/>
            <w:vMerge/>
            <w:tcBorders>
              <w:left w:val="single" w:sz="4" w:space="0" w:color="000000"/>
              <w:bottom w:val="single" w:sz="4" w:space="0" w:color="000000"/>
              <w:right w:val="single" w:sz="4" w:space="0" w:color="000000"/>
            </w:tcBorders>
            <w:shd w:val="clear" w:color="auto" w:fill="D2D2D2"/>
          </w:tcPr>
          <w:p>
            <w:pPr/>
          </w:p>
        </w:tc>
        <w:tc>
          <w:tcPr>
            <w:tcW w:w="872" w:type="dxa"/>
            <w:vMerge/>
            <w:tcBorders>
              <w:left w:val="single" w:sz="4" w:space="0" w:color="000000"/>
              <w:bottom w:val="single" w:sz="4" w:space="0" w:color="000000"/>
              <w:right w:val="single" w:sz="4" w:space="0" w:color="000000"/>
            </w:tcBorders>
            <w:shd w:val="clear" w:color="auto" w:fill="D2D2D2"/>
          </w:tcPr>
          <w:p>
            <w:pPr/>
          </w:p>
        </w:tc>
        <w:tc>
          <w:tcPr>
            <w:tcW w:w="1349" w:type="dxa"/>
            <w:gridSpan w:val="2"/>
            <w:vMerge/>
            <w:tcBorders>
              <w:left w:val="single" w:sz="4" w:space="0" w:color="000000"/>
              <w:bottom w:val="single" w:sz="4" w:space="0" w:color="000000"/>
              <w:right w:val="single" w:sz="4" w:space="0" w:color="000000"/>
            </w:tcBorders>
            <w:shd w:val="clear" w:color="auto" w:fill="D2D2D2"/>
          </w:tcPr>
          <w:p>
            <w:pPr/>
          </w:p>
        </w:tc>
        <w:tc>
          <w:tcPr>
            <w:tcW w:w="1348" w:type="dxa"/>
            <w:gridSpan w:val="2"/>
            <w:vMerge/>
            <w:tcBorders>
              <w:left w:val="single" w:sz="4" w:space="0" w:color="000000"/>
              <w:bottom w:val="single" w:sz="4" w:space="0" w:color="000000"/>
              <w:right w:val="single" w:sz="4" w:space="0" w:color="000000"/>
            </w:tcBorders>
            <w:shd w:val="clear" w:color="auto" w:fill="D2D2D2"/>
          </w:tcPr>
          <w:p>
            <w:pPr/>
          </w:p>
        </w:tc>
      </w:tr>
      <w:tr>
        <w:trPr>
          <w:trHeight w:val="714"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吴涵渠</w:t>
            </w:r>
          </w:p>
        </w:tc>
        <w:tc>
          <w:tcPr>
            <w:tcW w:w="14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00" w:right="0"/>
              <w:jc w:val="left"/>
              <w:rPr>
                <w:rFonts w:ascii="Times New Roman" w:hAnsi="Times New Roman" w:cs="Times New Roman" w:eastAsia="Times New Roman" w:hint="default"/>
                <w:sz w:val="18"/>
                <w:szCs w:val="18"/>
              </w:rPr>
            </w:pPr>
            <w:r>
              <w:rPr>
                <w:rFonts w:ascii="Times New Roman"/>
                <w:sz w:val="18"/>
              </w:rPr>
              <w:t>27.72%</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169,467,9</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63</w:t>
            </w:r>
          </w:p>
        </w:tc>
        <w:tc>
          <w:tcPr>
            <w:tcW w:w="7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56,489,32</w:t>
            </w:r>
          </w:p>
          <w:p>
            <w:pPr>
              <w:pStyle w:val="TableParagraph"/>
              <w:spacing w:line="240" w:lineRule="auto" w:before="106"/>
              <w:ind w:left="22" w:right="0"/>
              <w:jc w:val="left"/>
              <w:rPr>
                <w:rFonts w:ascii="Times New Roman" w:hAnsi="Times New Roman" w:cs="Times New Roman" w:eastAsia="Times New Roman" w:hint="default"/>
                <w:sz w:val="18"/>
                <w:szCs w:val="18"/>
              </w:rPr>
            </w:pPr>
            <w:r>
              <w:rPr>
                <w:rFonts w:ascii="Times New Roman"/>
                <w:sz w:val="18"/>
              </w:rPr>
              <w:t>1</w:t>
            </w:r>
          </w:p>
        </w:tc>
        <w:tc>
          <w:tcPr>
            <w:tcW w:w="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127,100,9</w:t>
            </w:r>
          </w:p>
          <w:p>
            <w:pPr>
              <w:pStyle w:val="TableParagraph"/>
              <w:spacing w:line="240" w:lineRule="auto" w:before="106"/>
              <w:ind w:right="-8"/>
              <w:jc w:val="right"/>
              <w:rPr>
                <w:rFonts w:ascii="Times New Roman" w:hAnsi="Times New Roman" w:cs="Times New Roman" w:eastAsia="Times New Roman" w:hint="default"/>
                <w:sz w:val="18"/>
                <w:szCs w:val="18"/>
              </w:rPr>
            </w:pPr>
            <w:r>
              <w:rPr>
                <w:rFonts w:ascii="Times New Roman"/>
                <w:sz w:val="18"/>
              </w:rPr>
              <w:t>70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42,366,99</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3</w:t>
            </w:r>
          </w:p>
        </w:tc>
        <w:tc>
          <w:tcPr>
            <w:tcW w:w="1349" w:type="dxa"/>
            <w:gridSpan w:val="2"/>
            <w:tcBorders>
              <w:top w:val="single" w:sz="45" w:space="0" w:color="D2D2D2"/>
              <w:left w:val="single" w:sz="4" w:space="0" w:color="000000"/>
              <w:bottom w:val="single" w:sz="4" w:space="0" w:color="000000"/>
              <w:right w:val="single" w:sz="4" w:space="0" w:color="000000"/>
            </w:tcBorders>
          </w:tcPr>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348" w:type="dxa"/>
            <w:gridSpan w:val="2"/>
            <w:tcBorders>
              <w:top w:val="single" w:sz="45" w:space="0" w:color="D2D2D2"/>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left="505" w:right="0"/>
              <w:jc w:val="left"/>
              <w:rPr>
                <w:rFonts w:ascii="Times New Roman" w:hAnsi="Times New Roman" w:cs="Times New Roman" w:eastAsia="Times New Roman" w:hint="default"/>
                <w:sz w:val="18"/>
                <w:szCs w:val="18"/>
              </w:rPr>
            </w:pPr>
            <w:r>
              <w:rPr>
                <w:rFonts w:ascii="Times New Roman"/>
                <w:sz w:val="18"/>
              </w:rPr>
              <w:t>17,525,000</w:t>
            </w:r>
          </w:p>
        </w:tc>
      </w:tr>
      <w:tr>
        <w:trPr>
          <w:trHeight w:val="714"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黄斌</w:t>
            </w:r>
          </w:p>
        </w:tc>
        <w:tc>
          <w:tcPr>
            <w:tcW w:w="14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90" w:right="0"/>
              <w:jc w:val="left"/>
              <w:rPr>
                <w:rFonts w:ascii="Times New Roman" w:hAnsi="Times New Roman" w:cs="Times New Roman" w:eastAsia="Times New Roman" w:hint="default"/>
                <w:sz w:val="18"/>
                <w:szCs w:val="18"/>
              </w:rPr>
            </w:pPr>
            <w:r>
              <w:rPr>
                <w:rFonts w:ascii="Times New Roman"/>
                <w:sz w:val="18"/>
              </w:rPr>
              <w:t>4.73%</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28,905,14</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4</w:t>
            </w:r>
          </w:p>
        </w:tc>
        <w:tc>
          <w:tcPr>
            <w:tcW w:w="7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9,635,048</w:t>
            </w:r>
          </w:p>
        </w:tc>
        <w:tc>
          <w:tcPr>
            <w:tcW w:w="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21,678,85</w:t>
            </w:r>
          </w:p>
          <w:p>
            <w:pPr>
              <w:pStyle w:val="TableParagraph"/>
              <w:spacing w:line="240" w:lineRule="auto" w:before="106"/>
              <w:ind w:right="-8"/>
              <w:jc w:val="right"/>
              <w:rPr>
                <w:rFonts w:ascii="Times New Roman" w:hAnsi="Times New Roman" w:cs="Times New Roman" w:eastAsia="Times New Roman" w:hint="default"/>
                <w:sz w:val="18"/>
                <w:szCs w:val="18"/>
              </w:rPr>
            </w:pPr>
            <w:r>
              <w:rPr>
                <w:rFonts w:ascii="Times New Roman"/>
                <w:sz w:val="18"/>
              </w:rPr>
              <w:t>7</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7,226,287</w:t>
            </w:r>
          </w:p>
        </w:tc>
        <w:tc>
          <w:tcPr>
            <w:tcW w:w="1349" w:type="dxa"/>
            <w:gridSpan w:val="2"/>
            <w:tcBorders>
              <w:top w:val="single" w:sz="4" w:space="0" w:color="000000"/>
              <w:left w:val="single" w:sz="4" w:space="0" w:color="000000"/>
              <w:bottom w:val="single" w:sz="4" w:space="0" w:color="000000"/>
              <w:right w:val="single" w:sz="4" w:space="0" w:color="000000"/>
            </w:tcBorders>
          </w:tcPr>
          <w:p>
            <w:pPr/>
          </w:p>
        </w:tc>
        <w:tc>
          <w:tcPr>
            <w:tcW w:w="1348" w:type="dxa"/>
            <w:gridSpan w:val="2"/>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赵旭峰</w:t>
            </w:r>
          </w:p>
        </w:tc>
        <w:tc>
          <w:tcPr>
            <w:tcW w:w="14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90" w:right="0"/>
              <w:jc w:val="left"/>
              <w:rPr>
                <w:rFonts w:ascii="Times New Roman" w:hAnsi="Times New Roman" w:cs="Times New Roman" w:eastAsia="Times New Roman" w:hint="default"/>
                <w:sz w:val="18"/>
                <w:szCs w:val="18"/>
              </w:rPr>
            </w:pPr>
            <w:r>
              <w:rPr>
                <w:rFonts w:ascii="Times New Roman"/>
                <w:sz w:val="18"/>
              </w:rPr>
              <w:t>3.38%</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20,658,83</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7</w:t>
            </w:r>
          </w:p>
        </w:tc>
        <w:tc>
          <w:tcPr>
            <w:tcW w:w="7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7,352,979</w:t>
            </w:r>
          </w:p>
        </w:tc>
        <w:tc>
          <w:tcPr>
            <w:tcW w:w="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15,494,12</w:t>
            </w:r>
          </w:p>
          <w:p>
            <w:pPr>
              <w:pStyle w:val="TableParagraph"/>
              <w:spacing w:line="240" w:lineRule="auto" w:before="106"/>
              <w:ind w:right="-8"/>
              <w:jc w:val="right"/>
              <w:rPr>
                <w:rFonts w:ascii="Times New Roman" w:hAnsi="Times New Roman" w:cs="Times New Roman" w:eastAsia="Times New Roman" w:hint="default"/>
                <w:sz w:val="18"/>
                <w:szCs w:val="18"/>
              </w:rPr>
            </w:pPr>
            <w:r>
              <w:rPr>
                <w:rFonts w:ascii="Times New Roman"/>
                <w:sz w:val="18"/>
              </w:rPr>
              <w:t>6</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5,164,711</w:t>
            </w:r>
          </w:p>
        </w:tc>
        <w:tc>
          <w:tcPr>
            <w:tcW w:w="1349" w:type="dxa"/>
            <w:gridSpan w:val="2"/>
            <w:tcBorders>
              <w:top w:val="single" w:sz="4" w:space="0" w:color="000000"/>
              <w:left w:val="single" w:sz="4" w:space="0" w:color="000000"/>
              <w:bottom w:val="single" w:sz="4" w:space="0" w:color="000000"/>
              <w:right w:val="single" w:sz="4" w:space="0" w:color="000000"/>
            </w:tcBorders>
          </w:tcPr>
          <w:p>
            <w:pPr/>
          </w:p>
        </w:tc>
        <w:tc>
          <w:tcPr>
            <w:tcW w:w="1348" w:type="dxa"/>
            <w:gridSpan w:val="2"/>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沈永健</w:t>
            </w:r>
          </w:p>
        </w:tc>
        <w:tc>
          <w:tcPr>
            <w:tcW w:w="14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90" w:right="0"/>
              <w:jc w:val="left"/>
              <w:rPr>
                <w:rFonts w:ascii="Times New Roman" w:hAnsi="Times New Roman" w:cs="Times New Roman" w:eastAsia="Times New Roman" w:hint="default"/>
                <w:sz w:val="18"/>
                <w:szCs w:val="18"/>
              </w:rPr>
            </w:pPr>
            <w:r>
              <w:rPr>
                <w:rFonts w:ascii="Times New Roman"/>
                <w:sz w:val="18"/>
              </w:rPr>
              <w:t>3.01%</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18,399,99</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9</w:t>
            </w:r>
          </w:p>
        </w:tc>
        <w:tc>
          <w:tcPr>
            <w:tcW w:w="7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6,133,333</w:t>
            </w:r>
          </w:p>
        </w:tc>
        <w:tc>
          <w:tcPr>
            <w:tcW w:w="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18,399,99</w:t>
            </w:r>
          </w:p>
          <w:p>
            <w:pPr>
              <w:pStyle w:val="TableParagraph"/>
              <w:spacing w:line="240" w:lineRule="auto" w:before="106"/>
              <w:ind w:right="-8"/>
              <w:jc w:val="right"/>
              <w:rPr>
                <w:rFonts w:ascii="Times New Roman" w:hAnsi="Times New Roman" w:cs="Times New Roman" w:eastAsia="Times New Roman" w:hint="default"/>
                <w:sz w:val="18"/>
                <w:szCs w:val="18"/>
              </w:rPr>
            </w:pPr>
            <w:r>
              <w:rPr>
                <w:rFonts w:ascii="Times New Roman"/>
                <w:sz w:val="18"/>
              </w:rPr>
              <w:t>9</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349" w:type="dxa"/>
            <w:gridSpan w:val="2"/>
            <w:tcBorders>
              <w:top w:val="single" w:sz="4" w:space="0" w:color="000000"/>
              <w:left w:val="single" w:sz="4" w:space="0" w:color="000000"/>
              <w:bottom w:val="single" w:sz="4" w:space="0" w:color="000000"/>
              <w:right w:val="single" w:sz="4" w:space="0" w:color="000000"/>
            </w:tcBorders>
          </w:tcPr>
          <w:p>
            <w:pPr/>
          </w:p>
        </w:tc>
        <w:tc>
          <w:tcPr>
            <w:tcW w:w="1348" w:type="dxa"/>
            <w:gridSpan w:val="2"/>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469"/>
        <w:gridCol w:w="1412"/>
        <w:gridCol w:w="788"/>
        <w:gridCol w:w="786"/>
        <w:gridCol w:w="788"/>
        <w:gridCol w:w="787"/>
        <w:gridCol w:w="840"/>
        <w:gridCol w:w="1349"/>
        <w:gridCol w:w="1348"/>
      </w:tblGrid>
      <w:tr>
        <w:trPr>
          <w:trHeight w:val="714"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邱荣邦</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2.97%</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18,171,83</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6,057,277</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13,628,87</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3</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4,542,957</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10,395,422</w:t>
            </w:r>
          </w:p>
        </w:tc>
      </w:tr>
      <w:tr>
        <w:trPr>
          <w:trHeight w:val="1026"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74"/>
              <w:jc w:val="both"/>
              <w:rPr>
                <w:rFonts w:ascii="宋体" w:hAnsi="宋体" w:cs="宋体" w:eastAsia="宋体" w:hint="default"/>
                <w:sz w:val="18"/>
                <w:szCs w:val="18"/>
              </w:rPr>
            </w:pPr>
            <w:r>
              <w:rPr>
                <w:rFonts w:ascii="宋体" w:hAnsi="宋体" w:cs="宋体" w:eastAsia="宋体" w:hint="default"/>
                <w:sz w:val="18"/>
                <w:szCs w:val="18"/>
              </w:rPr>
              <w:t>山东省国有资产 投资控股有限公 司</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国有法人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2.74%</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16,743,33</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8</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16,743,33</w:t>
            </w:r>
          </w:p>
          <w:p>
            <w:pPr>
              <w:pStyle w:val="TableParagraph"/>
              <w:spacing w:line="240" w:lineRule="auto" w:before="106"/>
              <w:ind w:left="22" w:right="0"/>
              <w:jc w:val="left"/>
              <w:rPr>
                <w:rFonts w:ascii="Times New Roman" w:hAnsi="Times New Roman" w:cs="Times New Roman" w:eastAsia="Times New Roman" w:hint="default"/>
                <w:sz w:val="18"/>
                <w:szCs w:val="18"/>
              </w:rPr>
            </w:pPr>
            <w:r>
              <w:rPr>
                <w:rFonts w:ascii="Times New Roman"/>
                <w:sz w:val="18"/>
              </w:rPr>
              <w:t>8</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2,123,438</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14,619,90</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w:t>
            </w:r>
          </w:p>
        </w:tc>
        <w:tc>
          <w:tcPr>
            <w:tcW w:w="1349" w:type="dxa"/>
            <w:tcBorders>
              <w:top w:val="single" w:sz="4" w:space="0" w:color="000000"/>
              <w:left w:val="single" w:sz="4" w:space="0" w:color="000000"/>
              <w:bottom w:val="single" w:sz="4" w:space="0" w:color="000000"/>
              <w:right w:val="single" w:sz="4" w:space="0" w:color="000000"/>
            </w:tcBorders>
          </w:tcPr>
          <w:p>
            <w:pPr/>
          </w:p>
        </w:tc>
        <w:tc>
          <w:tcPr>
            <w:tcW w:w="134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74"/>
              <w:jc w:val="left"/>
              <w:rPr>
                <w:rFonts w:ascii="宋体" w:hAnsi="宋体" w:cs="宋体" w:eastAsia="宋体" w:hint="default"/>
                <w:sz w:val="18"/>
                <w:szCs w:val="18"/>
              </w:rPr>
            </w:pPr>
            <w:r>
              <w:rPr>
                <w:rFonts w:ascii="宋体" w:hAnsi="宋体" w:cs="宋体" w:eastAsia="宋体" w:hint="default"/>
                <w:sz w:val="18"/>
                <w:szCs w:val="18"/>
              </w:rPr>
              <w:t>紫光集团有限公 司</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国有法人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1.94%</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11,885,79</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1</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11,885,79</w:t>
            </w:r>
          </w:p>
          <w:p>
            <w:pPr>
              <w:pStyle w:val="TableParagraph"/>
              <w:spacing w:line="240" w:lineRule="auto" w:before="106"/>
              <w:ind w:left="22" w:right="0"/>
              <w:jc w:val="left"/>
              <w:rPr>
                <w:rFonts w:ascii="Times New Roman" w:hAnsi="Times New Roman" w:cs="Times New Roman" w:eastAsia="Times New Roman" w:hint="default"/>
                <w:sz w:val="18"/>
                <w:szCs w:val="18"/>
              </w:rPr>
            </w:pPr>
            <w:r>
              <w:rPr>
                <w:rFonts w:ascii="Times New Roman"/>
                <w:sz w:val="18"/>
              </w:rPr>
              <w:t>1</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11,885,79</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1</w:t>
            </w:r>
          </w:p>
        </w:tc>
        <w:tc>
          <w:tcPr>
            <w:tcW w:w="1349" w:type="dxa"/>
            <w:tcBorders>
              <w:top w:val="single" w:sz="4" w:space="0" w:color="000000"/>
              <w:left w:val="single" w:sz="4" w:space="0" w:color="000000"/>
              <w:bottom w:val="single" w:sz="4" w:space="0" w:color="000000"/>
              <w:right w:val="single" w:sz="4" w:space="0" w:color="000000"/>
            </w:tcBorders>
          </w:tcPr>
          <w:p>
            <w:pPr/>
          </w:p>
        </w:tc>
        <w:tc>
          <w:tcPr>
            <w:tcW w:w="134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郭卫华</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1.69%</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10,327,21</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8</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2,289,932</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6,027,964</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4,299,254</w:t>
            </w:r>
          </w:p>
        </w:tc>
        <w:tc>
          <w:tcPr>
            <w:tcW w:w="1349" w:type="dxa"/>
            <w:tcBorders>
              <w:top w:val="single" w:sz="4" w:space="0" w:color="000000"/>
              <w:left w:val="single" w:sz="4" w:space="0" w:color="000000"/>
              <w:bottom w:val="single" w:sz="4" w:space="0" w:color="000000"/>
              <w:right w:val="single" w:sz="4" w:space="0" w:color="000000"/>
            </w:tcBorders>
          </w:tcPr>
          <w:p>
            <w:pPr/>
          </w:p>
        </w:tc>
        <w:tc>
          <w:tcPr>
            <w:tcW w:w="134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周维君</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1.46%</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8,902,539</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4,769,206</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6,200,000</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2,702,539</w:t>
            </w:r>
          </w:p>
        </w:tc>
        <w:tc>
          <w:tcPr>
            <w:tcW w:w="1349" w:type="dxa"/>
            <w:tcBorders>
              <w:top w:val="single" w:sz="4" w:space="0" w:color="000000"/>
              <w:left w:val="single" w:sz="4" w:space="0" w:color="000000"/>
              <w:bottom w:val="single" w:sz="4" w:space="0" w:color="000000"/>
              <w:right w:val="single" w:sz="4" w:space="0" w:color="000000"/>
            </w:tcBorders>
          </w:tcPr>
          <w:p>
            <w:pPr/>
          </w:p>
        </w:tc>
        <w:tc>
          <w:tcPr>
            <w:tcW w:w="1348" w:type="dxa"/>
            <w:tcBorders>
              <w:top w:val="single" w:sz="4" w:space="0" w:color="000000"/>
              <w:left w:val="single" w:sz="4" w:space="0" w:color="000000"/>
              <w:bottom w:val="single" w:sz="4" w:space="0" w:color="000000"/>
              <w:right w:val="single" w:sz="4" w:space="0" w:color="000000"/>
            </w:tcBorders>
          </w:tcPr>
          <w:p>
            <w:pPr/>
          </w:p>
        </w:tc>
      </w:tr>
      <w:tr>
        <w:trPr>
          <w:trHeight w:val="1650"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74"/>
              <w:jc w:val="both"/>
              <w:rPr>
                <w:rFonts w:ascii="宋体" w:hAnsi="宋体" w:cs="宋体" w:eastAsia="宋体" w:hint="default"/>
                <w:sz w:val="18"/>
                <w:szCs w:val="18"/>
              </w:rPr>
            </w:pPr>
            <w:r>
              <w:rPr>
                <w:rFonts w:ascii="宋体" w:hAnsi="宋体" w:cs="宋体" w:eastAsia="宋体" w:hint="default"/>
                <w:sz w:val="18"/>
                <w:szCs w:val="18"/>
              </w:rPr>
              <w:t>中国建设银行股 份有限公司－景 顺长城量化精选 股票型证券投资 基金</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1.39%</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8,489,110</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8,489,110</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8,489,110</w:t>
            </w:r>
          </w:p>
        </w:tc>
        <w:tc>
          <w:tcPr>
            <w:tcW w:w="1349" w:type="dxa"/>
            <w:tcBorders>
              <w:top w:val="single" w:sz="4" w:space="0" w:color="000000"/>
              <w:left w:val="single" w:sz="4" w:space="0" w:color="000000"/>
              <w:bottom w:val="single" w:sz="4" w:space="0" w:color="000000"/>
              <w:right w:val="single" w:sz="4" w:space="0" w:color="000000"/>
            </w:tcBorders>
          </w:tcPr>
          <w:p>
            <w:pPr/>
          </w:p>
        </w:tc>
        <w:tc>
          <w:tcPr>
            <w:tcW w:w="134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288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23"/>
              <w:jc w:val="left"/>
              <w:rPr>
                <w:rFonts w:ascii="宋体" w:hAnsi="宋体" w:cs="宋体" w:eastAsia="宋体" w:hint="default"/>
                <w:sz w:val="18"/>
                <w:szCs w:val="18"/>
              </w:rPr>
            </w:pPr>
            <w:r>
              <w:rPr>
                <w:rFonts w:ascii="宋体" w:hAnsi="宋体" w:cs="宋体" w:eastAsia="宋体" w:hint="default"/>
                <w:sz w:val="18"/>
                <w:szCs w:val="18"/>
              </w:rPr>
              <w:t>战略投资者或一般法人因配售新股 成为前</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3"/>
                <w:sz w:val="18"/>
                <w:szCs w:val="18"/>
              </w:rPr>
              <w:t> </w:t>
            </w:r>
            <w:r>
              <w:rPr>
                <w:rFonts w:ascii="宋体" w:hAnsi="宋体" w:cs="宋体" w:eastAsia="宋体" w:hint="default"/>
                <w:spacing w:val="-13"/>
                <w:sz w:val="18"/>
                <w:szCs w:val="18"/>
              </w:rPr>
              <w:t>名股东的情况（如有）（参</w:t>
            </w:r>
            <w:r>
              <w:rPr>
                <w:rFonts w:ascii="宋体" w:hAnsi="宋体" w:cs="宋体" w:eastAsia="宋体" w:hint="default"/>
                <w:sz w:val="18"/>
                <w:szCs w:val="18"/>
              </w:rPr>
              <w:t> 见注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w:t>
            </w:r>
          </w:p>
        </w:tc>
        <w:tc>
          <w:tcPr>
            <w:tcW w:w="6687" w:type="dxa"/>
            <w:gridSpan w:val="7"/>
            <w:tcBorders>
              <w:top w:val="single" w:sz="4" w:space="0" w:color="000000"/>
              <w:left w:val="single" w:sz="10" w:space="0" w:color="D2D2D2"/>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5"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714" w:hRule="exact"/>
        </w:trPr>
        <w:tc>
          <w:tcPr>
            <w:tcW w:w="288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47"/>
              <w:jc w:val="left"/>
              <w:rPr>
                <w:rFonts w:ascii="宋体" w:hAnsi="宋体" w:cs="宋体" w:eastAsia="宋体" w:hint="default"/>
                <w:sz w:val="18"/>
                <w:szCs w:val="18"/>
              </w:rPr>
            </w:pPr>
            <w:r>
              <w:rPr>
                <w:rFonts w:ascii="宋体" w:hAnsi="宋体" w:cs="宋体" w:eastAsia="宋体" w:hint="default"/>
                <w:sz w:val="18"/>
                <w:szCs w:val="18"/>
              </w:rPr>
              <w:t>上述股东关联关系或一致行动的说 明</w:t>
            </w:r>
          </w:p>
        </w:tc>
        <w:tc>
          <w:tcPr>
            <w:tcW w:w="6687" w:type="dxa"/>
            <w:gridSpan w:val="7"/>
            <w:tcBorders>
              <w:top w:val="single" w:sz="4" w:space="0" w:color="000000"/>
              <w:left w:val="single" w:sz="10" w:space="0" w:color="D2D2D2"/>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5" w:right="-6"/>
              <w:jc w:val="left"/>
              <w:rPr>
                <w:rFonts w:ascii="宋体" w:hAnsi="宋体" w:cs="宋体" w:eastAsia="宋体" w:hint="default"/>
                <w:sz w:val="18"/>
                <w:szCs w:val="18"/>
              </w:rPr>
            </w:pPr>
            <w:r>
              <w:rPr>
                <w:rFonts w:ascii="宋体" w:hAnsi="宋体" w:cs="宋体" w:eastAsia="宋体" w:hint="default"/>
                <w:sz w:val="18"/>
                <w:szCs w:val="18"/>
              </w:rPr>
              <w:t>前十名股东中，股东赵旭峰系股东吴涵渠的妻弟；股东沈永健和周维君系夫妻关系。</w:t>
            </w:r>
          </w:p>
        </w:tc>
      </w:tr>
      <w:tr>
        <w:trPr>
          <w:trHeight w:val="402" w:hRule="exact"/>
        </w:trPr>
        <w:tc>
          <w:tcPr>
            <w:tcW w:w="9569"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名无限售条件股东持股情况</w:t>
            </w:r>
          </w:p>
        </w:tc>
      </w:tr>
      <w:tr>
        <w:trPr>
          <w:trHeight w:val="206" w:hRule="exact"/>
        </w:trPr>
        <w:tc>
          <w:tcPr>
            <w:tcW w:w="2882"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3990" w:type="dxa"/>
            <w:gridSpan w:val="5"/>
            <w:tcBorders>
              <w:top w:val="single" w:sz="4" w:space="0" w:color="000000"/>
              <w:left w:val="single" w:sz="4" w:space="0" w:color="000000"/>
              <w:bottom w:val="nil" w:sz="6" w:space="0" w:color="auto"/>
              <w:right w:val="single" w:sz="4" w:space="0" w:color="000000"/>
            </w:tcBorders>
            <w:shd w:val="clear" w:color="auto" w:fill="D2D2D2"/>
          </w:tcPr>
          <w:p>
            <w:pPr/>
          </w:p>
        </w:tc>
        <w:tc>
          <w:tcPr>
            <w:tcW w:w="2697"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股份种类</w:t>
            </w:r>
          </w:p>
        </w:tc>
      </w:tr>
      <w:tr>
        <w:trPr>
          <w:trHeight w:val="191" w:hRule="exact"/>
        </w:trPr>
        <w:tc>
          <w:tcPr>
            <w:tcW w:w="2882"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3990" w:type="dxa"/>
            <w:gridSpan w:val="5"/>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639" w:right="0"/>
              <w:jc w:val="left"/>
              <w:rPr>
                <w:rFonts w:ascii="宋体" w:hAnsi="宋体" w:cs="宋体" w:eastAsia="宋体" w:hint="default"/>
                <w:sz w:val="18"/>
                <w:szCs w:val="18"/>
              </w:rPr>
            </w:pPr>
            <w:r>
              <w:rPr>
                <w:rFonts w:ascii="宋体" w:hAnsi="宋体" w:cs="宋体" w:eastAsia="宋体" w:hint="default"/>
                <w:sz w:val="18"/>
                <w:szCs w:val="18"/>
              </w:rPr>
              <w:t>报告期末持有无限售条件股份数量</w:t>
            </w:r>
          </w:p>
        </w:tc>
        <w:tc>
          <w:tcPr>
            <w:tcW w:w="2697" w:type="dxa"/>
            <w:gridSpan w:val="2"/>
            <w:vMerge/>
            <w:tcBorders>
              <w:left w:val="single" w:sz="4" w:space="0" w:color="000000"/>
              <w:bottom w:val="single" w:sz="4" w:space="0" w:color="000000"/>
              <w:right w:val="single" w:sz="4" w:space="0" w:color="000000"/>
            </w:tcBorders>
            <w:shd w:val="clear" w:color="auto" w:fill="D2D2D2"/>
          </w:tcPr>
          <w:p>
            <w:pPr/>
          </w:p>
        </w:tc>
      </w:tr>
      <w:tr>
        <w:trPr>
          <w:trHeight w:val="200" w:hRule="exact"/>
        </w:trPr>
        <w:tc>
          <w:tcPr>
            <w:tcW w:w="2882" w:type="dxa"/>
            <w:gridSpan w:val="2"/>
            <w:vMerge/>
            <w:tcBorders>
              <w:left w:val="single" w:sz="4" w:space="0" w:color="000000"/>
              <w:bottom w:val="nil" w:sz="6" w:space="0" w:color="auto"/>
              <w:right w:val="single" w:sz="4" w:space="0" w:color="000000"/>
            </w:tcBorders>
            <w:shd w:val="clear" w:color="auto" w:fill="D2D2D2"/>
          </w:tcPr>
          <w:p>
            <w:pPr/>
          </w:p>
        </w:tc>
        <w:tc>
          <w:tcPr>
            <w:tcW w:w="3990" w:type="dxa"/>
            <w:gridSpan w:val="5"/>
            <w:vMerge/>
            <w:tcBorders>
              <w:left w:val="single" w:sz="4" w:space="0" w:color="000000"/>
              <w:bottom w:val="nil" w:sz="6" w:space="0" w:color="auto"/>
              <w:right w:val="single" w:sz="4" w:space="0" w:color="000000"/>
            </w:tcBorders>
            <w:shd w:val="clear" w:color="auto" w:fill="D2D2D2"/>
          </w:tcPr>
          <w:p>
            <w:pPr/>
          </w:p>
        </w:tc>
        <w:tc>
          <w:tcPr>
            <w:tcW w:w="134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08" w:right="0"/>
              <w:jc w:val="left"/>
              <w:rPr>
                <w:rFonts w:ascii="宋体" w:hAnsi="宋体" w:cs="宋体" w:eastAsia="宋体" w:hint="default"/>
                <w:sz w:val="18"/>
                <w:szCs w:val="18"/>
              </w:rPr>
            </w:pPr>
            <w:r>
              <w:rPr>
                <w:rFonts w:ascii="宋体" w:hAnsi="宋体" w:cs="宋体" w:eastAsia="宋体" w:hint="default"/>
                <w:sz w:val="18"/>
                <w:szCs w:val="18"/>
              </w:rPr>
              <w:t>股份种类</w:t>
            </w:r>
          </w:p>
        </w:tc>
        <w:tc>
          <w:tcPr>
            <w:tcW w:w="134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数量</w:t>
            </w:r>
          </w:p>
        </w:tc>
      </w:tr>
      <w:tr>
        <w:trPr>
          <w:trHeight w:val="206" w:hRule="exact"/>
        </w:trPr>
        <w:tc>
          <w:tcPr>
            <w:tcW w:w="2882"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3990" w:type="dxa"/>
            <w:gridSpan w:val="5"/>
            <w:tcBorders>
              <w:top w:val="nil" w:sz="6" w:space="0" w:color="auto"/>
              <w:left w:val="single" w:sz="4" w:space="0" w:color="000000"/>
              <w:bottom w:val="single" w:sz="4" w:space="0" w:color="000000"/>
              <w:right w:val="single" w:sz="4" w:space="0" w:color="000000"/>
            </w:tcBorders>
            <w:shd w:val="clear" w:color="auto" w:fill="D2D2D2"/>
          </w:tcPr>
          <w:p>
            <w:pPr/>
          </w:p>
        </w:tc>
        <w:tc>
          <w:tcPr>
            <w:tcW w:w="1349" w:type="dxa"/>
            <w:vMerge/>
            <w:tcBorders>
              <w:left w:val="single" w:sz="4" w:space="0" w:color="000000"/>
              <w:bottom w:val="single" w:sz="4" w:space="0" w:color="000000"/>
              <w:right w:val="single" w:sz="4" w:space="0" w:color="000000"/>
            </w:tcBorders>
            <w:shd w:val="clear" w:color="auto" w:fill="D2D2D2"/>
          </w:tcPr>
          <w:p>
            <w:pPr/>
          </w:p>
        </w:tc>
        <w:tc>
          <w:tcPr>
            <w:tcW w:w="1348"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288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吴涵渠</w:t>
            </w:r>
          </w:p>
        </w:tc>
        <w:tc>
          <w:tcPr>
            <w:tcW w:w="399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42,366,993</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42,366,993</w:t>
            </w:r>
          </w:p>
        </w:tc>
      </w:tr>
      <w:tr>
        <w:trPr>
          <w:trHeight w:val="402" w:hRule="exact"/>
        </w:trPr>
        <w:tc>
          <w:tcPr>
            <w:tcW w:w="288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山东省国有资产投资控股有限公司</w:t>
            </w:r>
          </w:p>
        </w:tc>
        <w:tc>
          <w:tcPr>
            <w:tcW w:w="399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14,619,900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14,619,900</w:t>
            </w:r>
          </w:p>
        </w:tc>
      </w:tr>
      <w:tr>
        <w:trPr>
          <w:trHeight w:val="402" w:hRule="exact"/>
        </w:trPr>
        <w:tc>
          <w:tcPr>
            <w:tcW w:w="288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紫光集团有限公司</w:t>
            </w:r>
          </w:p>
        </w:tc>
        <w:tc>
          <w:tcPr>
            <w:tcW w:w="399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11,885,791</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11,885,791</w:t>
            </w:r>
          </w:p>
        </w:tc>
      </w:tr>
      <w:tr>
        <w:trPr>
          <w:trHeight w:val="714" w:hRule="exact"/>
        </w:trPr>
        <w:tc>
          <w:tcPr>
            <w:tcW w:w="2882" w:type="dxa"/>
            <w:gridSpan w:val="2"/>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47"/>
              <w:jc w:val="left"/>
              <w:rPr>
                <w:rFonts w:ascii="宋体" w:hAnsi="宋体" w:cs="宋体" w:eastAsia="宋体" w:hint="default"/>
                <w:sz w:val="18"/>
                <w:szCs w:val="18"/>
              </w:rPr>
            </w:pPr>
            <w:r>
              <w:rPr>
                <w:rFonts w:ascii="宋体" w:hAnsi="宋体" w:cs="宋体" w:eastAsia="宋体" w:hint="default"/>
                <w:sz w:val="18"/>
                <w:szCs w:val="18"/>
              </w:rPr>
              <w:t>中国建设银行股份有限公司－景顺 长城量化精选股票型证券投资基金</w:t>
            </w:r>
          </w:p>
        </w:tc>
        <w:tc>
          <w:tcPr>
            <w:tcW w:w="399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8,489,110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8,489,110</w:t>
            </w:r>
          </w:p>
        </w:tc>
      </w:tr>
      <w:tr>
        <w:trPr>
          <w:trHeight w:val="402" w:hRule="exact"/>
        </w:trPr>
        <w:tc>
          <w:tcPr>
            <w:tcW w:w="288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黄斌</w:t>
            </w:r>
          </w:p>
        </w:tc>
        <w:tc>
          <w:tcPr>
            <w:tcW w:w="399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7,226,287</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7,226,287</w:t>
            </w:r>
          </w:p>
        </w:tc>
      </w:tr>
      <w:tr>
        <w:trPr>
          <w:trHeight w:val="402" w:hRule="exact"/>
        </w:trPr>
        <w:tc>
          <w:tcPr>
            <w:tcW w:w="288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赵旭峰</w:t>
            </w:r>
          </w:p>
        </w:tc>
        <w:tc>
          <w:tcPr>
            <w:tcW w:w="399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5,164,711</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5,164,711</w:t>
            </w:r>
          </w:p>
        </w:tc>
      </w:tr>
      <w:tr>
        <w:trPr>
          <w:trHeight w:val="402" w:hRule="exact"/>
        </w:trPr>
        <w:tc>
          <w:tcPr>
            <w:tcW w:w="288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陈国雄</w:t>
            </w:r>
          </w:p>
        </w:tc>
        <w:tc>
          <w:tcPr>
            <w:tcW w:w="399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4,794,059</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4,794,059</w:t>
            </w:r>
          </w:p>
        </w:tc>
      </w:tr>
      <w:tr>
        <w:trPr>
          <w:trHeight w:val="402" w:hRule="exact"/>
        </w:trPr>
        <w:tc>
          <w:tcPr>
            <w:tcW w:w="288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邱荣邦</w:t>
            </w:r>
          </w:p>
        </w:tc>
        <w:tc>
          <w:tcPr>
            <w:tcW w:w="399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4,542,957</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4,542,957</w:t>
            </w:r>
          </w:p>
        </w:tc>
      </w:tr>
      <w:tr>
        <w:trPr>
          <w:trHeight w:val="402" w:hRule="exact"/>
        </w:trPr>
        <w:tc>
          <w:tcPr>
            <w:tcW w:w="288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郭卫华</w:t>
            </w:r>
          </w:p>
        </w:tc>
        <w:tc>
          <w:tcPr>
            <w:tcW w:w="399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4,299,254</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4,299,254</w:t>
            </w:r>
          </w:p>
        </w:tc>
      </w:tr>
      <w:tr>
        <w:trPr>
          <w:trHeight w:val="402" w:hRule="exact"/>
        </w:trPr>
        <w:tc>
          <w:tcPr>
            <w:tcW w:w="288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梁怀文</w:t>
            </w:r>
          </w:p>
        </w:tc>
        <w:tc>
          <w:tcPr>
            <w:tcW w:w="399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3,186,689</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3,186,689</w:t>
            </w:r>
          </w:p>
        </w:tc>
      </w:tr>
      <w:tr>
        <w:trPr>
          <w:trHeight w:val="1338" w:hRule="exact"/>
        </w:trPr>
        <w:tc>
          <w:tcPr>
            <w:tcW w:w="288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名无限售流通股股东之间，以</w:t>
            </w:r>
          </w:p>
          <w:p>
            <w:pPr>
              <w:pStyle w:val="TableParagraph"/>
              <w:spacing w:line="309" w:lineRule="auto" w:before="63"/>
              <w:ind w:left="22" w:right="23"/>
              <w:jc w:val="left"/>
              <w:rPr>
                <w:rFonts w:ascii="宋体" w:hAnsi="宋体" w:cs="宋体" w:eastAsia="宋体" w:hint="default"/>
                <w:sz w:val="18"/>
                <w:szCs w:val="18"/>
              </w:rPr>
            </w:pPr>
            <w:r>
              <w:rPr>
                <w:rFonts w:ascii="宋体" w:hAnsi="宋体" w:cs="宋体" w:eastAsia="宋体" w:hint="default"/>
                <w:sz w:val="18"/>
                <w:szCs w:val="18"/>
              </w:rPr>
              <w:t>及前</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名无限售流通股股东和前</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名股东之间关联关系或一致行动的 说明</w:t>
            </w:r>
          </w:p>
        </w:tc>
        <w:tc>
          <w:tcPr>
            <w:tcW w:w="6687" w:type="dxa"/>
            <w:gridSpan w:val="7"/>
            <w:tcBorders>
              <w:top w:val="single" w:sz="4" w:space="0" w:color="000000"/>
              <w:left w:val="single" w:sz="10" w:space="0" w:color="D2D2D2"/>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15" w:right="0"/>
              <w:jc w:val="left"/>
              <w:rPr>
                <w:rFonts w:ascii="宋体" w:hAnsi="宋体" w:cs="宋体" w:eastAsia="宋体" w:hint="default"/>
                <w:sz w:val="18"/>
                <w:szCs w:val="18"/>
              </w:rPr>
            </w:pPr>
            <w:r>
              <w:rPr>
                <w:rFonts w:ascii="宋体" w:hAnsi="宋体" w:cs="宋体" w:eastAsia="宋体" w:hint="default"/>
                <w:sz w:val="18"/>
                <w:szCs w:val="18"/>
              </w:rPr>
              <w:t>前十名股东中，股东赵旭峰系股东吴涵渠的妻弟。</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11"/>
        <w:rPr>
          <w:rFonts w:ascii="Times New Roman" w:hAnsi="Times New Roman" w:cs="Times New Roman" w:eastAsia="Times New Roman" w:hint="default"/>
          <w:sz w:val="3"/>
          <w:szCs w:val="3"/>
        </w:rPr>
      </w:pPr>
    </w:p>
    <w:tbl>
      <w:tblPr>
        <w:tblW w:w="0" w:type="auto"/>
        <w:jc w:val="left"/>
        <w:tblInd w:w="149" w:type="dxa"/>
        <w:tblLayout w:type="fixed"/>
        <w:tblCellMar>
          <w:top w:w="0" w:type="dxa"/>
          <w:left w:w="0" w:type="dxa"/>
          <w:bottom w:w="0" w:type="dxa"/>
          <w:right w:w="0" w:type="dxa"/>
        </w:tblCellMar>
        <w:tblLook w:val="01E0"/>
      </w:tblPr>
      <w:tblGrid>
        <w:gridCol w:w="2870"/>
        <w:gridCol w:w="6699"/>
      </w:tblGrid>
      <w:tr>
        <w:trPr>
          <w:trHeight w:val="332" w:hRule="exact"/>
        </w:trPr>
        <w:tc>
          <w:tcPr>
            <w:tcW w:w="2870" w:type="dxa"/>
            <w:tcBorders>
              <w:top w:val="nil" w:sz="6" w:space="0" w:color="auto"/>
              <w:left w:val="nil" w:sz="6" w:space="0" w:color="auto"/>
              <w:bottom w:val="single" w:sz="4" w:space="0" w:color="000000"/>
              <w:right w:val="nil" w:sz="6" w:space="0" w:color="auto"/>
            </w:tcBorders>
          </w:tcPr>
          <w:p>
            <w:pPr/>
          </w:p>
        </w:tc>
        <w:tc>
          <w:tcPr>
            <w:tcW w:w="6699" w:type="dxa"/>
            <w:tcBorders>
              <w:top w:val="nil" w:sz="6" w:space="0" w:color="auto"/>
              <w:left w:val="nil" w:sz="6" w:space="0" w:color="auto"/>
              <w:bottom w:val="single" w:sz="4" w:space="0" w:color="000000"/>
              <w:right w:val="nil" w:sz="6" w:space="0" w:color="auto"/>
            </w:tcBorders>
          </w:tcPr>
          <w:p>
            <w:pPr/>
          </w:p>
        </w:tc>
      </w:tr>
      <w:tr>
        <w:trPr>
          <w:trHeight w:val="714" w:hRule="exact"/>
        </w:trPr>
        <w:tc>
          <w:tcPr>
            <w:tcW w:w="2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45"/>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名普通股股东参与融资融券业 </w:t>
            </w:r>
            <w:r>
              <w:rPr>
                <w:rFonts w:ascii="宋体" w:hAnsi="宋体" w:cs="宋体" w:eastAsia="宋体" w:hint="default"/>
                <w:spacing w:val="-7"/>
                <w:sz w:val="18"/>
                <w:szCs w:val="18"/>
              </w:rPr>
              <w:t>务情况说明（如有）（参见注</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w:t>
            </w:r>
          </w:p>
        </w:tc>
        <w:tc>
          <w:tcPr>
            <w:tcW w:w="669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7"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pStyle w:val="BodyText"/>
        <w:spacing w:line="240" w:lineRule="auto" w:before="51"/>
        <w:ind w:left="154" w:right="0"/>
        <w:jc w:val="left"/>
      </w:pPr>
      <w:r>
        <w:rPr/>
        <w:pict>
          <v:group style="position:absolute;margin-left:55.200001pt;margin-top:-52.578308pt;width:485pt;height:.1pt;mso-position-horizontal-relative:page;mso-position-vertical-relative:paragraph;z-index:-1253704" coordorigin="1104,-1052" coordsize="9700,2">
            <v:shape style="position:absolute;left:1104;top:-1052;width:9700;height:2" coordorigin="1104,-1052" coordsize="9700,0" path="m1104,-1052l10804,-1052e" filled="false" stroked="true" strokeweight=".72pt" strokecolor="#000000">
              <v:path arrowok="t"/>
            </v:shape>
            <w10:wrap type="none"/>
          </v:group>
        </w:pict>
      </w:r>
      <w:r>
        <w:rPr/>
        <w:t>公司前</w:t>
      </w:r>
      <w:r>
        <w:rPr>
          <w:spacing w:val="-46"/>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名普通股股东、前</w:t>
      </w:r>
      <w:r>
        <w:rPr>
          <w:spacing w:val="-46"/>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名无限售条件普通股股东在报告期内是否进行约定购回交易</w:t>
      </w:r>
    </w:p>
    <w:p>
      <w:pPr>
        <w:pStyle w:val="BodyText"/>
        <w:spacing w:line="240" w:lineRule="auto" w:before="103"/>
        <w:ind w:right="0"/>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否</w:t>
      </w:r>
    </w:p>
    <w:p>
      <w:pPr>
        <w:pStyle w:val="BodyText"/>
        <w:spacing w:line="240" w:lineRule="auto" w:before="103"/>
        <w:ind w:right="0"/>
        <w:jc w:val="left"/>
      </w:pPr>
      <w:r>
        <w:rPr/>
        <w:t>公司前</w:t>
      </w:r>
      <w:r>
        <w:rPr>
          <w:spacing w:val="-46"/>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名普通股股东、前</w:t>
      </w:r>
      <w:r>
        <w:rPr>
          <w:spacing w:val="-46"/>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名无限售条件普通股股东在报告期内未进行约定购回交易。</w:t>
      </w:r>
    </w:p>
    <w:p>
      <w:pPr>
        <w:spacing w:line="240" w:lineRule="auto" w:before="10"/>
        <w:rPr>
          <w:rFonts w:ascii="宋体" w:hAnsi="宋体" w:cs="宋体" w:eastAsia="宋体" w:hint="default"/>
          <w:sz w:val="25"/>
          <w:szCs w:val="25"/>
        </w:rPr>
      </w:pPr>
    </w:p>
    <w:p>
      <w:pPr>
        <w:pStyle w:val="Heading3"/>
        <w:spacing w:line="240" w:lineRule="auto"/>
        <w:ind w:left="153" w:right="0"/>
        <w:jc w:val="left"/>
        <w:rPr>
          <w:b w:val="0"/>
          <w:bCs w:val="0"/>
        </w:rPr>
      </w:pPr>
      <w:bookmarkStart w:name="2、公司控股股东情况" w:id="116"/>
      <w:bookmarkEnd w:id="116"/>
      <w:r>
        <w:rPr>
          <w:b w:val="0"/>
          <w:bCs w:val="0"/>
        </w:rPr>
      </w:r>
      <w:r>
        <w:rPr>
          <w:rFonts w:ascii="Times New Roman" w:hAnsi="Times New Roman" w:cs="Times New Roman" w:eastAsia="Times New Roman" w:hint="default"/>
        </w:rPr>
        <w:t>2</w:t>
      </w:r>
      <w:r>
        <w:rPr/>
        <w:t>、公司控股股东情况</w:t>
      </w:r>
      <w:r>
        <w:rPr>
          <w:b w:val="0"/>
          <w:bCs w:val="0"/>
        </w:rPr>
      </w:r>
    </w:p>
    <w:p>
      <w:pPr>
        <w:spacing w:line="240" w:lineRule="auto" w:before="8"/>
        <w:rPr>
          <w:rFonts w:ascii="宋体" w:hAnsi="宋体" w:cs="宋体" w:eastAsia="宋体" w:hint="default"/>
          <w:b/>
          <w:bCs/>
          <w:sz w:val="26"/>
          <w:szCs w:val="26"/>
        </w:rPr>
      </w:pPr>
    </w:p>
    <w:p>
      <w:pPr>
        <w:pStyle w:val="BodyText"/>
        <w:spacing w:line="360" w:lineRule="auto"/>
        <w:ind w:right="8593"/>
        <w:jc w:val="left"/>
      </w:pPr>
      <w:r>
        <w:rPr/>
        <w:t>控股股东性质：自然人控股 控股股东类型：自然人</w:t>
      </w:r>
    </w:p>
    <w:tbl>
      <w:tblPr>
        <w:tblW w:w="0" w:type="auto"/>
        <w:jc w:val="left"/>
        <w:tblInd w:w="149" w:type="dxa"/>
        <w:tblLayout w:type="fixed"/>
        <w:tblCellMar>
          <w:top w:w="0" w:type="dxa"/>
          <w:left w:w="0" w:type="dxa"/>
          <w:bottom w:w="0" w:type="dxa"/>
          <w:right w:w="0" w:type="dxa"/>
        </w:tblCellMar>
        <w:tblLook w:val="01E0"/>
      </w:tblPr>
      <w:tblGrid>
        <w:gridCol w:w="3418"/>
        <w:gridCol w:w="2303"/>
        <w:gridCol w:w="3848"/>
      </w:tblGrid>
      <w:tr>
        <w:trPr>
          <w:trHeight w:val="402" w:hRule="exact"/>
        </w:trPr>
        <w:tc>
          <w:tcPr>
            <w:tcW w:w="3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控股股东姓名</w:t>
            </w:r>
          </w:p>
        </w:tc>
        <w:tc>
          <w:tcPr>
            <w:tcW w:w="23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国籍</w:t>
            </w:r>
          </w:p>
        </w:tc>
        <w:tc>
          <w:tcPr>
            <w:tcW w:w="38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8" w:right="0"/>
              <w:jc w:val="left"/>
              <w:rPr>
                <w:rFonts w:ascii="宋体" w:hAnsi="宋体" w:cs="宋体" w:eastAsia="宋体" w:hint="default"/>
                <w:sz w:val="18"/>
                <w:szCs w:val="18"/>
              </w:rPr>
            </w:pPr>
            <w:r>
              <w:rPr>
                <w:rFonts w:ascii="宋体" w:hAnsi="宋体" w:cs="宋体" w:eastAsia="宋体" w:hint="default"/>
                <w:sz w:val="18"/>
                <w:szCs w:val="18"/>
              </w:rPr>
              <w:t>是否取得其他国家或地区居留权</w:t>
            </w:r>
          </w:p>
        </w:tc>
      </w:tr>
      <w:tr>
        <w:trPr>
          <w:trHeight w:val="402" w:hRule="exact"/>
        </w:trPr>
        <w:tc>
          <w:tcPr>
            <w:tcW w:w="3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吴涵渠</w:t>
            </w:r>
          </w:p>
        </w:tc>
        <w:tc>
          <w:tcPr>
            <w:tcW w:w="2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3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3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主要职业及职务</w:t>
            </w:r>
          </w:p>
        </w:tc>
        <w:tc>
          <w:tcPr>
            <w:tcW w:w="6151"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董事长</w:t>
            </w:r>
          </w:p>
        </w:tc>
      </w:tr>
      <w:tr>
        <w:trPr>
          <w:trHeight w:val="714" w:hRule="exact"/>
        </w:trPr>
        <w:tc>
          <w:tcPr>
            <w:tcW w:w="3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43"/>
              <w:jc w:val="left"/>
              <w:rPr>
                <w:rFonts w:ascii="宋体" w:hAnsi="宋体" w:cs="宋体" w:eastAsia="宋体" w:hint="default"/>
                <w:sz w:val="18"/>
                <w:szCs w:val="18"/>
              </w:rPr>
            </w:pPr>
            <w:r>
              <w:rPr>
                <w:rFonts w:ascii="宋体" w:hAnsi="宋体" w:cs="宋体" w:eastAsia="宋体" w:hint="default"/>
                <w:sz w:val="18"/>
                <w:szCs w:val="18"/>
              </w:rPr>
              <w:t>报告期内控股和参股的其他境内外上市公 司的股权情况</w:t>
            </w:r>
          </w:p>
        </w:tc>
        <w:tc>
          <w:tcPr>
            <w:tcW w:w="6151"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2"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pStyle w:val="BodyText"/>
        <w:spacing w:line="240" w:lineRule="auto" w:before="65"/>
        <w:ind w:left="154" w:right="0"/>
        <w:jc w:val="left"/>
      </w:pPr>
      <w:r>
        <w:rPr/>
        <w:t>控股股东报告期内变更</w:t>
      </w:r>
    </w:p>
    <w:p>
      <w:pPr>
        <w:pStyle w:val="BodyText"/>
        <w:spacing w:line="338" w:lineRule="auto" w:before="117"/>
        <w:ind w:right="805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公司报告期控股股东未发生变更。</w:t>
      </w:r>
    </w:p>
    <w:p>
      <w:pPr>
        <w:spacing w:line="240" w:lineRule="auto" w:before="2"/>
        <w:rPr>
          <w:rFonts w:ascii="宋体" w:hAnsi="宋体" w:cs="宋体" w:eastAsia="宋体" w:hint="default"/>
          <w:sz w:val="21"/>
          <w:szCs w:val="21"/>
        </w:rPr>
      </w:pPr>
    </w:p>
    <w:p>
      <w:pPr>
        <w:pStyle w:val="Heading3"/>
        <w:spacing w:line="240" w:lineRule="auto"/>
        <w:ind w:left="153" w:right="0"/>
        <w:jc w:val="left"/>
        <w:rPr>
          <w:b w:val="0"/>
          <w:bCs w:val="0"/>
        </w:rPr>
      </w:pPr>
      <w:bookmarkStart w:name="3、公司实际控制人情况" w:id="117"/>
      <w:bookmarkEnd w:id="117"/>
      <w:r>
        <w:rPr>
          <w:b w:val="0"/>
          <w:bCs w:val="0"/>
        </w:rPr>
      </w:r>
      <w:r>
        <w:rPr>
          <w:rFonts w:ascii="Times New Roman" w:hAnsi="Times New Roman" w:cs="Times New Roman" w:eastAsia="Times New Roman" w:hint="default"/>
        </w:rPr>
        <w:t>3</w:t>
      </w:r>
      <w:r>
        <w:rPr/>
        <w:t>、公司实际控制人情况</w:t>
      </w:r>
      <w:r>
        <w:rPr>
          <w:b w:val="0"/>
          <w:bCs w:val="0"/>
        </w:rPr>
      </w:r>
    </w:p>
    <w:p>
      <w:pPr>
        <w:spacing w:line="240" w:lineRule="auto" w:before="8"/>
        <w:rPr>
          <w:rFonts w:ascii="宋体" w:hAnsi="宋体" w:cs="宋体" w:eastAsia="宋体" w:hint="default"/>
          <w:b/>
          <w:bCs/>
          <w:sz w:val="26"/>
          <w:szCs w:val="26"/>
        </w:rPr>
      </w:pPr>
    </w:p>
    <w:p>
      <w:pPr>
        <w:pStyle w:val="BodyText"/>
        <w:spacing w:line="360" w:lineRule="auto"/>
        <w:ind w:right="8413"/>
        <w:jc w:val="left"/>
      </w:pPr>
      <w:r>
        <w:rPr/>
        <w:t>实际控制人性质：境内自然人 实际控制人类型：自然人</w:t>
      </w:r>
    </w:p>
    <w:tbl>
      <w:tblPr>
        <w:tblW w:w="0" w:type="auto"/>
        <w:jc w:val="left"/>
        <w:tblInd w:w="149" w:type="dxa"/>
        <w:tblLayout w:type="fixed"/>
        <w:tblCellMar>
          <w:top w:w="0" w:type="dxa"/>
          <w:left w:w="0" w:type="dxa"/>
          <w:bottom w:w="0" w:type="dxa"/>
          <w:right w:w="0" w:type="dxa"/>
        </w:tblCellMar>
        <w:tblLook w:val="01E0"/>
      </w:tblPr>
      <w:tblGrid>
        <w:gridCol w:w="3418"/>
        <w:gridCol w:w="2303"/>
        <w:gridCol w:w="3848"/>
      </w:tblGrid>
      <w:tr>
        <w:trPr>
          <w:trHeight w:val="402" w:hRule="exact"/>
        </w:trPr>
        <w:tc>
          <w:tcPr>
            <w:tcW w:w="3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74" w:right="0"/>
              <w:jc w:val="left"/>
              <w:rPr>
                <w:rFonts w:ascii="宋体" w:hAnsi="宋体" w:cs="宋体" w:eastAsia="宋体" w:hint="default"/>
                <w:sz w:val="18"/>
                <w:szCs w:val="18"/>
              </w:rPr>
            </w:pPr>
            <w:r>
              <w:rPr>
                <w:rFonts w:ascii="宋体" w:hAnsi="宋体" w:cs="宋体" w:eastAsia="宋体" w:hint="default"/>
                <w:sz w:val="18"/>
                <w:szCs w:val="18"/>
              </w:rPr>
              <w:t>实际控制人姓名</w:t>
            </w:r>
          </w:p>
        </w:tc>
        <w:tc>
          <w:tcPr>
            <w:tcW w:w="23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国籍</w:t>
            </w:r>
          </w:p>
        </w:tc>
        <w:tc>
          <w:tcPr>
            <w:tcW w:w="38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8" w:right="0"/>
              <w:jc w:val="left"/>
              <w:rPr>
                <w:rFonts w:ascii="宋体" w:hAnsi="宋体" w:cs="宋体" w:eastAsia="宋体" w:hint="default"/>
                <w:sz w:val="18"/>
                <w:szCs w:val="18"/>
              </w:rPr>
            </w:pPr>
            <w:r>
              <w:rPr>
                <w:rFonts w:ascii="宋体" w:hAnsi="宋体" w:cs="宋体" w:eastAsia="宋体" w:hint="default"/>
                <w:sz w:val="18"/>
                <w:szCs w:val="18"/>
              </w:rPr>
              <w:t>是否取得其他国家或地区居留权</w:t>
            </w:r>
          </w:p>
        </w:tc>
      </w:tr>
      <w:tr>
        <w:trPr>
          <w:trHeight w:val="402" w:hRule="exact"/>
        </w:trPr>
        <w:tc>
          <w:tcPr>
            <w:tcW w:w="3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吴涵渠</w:t>
            </w:r>
          </w:p>
        </w:tc>
        <w:tc>
          <w:tcPr>
            <w:tcW w:w="2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3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3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主要职业及职务</w:t>
            </w:r>
          </w:p>
        </w:tc>
        <w:tc>
          <w:tcPr>
            <w:tcW w:w="6151"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董事长</w:t>
            </w:r>
          </w:p>
        </w:tc>
      </w:tr>
      <w:tr>
        <w:trPr>
          <w:trHeight w:val="402" w:hRule="exact"/>
        </w:trPr>
        <w:tc>
          <w:tcPr>
            <w:tcW w:w="3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过去</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年曾控股的境内外上市公司情况</w:t>
            </w:r>
          </w:p>
        </w:tc>
        <w:tc>
          <w:tcPr>
            <w:tcW w:w="6151"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pStyle w:val="BodyText"/>
        <w:spacing w:line="240" w:lineRule="auto" w:before="65"/>
        <w:ind w:left="154" w:right="0"/>
        <w:jc w:val="left"/>
      </w:pPr>
      <w:r>
        <w:rPr/>
        <w:t>实际控制人报告期内变更</w:t>
      </w:r>
    </w:p>
    <w:p>
      <w:pPr>
        <w:pStyle w:val="BodyText"/>
        <w:spacing w:line="348" w:lineRule="auto" w:before="117"/>
        <w:ind w:right="679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公司报告期实际控制人未发生变更。 公司与实际控制人之间的产权及控制关系的方框图</w:t>
      </w:r>
    </w:p>
    <w:p>
      <w:pPr>
        <w:spacing w:after="0" w:line="348" w:lineRule="auto"/>
        <w:jc w:val="left"/>
        <w:sectPr>
          <w:pgSz w:w="11910" w:h="16840"/>
          <w:pgMar w:header="747" w:footer="979" w:top="1060" w:bottom="1160" w:left="980" w:right="0"/>
        </w:sectPr>
      </w:pPr>
    </w:p>
    <w:p>
      <w:pPr>
        <w:spacing w:line="240" w:lineRule="auto" w:before="12"/>
        <w:rPr>
          <w:rFonts w:ascii="宋体" w:hAnsi="宋体" w:cs="宋体" w:eastAsia="宋体" w:hint="default"/>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8"/>
        <w:rPr>
          <w:rFonts w:ascii="宋体" w:hAnsi="宋体" w:cs="宋体" w:eastAsia="宋体" w:hint="default"/>
          <w:sz w:val="28"/>
          <w:szCs w:val="28"/>
        </w:rPr>
      </w:pPr>
    </w:p>
    <w:p>
      <w:pPr>
        <w:spacing w:line="2985" w:lineRule="exact"/>
        <w:ind w:left="1358" w:right="0" w:firstLine="0"/>
        <w:rPr>
          <w:rFonts w:ascii="宋体" w:hAnsi="宋体" w:cs="宋体" w:eastAsia="宋体" w:hint="default"/>
          <w:sz w:val="20"/>
          <w:szCs w:val="20"/>
        </w:rPr>
      </w:pPr>
      <w:r>
        <w:rPr>
          <w:rFonts w:ascii="宋体" w:hAnsi="宋体" w:cs="宋体" w:eastAsia="宋体" w:hint="default"/>
          <w:position w:val="-59"/>
          <w:sz w:val="20"/>
          <w:szCs w:val="20"/>
        </w:rPr>
        <w:drawing>
          <wp:inline distT="0" distB="0" distL="0" distR="0">
            <wp:extent cx="4583003" cy="1895475"/>
            <wp:effectExtent l="0" t="0" r="0" b="0"/>
            <wp:docPr id="63" name="image40.png" descr=""/>
            <wp:cNvGraphicFramePr>
              <a:graphicFrameLocks noChangeAspect="1"/>
            </wp:cNvGraphicFramePr>
            <a:graphic>
              <a:graphicData uri="http://schemas.openxmlformats.org/drawingml/2006/picture">
                <pic:pic>
                  <pic:nvPicPr>
                    <pic:cNvPr id="64" name="image40.png"/>
                    <pic:cNvPicPr/>
                  </pic:nvPicPr>
                  <pic:blipFill>
                    <a:blip r:embed="rId51" cstate="print"/>
                    <a:stretch>
                      <a:fillRect/>
                    </a:stretch>
                  </pic:blipFill>
                  <pic:spPr>
                    <a:xfrm>
                      <a:off x="0" y="0"/>
                      <a:ext cx="4583003" cy="1895475"/>
                    </a:xfrm>
                    <a:prstGeom prst="rect">
                      <a:avLst/>
                    </a:prstGeom>
                  </pic:spPr>
                </pic:pic>
              </a:graphicData>
            </a:graphic>
          </wp:inline>
        </w:drawing>
      </w:r>
      <w:r>
        <w:rPr>
          <w:rFonts w:ascii="宋体" w:hAnsi="宋体" w:cs="宋体" w:eastAsia="宋体" w:hint="default"/>
          <w:position w:val="-59"/>
          <w:sz w:val="20"/>
          <w:szCs w:val="20"/>
        </w:rPr>
      </w:r>
    </w:p>
    <w:p>
      <w:pPr>
        <w:spacing w:line="240" w:lineRule="auto" w:before="6"/>
        <w:rPr>
          <w:rFonts w:ascii="宋体" w:hAnsi="宋体" w:cs="宋体" w:eastAsia="宋体" w:hint="default"/>
          <w:sz w:val="18"/>
          <w:szCs w:val="18"/>
        </w:rPr>
      </w:pPr>
    </w:p>
    <w:p>
      <w:pPr>
        <w:pStyle w:val="BodyText"/>
        <w:spacing w:line="240" w:lineRule="auto" w:before="44"/>
        <w:ind w:right="0"/>
        <w:jc w:val="left"/>
      </w:pPr>
      <w:r>
        <w:rPr/>
        <w:t>实际控制人通过信托或其他资产管理方式控制公司</w:t>
      </w:r>
    </w:p>
    <w:p>
      <w:pPr>
        <w:spacing w:line="240" w:lineRule="auto" w:before="2"/>
        <w:rPr>
          <w:rFonts w:ascii="宋体" w:hAnsi="宋体" w:cs="宋体" w:eastAsia="宋体" w:hint="default"/>
          <w:sz w:val="21"/>
          <w:szCs w:val="21"/>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0"/>
        <w:rPr>
          <w:rFonts w:ascii="宋体" w:hAnsi="宋体" w:cs="宋体" w:eastAsia="宋体" w:hint="default"/>
          <w:sz w:val="25"/>
          <w:szCs w:val="25"/>
        </w:rPr>
      </w:pPr>
    </w:p>
    <w:p>
      <w:pPr>
        <w:pStyle w:val="Heading3"/>
        <w:spacing w:line="240" w:lineRule="auto"/>
        <w:ind w:left="153" w:right="0"/>
        <w:jc w:val="left"/>
        <w:rPr>
          <w:b w:val="0"/>
          <w:bCs w:val="0"/>
        </w:rPr>
      </w:pPr>
      <w:bookmarkStart w:name="4、其他持股在10%以上的法人股东" w:id="118"/>
      <w:bookmarkEnd w:id="118"/>
      <w:r>
        <w:rPr>
          <w:b w:val="0"/>
          <w:bCs w:val="0"/>
        </w:rPr>
      </w:r>
      <w:r>
        <w:rPr>
          <w:rFonts w:ascii="Times New Roman" w:hAnsi="Times New Roman" w:cs="Times New Roman" w:eastAsia="Times New Roman" w:hint="default"/>
        </w:rPr>
        <w:t>4</w:t>
      </w:r>
      <w:r>
        <w:rPr/>
        <w:t>、其他持股在</w:t>
      </w:r>
      <w:r>
        <w:rPr>
          <w:spacing w:val="-57"/>
        </w:rPr>
        <w:t> </w:t>
      </w:r>
      <w:r>
        <w:rPr>
          <w:rFonts w:ascii="Times New Roman" w:hAnsi="Times New Roman" w:cs="Times New Roman" w:eastAsia="Times New Roman" w:hint="default"/>
        </w:rPr>
        <w:t>10%</w:t>
      </w:r>
      <w:r>
        <w:rPr/>
        <w:t>以上的法人股东</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154"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0"/>
        <w:rPr>
          <w:rFonts w:ascii="宋体" w:hAnsi="宋体" w:cs="宋体" w:eastAsia="宋体" w:hint="default"/>
          <w:sz w:val="25"/>
          <w:szCs w:val="25"/>
        </w:rPr>
      </w:pPr>
    </w:p>
    <w:p>
      <w:pPr>
        <w:pStyle w:val="Heading3"/>
        <w:spacing w:line="240" w:lineRule="auto"/>
        <w:ind w:left="153" w:right="0"/>
        <w:jc w:val="left"/>
        <w:rPr>
          <w:b w:val="0"/>
          <w:bCs w:val="0"/>
        </w:rPr>
      </w:pPr>
      <w:bookmarkStart w:name="5、控股股东、实际控制人、重组方及其他承诺主体股份限制减持情况" w:id="119"/>
      <w:bookmarkEnd w:id="119"/>
      <w:r>
        <w:rPr>
          <w:b w:val="0"/>
          <w:bCs w:val="0"/>
        </w:rPr>
      </w:r>
      <w:r>
        <w:rPr>
          <w:rFonts w:ascii="Times New Roman" w:hAnsi="Times New Roman" w:cs="Times New Roman" w:eastAsia="Times New Roman" w:hint="default"/>
        </w:rPr>
        <w:t>5</w:t>
      </w:r>
      <w:r>
        <w:rPr/>
        <w:t>、控股股东、实际控制人、重组方及其他承诺主体股份限制减持情况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154"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after="0" w:line="240" w:lineRule="auto"/>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left="3286" w:right="0"/>
        <w:jc w:val="left"/>
        <w:rPr>
          <w:b w:val="0"/>
          <w:bCs w:val="0"/>
        </w:rPr>
      </w:pPr>
      <w:bookmarkStart w:name="第七节 优先股相关情况" w:id="120"/>
      <w:bookmarkEnd w:id="120"/>
      <w:r>
        <w:rPr>
          <w:b w:val="0"/>
          <w:bCs w:val="0"/>
        </w:rPr>
      </w:r>
      <w:bookmarkStart w:name="_bookmark5" w:id="121"/>
      <w:bookmarkEnd w:id="121"/>
      <w:r>
        <w:rPr>
          <w:b w:val="0"/>
          <w:bCs w:val="0"/>
        </w:rPr>
      </w:r>
      <w:r>
        <w:rPr/>
        <w:t>第七节</w:t>
      </w:r>
      <w:r>
        <w:rPr>
          <w:spacing w:val="-8"/>
        </w:rPr>
        <w:t> </w:t>
      </w:r>
      <w:r>
        <w:rPr/>
        <w:t>优先股相关情况</w:t>
      </w:r>
      <w:r>
        <w:rPr>
          <w:b w:val="0"/>
          <w:bCs w:val="0"/>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9"/>
          <w:szCs w:val="19"/>
        </w:rPr>
      </w:pPr>
    </w:p>
    <w:p>
      <w:pPr>
        <w:pStyle w:val="BodyText"/>
        <w:spacing w:line="338" w:lineRule="auto" w:before="44"/>
        <w:ind w:right="859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报告期公司不存在优先股。</w:t>
      </w:r>
    </w:p>
    <w:p>
      <w:pPr>
        <w:spacing w:after="0" w:line="338" w:lineRule="auto"/>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left="1680" w:right="0"/>
        <w:jc w:val="left"/>
        <w:rPr>
          <w:b w:val="0"/>
          <w:bCs w:val="0"/>
        </w:rPr>
      </w:pPr>
      <w:bookmarkStart w:name="第八节 董事、监事、高级管理人员和员工情况" w:id="122"/>
      <w:bookmarkEnd w:id="122"/>
      <w:r>
        <w:rPr>
          <w:b w:val="0"/>
          <w:bCs w:val="0"/>
        </w:rPr>
      </w:r>
      <w:bookmarkStart w:name="_bookmark6" w:id="123"/>
      <w:bookmarkEnd w:id="123"/>
      <w:r>
        <w:rPr>
          <w:b w:val="0"/>
          <w:bCs w:val="0"/>
        </w:rPr>
      </w:r>
      <w:r>
        <w:rPr/>
        <w:t>第八节</w:t>
      </w:r>
      <w:r>
        <w:rPr>
          <w:spacing w:val="-16"/>
        </w:rPr>
        <w:t> </w:t>
      </w:r>
      <w:r>
        <w:rPr/>
        <w:t>董事、监事、高级管理人员和员工情况</w:t>
      </w:r>
      <w:r>
        <w:rPr>
          <w:b w:val="0"/>
          <w:bCs w:val="0"/>
        </w:rPr>
      </w:r>
    </w:p>
    <w:p>
      <w:pPr>
        <w:spacing w:line="240" w:lineRule="auto" w:before="12"/>
        <w:rPr>
          <w:rFonts w:ascii="宋体" w:hAnsi="宋体" w:cs="宋体" w:eastAsia="宋体" w:hint="default"/>
          <w:b/>
          <w:bCs/>
          <w:sz w:val="38"/>
          <w:szCs w:val="38"/>
        </w:rPr>
      </w:pPr>
    </w:p>
    <w:p>
      <w:pPr>
        <w:pStyle w:val="Heading2"/>
        <w:spacing w:line="240" w:lineRule="auto"/>
        <w:ind w:right="0"/>
        <w:jc w:val="left"/>
        <w:rPr>
          <w:b w:val="0"/>
          <w:bCs w:val="0"/>
        </w:rPr>
      </w:pPr>
      <w:bookmarkStart w:name="一、董事、监事和高级管理人员持股变动" w:id="124"/>
      <w:bookmarkEnd w:id="124"/>
      <w:r>
        <w:rPr>
          <w:b w:val="0"/>
          <w:bCs w:val="0"/>
        </w:rPr>
      </w:r>
      <w:r>
        <w:rPr/>
        <w:t>一、董事、监事和高级管理人员持股变动</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798"/>
        <w:gridCol w:w="797"/>
        <w:gridCol w:w="797"/>
        <w:gridCol w:w="798"/>
        <w:gridCol w:w="798"/>
        <w:gridCol w:w="797"/>
        <w:gridCol w:w="798"/>
        <w:gridCol w:w="798"/>
        <w:gridCol w:w="798"/>
        <w:gridCol w:w="798"/>
        <w:gridCol w:w="798"/>
        <w:gridCol w:w="798"/>
      </w:tblGrid>
      <w:tr>
        <w:trPr>
          <w:trHeight w:val="1025" w:hRule="exact"/>
        </w:trPr>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13"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13" w:right="0"/>
              <w:jc w:val="left"/>
              <w:rPr>
                <w:rFonts w:ascii="宋体" w:hAnsi="宋体" w:cs="宋体" w:eastAsia="宋体" w:hint="default"/>
                <w:sz w:val="18"/>
                <w:szCs w:val="18"/>
              </w:rPr>
            </w:pPr>
            <w:r>
              <w:rPr>
                <w:rFonts w:ascii="宋体" w:hAnsi="宋体" w:cs="宋体" w:eastAsia="宋体" w:hint="default"/>
                <w:sz w:val="18"/>
                <w:szCs w:val="18"/>
              </w:rPr>
              <w:t>职务</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33" w:right="0"/>
              <w:jc w:val="left"/>
              <w:rPr>
                <w:rFonts w:ascii="宋体" w:hAnsi="宋体" w:cs="宋体" w:eastAsia="宋体" w:hint="default"/>
                <w:sz w:val="18"/>
                <w:szCs w:val="18"/>
              </w:rPr>
            </w:pPr>
            <w:r>
              <w:rPr>
                <w:rFonts w:ascii="宋体" w:hAnsi="宋体" w:cs="宋体" w:eastAsia="宋体" w:hint="default"/>
                <w:sz w:val="18"/>
                <w:szCs w:val="18"/>
              </w:rPr>
              <w:t>任职状态</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14" w:right="0"/>
              <w:jc w:val="left"/>
              <w:rPr>
                <w:rFonts w:ascii="宋体" w:hAnsi="宋体" w:cs="宋体" w:eastAsia="宋体" w:hint="default"/>
                <w:sz w:val="18"/>
                <w:szCs w:val="18"/>
              </w:rPr>
            </w:pPr>
            <w:r>
              <w:rPr>
                <w:rFonts w:ascii="宋体" w:hAnsi="宋体" w:cs="宋体" w:eastAsia="宋体" w:hint="default"/>
                <w:sz w:val="18"/>
                <w:szCs w:val="18"/>
              </w:rPr>
              <w:t>性别</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13" w:right="0"/>
              <w:jc w:val="left"/>
              <w:rPr>
                <w:rFonts w:ascii="宋体" w:hAnsi="宋体" w:cs="宋体" w:eastAsia="宋体" w:hint="default"/>
                <w:sz w:val="18"/>
                <w:szCs w:val="18"/>
              </w:rPr>
            </w:pPr>
            <w:r>
              <w:rPr>
                <w:rFonts w:ascii="宋体" w:hAnsi="宋体" w:cs="宋体" w:eastAsia="宋体" w:hint="default"/>
                <w:sz w:val="18"/>
                <w:szCs w:val="18"/>
              </w:rPr>
              <w:t>年龄</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213" w:right="31" w:hanging="180"/>
              <w:jc w:val="left"/>
              <w:rPr>
                <w:rFonts w:ascii="宋体" w:hAnsi="宋体" w:cs="宋体" w:eastAsia="宋体" w:hint="default"/>
                <w:sz w:val="18"/>
                <w:szCs w:val="18"/>
              </w:rPr>
            </w:pPr>
            <w:r>
              <w:rPr>
                <w:rFonts w:ascii="宋体" w:hAnsi="宋体" w:cs="宋体" w:eastAsia="宋体" w:hint="default"/>
                <w:sz w:val="18"/>
                <w:szCs w:val="18"/>
              </w:rPr>
              <w:t>任期起始 日期</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213" w:right="32" w:hanging="180"/>
              <w:jc w:val="left"/>
              <w:rPr>
                <w:rFonts w:ascii="宋体" w:hAnsi="宋体" w:cs="宋体" w:eastAsia="宋体" w:hint="default"/>
                <w:sz w:val="18"/>
                <w:szCs w:val="18"/>
              </w:rPr>
            </w:pPr>
            <w:r>
              <w:rPr>
                <w:rFonts w:ascii="宋体" w:hAnsi="宋体" w:cs="宋体" w:eastAsia="宋体" w:hint="default"/>
                <w:sz w:val="18"/>
                <w:szCs w:val="18"/>
              </w:rPr>
              <w:t>任期终止 日期</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33" w:right="32"/>
              <w:jc w:val="left"/>
              <w:rPr>
                <w:rFonts w:ascii="宋体" w:hAnsi="宋体" w:cs="宋体" w:eastAsia="宋体" w:hint="default"/>
                <w:sz w:val="18"/>
                <w:szCs w:val="18"/>
              </w:rPr>
            </w:pPr>
            <w:r>
              <w:rPr>
                <w:rFonts w:ascii="宋体" w:hAnsi="宋体" w:cs="宋体" w:eastAsia="宋体" w:hint="default"/>
                <w:sz w:val="18"/>
                <w:szCs w:val="18"/>
              </w:rPr>
              <w:t>期初持股 数（股）</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33" w:right="33"/>
              <w:jc w:val="left"/>
              <w:rPr>
                <w:rFonts w:ascii="宋体" w:hAnsi="宋体" w:cs="宋体" w:eastAsia="宋体" w:hint="default"/>
                <w:sz w:val="18"/>
                <w:szCs w:val="18"/>
              </w:rPr>
            </w:pPr>
            <w:r>
              <w:rPr>
                <w:rFonts w:ascii="宋体" w:hAnsi="宋体" w:cs="宋体" w:eastAsia="宋体" w:hint="default"/>
                <w:sz w:val="18"/>
                <w:szCs w:val="18"/>
              </w:rPr>
              <w:t>本期增持 股份数量</w:t>
            </w:r>
          </w:p>
          <w:p>
            <w:pPr>
              <w:pStyle w:val="TableParagraph"/>
              <w:spacing w:line="240" w:lineRule="auto" w:before="20"/>
              <w:ind w:left="123" w:right="0"/>
              <w:jc w:val="left"/>
              <w:rPr>
                <w:rFonts w:ascii="宋体" w:hAnsi="宋体" w:cs="宋体" w:eastAsia="宋体" w:hint="default"/>
                <w:sz w:val="18"/>
                <w:szCs w:val="18"/>
              </w:rPr>
            </w:pPr>
            <w:r>
              <w:rPr>
                <w:rFonts w:ascii="宋体" w:hAnsi="宋体" w:cs="宋体" w:eastAsia="宋体" w:hint="default"/>
                <w:sz w:val="18"/>
                <w:szCs w:val="18"/>
              </w:rPr>
              <w:t>（股）</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33" w:right="32"/>
              <w:jc w:val="left"/>
              <w:rPr>
                <w:rFonts w:ascii="宋体" w:hAnsi="宋体" w:cs="宋体" w:eastAsia="宋体" w:hint="default"/>
                <w:sz w:val="18"/>
                <w:szCs w:val="18"/>
              </w:rPr>
            </w:pPr>
            <w:r>
              <w:rPr>
                <w:rFonts w:ascii="宋体" w:hAnsi="宋体" w:cs="宋体" w:eastAsia="宋体" w:hint="default"/>
                <w:sz w:val="18"/>
                <w:szCs w:val="18"/>
              </w:rPr>
              <w:t>本期减持 股份数量</w:t>
            </w:r>
          </w:p>
          <w:p>
            <w:pPr>
              <w:pStyle w:val="TableParagraph"/>
              <w:spacing w:line="240" w:lineRule="auto" w:before="20"/>
              <w:ind w:left="123" w:right="0"/>
              <w:jc w:val="left"/>
              <w:rPr>
                <w:rFonts w:ascii="宋体" w:hAnsi="宋体" w:cs="宋体" w:eastAsia="宋体" w:hint="default"/>
                <w:sz w:val="18"/>
                <w:szCs w:val="18"/>
              </w:rPr>
            </w:pPr>
            <w:r>
              <w:rPr>
                <w:rFonts w:ascii="宋体" w:hAnsi="宋体" w:cs="宋体" w:eastAsia="宋体" w:hint="default"/>
                <w:sz w:val="18"/>
                <w:szCs w:val="18"/>
              </w:rPr>
              <w:t>（股）</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22" w:right="-44" w:firstLine="10"/>
              <w:jc w:val="left"/>
              <w:rPr>
                <w:rFonts w:ascii="宋体" w:hAnsi="宋体" w:cs="宋体" w:eastAsia="宋体" w:hint="default"/>
                <w:sz w:val="18"/>
                <w:szCs w:val="18"/>
              </w:rPr>
            </w:pPr>
            <w:r>
              <w:rPr>
                <w:rFonts w:ascii="宋体" w:hAnsi="宋体" w:cs="宋体" w:eastAsia="宋体" w:hint="default"/>
                <w:sz w:val="18"/>
                <w:szCs w:val="18"/>
              </w:rPr>
              <w:t>其他增减 </w:t>
            </w:r>
            <w:r>
              <w:rPr>
                <w:rFonts w:ascii="宋体" w:hAnsi="宋体" w:cs="宋体" w:eastAsia="宋体" w:hint="default"/>
                <w:spacing w:val="-19"/>
                <w:sz w:val="18"/>
                <w:szCs w:val="18"/>
              </w:rPr>
              <w:t>变动（股）</w:t>
            </w:r>
            <w:r>
              <w:rPr>
                <w:rFonts w:ascii="宋体" w:hAnsi="宋体" w:cs="宋体" w:eastAsia="宋体" w:hint="default"/>
                <w:sz w:val="18"/>
                <w:szCs w:val="18"/>
              </w:rPr>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33" w:right="32"/>
              <w:jc w:val="left"/>
              <w:rPr>
                <w:rFonts w:ascii="宋体" w:hAnsi="宋体" w:cs="宋体" w:eastAsia="宋体" w:hint="default"/>
                <w:sz w:val="18"/>
                <w:szCs w:val="18"/>
              </w:rPr>
            </w:pPr>
            <w:r>
              <w:rPr>
                <w:rFonts w:ascii="宋体" w:hAnsi="宋体" w:cs="宋体" w:eastAsia="宋体" w:hint="default"/>
                <w:sz w:val="18"/>
                <w:szCs w:val="18"/>
              </w:rPr>
              <w:t>期末持股 数（股）</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吴涵渠</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56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112,978,6</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42</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169,467,9</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63</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沈毅</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22" w:right="42"/>
              <w:jc w:val="left"/>
              <w:rPr>
                <w:rFonts w:ascii="宋体" w:hAnsi="宋体" w:cs="宋体" w:eastAsia="宋体" w:hint="default"/>
                <w:sz w:val="18"/>
                <w:szCs w:val="18"/>
              </w:rPr>
            </w:pPr>
            <w:r>
              <w:rPr>
                <w:rFonts w:ascii="宋体" w:hAnsi="宋体" w:cs="宋体" w:eastAsia="宋体" w:hint="default"/>
                <w:sz w:val="18"/>
                <w:szCs w:val="18"/>
              </w:rPr>
              <w:t>董事、总 经理</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43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4,971,217</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6,676,434</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赵旭峰</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22" w:right="42"/>
              <w:jc w:val="left"/>
              <w:rPr>
                <w:rFonts w:ascii="宋体" w:hAnsi="宋体" w:cs="宋体" w:eastAsia="宋体" w:hint="default"/>
                <w:sz w:val="18"/>
                <w:szCs w:val="18"/>
              </w:rPr>
            </w:pPr>
            <w:r>
              <w:rPr>
                <w:rFonts w:ascii="宋体" w:hAnsi="宋体" w:cs="宋体" w:eastAsia="宋体" w:hint="default"/>
                <w:sz w:val="18"/>
                <w:szCs w:val="18"/>
              </w:rPr>
              <w:t>董事、副 总经理</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50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13,305,85</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8</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700,050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20,658,83</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7</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杨四化</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22" w:right="42"/>
              <w:jc w:val="left"/>
              <w:rPr>
                <w:rFonts w:ascii="宋体" w:hAnsi="宋体" w:cs="宋体" w:eastAsia="宋体" w:hint="default"/>
                <w:sz w:val="18"/>
                <w:szCs w:val="18"/>
              </w:rPr>
            </w:pPr>
            <w:r>
              <w:rPr>
                <w:rFonts w:ascii="宋体" w:hAnsi="宋体" w:cs="宋体" w:eastAsia="宋体" w:hint="default"/>
                <w:sz w:val="18"/>
                <w:szCs w:val="18"/>
              </w:rPr>
              <w:t>董事、副 总经理</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40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1,480,189</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1,837,740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段忠</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67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25</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蔡凡</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65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19</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马秀敏</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46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王丽娜</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51</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贾广新</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58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邱荣邦</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9" w:lineRule="auto"/>
              <w:ind w:left="22" w:right="42"/>
              <w:jc w:val="left"/>
              <w:rPr>
                <w:rFonts w:ascii="宋体" w:hAnsi="宋体" w:cs="宋体" w:eastAsia="宋体" w:hint="default"/>
                <w:sz w:val="18"/>
                <w:szCs w:val="18"/>
              </w:rPr>
            </w:pPr>
            <w:r>
              <w:rPr>
                <w:rFonts w:ascii="宋体" w:hAnsi="宋体" w:cs="宋体" w:eastAsia="宋体" w:hint="default"/>
                <w:sz w:val="18"/>
                <w:szCs w:val="18"/>
              </w:rPr>
              <w:t>监事会主 席</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54</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12,114,55</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3</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18,171,83</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黄斌</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54</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1"/>
              <w:jc w:val="right"/>
              <w:rPr>
                <w:rFonts w:ascii="Times New Roman" w:hAnsi="Times New Roman" w:cs="Times New Roman" w:eastAsia="Times New Roman" w:hint="default"/>
                <w:sz w:val="18"/>
                <w:szCs w:val="18"/>
              </w:rPr>
            </w:pPr>
            <w:r>
              <w:rPr>
                <w:rFonts w:ascii="Times New Roman"/>
                <w:sz w:val="18"/>
              </w:rPr>
              <w:t>19,270,09</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1"/>
              <w:jc w:val="right"/>
              <w:rPr>
                <w:rFonts w:ascii="Times New Roman" w:hAnsi="Times New Roman" w:cs="Times New Roman" w:eastAsia="Times New Roman" w:hint="default"/>
                <w:sz w:val="18"/>
                <w:szCs w:val="18"/>
              </w:rPr>
            </w:pPr>
            <w:r>
              <w:rPr>
                <w:rFonts w:ascii="Times New Roman"/>
                <w:sz w:val="18"/>
              </w:rPr>
              <w:t>28,905,14</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b/>
          <w:bCs/>
          <w:sz w:val="28"/>
          <w:szCs w:val="28"/>
        </w:rPr>
      </w:pPr>
    </w:p>
    <w:tbl>
      <w:tblPr>
        <w:tblW w:w="0" w:type="auto"/>
        <w:jc w:val="left"/>
        <w:tblInd w:w="149" w:type="dxa"/>
        <w:tblLayout w:type="fixed"/>
        <w:tblCellMar>
          <w:top w:w="0" w:type="dxa"/>
          <w:left w:w="0" w:type="dxa"/>
          <w:bottom w:w="0" w:type="dxa"/>
          <w:right w:w="0" w:type="dxa"/>
        </w:tblCellMar>
        <w:tblLook w:val="01E0"/>
      </w:tblPr>
      <w:tblGrid>
        <w:gridCol w:w="798"/>
        <w:gridCol w:w="797"/>
        <w:gridCol w:w="797"/>
        <w:gridCol w:w="798"/>
        <w:gridCol w:w="798"/>
        <w:gridCol w:w="797"/>
        <w:gridCol w:w="798"/>
        <w:gridCol w:w="798"/>
        <w:gridCol w:w="798"/>
        <w:gridCol w:w="798"/>
        <w:gridCol w:w="798"/>
        <w:gridCol w:w="798"/>
      </w:tblGrid>
      <w:tr>
        <w:trPr>
          <w:trHeight w:val="674" w:hRule="exact"/>
        </w:trPr>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Times New Roman" w:hAnsi="Times New Roman" w:cs="Times New Roman" w:eastAsia="Times New Roman" w:hint="default"/>
                <w:sz w:val="18"/>
                <w:szCs w:val="18"/>
              </w:rPr>
            </w:pPr>
            <w:r>
              <w:rPr>
                <w:rFonts w:ascii="Times New Roman"/>
                <w:sz w:val="18"/>
              </w:rPr>
              <w:t>6</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Times New Roman" w:hAnsi="Times New Roman" w:cs="Times New Roman" w:eastAsia="Times New Roman" w:hint="default"/>
                <w:sz w:val="18"/>
                <w:szCs w:val="18"/>
              </w:rPr>
            </w:pPr>
            <w:r>
              <w:rPr>
                <w:rFonts w:ascii="Times New Roman"/>
                <w:sz w:val="18"/>
              </w:rPr>
              <w:t>4</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颜春晓</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36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彭世新</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42"/>
              <w:jc w:val="left"/>
              <w:rPr>
                <w:rFonts w:ascii="宋体" w:hAnsi="宋体" w:cs="宋体" w:eastAsia="宋体" w:hint="default"/>
                <w:sz w:val="18"/>
                <w:szCs w:val="18"/>
              </w:rPr>
            </w:pPr>
            <w:r>
              <w:rPr>
                <w:rFonts w:ascii="宋体" w:hAnsi="宋体" w:cs="宋体" w:eastAsia="宋体" w:hint="default"/>
                <w:sz w:val="18"/>
                <w:szCs w:val="18"/>
              </w:rPr>
              <w:t>副总经 理、财务 总监</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50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5,053,087</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7,197,087</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矫人全</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45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26</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535,634</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1,095,000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吴振志</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42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789,130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954,166</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孔德建</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22" w:right="42"/>
              <w:jc w:val="left"/>
              <w:rPr>
                <w:rFonts w:ascii="宋体" w:hAnsi="宋体" w:cs="宋体" w:eastAsia="宋体" w:hint="default"/>
                <w:sz w:val="18"/>
                <w:szCs w:val="18"/>
              </w:rPr>
            </w:pPr>
            <w:r>
              <w:rPr>
                <w:rFonts w:ascii="宋体" w:hAnsi="宋体" w:cs="宋体" w:eastAsia="宋体" w:hint="default"/>
                <w:sz w:val="18"/>
                <w:szCs w:val="18"/>
              </w:rPr>
              <w:t>董事会秘 书</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33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26</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150,000</w:t>
            </w:r>
          </w:p>
        </w:tc>
      </w:tr>
      <w:tr>
        <w:trPr>
          <w:trHeight w:val="714" w:hRule="exact"/>
        </w:trPr>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170,598,4</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06</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700,050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255,114,2</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01</w:t>
            </w:r>
          </w:p>
        </w:tc>
      </w:tr>
    </w:tbl>
    <w:p>
      <w:pPr>
        <w:spacing w:line="240" w:lineRule="auto" w:before="2"/>
        <w:rPr>
          <w:rFonts w:ascii="宋体" w:hAnsi="宋体" w:cs="宋体" w:eastAsia="宋体" w:hint="default"/>
          <w:b/>
          <w:bCs/>
          <w:sz w:val="18"/>
          <w:szCs w:val="18"/>
        </w:rPr>
      </w:pPr>
    </w:p>
    <w:p>
      <w:pPr>
        <w:pStyle w:val="Heading2"/>
        <w:spacing w:line="240" w:lineRule="auto" w:before="26"/>
        <w:ind w:left="154" w:right="0"/>
        <w:jc w:val="left"/>
        <w:rPr>
          <w:b w:val="0"/>
          <w:bCs w:val="0"/>
        </w:rPr>
      </w:pPr>
      <w:bookmarkStart w:name="二、公司董事、监事、高级管理人员变动情况" w:id="125"/>
      <w:bookmarkEnd w:id="125"/>
      <w:r>
        <w:rPr>
          <w:b w:val="0"/>
          <w:bCs w:val="0"/>
        </w:rPr>
      </w:r>
      <w:r>
        <w:rPr/>
        <w:t>二、公司董事、监事、高级管理人员变动情况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2"/>
        <w:rPr>
          <w:rFonts w:ascii="宋体" w:hAnsi="宋体" w:cs="宋体" w:eastAsia="宋体" w:hint="default"/>
          <w:sz w:val="23"/>
          <w:szCs w:val="23"/>
        </w:rPr>
      </w:pPr>
    </w:p>
    <w:p>
      <w:pPr>
        <w:pStyle w:val="Heading2"/>
        <w:spacing w:line="240" w:lineRule="auto"/>
        <w:ind w:right="0"/>
        <w:jc w:val="left"/>
        <w:rPr>
          <w:b w:val="0"/>
          <w:bCs w:val="0"/>
        </w:rPr>
      </w:pPr>
      <w:bookmarkStart w:name="三、任职情况" w:id="126"/>
      <w:bookmarkEnd w:id="126"/>
      <w:r>
        <w:rPr>
          <w:b w:val="0"/>
          <w:bCs w:val="0"/>
        </w:rPr>
      </w:r>
      <w:r>
        <w:rPr/>
        <w:t>三、任职情况</w:t>
      </w:r>
      <w:r>
        <w:rPr>
          <w:b w:val="0"/>
          <w:bCs w:val="0"/>
        </w:rPr>
      </w:r>
    </w:p>
    <w:p>
      <w:pPr>
        <w:spacing w:line="240" w:lineRule="auto" w:before="9"/>
        <w:rPr>
          <w:rFonts w:ascii="宋体" w:hAnsi="宋体" w:cs="宋体" w:eastAsia="宋体" w:hint="default"/>
          <w:b/>
          <w:bCs/>
          <w:sz w:val="26"/>
          <w:szCs w:val="26"/>
        </w:rPr>
      </w:pPr>
    </w:p>
    <w:p>
      <w:pPr>
        <w:pStyle w:val="BodyText"/>
        <w:spacing w:line="357" w:lineRule="auto"/>
        <w:ind w:left="513" w:right="0" w:hanging="360"/>
        <w:jc w:val="left"/>
      </w:pPr>
      <w:r>
        <w:rPr/>
        <w:t>公司现任董事、监事、高级管理人员专业背景、主要工作经历以及目前在公司的主要职责 </w:t>
      </w:r>
      <w:r>
        <w:rPr>
          <w:spacing w:val="-2"/>
        </w:rPr>
        <w:t>吴涵渠，男，</w:t>
      </w:r>
      <w:r>
        <w:rPr>
          <w:rFonts w:ascii="Times New Roman" w:hAnsi="Times New Roman" w:cs="Times New Roman" w:eastAsia="Times New Roman" w:hint="default"/>
          <w:spacing w:val="-2"/>
        </w:rPr>
        <w:t>1962</w:t>
      </w:r>
      <w:r>
        <w:rPr>
          <w:spacing w:val="-2"/>
        </w:rPr>
        <w:t>年</w:t>
      </w:r>
      <w:r>
        <w:rPr>
          <w:rFonts w:ascii="Times New Roman" w:hAnsi="Times New Roman" w:cs="Times New Roman" w:eastAsia="Times New Roman" w:hint="default"/>
          <w:spacing w:val="-2"/>
        </w:rPr>
        <w:t>11</w:t>
      </w:r>
      <w:r>
        <w:rPr>
          <w:spacing w:val="-2"/>
        </w:rPr>
        <w:t>月出生，中国国籍，无境外永久居留权，硕士研究生学历，高级工程师。曾在九江船舶工业学校</w:t>
      </w:r>
    </w:p>
    <w:p>
      <w:pPr>
        <w:pStyle w:val="BodyText"/>
        <w:spacing w:line="214" w:lineRule="exact"/>
        <w:ind w:left="154" w:right="0"/>
        <w:jc w:val="left"/>
        <w:rPr>
          <w:rFonts w:ascii="Times New Roman" w:hAnsi="Times New Roman" w:cs="Times New Roman" w:eastAsia="Times New Roman" w:hint="default"/>
        </w:rPr>
      </w:pPr>
      <w:r>
        <w:rPr/>
        <w:t>任教。</w:t>
      </w:r>
      <w:r>
        <w:rPr>
          <w:rFonts w:ascii="Times New Roman" w:hAnsi="Times New Roman" w:cs="Times New Roman" w:eastAsia="Times New Roman" w:hint="default"/>
        </w:rPr>
        <w:t>1989</w:t>
      </w:r>
      <w:r>
        <w:rPr/>
        <w:t>年至</w:t>
      </w:r>
      <w:r>
        <w:rPr>
          <w:rFonts w:ascii="Times New Roman" w:hAnsi="Times New Roman" w:cs="Times New Roman" w:eastAsia="Times New Roman" w:hint="default"/>
        </w:rPr>
        <w:t>1993</w:t>
      </w:r>
      <w:r>
        <w:rPr/>
        <w:t>年在深圳电子产品质量检测中心任技术部副经理，从事电子产品质量检测和产品技术标准的研究。</w:t>
      </w:r>
      <w:r>
        <w:rPr>
          <w:rFonts w:ascii="Times New Roman" w:hAnsi="Times New Roman" w:cs="Times New Roman" w:eastAsia="Times New Roman" w:hint="default"/>
        </w:rPr>
        <w:t>1993</w:t>
      </w:r>
    </w:p>
    <w:p>
      <w:pPr>
        <w:pStyle w:val="BodyText"/>
        <w:spacing w:line="316" w:lineRule="auto" w:before="63"/>
        <w:ind w:left="513" w:right="0" w:hanging="360"/>
        <w:jc w:val="left"/>
      </w:pPr>
      <w:r>
        <w:rPr/>
        <w:t>年组建公司，历任公司董事长、总经理、深圳市第五届政协委员。现为公司董事长、深圳市第六届政协委员。 </w:t>
      </w:r>
      <w:r>
        <w:rPr>
          <w:spacing w:val="-4"/>
        </w:rPr>
        <w:t>段忠，男，</w:t>
      </w:r>
      <w:r>
        <w:rPr>
          <w:rFonts w:ascii="Times New Roman" w:hAnsi="Times New Roman" w:cs="Times New Roman" w:eastAsia="Times New Roman" w:hint="default"/>
          <w:spacing w:val="-4"/>
        </w:rPr>
        <w:t>1951</w:t>
      </w:r>
      <w:r>
        <w:rPr>
          <w:spacing w:val="-4"/>
        </w:rPr>
        <w:t>年</w:t>
      </w:r>
      <w:r>
        <w:rPr>
          <w:rFonts w:ascii="Times New Roman" w:hAnsi="Times New Roman" w:cs="Times New Roman" w:eastAsia="Times New Roman" w:hint="default"/>
          <w:spacing w:val="-4"/>
        </w:rPr>
        <w:t>7</w:t>
      </w:r>
      <w:r>
        <w:rPr>
          <w:spacing w:val="-4"/>
        </w:rPr>
        <w:t>月生，中国国籍，无境外永久居留权，研究生学历，研究员级高级工程师。历任〇一二基地工程师、</w:t>
      </w:r>
    </w:p>
    <w:p>
      <w:pPr>
        <w:pStyle w:val="BodyText"/>
        <w:spacing w:line="316" w:lineRule="auto"/>
        <w:ind w:right="1033"/>
        <w:jc w:val="left"/>
      </w:pPr>
      <w:r>
        <w:rPr/>
        <w:t>〇一二基地团委副书记、青年研究会会长、〇一二基地进出口公司书记兼副总经理、深圳南航电子工业有限公司副总经理、</w:t>
      </w:r>
      <w:r>
        <w:rPr>
          <w:spacing w:val="-85"/>
        </w:rPr>
        <w:t> </w:t>
      </w:r>
      <w:r>
        <w:rPr>
          <w:spacing w:val="-85"/>
        </w:rPr>
      </w:r>
      <w:r>
        <w:rPr>
          <w:spacing w:val="-2"/>
        </w:rPr>
        <w:t>深圳南航工业集团总经理、董事长、党委书记、深圳市工程师联合会会长、深圳市第四、第五届政协委员、深圳市科陆电子</w:t>
      </w:r>
      <w:r>
        <w:rPr>
          <w:spacing w:val="-68"/>
        </w:rPr>
        <w:t> </w:t>
      </w:r>
      <w:r>
        <w:rPr>
          <w:spacing w:val="-68"/>
        </w:rPr>
      </w:r>
      <w:r>
        <w:rPr>
          <w:spacing w:val="-2"/>
        </w:rPr>
        <w:t>科技股份有限公司独立董事。现任中关村（全国）军民融合信息装备产业促进会会长、中国国防工业军工文化军民融合研究</w:t>
      </w:r>
      <w:r>
        <w:rPr>
          <w:spacing w:val="-66"/>
        </w:rPr>
        <w:t> </w:t>
      </w:r>
      <w:r>
        <w:rPr>
          <w:spacing w:val="-66"/>
        </w:rPr>
      </w:r>
      <w:r>
        <w:rPr/>
        <w:t>室主任、深圳市军民融合发展协会会长、中国国防工业首席专家、广东省第八届科协委员、公司董事。</w:t>
      </w:r>
    </w:p>
    <w:p>
      <w:pPr>
        <w:pStyle w:val="BodyText"/>
        <w:spacing w:line="314" w:lineRule="auto" w:before="19"/>
        <w:ind w:left="154" w:right="1129" w:firstLine="360"/>
        <w:jc w:val="both"/>
      </w:pPr>
      <w:r>
        <w:rPr/>
        <w:t>蔡凡，男，</w:t>
      </w:r>
      <w:r>
        <w:rPr>
          <w:rFonts w:ascii="Times New Roman" w:hAnsi="Times New Roman" w:cs="Times New Roman" w:eastAsia="Times New Roman" w:hint="default"/>
        </w:rPr>
        <w:t>1953</w:t>
      </w:r>
      <w:r>
        <w:rPr/>
        <w:t>年</w:t>
      </w:r>
      <w:r>
        <w:rPr>
          <w:rFonts w:ascii="Times New Roman" w:hAnsi="Times New Roman" w:cs="Times New Roman" w:eastAsia="Times New Roman" w:hint="default"/>
        </w:rPr>
        <w:t>5</w:t>
      </w:r>
      <w:r>
        <w:rPr/>
        <w:t>月出生，中国国籍，无境外永久居留权，本科学历。曾任宁夏银川市标准局副局长、深圳市技术监 </w:t>
      </w:r>
      <w:r>
        <w:rPr>
          <w:spacing w:val="-2"/>
        </w:rPr>
        <w:t>督局副处长、深圳市质量管理协会常务理事、秘书长、广东省质量管理协会常务理事、深圳市科技局技术市场管理办公室负</w:t>
      </w:r>
      <w:r>
        <w:rPr>
          <w:spacing w:val="-66"/>
        </w:rPr>
        <w:t> </w:t>
      </w:r>
      <w:r>
        <w:rPr>
          <w:spacing w:val="-66"/>
        </w:rPr>
      </w:r>
      <w:r>
        <w:rPr>
          <w:spacing w:val="-2"/>
        </w:rPr>
        <w:t>责人、广东省发明协会理事、深圳市科技局成果处处长、深圳市科技局局长助理、深圳市高新技术投资担保公司顾问、深圳</w:t>
      </w:r>
      <w:r>
        <w:rPr>
          <w:spacing w:val="-66"/>
        </w:rPr>
        <w:t> </w:t>
      </w:r>
      <w:r>
        <w:rPr>
          <w:spacing w:val="-66"/>
        </w:rPr>
      </w:r>
      <w:r>
        <w:rPr>
          <w:spacing w:val="-2"/>
        </w:rPr>
        <w:t>市国成科技投资公司董事、总经理、深圳市创业投资同业公会常务理事、副会长。现任深圳市高新投集团有限公司顾问，公</w:t>
      </w:r>
      <w:r>
        <w:rPr>
          <w:spacing w:val="-66"/>
        </w:rPr>
        <w:t> </w:t>
      </w:r>
      <w:r>
        <w:rPr>
          <w:spacing w:val="-66"/>
        </w:rPr>
      </w:r>
      <w:r>
        <w:rPr/>
        <w:t>司董事。</w:t>
      </w:r>
    </w:p>
    <w:p>
      <w:pPr>
        <w:pStyle w:val="BodyText"/>
        <w:spacing w:line="300" w:lineRule="auto" w:before="20"/>
        <w:ind w:left="154" w:right="1130" w:firstLine="360"/>
        <w:jc w:val="both"/>
      </w:pPr>
      <w:r>
        <w:rPr/>
        <w:t>沈毅，男，</w:t>
      </w:r>
      <w:r>
        <w:rPr>
          <w:rFonts w:ascii="Times New Roman" w:hAnsi="Times New Roman" w:cs="Times New Roman" w:eastAsia="Times New Roman" w:hint="default"/>
        </w:rPr>
        <w:t>1975</w:t>
      </w:r>
      <w:r>
        <w:rPr/>
        <w:t>年</w:t>
      </w:r>
      <w:r>
        <w:rPr>
          <w:rFonts w:ascii="Times New Roman" w:hAnsi="Times New Roman" w:cs="Times New Roman" w:eastAsia="Times New Roman" w:hint="default"/>
        </w:rPr>
        <w:t>7</w:t>
      </w:r>
      <w:r>
        <w:rPr/>
        <w:t>月出生，中国国籍，无境外永久居留权，大专学历。</w:t>
      </w:r>
      <w:r>
        <w:rPr>
          <w:rFonts w:ascii="Times New Roman" w:hAnsi="Times New Roman" w:cs="Times New Roman" w:eastAsia="Times New Roman" w:hint="default"/>
        </w:rPr>
        <w:t>1998</w:t>
      </w:r>
      <w:r>
        <w:rPr/>
        <w:t>年进入公司，历任人事主管、人事行政部 </w:t>
      </w:r>
      <w:r>
        <w:rPr>
          <w:spacing w:val="-2"/>
        </w:rPr>
        <w:t>副经理、供应储运部经理、商务部经理兼</w:t>
      </w:r>
      <w:r>
        <w:rPr>
          <w:rFonts w:ascii="Times New Roman" w:hAnsi="Times New Roman" w:cs="Times New Roman" w:eastAsia="Times New Roman" w:hint="default"/>
          <w:spacing w:val="-2"/>
        </w:rPr>
        <w:t>LED</w:t>
      </w:r>
      <w:r>
        <w:rPr>
          <w:spacing w:val="-2"/>
        </w:rPr>
        <w:t>光电事业部副总经理、总经理助理兼</w:t>
      </w:r>
      <w:r>
        <w:rPr>
          <w:rFonts w:ascii="Times New Roman" w:hAnsi="Times New Roman" w:cs="Times New Roman" w:eastAsia="Times New Roman" w:hint="default"/>
          <w:spacing w:val="-2"/>
        </w:rPr>
        <w:t>LED</w:t>
      </w:r>
      <w:r>
        <w:rPr>
          <w:spacing w:val="-2"/>
        </w:rPr>
        <w:t>光电事业部总经理等职务。现任公司</w:t>
      </w:r>
    </w:p>
    <w:p>
      <w:pPr>
        <w:spacing w:after="0" w:line="300" w:lineRule="auto"/>
        <w:jc w:val="both"/>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240" w:lineRule="auto" w:before="44"/>
        <w:ind w:right="0"/>
        <w:jc w:val="left"/>
      </w:pPr>
      <w:r>
        <w:rPr/>
        <w:t>董事、总经理。</w:t>
      </w:r>
    </w:p>
    <w:p>
      <w:pPr>
        <w:spacing w:line="240" w:lineRule="auto" w:before="0"/>
        <w:rPr>
          <w:rFonts w:ascii="宋体" w:hAnsi="宋体" w:cs="宋体" w:eastAsia="宋体" w:hint="default"/>
          <w:sz w:val="15"/>
          <w:szCs w:val="15"/>
        </w:rPr>
      </w:pPr>
    </w:p>
    <w:p>
      <w:pPr>
        <w:pStyle w:val="BodyText"/>
        <w:spacing w:line="300" w:lineRule="auto"/>
        <w:ind w:right="1129" w:firstLine="360"/>
        <w:jc w:val="both"/>
      </w:pPr>
      <w:r>
        <w:rPr>
          <w:spacing w:val="-5"/>
        </w:rPr>
        <w:t>赵旭峰，男，</w:t>
      </w:r>
      <w:r>
        <w:rPr>
          <w:rFonts w:ascii="Times New Roman" w:hAnsi="Times New Roman" w:cs="Times New Roman" w:eastAsia="Times New Roman" w:hint="default"/>
          <w:spacing w:val="-5"/>
        </w:rPr>
        <w:t>1968</w:t>
      </w:r>
      <w:r>
        <w:rPr>
          <w:spacing w:val="-5"/>
        </w:rPr>
        <w:t>年</w:t>
      </w:r>
      <w:r>
        <w:rPr>
          <w:rFonts w:ascii="Times New Roman" w:hAnsi="Times New Roman" w:cs="Times New Roman" w:eastAsia="Times New Roman" w:hint="default"/>
          <w:spacing w:val="-5"/>
        </w:rPr>
        <w:t>12</w:t>
      </w:r>
      <w:r>
        <w:rPr>
          <w:spacing w:val="-5"/>
        </w:rPr>
        <w:t>月出生，中国国籍，无境外永久居留权，本科学历。曾在福州市建材公司工作。</w:t>
      </w:r>
      <w:r>
        <w:rPr>
          <w:rFonts w:ascii="Times New Roman" w:hAnsi="Times New Roman" w:cs="Times New Roman" w:eastAsia="Times New Roman" w:hint="default"/>
          <w:spacing w:val="-5"/>
        </w:rPr>
        <w:t>1993</w:t>
      </w:r>
      <w:r>
        <w:rPr>
          <w:spacing w:val="-5"/>
        </w:rPr>
        <w:t>年进入公司，</w:t>
      </w:r>
      <w:r>
        <w:rPr/>
        <w:t> 历任销售部经理、广州办事处经理、自助设备事业部副总经理、渠道总监、采购总监。现任公司董事、副总经理。</w:t>
      </w:r>
    </w:p>
    <w:p>
      <w:pPr>
        <w:pStyle w:val="BodyText"/>
        <w:spacing w:line="300" w:lineRule="auto" w:before="152"/>
        <w:ind w:right="1131" w:firstLine="360"/>
        <w:jc w:val="both"/>
      </w:pPr>
      <w:r>
        <w:rPr>
          <w:spacing w:val="-1"/>
        </w:rPr>
        <w:t>杨四化，男，</w:t>
      </w:r>
      <w:r>
        <w:rPr>
          <w:rFonts w:ascii="Times New Roman" w:hAnsi="Times New Roman" w:cs="Times New Roman" w:eastAsia="Times New Roman" w:hint="default"/>
          <w:spacing w:val="-1"/>
        </w:rPr>
        <w:t>1978</w:t>
      </w:r>
      <w:r>
        <w:rPr>
          <w:spacing w:val="-1"/>
        </w:rPr>
        <w:t>年</w:t>
      </w:r>
      <w:r>
        <w:rPr>
          <w:rFonts w:ascii="Times New Roman" w:hAnsi="Times New Roman" w:cs="Times New Roman" w:eastAsia="Times New Roman" w:hint="default"/>
          <w:spacing w:val="-1"/>
        </w:rPr>
        <w:t>7</w:t>
      </w:r>
      <w:r>
        <w:rPr>
          <w:spacing w:val="-1"/>
        </w:rPr>
        <w:t>月出生，中国国籍，无境外永久居留权，北京大学</w:t>
      </w:r>
      <w:r>
        <w:rPr>
          <w:rFonts w:ascii="Times New Roman" w:hAnsi="Times New Roman" w:cs="Times New Roman" w:eastAsia="Times New Roman" w:hint="default"/>
          <w:spacing w:val="-1"/>
        </w:rPr>
        <w:t>MBA</w:t>
      </w:r>
      <w:r>
        <w:rPr>
          <w:spacing w:val="-1"/>
        </w:rPr>
        <w:t>。</w:t>
      </w:r>
      <w:r>
        <w:rPr>
          <w:rFonts w:ascii="Times New Roman" w:hAnsi="Times New Roman" w:cs="Times New Roman" w:eastAsia="Times New Roman" w:hint="default"/>
          <w:spacing w:val="-1"/>
        </w:rPr>
        <w:t>1999</w:t>
      </w:r>
      <w:r>
        <w:rPr>
          <w:spacing w:val="-1"/>
        </w:rPr>
        <w:t>年进入公司，历任财务部主管、采</w:t>
      </w:r>
      <w:r>
        <w:rPr/>
        <w:t> 购部经理、总经理办公室主任、监事、董事会秘书。现任公司董事、副总经理、体育事业部总经理。</w:t>
      </w:r>
    </w:p>
    <w:p>
      <w:pPr>
        <w:pStyle w:val="BodyText"/>
        <w:spacing w:line="300" w:lineRule="auto" w:before="151"/>
        <w:ind w:left="154" w:right="1130" w:firstLine="360"/>
        <w:jc w:val="both"/>
      </w:pPr>
      <w:r>
        <w:rPr>
          <w:spacing w:val="-2"/>
        </w:rPr>
        <w:t>马秀敏，女，</w:t>
      </w:r>
      <w:r>
        <w:rPr>
          <w:rFonts w:ascii="Times New Roman" w:hAnsi="Times New Roman" w:cs="Times New Roman" w:eastAsia="Times New Roman" w:hint="default"/>
          <w:spacing w:val="-2"/>
        </w:rPr>
        <w:t>1972</w:t>
      </w:r>
      <w:r>
        <w:rPr>
          <w:spacing w:val="-2"/>
        </w:rPr>
        <w:t>年</w:t>
      </w:r>
      <w:r>
        <w:rPr>
          <w:rFonts w:ascii="Times New Roman" w:hAnsi="Times New Roman" w:cs="Times New Roman" w:eastAsia="Times New Roman" w:hint="default"/>
          <w:spacing w:val="-2"/>
        </w:rPr>
        <w:t>12</w:t>
      </w:r>
      <w:r>
        <w:rPr>
          <w:spacing w:val="-2"/>
        </w:rPr>
        <w:t>月出生，中国国籍，无境外永久居住权，本科学历，中国注册会计师。历任中国三江航天集团零</w:t>
      </w:r>
      <w:r>
        <w:rPr/>
        <w:t> 六六基地万峰厂调研员、深圳鹏城会计师事务所审计项目经理、国家</w:t>
      </w:r>
      <w:r>
        <w:rPr>
          <w:rFonts w:ascii="Times New Roman" w:hAnsi="Times New Roman" w:cs="Times New Roman" w:eastAsia="Times New Roman" w:hint="default"/>
        </w:rPr>
        <w:t>863</w:t>
      </w:r>
      <w:r>
        <w:rPr/>
        <w:t>计划材料表面工程技术研究开发中心财务经理、深</w:t>
      </w:r>
      <w:r>
        <w:rPr>
          <w:spacing w:val="-82"/>
        </w:rPr>
        <w:t> </w:t>
      </w:r>
      <w:r>
        <w:rPr>
          <w:spacing w:val="-82"/>
        </w:rPr>
      </w:r>
      <w:r>
        <w:rPr/>
        <w:t>圳市科陆电子科技股份有限公司独立董事。现任深圳衡大会计师事务所合伙人、公司独立董事。</w:t>
      </w:r>
    </w:p>
    <w:p>
      <w:pPr>
        <w:pStyle w:val="BodyText"/>
        <w:spacing w:line="312" w:lineRule="auto" w:before="151"/>
        <w:ind w:left="154" w:right="1131" w:firstLine="360"/>
        <w:jc w:val="both"/>
      </w:pPr>
      <w:r>
        <w:rPr/>
        <w:t>王丽娜，女，</w:t>
      </w:r>
      <w:r>
        <w:rPr>
          <w:rFonts w:ascii="Times New Roman" w:hAnsi="Times New Roman" w:cs="Times New Roman" w:eastAsia="Times New Roman" w:hint="default"/>
        </w:rPr>
        <w:t>1967</w:t>
      </w:r>
      <w:r>
        <w:rPr/>
        <w:t>年</w:t>
      </w:r>
      <w:r>
        <w:rPr>
          <w:rFonts w:ascii="Times New Roman" w:hAnsi="Times New Roman" w:cs="Times New Roman" w:eastAsia="Times New Roman" w:hint="default"/>
        </w:rPr>
        <w:t>7</w:t>
      </w:r>
      <w:r>
        <w:rPr/>
        <w:t>月出生，中国国籍，无境外永久居住权</w:t>
      </w:r>
      <w:r>
        <w:rPr>
          <w:rFonts w:ascii="Times New Roman" w:hAnsi="Times New Roman" w:cs="Times New Roman" w:eastAsia="Times New Roman" w:hint="default"/>
        </w:rPr>
        <w:t>,</w:t>
      </w:r>
      <w:r>
        <w:rPr>
          <w:rFonts w:ascii="Times New Roman" w:hAnsi="Times New Roman" w:cs="Times New Roman" w:eastAsia="Times New Roman" w:hint="default"/>
          <w:spacing w:val="33"/>
        </w:rPr>
        <w:t> </w:t>
      </w:r>
      <w:r>
        <w:rPr/>
        <w:t>研究生学历，资深律师。曾任中华全国律师协会理事、</w:t>
      </w:r>
      <w:r>
        <w:rPr>
          <w:spacing w:val="1"/>
        </w:rPr>
        <w:t> </w:t>
      </w:r>
      <w:r>
        <w:rPr>
          <w:spacing w:val="-5"/>
        </w:rPr>
        <w:t>深圳市律师协会副会长。现任深圳市政协委员、深圳市新的社会阶层人士联合会副主席、深圳市知识界人士联谊会常务理事、</w:t>
      </w:r>
      <w:r>
        <w:rPr>
          <w:spacing w:val="-78"/>
        </w:rPr>
        <w:t> </w:t>
      </w:r>
      <w:r>
        <w:rPr>
          <w:spacing w:val="-78"/>
        </w:rPr>
      </w:r>
      <w:r>
        <w:rPr>
          <w:spacing w:val="-2"/>
        </w:rPr>
        <w:t>深圳仲裁委员会仲裁员、深圳市地税局特邀监察员、广东省律师协会常务理事、广东省检察院规范司法行为监督员、广东瑞</w:t>
      </w:r>
      <w:r>
        <w:rPr>
          <w:spacing w:val="-66"/>
        </w:rPr>
        <w:t> </w:t>
      </w:r>
      <w:r>
        <w:rPr>
          <w:spacing w:val="-66"/>
        </w:rPr>
      </w:r>
      <w:r>
        <w:rPr/>
        <w:t>霆律师事务所主任（首席合伙人）、公司独立董事。</w:t>
      </w:r>
    </w:p>
    <w:p>
      <w:pPr>
        <w:pStyle w:val="BodyText"/>
        <w:spacing w:line="312" w:lineRule="auto" w:before="142"/>
        <w:ind w:right="1132" w:firstLine="360"/>
        <w:jc w:val="both"/>
      </w:pPr>
      <w:r>
        <w:rPr>
          <w:spacing w:val="-2"/>
        </w:rPr>
        <w:t>贾广新，男，</w:t>
      </w:r>
      <w:r>
        <w:rPr>
          <w:rFonts w:ascii="Times New Roman" w:hAnsi="Times New Roman" w:cs="Times New Roman" w:eastAsia="Times New Roman" w:hint="default"/>
          <w:spacing w:val="-2"/>
        </w:rPr>
        <w:t>1960</w:t>
      </w:r>
      <w:r>
        <w:rPr>
          <w:spacing w:val="-2"/>
        </w:rPr>
        <w:t>年</w:t>
      </w:r>
      <w:r>
        <w:rPr>
          <w:rFonts w:ascii="Times New Roman" w:hAnsi="Times New Roman" w:cs="Times New Roman" w:eastAsia="Times New Roman" w:hint="default"/>
          <w:spacing w:val="-2"/>
        </w:rPr>
        <w:t>4</w:t>
      </w:r>
      <w:r>
        <w:rPr>
          <w:spacing w:val="-2"/>
        </w:rPr>
        <w:t>月出生，中国国籍，无境外永久居住权，本科学历，高级工程师。历任原电子工业部</w:t>
      </w:r>
      <w:r>
        <w:rPr>
          <w:rFonts w:ascii="Times New Roman" w:hAnsi="Times New Roman" w:cs="Times New Roman" w:eastAsia="Times New Roman" w:hint="default"/>
          <w:spacing w:val="-2"/>
        </w:rPr>
        <w:t>713</w:t>
      </w:r>
      <w:r>
        <w:rPr>
          <w:spacing w:val="-2"/>
        </w:rPr>
        <w:t>厂设计所</w:t>
      </w:r>
      <w:r>
        <w:rPr/>
        <w:t> </w:t>
      </w:r>
      <w:r>
        <w:rPr>
          <w:spacing w:val="-2"/>
        </w:rPr>
        <w:t>副所长、深圳市赛格宝华电子股份有限公司副总经理兼总工程师、深圳市赛格达声股份有限公司副总经理兼总工程师、深圳</w:t>
      </w:r>
      <w:r>
        <w:rPr>
          <w:spacing w:val="-66"/>
        </w:rPr>
        <w:t> </w:t>
      </w:r>
      <w:r>
        <w:rPr>
          <w:spacing w:val="-66"/>
        </w:rPr>
      </w:r>
      <w:r>
        <w:rPr>
          <w:spacing w:val="-2"/>
        </w:rPr>
        <w:t>市赛格集团公司技术中心执行副主任、深圳市华发电子有限公司总经理助理。现任深圳市三维自动化工程有限公司董事、总</w:t>
      </w:r>
      <w:r>
        <w:rPr>
          <w:spacing w:val="-66"/>
        </w:rPr>
        <w:t> </w:t>
      </w:r>
      <w:r>
        <w:rPr>
          <w:spacing w:val="-66"/>
        </w:rPr>
      </w:r>
      <w:r>
        <w:rPr/>
        <w:t>经理、公司独立董事。</w:t>
      </w:r>
    </w:p>
    <w:p>
      <w:pPr>
        <w:pStyle w:val="BodyText"/>
        <w:spacing w:line="300" w:lineRule="auto" w:before="142"/>
        <w:ind w:left="154" w:right="1131" w:firstLine="360"/>
        <w:jc w:val="both"/>
      </w:pPr>
      <w:r>
        <w:rPr/>
        <w:t>邱荣邦，男，</w:t>
      </w:r>
      <w:r>
        <w:rPr>
          <w:rFonts w:ascii="Times New Roman" w:hAnsi="Times New Roman" w:cs="Times New Roman" w:eastAsia="Times New Roman" w:hint="default"/>
        </w:rPr>
        <w:t>1964</w:t>
      </w:r>
      <w:r>
        <w:rPr/>
        <w:t>年</w:t>
      </w:r>
      <w:r>
        <w:rPr>
          <w:rFonts w:ascii="Times New Roman" w:hAnsi="Times New Roman" w:cs="Times New Roman" w:eastAsia="Times New Roman" w:hint="default"/>
        </w:rPr>
        <w:t>7</w:t>
      </w:r>
      <w:r>
        <w:rPr/>
        <w:t>月出生，中国国籍，无境外永久居留权，硕士研究生学历，高级工程师。曾在珠海华声集团有限 公司工作。</w:t>
      </w:r>
      <w:r>
        <w:rPr>
          <w:rFonts w:ascii="Times New Roman" w:hAnsi="Times New Roman" w:cs="Times New Roman" w:eastAsia="Times New Roman" w:hint="default"/>
        </w:rPr>
        <w:t>1993</w:t>
      </w:r>
      <w:r>
        <w:rPr/>
        <w:t>年进入公司，历任研发部经理、质量技术部经理、副总工程师。现任公司监事会主席、首席工程师。</w:t>
      </w:r>
    </w:p>
    <w:p>
      <w:pPr>
        <w:pStyle w:val="BodyText"/>
        <w:spacing w:line="300" w:lineRule="auto" w:before="133"/>
        <w:ind w:right="1131" w:firstLine="360"/>
        <w:jc w:val="both"/>
      </w:pPr>
      <w:r>
        <w:rPr/>
        <w:t>黄斌，男，</w:t>
      </w:r>
      <w:r>
        <w:rPr>
          <w:rFonts w:ascii="Times New Roman" w:hAnsi="Times New Roman" w:cs="Times New Roman" w:eastAsia="Times New Roman" w:hint="default"/>
        </w:rPr>
        <w:t>1964</w:t>
      </w:r>
      <w:r>
        <w:rPr/>
        <w:t>年</w:t>
      </w:r>
      <w:r>
        <w:rPr>
          <w:rFonts w:ascii="Times New Roman" w:hAnsi="Times New Roman" w:cs="Times New Roman" w:eastAsia="Times New Roman" w:hint="default"/>
        </w:rPr>
        <w:t>4</w:t>
      </w:r>
      <w:r>
        <w:rPr/>
        <w:t>月出生，中国国籍，无境外永久居留权，高中学历。曾在广州电子工业部第五研究所、检测中心工 </w:t>
      </w:r>
      <w:r>
        <w:rPr>
          <w:spacing w:val="-2"/>
        </w:rPr>
        <w:t>作。</w:t>
      </w:r>
      <w:r>
        <w:rPr>
          <w:rFonts w:ascii="Times New Roman" w:hAnsi="Times New Roman" w:cs="Times New Roman" w:eastAsia="Times New Roman" w:hint="default"/>
          <w:spacing w:val="-2"/>
        </w:rPr>
        <w:t>1993</w:t>
      </w:r>
      <w:r>
        <w:rPr>
          <w:spacing w:val="-2"/>
        </w:rPr>
        <w:t>年进入公司，历任公司副总经理、客服部总监、南京奥拓副总经理、惠州奥拓副总经理。现任公司监事、惠州奥拓</w:t>
      </w:r>
      <w:r>
        <w:rPr>
          <w:spacing w:val="-67"/>
        </w:rPr>
        <w:t> </w:t>
      </w:r>
      <w:r>
        <w:rPr>
          <w:spacing w:val="-67"/>
        </w:rPr>
      </w:r>
      <w:r>
        <w:rPr/>
        <w:t>执行董事兼总经理。</w:t>
      </w:r>
    </w:p>
    <w:p>
      <w:pPr>
        <w:pStyle w:val="BodyText"/>
        <w:spacing w:line="300" w:lineRule="auto" w:before="151"/>
        <w:ind w:right="1132" w:firstLine="360"/>
        <w:jc w:val="both"/>
      </w:pPr>
      <w:r>
        <w:rPr>
          <w:spacing w:val="-2"/>
        </w:rPr>
        <w:t>颜春晓，女，</w:t>
      </w:r>
      <w:r>
        <w:rPr>
          <w:rFonts w:ascii="Times New Roman" w:hAnsi="Times New Roman" w:cs="Times New Roman" w:eastAsia="Times New Roman" w:hint="default"/>
          <w:spacing w:val="-2"/>
        </w:rPr>
        <w:t>1982</w:t>
      </w:r>
      <w:r>
        <w:rPr>
          <w:spacing w:val="-2"/>
        </w:rPr>
        <w:t>年</w:t>
      </w:r>
      <w:r>
        <w:rPr>
          <w:rFonts w:ascii="Times New Roman" w:hAnsi="Times New Roman" w:cs="Times New Roman" w:eastAsia="Times New Roman" w:hint="default"/>
          <w:spacing w:val="-2"/>
        </w:rPr>
        <w:t>3</w:t>
      </w:r>
      <w:r>
        <w:rPr>
          <w:spacing w:val="-2"/>
        </w:rPr>
        <w:t>月出生。中国国籍，无境外居留权。本科学历。</w:t>
      </w:r>
      <w:r>
        <w:rPr>
          <w:rFonts w:ascii="Times New Roman" w:hAnsi="Times New Roman" w:cs="Times New Roman" w:eastAsia="Times New Roman" w:hint="default"/>
          <w:spacing w:val="-2"/>
        </w:rPr>
        <w:t>2003</w:t>
      </w:r>
      <w:r>
        <w:rPr>
          <w:spacing w:val="-2"/>
        </w:rPr>
        <w:t>年</w:t>
      </w:r>
      <w:r>
        <w:rPr>
          <w:rFonts w:ascii="Times New Roman" w:hAnsi="Times New Roman" w:cs="Times New Roman" w:eastAsia="Times New Roman" w:hint="default"/>
          <w:spacing w:val="-2"/>
        </w:rPr>
        <w:t>7</w:t>
      </w:r>
      <w:r>
        <w:rPr>
          <w:spacing w:val="-2"/>
        </w:rPr>
        <w:t>月至今，在深圳市奥拓电子股份有限公司</w:t>
      </w:r>
      <w:r>
        <w:rPr/>
        <w:t> 研发部门工作。现任公司监事、金融电子研发中心软件工程师。</w:t>
      </w:r>
    </w:p>
    <w:p>
      <w:pPr>
        <w:pStyle w:val="BodyText"/>
        <w:spacing w:line="300" w:lineRule="auto" w:before="151"/>
        <w:ind w:right="1129" w:firstLine="360"/>
        <w:jc w:val="both"/>
      </w:pPr>
      <w:r>
        <w:rPr>
          <w:spacing w:val="-2"/>
        </w:rPr>
        <w:t>彭世新，女，</w:t>
      </w:r>
      <w:r>
        <w:rPr>
          <w:rFonts w:ascii="Times New Roman" w:hAnsi="Times New Roman" w:cs="Times New Roman" w:eastAsia="Times New Roman" w:hint="default"/>
          <w:spacing w:val="-2"/>
        </w:rPr>
        <w:t>1967</w:t>
      </w:r>
      <w:r>
        <w:rPr>
          <w:spacing w:val="-2"/>
        </w:rPr>
        <w:t>年</w:t>
      </w:r>
      <w:r>
        <w:rPr>
          <w:rFonts w:ascii="Times New Roman" w:hAnsi="Times New Roman" w:cs="Times New Roman" w:eastAsia="Times New Roman" w:hint="default"/>
          <w:spacing w:val="-2"/>
        </w:rPr>
        <w:t>12</w:t>
      </w:r>
      <w:r>
        <w:rPr>
          <w:spacing w:val="-2"/>
        </w:rPr>
        <w:t>月出生，中国国籍，无境外永久居留权，本科学历，中级会计师，高级国际财务管理师。曾在贵</w:t>
      </w:r>
      <w:r>
        <w:rPr/>
        <w:t> </w:t>
      </w:r>
      <w:r>
        <w:rPr>
          <w:spacing w:val="-2"/>
        </w:rPr>
        <w:t>州省石油公司、深圳南油集团商服公司工作。</w:t>
      </w:r>
      <w:r>
        <w:rPr>
          <w:rFonts w:ascii="Times New Roman" w:hAnsi="Times New Roman" w:cs="Times New Roman" w:eastAsia="Times New Roman" w:hint="default"/>
          <w:spacing w:val="-2"/>
        </w:rPr>
        <w:t>1998</w:t>
      </w:r>
      <w:r>
        <w:rPr>
          <w:spacing w:val="-2"/>
        </w:rPr>
        <w:t>年进入公司，历任计划财务部经理、财务总监。现任公司副总经理、财务</w:t>
      </w:r>
      <w:r>
        <w:rPr>
          <w:spacing w:val="-63"/>
        </w:rPr>
        <w:t> </w:t>
      </w:r>
      <w:r>
        <w:rPr>
          <w:spacing w:val="-63"/>
        </w:rPr>
      </w:r>
      <w:r>
        <w:rPr/>
        <w:t>总监。</w:t>
      </w:r>
    </w:p>
    <w:p>
      <w:pPr>
        <w:pStyle w:val="BodyText"/>
        <w:spacing w:line="300" w:lineRule="auto" w:before="151"/>
        <w:ind w:right="1129" w:firstLine="360"/>
        <w:jc w:val="both"/>
      </w:pPr>
      <w:r>
        <w:rPr/>
        <w:t>矫人全，男，</w:t>
      </w:r>
      <w:r>
        <w:rPr>
          <w:rFonts w:ascii="Times New Roman" w:hAnsi="Times New Roman" w:cs="Times New Roman" w:eastAsia="Times New Roman" w:hint="default"/>
        </w:rPr>
        <w:t>1973</w:t>
      </w:r>
      <w:r>
        <w:rPr/>
        <w:t>年</w:t>
      </w:r>
      <w:r>
        <w:rPr>
          <w:rFonts w:ascii="Times New Roman" w:hAnsi="Times New Roman" w:cs="Times New Roman" w:eastAsia="Times New Roman" w:hint="default"/>
        </w:rPr>
        <w:t>3</w:t>
      </w:r>
      <w:r>
        <w:rPr/>
        <w:t>月出生，中国国籍，无境外永久居留权，硕士。曾在烟台市万维电脑有限公司工作。</w:t>
      </w:r>
      <w:r>
        <w:rPr>
          <w:rFonts w:ascii="Times New Roman" w:hAnsi="Times New Roman" w:cs="Times New Roman" w:eastAsia="Times New Roman" w:hint="default"/>
        </w:rPr>
        <w:t>1999</w:t>
      </w:r>
      <w:r>
        <w:rPr/>
        <w:t>年进入 公司，历任研发部经理、客服中心经理、客服中心总监、副总工程师、监事。现任公司副总经理、南京奥拓总经理。</w:t>
      </w:r>
    </w:p>
    <w:p>
      <w:pPr>
        <w:pStyle w:val="BodyText"/>
        <w:spacing w:line="300" w:lineRule="auto" w:before="151"/>
        <w:ind w:left="154" w:right="1131" w:firstLine="360"/>
        <w:jc w:val="both"/>
      </w:pPr>
      <w:r>
        <w:rPr/>
        <w:t>吴振志，男，</w:t>
      </w:r>
      <w:r>
        <w:rPr>
          <w:rFonts w:ascii="Times New Roman" w:hAnsi="Times New Roman" w:cs="Times New Roman" w:eastAsia="Times New Roman" w:hint="default"/>
        </w:rPr>
        <w:t>1976</w:t>
      </w:r>
      <w:r>
        <w:rPr/>
        <w:t>年</w:t>
      </w:r>
      <w:r>
        <w:rPr>
          <w:rFonts w:ascii="Times New Roman" w:hAnsi="Times New Roman" w:cs="Times New Roman" w:eastAsia="Times New Roman" w:hint="default"/>
        </w:rPr>
        <w:t>5</w:t>
      </w:r>
      <w:r>
        <w:rPr/>
        <w:t>月出生，中国国籍，无境外居留权，本科学历，高级工程师。曾在深圳市瑞士亿博钟表厂工作。 </w:t>
      </w:r>
      <w:r>
        <w:rPr>
          <w:rFonts w:ascii="Times New Roman" w:hAnsi="Times New Roman" w:cs="Times New Roman" w:eastAsia="Times New Roman" w:hint="default"/>
          <w:spacing w:val="-2"/>
        </w:rPr>
        <w:t>2000</w:t>
      </w:r>
      <w:r>
        <w:rPr>
          <w:spacing w:val="-2"/>
        </w:rPr>
        <w:t>年进入公司，历任公司</w:t>
      </w:r>
      <w:r>
        <w:rPr>
          <w:rFonts w:ascii="Times New Roman" w:hAnsi="Times New Roman" w:cs="Times New Roman" w:eastAsia="Times New Roman" w:hint="default"/>
          <w:spacing w:val="-2"/>
        </w:rPr>
        <w:t>LED</w:t>
      </w:r>
      <w:r>
        <w:rPr>
          <w:spacing w:val="-2"/>
        </w:rPr>
        <w:t>显示技术研发中心主任、副总工程师、监事、技术总监。现任公司副总经理、研发管理部经</w:t>
      </w:r>
      <w:r>
        <w:rPr>
          <w:spacing w:val="-55"/>
        </w:rPr>
        <w:t> </w:t>
      </w:r>
      <w:r>
        <w:rPr>
          <w:spacing w:val="-55"/>
        </w:rPr>
      </w:r>
      <w:r>
        <w:rPr/>
        <w:t>理。</w:t>
      </w:r>
    </w:p>
    <w:p>
      <w:pPr>
        <w:pStyle w:val="BodyText"/>
        <w:spacing w:line="300" w:lineRule="auto" w:before="151"/>
        <w:ind w:right="1043" w:firstLine="360"/>
        <w:jc w:val="both"/>
      </w:pPr>
      <w:r>
        <w:rPr>
          <w:spacing w:val="-3"/>
        </w:rPr>
        <w:t>孔德建，男，</w:t>
      </w:r>
      <w:r>
        <w:rPr>
          <w:rFonts w:ascii="Times New Roman" w:hAnsi="Times New Roman" w:cs="Times New Roman" w:eastAsia="Times New Roman" w:hint="default"/>
          <w:spacing w:val="-3"/>
        </w:rPr>
        <w:t>1985</w:t>
      </w:r>
      <w:r>
        <w:rPr>
          <w:spacing w:val="-3"/>
        </w:rPr>
        <w:t>年</w:t>
      </w:r>
      <w:r>
        <w:rPr>
          <w:rFonts w:ascii="Times New Roman" w:hAnsi="Times New Roman" w:cs="Times New Roman" w:eastAsia="Times New Roman" w:hint="default"/>
          <w:spacing w:val="-3"/>
        </w:rPr>
        <w:t>1</w:t>
      </w:r>
      <w:r>
        <w:rPr>
          <w:spacing w:val="-3"/>
        </w:rPr>
        <w:t>月出生，中国国籍，无境外永久居留权，上海交通大学</w:t>
      </w:r>
      <w:r>
        <w:rPr>
          <w:rFonts w:ascii="Times New Roman" w:hAnsi="Times New Roman" w:cs="Times New Roman" w:eastAsia="Times New Roman" w:hint="default"/>
          <w:spacing w:val="-3"/>
        </w:rPr>
        <w:t>MBA</w:t>
      </w:r>
      <w:r>
        <w:rPr>
          <w:spacing w:val="-3"/>
        </w:rPr>
        <w:t>。自</w:t>
      </w:r>
      <w:r>
        <w:rPr>
          <w:rFonts w:ascii="Times New Roman" w:hAnsi="Times New Roman" w:cs="Times New Roman" w:eastAsia="Times New Roman" w:hint="default"/>
          <w:spacing w:val="-3"/>
        </w:rPr>
        <w:t>2008</w:t>
      </w:r>
      <w:r>
        <w:rPr>
          <w:spacing w:val="-3"/>
        </w:rPr>
        <w:t>年</w:t>
      </w:r>
      <w:r>
        <w:rPr>
          <w:rFonts w:ascii="Times New Roman" w:hAnsi="Times New Roman" w:cs="Times New Roman" w:eastAsia="Times New Roman" w:hint="default"/>
          <w:spacing w:val="-3"/>
        </w:rPr>
        <w:t>7</w:t>
      </w:r>
      <w:r>
        <w:rPr>
          <w:spacing w:val="-3"/>
        </w:rPr>
        <w:t>月至今一直在公司工作，</w:t>
      </w:r>
      <w:r>
        <w:rPr/>
        <w:t> 历任总经理办公室主管、证券事务部副经理、证券事务代表。现任公司董事会秘书、证券事务部经理、董事长办公室主任。</w:t>
      </w:r>
    </w:p>
    <w:p>
      <w:pPr>
        <w:pStyle w:val="BodyText"/>
        <w:spacing w:line="240" w:lineRule="auto" w:before="152"/>
        <w:ind w:left="154" w:right="0"/>
        <w:jc w:val="left"/>
      </w:pPr>
      <w:r>
        <w:rPr/>
        <w:t>在股东单位任职情况</w:t>
      </w:r>
    </w:p>
    <w:p>
      <w:pPr>
        <w:pStyle w:val="BodyText"/>
        <w:spacing w:line="340" w:lineRule="auto" w:before="116"/>
        <w:ind w:right="9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在其他单位任职情况</w:t>
      </w:r>
    </w:p>
    <w:p>
      <w:pPr>
        <w:pStyle w:val="BodyText"/>
        <w:spacing w:line="240" w:lineRule="auto" w:before="40"/>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5"/>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234"/>
        <w:gridCol w:w="3276"/>
        <w:gridCol w:w="1092"/>
        <w:gridCol w:w="1230"/>
        <w:gridCol w:w="1360"/>
        <w:gridCol w:w="1376"/>
      </w:tblGrid>
      <w:tr>
        <w:trPr>
          <w:trHeight w:val="391" w:hRule="exact"/>
        </w:trPr>
        <w:tc>
          <w:tcPr>
            <w:tcW w:w="12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70" w:right="0"/>
              <w:jc w:val="left"/>
              <w:rPr>
                <w:rFonts w:ascii="宋体" w:hAnsi="宋体" w:cs="宋体" w:eastAsia="宋体" w:hint="default"/>
                <w:sz w:val="18"/>
                <w:szCs w:val="18"/>
              </w:rPr>
            </w:pPr>
            <w:r>
              <w:rPr>
                <w:rFonts w:ascii="宋体" w:hAnsi="宋体" w:cs="宋体" w:eastAsia="宋体" w:hint="default"/>
                <w:sz w:val="18"/>
                <w:szCs w:val="18"/>
              </w:rPr>
              <w:t>任职人员姓名</w:t>
            </w:r>
          </w:p>
        </w:tc>
        <w:tc>
          <w:tcPr>
            <w:tcW w:w="3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其他单位名称</w:t>
            </w:r>
          </w:p>
        </w:tc>
        <w:tc>
          <w:tcPr>
            <w:tcW w:w="10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5"/>
              <w:ind w:left="91" w:right="0"/>
              <w:jc w:val="left"/>
              <w:rPr>
                <w:rFonts w:ascii="宋体" w:hAnsi="宋体" w:cs="宋体" w:eastAsia="宋体" w:hint="default"/>
                <w:sz w:val="18"/>
                <w:szCs w:val="18"/>
              </w:rPr>
            </w:pPr>
            <w:r>
              <w:rPr>
                <w:rFonts w:ascii="宋体" w:hAnsi="宋体" w:cs="宋体" w:eastAsia="宋体" w:hint="default"/>
                <w:sz w:val="18"/>
                <w:szCs w:val="18"/>
              </w:rPr>
              <w:t>在其他单位</w:t>
            </w:r>
          </w:p>
        </w:tc>
        <w:tc>
          <w:tcPr>
            <w:tcW w:w="12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69" w:right="0"/>
              <w:jc w:val="left"/>
              <w:rPr>
                <w:rFonts w:ascii="宋体" w:hAnsi="宋体" w:cs="宋体" w:eastAsia="宋体" w:hint="default"/>
                <w:sz w:val="18"/>
                <w:szCs w:val="18"/>
              </w:rPr>
            </w:pPr>
            <w:r>
              <w:rPr>
                <w:rFonts w:ascii="宋体" w:hAnsi="宋体" w:cs="宋体" w:eastAsia="宋体" w:hint="default"/>
                <w:sz w:val="18"/>
                <w:szCs w:val="18"/>
              </w:rPr>
              <w:t>任期起始日期</w:t>
            </w:r>
          </w:p>
        </w:tc>
        <w:tc>
          <w:tcPr>
            <w:tcW w:w="13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134" w:right="0"/>
              <w:jc w:val="left"/>
              <w:rPr>
                <w:rFonts w:ascii="宋体" w:hAnsi="宋体" w:cs="宋体" w:eastAsia="宋体" w:hint="default"/>
                <w:sz w:val="18"/>
                <w:szCs w:val="18"/>
              </w:rPr>
            </w:pPr>
            <w:r>
              <w:rPr>
                <w:rFonts w:ascii="宋体" w:hAnsi="宋体" w:cs="宋体" w:eastAsia="宋体" w:hint="default"/>
                <w:sz w:val="18"/>
                <w:szCs w:val="18"/>
              </w:rPr>
              <w:t>任期终止日期</w:t>
            </w:r>
          </w:p>
        </w:tc>
        <w:tc>
          <w:tcPr>
            <w:tcW w:w="13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5"/>
              <w:ind w:left="52" w:right="0"/>
              <w:jc w:val="left"/>
              <w:rPr>
                <w:rFonts w:ascii="宋体" w:hAnsi="宋体" w:cs="宋体" w:eastAsia="宋体" w:hint="default"/>
                <w:sz w:val="18"/>
                <w:szCs w:val="18"/>
              </w:rPr>
            </w:pPr>
            <w:r>
              <w:rPr>
                <w:rFonts w:ascii="宋体" w:hAnsi="宋体" w:cs="宋体" w:eastAsia="宋体" w:hint="default"/>
                <w:sz w:val="18"/>
                <w:szCs w:val="18"/>
              </w:rPr>
              <w:t>在其他单位是否</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234"/>
        <w:gridCol w:w="3276"/>
        <w:gridCol w:w="1092"/>
        <w:gridCol w:w="1230"/>
        <w:gridCol w:w="1360"/>
        <w:gridCol w:w="1376"/>
      </w:tblGrid>
      <w:tr>
        <w:trPr>
          <w:trHeight w:val="362" w:hRule="exact"/>
        </w:trPr>
        <w:tc>
          <w:tcPr>
            <w:tcW w:w="123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7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0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91" w:right="0"/>
              <w:jc w:val="left"/>
              <w:rPr>
                <w:rFonts w:ascii="宋体" w:hAnsi="宋体" w:cs="宋体" w:eastAsia="宋体" w:hint="default"/>
                <w:sz w:val="18"/>
                <w:szCs w:val="18"/>
              </w:rPr>
            </w:pPr>
            <w:r>
              <w:rPr>
                <w:rFonts w:ascii="宋体" w:hAnsi="宋体" w:cs="宋体" w:eastAsia="宋体" w:hint="default"/>
                <w:sz w:val="18"/>
                <w:szCs w:val="18"/>
              </w:rPr>
              <w:t>担任的职务</w:t>
            </w:r>
          </w:p>
        </w:tc>
        <w:tc>
          <w:tcPr>
            <w:tcW w:w="123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42" w:right="0"/>
              <w:jc w:val="left"/>
              <w:rPr>
                <w:rFonts w:ascii="宋体" w:hAnsi="宋体" w:cs="宋体" w:eastAsia="宋体" w:hint="default"/>
                <w:sz w:val="18"/>
                <w:szCs w:val="18"/>
              </w:rPr>
            </w:pPr>
            <w:r>
              <w:rPr>
                <w:rFonts w:ascii="宋体" w:hAnsi="宋体" w:cs="宋体" w:eastAsia="宋体" w:hint="default"/>
                <w:sz w:val="18"/>
                <w:szCs w:val="18"/>
              </w:rPr>
              <w:t>领取报酬津贴</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吴涵渠</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深圳市奥拓软件技术有限公司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2005</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30</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吴涵渠</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深圳市奥拓光电科技有限公司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吴涵渠</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奥拓电子（香港）有限公司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17</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吴涵渠</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奥拓电子（英国）有限公司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24</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吴涵渠</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深圳前海奥拓投资有限公司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20"/>
              <w:jc w:val="left"/>
              <w:rPr>
                <w:rFonts w:ascii="宋体" w:hAnsi="宋体" w:cs="宋体" w:eastAsia="宋体" w:hint="default"/>
                <w:sz w:val="18"/>
                <w:szCs w:val="18"/>
              </w:rPr>
            </w:pPr>
            <w:r>
              <w:rPr>
                <w:rFonts w:ascii="宋体" w:hAnsi="宋体" w:cs="宋体" w:eastAsia="宋体" w:hint="default"/>
                <w:spacing w:val="-8"/>
                <w:sz w:val="18"/>
                <w:szCs w:val="18"/>
              </w:rPr>
              <w:t>执行董事、总</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经理</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16</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吴涵渠</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奥拓電子日本株式会社</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吴涵渠</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深圳市奥拓体育文化发展有限公司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28</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吴涵渠</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北京市奥拓电子科技有限公司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20"/>
              <w:jc w:val="left"/>
              <w:rPr>
                <w:rFonts w:ascii="宋体" w:hAnsi="宋体" w:cs="宋体" w:eastAsia="宋体" w:hint="default"/>
                <w:sz w:val="18"/>
                <w:szCs w:val="18"/>
              </w:rPr>
            </w:pPr>
            <w:r>
              <w:rPr>
                <w:rFonts w:ascii="宋体" w:hAnsi="宋体" w:cs="宋体" w:eastAsia="宋体" w:hint="default"/>
                <w:spacing w:val="-8"/>
                <w:sz w:val="18"/>
                <w:szCs w:val="18"/>
              </w:rPr>
              <w:t>执行董事、总</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经理</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27</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吴涵渠</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深圳市千百辉照明工程有限公司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16</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蔡凡</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深圳市高新投集团有限公司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顾问</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26</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段忠</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深圳市军民融合发展协会</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会长</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17</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沈毅</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深圳市奥拓光电科技有限公司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总经理</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沈毅</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奥拓电子（英国）有限公司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24</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沈毅</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深圳市千百辉照明工程有限公司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16</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沈毅</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深圳市奥拓立翔光电科技有限公司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08</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杨四化</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深圳前海奥拓体育文化投资有限公司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20"/>
              <w:jc w:val="left"/>
              <w:rPr>
                <w:rFonts w:ascii="宋体" w:hAnsi="宋体" w:cs="宋体" w:eastAsia="宋体" w:hint="default"/>
                <w:sz w:val="18"/>
                <w:szCs w:val="18"/>
              </w:rPr>
            </w:pPr>
            <w:r>
              <w:rPr>
                <w:rFonts w:ascii="宋体" w:hAnsi="宋体" w:cs="宋体" w:eastAsia="宋体" w:hint="default"/>
                <w:spacing w:val="-8"/>
                <w:sz w:val="18"/>
                <w:szCs w:val="18"/>
              </w:rPr>
              <w:t>执行董事、总</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经理</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杨四化</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深圳前海水星投资企业（有限合伙）</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执行合伙人</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26</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杨四化</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深圳市奥拓体育文化发展有限公司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总经理</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28</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彭世新</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深圳市千百辉照明工程有限公司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20"/>
              <w:jc w:val="left"/>
              <w:rPr>
                <w:rFonts w:ascii="宋体" w:hAnsi="宋体" w:cs="宋体" w:eastAsia="宋体" w:hint="default"/>
                <w:sz w:val="18"/>
                <w:szCs w:val="18"/>
              </w:rPr>
            </w:pPr>
            <w:r>
              <w:rPr>
                <w:rFonts w:ascii="宋体" w:hAnsi="宋体" w:cs="宋体" w:eastAsia="宋体" w:hint="default"/>
                <w:spacing w:val="-8"/>
                <w:sz w:val="18"/>
                <w:szCs w:val="18"/>
              </w:rPr>
              <w:t>董事、财务总</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监</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16</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234"/>
        <w:gridCol w:w="3276"/>
        <w:gridCol w:w="1092"/>
        <w:gridCol w:w="1230"/>
        <w:gridCol w:w="1360"/>
        <w:gridCol w:w="1376"/>
      </w:tblGrid>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马秀敏</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深圳衡大会计师事务所</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合伙人</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2004</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13</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王丽娜</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广东瑞霆律师事务所</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3" w:right="20"/>
              <w:jc w:val="left"/>
              <w:rPr>
                <w:rFonts w:ascii="宋体" w:hAnsi="宋体" w:cs="宋体" w:eastAsia="宋体" w:hint="default"/>
                <w:sz w:val="18"/>
                <w:szCs w:val="18"/>
              </w:rPr>
            </w:pPr>
            <w:r>
              <w:rPr>
                <w:rFonts w:ascii="宋体" w:hAnsi="宋体" w:cs="宋体" w:eastAsia="宋体" w:hint="default"/>
                <w:spacing w:val="-8"/>
                <w:sz w:val="18"/>
                <w:szCs w:val="18"/>
              </w:rPr>
              <w:t>主任、首席合</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伙人</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2002</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19</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贾广新</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深圳市三维自动化工程有限公司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pacing w:val="-8"/>
                <w:sz w:val="18"/>
                <w:szCs w:val="18"/>
              </w:rPr>
              <w:t>董事、总经理</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10</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邱荣邦</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深圳市奥拓软件技术有限公司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2005</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30</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邱荣邦</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深圳市奥拓光电科技有限公司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10</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邱荣邦</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南京奥拓电子科技有限公司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30</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邱荣邦</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惠州市奥拓电子科技有限公司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7"/>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月</w:t>
            </w:r>
            <w:r>
              <w:rPr>
                <w:rFonts w:ascii="宋体" w:hAnsi="宋体" w:cs="宋体" w:eastAsia="宋体" w:hint="default"/>
                <w:spacing w:val="-67"/>
                <w:sz w:val="18"/>
                <w:szCs w:val="18"/>
              </w:rPr>
              <w:t> </w:t>
            </w:r>
            <w:r>
              <w:rPr>
                <w:rFonts w:ascii="Times New Roman" w:hAnsi="Times New Roman" w:cs="Times New Roman" w:eastAsia="Times New Roman" w:hint="default"/>
                <w:sz w:val="18"/>
                <w:szCs w:val="18"/>
              </w:rPr>
              <w:t>18</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邱荣邦</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北京市奥拓电子科技有限公司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18</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邱荣邦</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深圳前海奥拓投资有限公司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16</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邱荣邦</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奥拓电子（美国）有限责任公司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pacing w:val="-8"/>
                <w:sz w:val="18"/>
                <w:szCs w:val="18"/>
              </w:rPr>
              <w:t>董事、总经理</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24</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邱荣邦</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深圳市奥拓体育文化发展有限公司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28</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邱荣邦</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深圳市千百辉照明工程有限公司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16</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黄斌</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惠州市奥拓电子科技有限公司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25</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黄斌</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惠州市奥拓电子科技有限公司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总经理</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09</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赵旭峰</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惠州市奥拓电子科技有限公司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7"/>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月</w:t>
            </w:r>
            <w:r>
              <w:rPr>
                <w:rFonts w:ascii="宋体" w:hAnsi="宋体" w:cs="宋体" w:eastAsia="宋体" w:hint="default"/>
                <w:spacing w:val="-67"/>
                <w:sz w:val="18"/>
                <w:szCs w:val="18"/>
              </w:rPr>
              <w:t> </w:t>
            </w:r>
            <w:r>
              <w:rPr>
                <w:rFonts w:ascii="Times New Roman" w:hAnsi="Times New Roman" w:cs="Times New Roman" w:eastAsia="Times New Roman" w:hint="default"/>
                <w:sz w:val="18"/>
                <w:szCs w:val="18"/>
              </w:rPr>
              <w:t>18</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矫人全</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南京奥拓软件技术有限公司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年</w:t>
            </w:r>
            <w:r>
              <w:rPr>
                <w:rFonts w:ascii="宋体" w:hAnsi="宋体" w:cs="宋体" w:eastAsia="宋体" w:hint="default"/>
                <w:spacing w:val="-65"/>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18</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矫人全</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南京奥拓电子科技有限公司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总经理</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7"/>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月</w:t>
            </w:r>
            <w:r>
              <w:rPr>
                <w:rFonts w:ascii="宋体" w:hAnsi="宋体" w:cs="宋体" w:eastAsia="宋体" w:hint="default"/>
                <w:spacing w:val="-67"/>
                <w:sz w:val="18"/>
                <w:szCs w:val="18"/>
              </w:rPr>
              <w:t> </w:t>
            </w:r>
            <w:r>
              <w:rPr>
                <w:rFonts w:ascii="Times New Roman" w:hAnsi="Times New Roman" w:cs="Times New Roman" w:eastAsia="Times New Roman" w:hint="default"/>
                <w:sz w:val="18"/>
                <w:szCs w:val="18"/>
              </w:rPr>
              <w:t>17</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孔德建</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上海翰明计算机科技有限公司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31</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孔德建</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深圳前海奥拓体育文化投资有限公司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18</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pStyle w:val="BodyText"/>
        <w:spacing w:line="240" w:lineRule="auto" w:before="51"/>
        <w:ind w:left="154" w:right="0"/>
        <w:jc w:val="left"/>
      </w:pPr>
      <w:r>
        <w:rPr/>
        <w:t>公司现任及报告期内离任董事、监事和高级管理人员近三年证券监管机构处罚的情况</w:t>
      </w:r>
    </w:p>
    <w:p>
      <w:pPr>
        <w:spacing w:after="0" w:line="240" w:lineRule="auto"/>
        <w:jc w:val="left"/>
        <w:sectPr>
          <w:footerReference w:type="default" r:id="rId52"/>
          <w:pgSz w:w="11910" w:h="16840"/>
          <w:pgMar w:footer="979" w:header="747" w:top="1060" w:bottom="1160" w:left="980" w:right="0"/>
          <w:pgNumType w:start="98"/>
        </w:sectPr>
      </w:pPr>
    </w:p>
    <w:p>
      <w:pPr>
        <w:spacing w:line="240" w:lineRule="auto" w:before="13"/>
        <w:rPr>
          <w:rFonts w:ascii="宋体" w:hAnsi="宋体" w:cs="宋体" w:eastAsia="宋体" w:hint="default"/>
          <w:sz w:val="25"/>
          <w:szCs w:val="25"/>
        </w:rPr>
      </w:pPr>
    </w:p>
    <w:p>
      <w:pPr>
        <w:pStyle w:val="BodyText"/>
        <w:spacing w:line="240" w:lineRule="auto" w:before="44"/>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2"/>
        <w:rPr>
          <w:rFonts w:ascii="宋体" w:hAnsi="宋体" w:cs="宋体" w:eastAsia="宋体" w:hint="default"/>
          <w:sz w:val="23"/>
          <w:szCs w:val="23"/>
        </w:rPr>
      </w:pPr>
    </w:p>
    <w:p>
      <w:pPr>
        <w:pStyle w:val="Heading2"/>
        <w:spacing w:line="240" w:lineRule="auto"/>
        <w:ind w:right="0"/>
        <w:jc w:val="left"/>
        <w:rPr>
          <w:b w:val="0"/>
          <w:bCs w:val="0"/>
        </w:rPr>
      </w:pPr>
      <w:bookmarkStart w:name="四、董事、监事、高级管理人员报酬情况" w:id="127"/>
      <w:bookmarkEnd w:id="127"/>
      <w:r>
        <w:rPr>
          <w:b w:val="0"/>
          <w:bCs w:val="0"/>
        </w:rPr>
      </w:r>
      <w:r>
        <w:rPr/>
        <w:t>四、董事、监事、高级管理人员报酬情况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t>董事、监事、高级管理人员报酬的决策程序、确定依据、实际支付情况</w:t>
      </w:r>
    </w:p>
    <w:p>
      <w:pPr>
        <w:pStyle w:val="BodyText"/>
        <w:spacing w:line="300" w:lineRule="auto" w:before="115"/>
        <w:ind w:left="154" w:right="1122" w:firstLine="360"/>
        <w:jc w:val="left"/>
      </w:pPr>
      <w:r>
        <w:rPr>
          <w:rFonts w:ascii="Times New Roman" w:hAnsi="Times New Roman" w:cs="Times New Roman" w:eastAsia="Times New Roman" w:hint="default"/>
        </w:rPr>
        <w:t>1</w:t>
      </w:r>
      <w:r>
        <w:rPr/>
        <w:t>、报告期内，对在公司任职的董事、监事和高级管理人员按其岗位职责，根据公司现行的薪酬制度和业绩考核规定获 取薪酬。</w:t>
      </w:r>
    </w:p>
    <w:p>
      <w:pPr>
        <w:pStyle w:val="BodyText"/>
        <w:spacing w:line="240" w:lineRule="auto" w:before="31"/>
        <w:ind w:left="444" w:right="0"/>
        <w:jc w:val="left"/>
      </w:pPr>
      <w:r>
        <w:rPr>
          <w:rFonts w:ascii="Times New Roman" w:hAnsi="Times New Roman" w:cs="Times New Roman" w:eastAsia="Times New Roman" w:hint="default"/>
        </w:rPr>
        <w:t>2</w:t>
      </w:r>
      <w:r>
        <w:rPr/>
        <w:t>、外部董事津贴为</w:t>
      </w:r>
      <w:r>
        <w:rPr>
          <w:rFonts w:ascii="Times New Roman" w:hAnsi="Times New Roman" w:cs="Times New Roman" w:eastAsia="Times New Roman" w:hint="default"/>
        </w:rPr>
        <w:t>6</w:t>
      </w:r>
      <w:r>
        <w:rPr/>
        <w:t>万元</w:t>
      </w:r>
      <w:r>
        <w:rPr>
          <w:rFonts w:ascii="Times New Roman" w:hAnsi="Times New Roman" w:cs="Times New Roman" w:eastAsia="Times New Roman" w:hint="default"/>
        </w:rPr>
        <w:t>/</w:t>
      </w:r>
      <w:r>
        <w:rPr/>
        <w:t>年，独立董事津贴为</w:t>
      </w:r>
      <w:r>
        <w:rPr>
          <w:rFonts w:ascii="Times New Roman" w:hAnsi="Times New Roman" w:cs="Times New Roman" w:eastAsia="Times New Roman" w:hint="default"/>
        </w:rPr>
        <w:t>6</w:t>
      </w:r>
      <w:r>
        <w:rPr/>
        <w:t>万元</w:t>
      </w:r>
      <w:r>
        <w:rPr>
          <w:rFonts w:ascii="Times New Roman" w:hAnsi="Times New Roman" w:cs="Times New Roman" w:eastAsia="Times New Roman" w:hint="default"/>
        </w:rPr>
        <w:t>/</w:t>
      </w:r>
      <w:r>
        <w:rPr/>
        <w:t>年，其履行职务发生的差旅费、办公费等费用由公司承担。</w:t>
      </w:r>
    </w:p>
    <w:p>
      <w:pPr>
        <w:pStyle w:val="BodyText"/>
        <w:spacing w:line="240" w:lineRule="auto" w:before="63"/>
        <w:ind w:left="439" w:right="0"/>
        <w:jc w:val="left"/>
      </w:pPr>
      <w:r>
        <w:rPr>
          <w:rFonts w:ascii="Times New Roman" w:hAnsi="Times New Roman" w:cs="Times New Roman" w:eastAsia="Times New Roman" w:hint="default"/>
        </w:rPr>
        <w:t>3</w:t>
      </w:r>
      <w:r>
        <w:rPr/>
        <w:t>、公司董事、监事、高级管理人员报告期内获得报酬情况详见下表。</w:t>
      </w:r>
    </w:p>
    <w:p>
      <w:pPr>
        <w:spacing w:line="240" w:lineRule="auto" w:before="5"/>
        <w:rPr>
          <w:rFonts w:ascii="宋体" w:hAnsi="宋体" w:cs="宋体" w:eastAsia="宋体" w:hint="default"/>
          <w:sz w:val="28"/>
          <w:szCs w:val="28"/>
        </w:rPr>
      </w:pPr>
    </w:p>
    <w:p>
      <w:pPr>
        <w:pStyle w:val="BodyText"/>
        <w:spacing w:line="240" w:lineRule="auto" w:before="44"/>
        <w:ind w:left="154" w:right="0"/>
        <w:jc w:val="left"/>
      </w:pPr>
      <w:r>
        <w:rPr/>
        <w:t>公司报告期内董事、监事和高级管理人员报酬情况</w:t>
      </w:r>
    </w:p>
    <w:p>
      <w:pPr>
        <w:pStyle w:val="BodyText"/>
        <w:spacing w:line="240" w:lineRule="auto" w:before="117"/>
        <w:ind w:left="0" w:right="1130"/>
        <w:jc w:val="right"/>
      </w:pPr>
      <w:r>
        <w:rPr/>
        <w:t>单位：万元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70"/>
        <w:gridCol w:w="1367"/>
        <w:gridCol w:w="1367"/>
        <w:gridCol w:w="1367"/>
        <w:gridCol w:w="1368"/>
        <w:gridCol w:w="1367"/>
        <w:gridCol w:w="1367"/>
      </w:tblGrid>
      <w:tr>
        <w:trPr>
          <w:trHeight w:val="713" w:hRule="exact"/>
        </w:trPr>
        <w:tc>
          <w:tcPr>
            <w:tcW w:w="13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职务</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性别</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年龄</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任职状态</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8" w:right="47" w:hanging="181"/>
              <w:jc w:val="left"/>
              <w:rPr>
                <w:rFonts w:ascii="宋体" w:hAnsi="宋体" w:cs="宋体" w:eastAsia="宋体" w:hint="default"/>
                <w:sz w:val="18"/>
                <w:szCs w:val="18"/>
              </w:rPr>
            </w:pPr>
            <w:r>
              <w:rPr>
                <w:rFonts w:ascii="宋体" w:hAnsi="宋体" w:cs="宋体" w:eastAsia="宋体" w:hint="default"/>
                <w:sz w:val="18"/>
                <w:szCs w:val="18"/>
              </w:rPr>
              <w:t>从公司获得的税 前报酬总额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7" w:right="47" w:hanging="180"/>
              <w:jc w:val="left"/>
              <w:rPr>
                <w:rFonts w:ascii="宋体" w:hAnsi="宋体" w:cs="宋体" w:eastAsia="宋体" w:hint="default"/>
                <w:sz w:val="18"/>
                <w:szCs w:val="18"/>
              </w:rPr>
            </w:pPr>
            <w:r>
              <w:rPr>
                <w:rFonts w:ascii="宋体" w:hAnsi="宋体" w:cs="宋体" w:eastAsia="宋体" w:hint="default"/>
                <w:sz w:val="18"/>
                <w:szCs w:val="18"/>
              </w:rPr>
              <w:t>是否在公司关联 方获取报酬</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吴涵渠</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56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35.84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段忠</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蔡凡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沈毅</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董事、总经理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109.47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赵旭峰</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董事、副总经理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50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57.23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杨四化</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董事、副总经理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70.78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马秀敏</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王丽娜</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51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贾广新</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58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邱荣邦</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监事会主席</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54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30.44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黄斌</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54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54.75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颜春晓</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19.31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彭世新</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72"/>
              <w:jc w:val="left"/>
              <w:rPr>
                <w:rFonts w:ascii="宋体" w:hAnsi="宋体" w:cs="宋体" w:eastAsia="宋体" w:hint="default"/>
                <w:sz w:val="18"/>
                <w:szCs w:val="18"/>
              </w:rPr>
            </w:pPr>
            <w:r>
              <w:rPr>
                <w:rFonts w:ascii="宋体" w:hAnsi="宋体" w:cs="宋体" w:eastAsia="宋体" w:hint="default"/>
                <w:sz w:val="18"/>
                <w:szCs w:val="18"/>
              </w:rPr>
              <w:t>财务总监、副总 经理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75.50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矫人全</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71.31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吴振志</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72.67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孔德建</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董事会秘书</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44.15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671.45</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pgSz w:w="11910" w:h="16840"/>
          <w:pgMar w:header="747" w:footer="979" w:top="1060" w:bottom="1160" w:left="980" w:right="0"/>
        </w:sectPr>
      </w:pPr>
    </w:p>
    <w:p>
      <w:pPr>
        <w:pStyle w:val="BodyText"/>
        <w:spacing w:line="240" w:lineRule="auto" w:before="52"/>
        <w:ind w:left="154" w:right="-20"/>
        <w:jc w:val="left"/>
      </w:pPr>
      <w:r>
        <w:rPr/>
        <w:t>公司董事、高级管理人员报告期内被授予的股权激励情况</w:t>
      </w:r>
    </w:p>
    <w:p>
      <w:pPr>
        <w:pStyle w:val="BodyText"/>
        <w:spacing w:line="240" w:lineRule="auto" w:before="116"/>
        <w:ind w:left="154" w:right="-2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21"/>
          <w:szCs w:val="21"/>
        </w:rPr>
      </w:pPr>
    </w:p>
    <w:p>
      <w:pPr>
        <w:pStyle w:val="BodyText"/>
        <w:spacing w:line="240" w:lineRule="auto"/>
        <w:ind w:right="0"/>
        <w:jc w:val="left"/>
      </w:pPr>
      <w:r>
        <w:rPr/>
        <w:t>单位：股</w:t>
      </w:r>
    </w:p>
    <w:p>
      <w:pPr>
        <w:spacing w:after="0" w:line="240" w:lineRule="auto"/>
        <w:jc w:val="left"/>
        <w:sectPr>
          <w:type w:val="continuous"/>
          <w:pgSz w:w="11910" w:h="16840"/>
          <w:pgMar w:top="1060" w:bottom="1160" w:left="980" w:right="0"/>
          <w:cols w:num="2" w:equalWidth="0">
            <w:col w:w="4655" w:space="4265"/>
            <w:col w:w="2010"/>
          </w:cols>
        </w:sectPr>
      </w:pP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866"/>
        <w:gridCol w:w="869"/>
        <w:gridCol w:w="870"/>
        <w:gridCol w:w="870"/>
        <w:gridCol w:w="870"/>
        <w:gridCol w:w="869"/>
        <w:gridCol w:w="870"/>
        <w:gridCol w:w="870"/>
        <w:gridCol w:w="870"/>
        <w:gridCol w:w="870"/>
        <w:gridCol w:w="870"/>
      </w:tblGrid>
      <w:tr>
        <w:trPr>
          <w:trHeight w:val="1016" w:hRule="exact"/>
        </w:trPr>
        <w:tc>
          <w:tcPr>
            <w:tcW w:w="8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3"/>
              <w:ind w:left="247"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3"/>
              <w:ind w:left="248" w:right="0"/>
              <w:jc w:val="left"/>
              <w:rPr>
                <w:rFonts w:ascii="宋体" w:hAnsi="宋体" w:cs="宋体" w:eastAsia="宋体" w:hint="default"/>
                <w:sz w:val="18"/>
                <w:szCs w:val="18"/>
              </w:rPr>
            </w:pPr>
            <w:r>
              <w:rPr>
                <w:rFonts w:ascii="宋体" w:hAnsi="宋体" w:cs="宋体" w:eastAsia="宋体" w:hint="default"/>
                <w:sz w:val="18"/>
                <w:szCs w:val="18"/>
              </w:rPr>
              <w:t>职务</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6"/>
              <w:ind w:left="69" w:right="68"/>
              <w:jc w:val="center"/>
              <w:rPr>
                <w:rFonts w:ascii="宋体" w:hAnsi="宋体" w:cs="宋体" w:eastAsia="宋体" w:hint="default"/>
                <w:sz w:val="18"/>
                <w:szCs w:val="18"/>
              </w:rPr>
            </w:pPr>
            <w:r>
              <w:rPr>
                <w:rFonts w:ascii="宋体" w:hAnsi="宋体" w:cs="宋体" w:eastAsia="宋体" w:hint="default"/>
                <w:sz w:val="18"/>
                <w:szCs w:val="18"/>
              </w:rPr>
              <w:t>报告期内 可行权股 数</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6"/>
              <w:ind w:left="69" w:right="68"/>
              <w:jc w:val="center"/>
              <w:rPr>
                <w:rFonts w:ascii="宋体" w:hAnsi="宋体" w:cs="宋体" w:eastAsia="宋体" w:hint="default"/>
                <w:sz w:val="18"/>
                <w:szCs w:val="18"/>
              </w:rPr>
            </w:pPr>
            <w:r>
              <w:rPr>
                <w:rFonts w:ascii="宋体" w:hAnsi="宋体" w:cs="宋体" w:eastAsia="宋体" w:hint="default"/>
                <w:sz w:val="18"/>
                <w:szCs w:val="18"/>
              </w:rPr>
              <w:t>报告期内 已行权股 数</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67"/>
              <w:ind w:left="69" w:right="69"/>
              <w:jc w:val="both"/>
              <w:rPr>
                <w:rFonts w:ascii="宋体" w:hAnsi="宋体" w:cs="宋体" w:eastAsia="宋体" w:hint="default"/>
                <w:sz w:val="18"/>
                <w:szCs w:val="18"/>
              </w:rPr>
            </w:pPr>
            <w:r>
              <w:rPr>
                <w:rFonts w:ascii="宋体" w:hAnsi="宋体" w:cs="宋体" w:eastAsia="宋体" w:hint="default"/>
                <w:sz w:val="18"/>
                <w:szCs w:val="18"/>
              </w:rPr>
              <w:t>报告期内 已行权股 数行权价</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6"/>
              <w:ind w:left="43" w:right="45"/>
              <w:jc w:val="center"/>
              <w:rPr>
                <w:rFonts w:ascii="宋体" w:hAnsi="宋体" w:cs="宋体" w:eastAsia="宋体" w:hint="default"/>
                <w:sz w:val="18"/>
                <w:szCs w:val="18"/>
              </w:rPr>
            </w:pPr>
            <w:r>
              <w:rPr>
                <w:rFonts w:ascii="宋体" w:hAnsi="宋体" w:cs="宋体" w:eastAsia="宋体" w:hint="default"/>
                <w:sz w:val="18"/>
                <w:szCs w:val="18"/>
              </w:rPr>
              <w:t>报告期末 市价（元</w:t>
            </w:r>
            <w:r>
              <w:rPr>
                <w:rFonts w:ascii="Times New Roman" w:hAnsi="Times New Roman" w:cs="Times New Roman" w:eastAsia="Times New Roman" w:hint="default"/>
                <w:sz w:val="18"/>
                <w:szCs w:val="18"/>
              </w:rPr>
              <w:t>/ </w:t>
            </w:r>
            <w:r>
              <w:rPr>
                <w:rFonts w:ascii="宋体" w:hAnsi="宋体" w:cs="宋体" w:eastAsia="宋体" w:hint="default"/>
                <w:sz w:val="18"/>
                <w:szCs w:val="18"/>
              </w:rPr>
              <w:t>股）</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6"/>
              <w:ind w:left="69" w:right="68"/>
              <w:jc w:val="both"/>
              <w:rPr>
                <w:rFonts w:ascii="宋体" w:hAnsi="宋体" w:cs="宋体" w:eastAsia="宋体" w:hint="default"/>
                <w:sz w:val="18"/>
                <w:szCs w:val="18"/>
              </w:rPr>
            </w:pPr>
            <w:r>
              <w:rPr>
                <w:rFonts w:ascii="宋体" w:hAnsi="宋体" w:cs="宋体" w:eastAsia="宋体" w:hint="default"/>
                <w:sz w:val="18"/>
                <w:szCs w:val="18"/>
              </w:rPr>
              <w:t>期初持有 限制性股 票数量</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6"/>
              <w:ind w:left="69" w:right="68"/>
              <w:jc w:val="center"/>
              <w:rPr>
                <w:rFonts w:ascii="宋体" w:hAnsi="宋体" w:cs="宋体" w:eastAsia="宋体" w:hint="default"/>
                <w:sz w:val="18"/>
                <w:szCs w:val="18"/>
              </w:rPr>
            </w:pPr>
            <w:r>
              <w:rPr>
                <w:rFonts w:ascii="宋体" w:hAnsi="宋体" w:cs="宋体" w:eastAsia="宋体" w:hint="default"/>
                <w:sz w:val="18"/>
                <w:szCs w:val="18"/>
              </w:rPr>
              <w:t>本期已解 锁股份数 量</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67"/>
              <w:ind w:left="70" w:right="68"/>
              <w:jc w:val="both"/>
              <w:rPr>
                <w:rFonts w:ascii="宋体" w:hAnsi="宋体" w:cs="宋体" w:eastAsia="宋体" w:hint="default"/>
                <w:sz w:val="18"/>
                <w:szCs w:val="18"/>
              </w:rPr>
            </w:pPr>
            <w:r>
              <w:rPr>
                <w:rFonts w:ascii="宋体" w:hAnsi="宋体" w:cs="宋体" w:eastAsia="宋体" w:hint="default"/>
                <w:sz w:val="18"/>
                <w:szCs w:val="18"/>
              </w:rPr>
              <w:t>报告期新 授予限制 性股票数</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67"/>
              <w:ind w:left="44" w:right="45" w:firstLine="25"/>
              <w:jc w:val="both"/>
              <w:rPr>
                <w:rFonts w:ascii="Times New Roman" w:hAnsi="Times New Roman" w:cs="Times New Roman" w:eastAsia="Times New Roman" w:hint="default"/>
                <w:sz w:val="18"/>
                <w:szCs w:val="18"/>
              </w:rPr>
            </w:pPr>
            <w:r>
              <w:rPr>
                <w:rFonts w:ascii="宋体" w:hAnsi="宋体" w:cs="宋体" w:eastAsia="宋体" w:hint="default"/>
                <w:sz w:val="18"/>
                <w:szCs w:val="18"/>
              </w:rPr>
              <w:t>限制性股 票的授予 价格（元</w:t>
            </w:r>
            <w:r>
              <w:rPr>
                <w:rFonts w:ascii="Times New Roman" w:hAnsi="Times New Roman" w:cs="Times New Roman" w:eastAsia="Times New Roman" w:hint="default"/>
                <w:sz w:val="18"/>
                <w:szCs w:val="18"/>
              </w:rPr>
              <w:t>/</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6"/>
              <w:ind w:left="69" w:right="68"/>
              <w:jc w:val="both"/>
              <w:rPr>
                <w:rFonts w:ascii="宋体" w:hAnsi="宋体" w:cs="宋体" w:eastAsia="宋体" w:hint="default"/>
                <w:sz w:val="18"/>
                <w:szCs w:val="18"/>
              </w:rPr>
            </w:pPr>
            <w:r>
              <w:rPr>
                <w:rFonts w:ascii="宋体" w:hAnsi="宋体" w:cs="宋体" w:eastAsia="宋体" w:hint="default"/>
                <w:sz w:val="18"/>
                <w:szCs w:val="18"/>
              </w:rPr>
              <w:t>期末持有 限制性股 票数量</w:t>
            </w:r>
          </w:p>
        </w:tc>
      </w:tr>
    </w:tbl>
    <w:p>
      <w:pPr>
        <w:spacing w:after="0" w:line="319" w:lineRule="auto"/>
        <w:jc w:val="both"/>
        <w:rPr>
          <w:rFonts w:ascii="宋体" w:hAnsi="宋体" w:cs="宋体" w:eastAsia="宋体" w:hint="default"/>
          <w:sz w:val="18"/>
          <w:szCs w:val="18"/>
        </w:rPr>
        <w:sectPr>
          <w:type w:val="continuous"/>
          <w:pgSz w:w="11910" w:h="16840"/>
          <w:pgMar w:top="1060" w:bottom="1160" w:left="980" w:right="0"/>
        </w:sectPr>
      </w:pPr>
    </w:p>
    <w:p>
      <w:pPr>
        <w:spacing w:line="240" w:lineRule="auto" w:before="6"/>
        <w:rPr>
          <w:rFonts w:ascii="宋体" w:hAnsi="宋体" w:cs="宋体" w:eastAsia="宋体" w:hint="default"/>
          <w:sz w:val="28"/>
          <w:szCs w:val="28"/>
        </w:rPr>
      </w:pPr>
      <w:r>
        <w:rPr/>
        <w:pict>
          <v:shape style="position:absolute;margin-left:259.059998pt;margin-top:72.47998pt;width:58.1pt;height:17.650pt;mso-position-horizontal-relative:page;mso-position-vertical-relative:page;z-index:-1253656" type="#_x0000_t202" filled="false" stroked="false">
            <v:textbox inset="0,0,0,0">
              <w:txbxContent>
                <w:p>
                  <w:pPr>
                    <w:pStyle w:val="BodyText"/>
                    <w:spacing w:line="240" w:lineRule="auto" w:before="11"/>
                    <w:ind w:left="0" w:right="0"/>
                    <w:jc w:val="left"/>
                  </w:pPr>
                  <w:r>
                    <w:rPr/>
                    <w:t>股）</w:t>
                  </w:r>
                </w:p>
              </w:txbxContent>
            </v:textbox>
            <w10:wrap type="none"/>
          </v:shape>
        </w:pict>
      </w:r>
      <w:r>
        <w:rPr/>
        <w:pict>
          <v:group style="position:absolute;margin-left:143.660004pt;margin-top:162.019989pt;width:43.05pt;height:28pt;mso-position-horizontal-relative:page;mso-position-vertical-relative:page;z-index:-1253632" coordorigin="2873,3240" coordsize="861,560">
            <v:group style="position:absolute;left:2873;top:3240;width:861;height:156" coordorigin="2873,3240" coordsize="861,156">
              <v:shape style="position:absolute;left:2873;top:3240;width:861;height:156" coordorigin="2873,3240" coordsize="861,156" path="m2873,3396l3734,3396,3734,3240,2873,3240,2873,3396xe" filled="true" fillcolor="#ffffff" stroked="false">
                <v:path arrowok="t"/>
                <v:fill type="solid"/>
              </v:shape>
            </v:group>
            <v:group style="position:absolute;left:2885;top:3396;width:2;height:393" coordorigin="2885,3396" coordsize="2,393">
              <v:shape style="position:absolute;left:2885;top:3396;width:2;height:393" coordorigin="2885,3396" coordsize="0,393" path="m2885,3396l2885,3789e" filled="false" stroked="true" strokeweight="1.140pt" strokecolor="#ffffff">
                <v:path arrowok="t"/>
              </v:shape>
            </v:group>
            <v:group style="position:absolute;left:2896;top:3396;width:815;height:393" coordorigin="2896,3396" coordsize="815,393">
              <v:shape style="position:absolute;left:2896;top:3396;width:815;height:393" coordorigin="2896,3396" coordsize="815,393" path="m2896,3789l3711,3789,3711,3396,2896,3396,2896,3789xe" filled="true" fillcolor="#ffffff" stroked="false">
                <v:path arrowok="t"/>
                <v:fill type="solid"/>
              </v:shape>
            </v:group>
            <w10:wrap type="none"/>
          </v:group>
        </w:pict>
      </w:r>
    </w:p>
    <w:tbl>
      <w:tblPr>
        <w:tblW w:w="0" w:type="auto"/>
        <w:jc w:val="left"/>
        <w:tblInd w:w="149" w:type="dxa"/>
        <w:tblLayout w:type="fixed"/>
        <w:tblCellMar>
          <w:top w:w="0" w:type="dxa"/>
          <w:left w:w="0" w:type="dxa"/>
          <w:bottom w:w="0" w:type="dxa"/>
          <w:right w:w="0" w:type="dxa"/>
        </w:tblCellMar>
        <w:tblLook w:val="01E0"/>
      </w:tblPr>
      <w:tblGrid>
        <w:gridCol w:w="866"/>
        <w:gridCol w:w="869"/>
        <w:gridCol w:w="870"/>
        <w:gridCol w:w="870"/>
        <w:gridCol w:w="870"/>
        <w:gridCol w:w="869"/>
        <w:gridCol w:w="870"/>
        <w:gridCol w:w="870"/>
        <w:gridCol w:w="870"/>
        <w:gridCol w:w="870"/>
        <w:gridCol w:w="870"/>
      </w:tblGrid>
      <w:tr>
        <w:trPr>
          <w:trHeight w:val="362" w:hRule="exact"/>
        </w:trPr>
        <w:tc>
          <w:tcPr>
            <w:tcW w:w="86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2" w:right="0"/>
              <w:jc w:val="left"/>
              <w:rPr>
                <w:rFonts w:ascii="Times New Roman" w:hAnsi="Times New Roman" w:cs="Times New Roman" w:eastAsia="Times New Roman" w:hint="default"/>
                <w:sz w:val="18"/>
                <w:szCs w:val="18"/>
              </w:rPr>
            </w:pPr>
            <w:r>
              <w:rPr>
                <w:rFonts w:ascii="宋体" w:hAnsi="宋体" w:cs="宋体" w:eastAsia="宋体" w:hint="default"/>
                <w:spacing w:val="-12"/>
                <w:sz w:val="18"/>
                <w:szCs w:val="18"/>
              </w:rPr>
              <w:t>格（元</w:t>
            </w:r>
            <w:r>
              <w:rPr>
                <w:rFonts w:ascii="Times New Roman" w:hAnsi="Times New Roman" w:cs="Times New Roman" w:eastAsia="Times New Roman" w:hint="default"/>
                <w:spacing w:val="-12"/>
                <w:sz w:val="18"/>
                <w:szCs w:val="18"/>
              </w:rPr>
              <w:t>/</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量</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49" w:right="0"/>
              <w:jc w:val="left"/>
              <w:rPr>
                <w:rFonts w:ascii="宋体" w:hAnsi="宋体" w:cs="宋体" w:eastAsia="宋体" w:hint="default"/>
                <w:sz w:val="18"/>
                <w:szCs w:val="18"/>
              </w:rPr>
            </w:pPr>
            <w:r>
              <w:rPr>
                <w:rFonts w:ascii="宋体" w:hAnsi="宋体" w:cs="宋体" w:eastAsia="宋体" w:hint="default"/>
                <w:sz w:val="18"/>
                <w:szCs w:val="18"/>
              </w:rPr>
              <w:t>股）</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714" w:hRule="exact"/>
        </w:trPr>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沈毅</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0"/>
              <w:jc w:val="left"/>
              <w:rPr>
                <w:rFonts w:ascii="宋体" w:hAnsi="宋体" w:cs="宋体" w:eastAsia="宋体" w:hint="default"/>
                <w:sz w:val="18"/>
                <w:szCs w:val="18"/>
              </w:rPr>
            </w:pPr>
            <w:r>
              <w:rPr>
                <w:rFonts w:ascii="宋体" w:hAnsi="宋体" w:cs="宋体" w:eastAsia="宋体" w:hint="default"/>
                <w:spacing w:val="-18"/>
                <w:sz w:val="18"/>
                <w:szCs w:val="18"/>
              </w:rPr>
              <w:t>董事、总经</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理</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6.91</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1,120,261</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240,000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540,000</w:t>
            </w:r>
          </w:p>
        </w:tc>
      </w:tr>
      <w:tr>
        <w:trPr>
          <w:trHeight w:val="714" w:hRule="exact"/>
        </w:trPr>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杨四化</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20"/>
              <w:jc w:val="left"/>
              <w:rPr>
                <w:rFonts w:ascii="宋体" w:hAnsi="宋体" w:cs="宋体" w:eastAsia="宋体" w:hint="default"/>
                <w:sz w:val="18"/>
                <w:szCs w:val="18"/>
              </w:rPr>
            </w:pPr>
            <w:r>
              <w:rPr>
                <w:rFonts w:ascii="宋体" w:hAnsi="宋体" w:cs="宋体" w:eastAsia="宋体" w:hint="default"/>
                <w:spacing w:val="-18"/>
                <w:sz w:val="18"/>
                <w:szCs w:val="18"/>
              </w:rPr>
              <w:t>董事、副总</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经理</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6.91</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555,029</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120,000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270,000</w:t>
            </w:r>
          </w:p>
        </w:tc>
      </w:tr>
      <w:tr>
        <w:trPr>
          <w:trHeight w:val="714" w:hRule="exact"/>
        </w:trPr>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彭世新</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14"/>
              <w:jc w:val="left"/>
              <w:rPr>
                <w:rFonts w:ascii="宋体" w:hAnsi="宋体" w:cs="宋体" w:eastAsia="宋体" w:hint="default"/>
                <w:sz w:val="18"/>
                <w:szCs w:val="18"/>
              </w:rPr>
            </w:pPr>
            <w:r>
              <w:rPr>
                <w:rFonts w:ascii="宋体" w:hAnsi="宋体" w:cs="宋体" w:eastAsia="宋体" w:hint="default"/>
                <w:sz w:val="18"/>
                <w:szCs w:val="18"/>
              </w:rPr>
              <w:t>财务总监 副总经理</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16" w:lineRule="exact" w:before="51"/>
              <w:ind w:left="-126"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187" w:lineRule="exact"/>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6.91</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505,029</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225,000</w:t>
            </w:r>
          </w:p>
        </w:tc>
      </w:tr>
      <w:tr>
        <w:trPr>
          <w:trHeight w:val="402" w:hRule="exact"/>
        </w:trPr>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矫人全</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1"/>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6.91</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285,634</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480,000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5.17</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720,000</w:t>
            </w:r>
          </w:p>
        </w:tc>
      </w:tr>
      <w:tr>
        <w:trPr>
          <w:trHeight w:val="402" w:hRule="exact"/>
        </w:trPr>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吴振志</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1"/>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6.91</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353,019</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180,000</w:t>
            </w:r>
          </w:p>
        </w:tc>
      </w:tr>
      <w:tr>
        <w:trPr>
          <w:trHeight w:val="714" w:hRule="exact"/>
        </w:trPr>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孔德建</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14"/>
              <w:jc w:val="left"/>
              <w:rPr>
                <w:rFonts w:ascii="宋体" w:hAnsi="宋体" w:cs="宋体" w:eastAsia="宋体" w:hint="default"/>
                <w:sz w:val="18"/>
                <w:szCs w:val="18"/>
              </w:rPr>
            </w:pPr>
            <w:r>
              <w:rPr>
                <w:rFonts w:ascii="宋体" w:hAnsi="宋体" w:cs="宋体" w:eastAsia="宋体" w:hint="default"/>
                <w:sz w:val="18"/>
                <w:szCs w:val="18"/>
              </w:rPr>
              <w:t>董事会秘 书</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6.91</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90,000</w:t>
            </w:r>
          </w:p>
        </w:tc>
      </w:tr>
      <w:tr>
        <w:trPr>
          <w:trHeight w:val="402" w:hRule="exact"/>
        </w:trPr>
        <w:tc>
          <w:tcPr>
            <w:tcW w:w="8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9" w:space="0" w:color="D2D2D2"/>
            </w:tcBorders>
          </w:tcPr>
          <w:p>
            <w:pPr>
              <w:pStyle w:val="TableParagraph"/>
              <w:spacing w:line="240" w:lineRule="auto" w:before="91"/>
              <w:ind w:right="15"/>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2,918,972</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580,000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480,000</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2,025,000</w:t>
            </w:r>
          </w:p>
        </w:tc>
      </w:tr>
    </w:tbl>
    <w:p>
      <w:pPr>
        <w:spacing w:line="240" w:lineRule="auto" w:before="2"/>
        <w:rPr>
          <w:rFonts w:ascii="宋体" w:hAnsi="宋体" w:cs="宋体" w:eastAsia="宋体" w:hint="default"/>
          <w:sz w:val="18"/>
          <w:szCs w:val="18"/>
        </w:rPr>
      </w:pPr>
    </w:p>
    <w:p>
      <w:pPr>
        <w:pStyle w:val="Heading2"/>
        <w:spacing w:line="240" w:lineRule="auto" w:before="26"/>
        <w:ind w:left="154" w:right="0"/>
        <w:jc w:val="left"/>
        <w:rPr>
          <w:b w:val="0"/>
          <w:bCs w:val="0"/>
        </w:rPr>
      </w:pPr>
      <w:bookmarkStart w:name="五、公司员工情况" w:id="128"/>
      <w:bookmarkEnd w:id="128"/>
      <w:r>
        <w:rPr>
          <w:b w:val="0"/>
          <w:bCs w:val="0"/>
        </w:rPr>
      </w:r>
      <w:r>
        <w:rPr/>
        <w:t>五、公司员工情况</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53" w:right="0"/>
        <w:jc w:val="left"/>
        <w:rPr>
          <w:b w:val="0"/>
          <w:bCs w:val="0"/>
        </w:rPr>
      </w:pPr>
      <w:bookmarkStart w:name="1、员工数量、专业构成及教育程度" w:id="129"/>
      <w:bookmarkEnd w:id="129"/>
      <w:r>
        <w:rPr>
          <w:b w:val="0"/>
          <w:bCs w:val="0"/>
        </w:rPr>
      </w:r>
      <w:r>
        <w:rPr>
          <w:rFonts w:ascii="Times New Roman" w:hAnsi="Times New Roman" w:cs="Times New Roman" w:eastAsia="Times New Roman" w:hint="default"/>
        </w:rPr>
        <w:t>1</w:t>
      </w:r>
      <w:r>
        <w:rPr/>
        <w:t>、员工数量、专业构成及教育程度</w:t>
      </w:r>
      <w:r>
        <w:rPr>
          <w:b w:val="0"/>
          <w:bCs w:val="0"/>
        </w:rPr>
      </w:r>
    </w:p>
    <w:p>
      <w:pPr>
        <w:spacing w:line="240" w:lineRule="auto" w:before="9"/>
        <w:rPr>
          <w:rFonts w:ascii="宋体" w:hAnsi="宋体" w:cs="宋体" w:eastAsia="宋体" w:hint="default"/>
          <w:b/>
          <w:bCs/>
          <w:sz w:val="25"/>
          <w:szCs w:val="25"/>
        </w:rPr>
      </w:pPr>
    </w:p>
    <w:tbl>
      <w:tblPr>
        <w:tblW w:w="0" w:type="auto"/>
        <w:jc w:val="left"/>
        <w:tblInd w:w="160" w:type="dxa"/>
        <w:tblLayout w:type="fixed"/>
        <w:tblCellMar>
          <w:top w:w="0" w:type="dxa"/>
          <w:left w:w="0" w:type="dxa"/>
          <w:bottom w:w="0" w:type="dxa"/>
          <w:right w:w="0" w:type="dxa"/>
        </w:tblCellMar>
        <w:tblLook w:val="01E0"/>
      </w:tblPr>
      <w:tblGrid>
        <w:gridCol w:w="4766"/>
        <w:gridCol w:w="4792"/>
      </w:tblGrid>
      <w:tr>
        <w:trPr>
          <w:trHeight w:val="402" w:hRule="exact"/>
        </w:trPr>
        <w:tc>
          <w:tcPr>
            <w:tcW w:w="47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母公司在职员工的数量（人）</w:t>
            </w:r>
          </w:p>
        </w:tc>
        <w:tc>
          <w:tcPr>
            <w:tcW w:w="479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216</w:t>
            </w:r>
          </w:p>
        </w:tc>
      </w:tr>
      <w:tr>
        <w:trPr>
          <w:trHeight w:val="402" w:hRule="exact"/>
        </w:trPr>
        <w:tc>
          <w:tcPr>
            <w:tcW w:w="47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主要子公司在职员工的数量（人）</w:t>
            </w:r>
          </w:p>
        </w:tc>
        <w:tc>
          <w:tcPr>
            <w:tcW w:w="479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1,148</w:t>
            </w:r>
          </w:p>
        </w:tc>
      </w:tr>
      <w:tr>
        <w:trPr>
          <w:trHeight w:val="402" w:hRule="exact"/>
        </w:trPr>
        <w:tc>
          <w:tcPr>
            <w:tcW w:w="47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在职员工的数量合计（人）</w:t>
            </w:r>
          </w:p>
        </w:tc>
        <w:tc>
          <w:tcPr>
            <w:tcW w:w="479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1,364</w:t>
            </w:r>
          </w:p>
        </w:tc>
      </w:tr>
      <w:tr>
        <w:trPr>
          <w:trHeight w:val="402" w:hRule="exact"/>
        </w:trPr>
        <w:tc>
          <w:tcPr>
            <w:tcW w:w="47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当期领取薪酬员工总人数（人）</w:t>
            </w:r>
          </w:p>
        </w:tc>
        <w:tc>
          <w:tcPr>
            <w:tcW w:w="479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1,364</w:t>
            </w:r>
          </w:p>
        </w:tc>
      </w:tr>
      <w:tr>
        <w:trPr>
          <w:trHeight w:val="407" w:hRule="exact"/>
        </w:trPr>
        <w:tc>
          <w:tcPr>
            <w:tcW w:w="47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母公司及主要子公司需承担费用的离退休职工人数（人）</w:t>
            </w:r>
          </w:p>
        </w:tc>
        <w:tc>
          <w:tcPr>
            <w:tcW w:w="479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392" w:hRule="exact"/>
        </w:trPr>
        <w:tc>
          <w:tcPr>
            <w:tcW w:w="955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1" w:right="10"/>
              <w:jc w:val="center"/>
              <w:rPr>
                <w:rFonts w:ascii="宋体" w:hAnsi="宋体" w:cs="宋体" w:eastAsia="宋体" w:hint="default"/>
                <w:sz w:val="18"/>
                <w:szCs w:val="18"/>
              </w:rPr>
            </w:pPr>
            <w:r>
              <w:rPr>
                <w:rFonts w:ascii="宋体" w:hAnsi="宋体" w:cs="宋体" w:eastAsia="宋体" w:hint="default"/>
                <w:sz w:val="18"/>
                <w:szCs w:val="18"/>
              </w:rPr>
              <w:t>专业构成</w:t>
            </w:r>
          </w:p>
        </w:tc>
      </w:tr>
      <w:tr>
        <w:trPr>
          <w:trHeight w:val="407" w:hRule="exact"/>
        </w:trPr>
        <w:tc>
          <w:tcPr>
            <w:tcW w:w="47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1" w:right="2"/>
              <w:jc w:val="center"/>
              <w:rPr>
                <w:rFonts w:ascii="宋体" w:hAnsi="宋体" w:cs="宋体" w:eastAsia="宋体" w:hint="default"/>
                <w:sz w:val="18"/>
                <w:szCs w:val="18"/>
              </w:rPr>
            </w:pPr>
            <w:r>
              <w:rPr>
                <w:rFonts w:ascii="宋体" w:hAnsi="宋体" w:cs="宋体" w:eastAsia="宋体" w:hint="default"/>
                <w:sz w:val="18"/>
                <w:szCs w:val="18"/>
              </w:rPr>
              <w:t>专业构成类别</w:t>
            </w:r>
          </w:p>
        </w:tc>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1584" w:right="0"/>
              <w:jc w:val="left"/>
              <w:rPr>
                <w:rFonts w:ascii="宋体" w:hAnsi="宋体" w:cs="宋体" w:eastAsia="宋体" w:hint="default"/>
                <w:sz w:val="18"/>
                <w:szCs w:val="18"/>
              </w:rPr>
            </w:pPr>
            <w:r>
              <w:rPr>
                <w:rFonts w:ascii="宋体" w:hAnsi="宋体" w:cs="宋体" w:eastAsia="宋体" w:hint="default"/>
                <w:sz w:val="18"/>
                <w:szCs w:val="18"/>
              </w:rPr>
              <w:t>专业构成人数（人）</w:t>
            </w:r>
          </w:p>
        </w:tc>
      </w:tr>
      <w:tr>
        <w:trPr>
          <w:trHeight w:val="402" w:hRule="exact"/>
        </w:trPr>
        <w:tc>
          <w:tcPr>
            <w:tcW w:w="47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生产人员</w:t>
            </w:r>
          </w:p>
        </w:tc>
        <w:tc>
          <w:tcPr>
            <w:tcW w:w="479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405</w:t>
            </w:r>
          </w:p>
        </w:tc>
      </w:tr>
      <w:tr>
        <w:trPr>
          <w:trHeight w:val="402" w:hRule="exact"/>
        </w:trPr>
        <w:tc>
          <w:tcPr>
            <w:tcW w:w="47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销售人员</w:t>
            </w:r>
          </w:p>
        </w:tc>
        <w:tc>
          <w:tcPr>
            <w:tcW w:w="479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184</w:t>
            </w:r>
          </w:p>
        </w:tc>
      </w:tr>
      <w:tr>
        <w:trPr>
          <w:trHeight w:val="402" w:hRule="exact"/>
        </w:trPr>
        <w:tc>
          <w:tcPr>
            <w:tcW w:w="47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技术人员</w:t>
            </w:r>
          </w:p>
        </w:tc>
        <w:tc>
          <w:tcPr>
            <w:tcW w:w="479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612</w:t>
            </w:r>
          </w:p>
        </w:tc>
      </w:tr>
      <w:tr>
        <w:trPr>
          <w:trHeight w:val="402" w:hRule="exact"/>
        </w:trPr>
        <w:tc>
          <w:tcPr>
            <w:tcW w:w="47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财务人员</w:t>
            </w:r>
          </w:p>
        </w:tc>
        <w:tc>
          <w:tcPr>
            <w:tcW w:w="479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36</w:t>
            </w:r>
          </w:p>
        </w:tc>
      </w:tr>
      <w:tr>
        <w:trPr>
          <w:trHeight w:val="402" w:hRule="exact"/>
        </w:trPr>
        <w:tc>
          <w:tcPr>
            <w:tcW w:w="47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行政人员</w:t>
            </w:r>
          </w:p>
        </w:tc>
        <w:tc>
          <w:tcPr>
            <w:tcW w:w="479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127</w:t>
            </w:r>
          </w:p>
        </w:tc>
      </w:tr>
      <w:tr>
        <w:trPr>
          <w:trHeight w:val="407" w:hRule="exact"/>
        </w:trPr>
        <w:tc>
          <w:tcPr>
            <w:tcW w:w="47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9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1,364</w:t>
            </w:r>
          </w:p>
        </w:tc>
      </w:tr>
      <w:tr>
        <w:trPr>
          <w:trHeight w:val="392" w:hRule="exact"/>
        </w:trPr>
        <w:tc>
          <w:tcPr>
            <w:tcW w:w="955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1" w:right="10"/>
              <w:jc w:val="center"/>
              <w:rPr>
                <w:rFonts w:ascii="宋体" w:hAnsi="宋体" w:cs="宋体" w:eastAsia="宋体" w:hint="default"/>
                <w:sz w:val="18"/>
                <w:szCs w:val="18"/>
              </w:rPr>
            </w:pPr>
            <w:r>
              <w:rPr>
                <w:rFonts w:ascii="宋体" w:hAnsi="宋体" w:cs="宋体" w:eastAsia="宋体" w:hint="default"/>
                <w:sz w:val="18"/>
                <w:szCs w:val="18"/>
              </w:rPr>
              <w:t>教育程度</w:t>
            </w:r>
          </w:p>
        </w:tc>
      </w:tr>
      <w:tr>
        <w:trPr>
          <w:trHeight w:val="407" w:hRule="exact"/>
        </w:trPr>
        <w:tc>
          <w:tcPr>
            <w:tcW w:w="47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11" w:right="0"/>
              <w:jc w:val="left"/>
              <w:rPr>
                <w:rFonts w:ascii="宋体" w:hAnsi="宋体" w:cs="宋体" w:eastAsia="宋体" w:hint="default"/>
                <w:sz w:val="18"/>
                <w:szCs w:val="18"/>
              </w:rPr>
            </w:pPr>
            <w:r>
              <w:rPr>
                <w:rFonts w:ascii="宋体" w:hAnsi="宋体" w:cs="宋体" w:eastAsia="宋体" w:hint="default"/>
                <w:sz w:val="18"/>
                <w:szCs w:val="18"/>
              </w:rPr>
              <w:t>教育程度类别</w:t>
            </w:r>
          </w:p>
        </w:tc>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30" w:right="0"/>
              <w:jc w:val="left"/>
              <w:rPr>
                <w:rFonts w:ascii="宋体" w:hAnsi="宋体" w:cs="宋体" w:eastAsia="宋体" w:hint="default"/>
                <w:sz w:val="18"/>
                <w:szCs w:val="18"/>
              </w:rPr>
            </w:pPr>
            <w:r>
              <w:rPr>
                <w:rFonts w:ascii="宋体" w:hAnsi="宋体" w:cs="宋体" w:eastAsia="宋体" w:hint="default"/>
                <w:sz w:val="18"/>
                <w:szCs w:val="18"/>
              </w:rPr>
              <w:t>数量（人）</w:t>
            </w:r>
          </w:p>
        </w:tc>
      </w:tr>
      <w:tr>
        <w:trPr>
          <w:trHeight w:val="402" w:hRule="exact"/>
        </w:trPr>
        <w:tc>
          <w:tcPr>
            <w:tcW w:w="4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硕士及以上</w:t>
            </w:r>
          </w:p>
        </w:tc>
        <w:tc>
          <w:tcPr>
            <w:tcW w:w="4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70</w:t>
            </w:r>
          </w:p>
        </w:tc>
      </w:tr>
      <w:tr>
        <w:trPr>
          <w:trHeight w:val="402" w:hRule="exact"/>
        </w:trPr>
        <w:tc>
          <w:tcPr>
            <w:tcW w:w="4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本科学历</w:t>
            </w:r>
          </w:p>
        </w:tc>
        <w:tc>
          <w:tcPr>
            <w:tcW w:w="4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480</w:t>
            </w:r>
          </w:p>
        </w:tc>
      </w:tr>
      <w:tr>
        <w:trPr>
          <w:trHeight w:val="402" w:hRule="exact"/>
        </w:trPr>
        <w:tc>
          <w:tcPr>
            <w:tcW w:w="4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大专学历</w:t>
            </w:r>
          </w:p>
        </w:tc>
        <w:tc>
          <w:tcPr>
            <w:tcW w:w="4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445</w:t>
            </w:r>
          </w:p>
        </w:tc>
      </w:tr>
      <w:tr>
        <w:trPr>
          <w:trHeight w:val="402" w:hRule="exact"/>
        </w:trPr>
        <w:tc>
          <w:tcPr>
            <w:tcW w:w="4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大专以下</w:t>
            </w:r>
          </w:p>
        </w:tc>
        <w:tc>
          <w:tcPr>
            <w:tcW w:w="4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369</w:t>
            </w:r>
          </w:p>
        </w:tc>
      </w:tr>
    </w:tbl>
    <w:p>
      <w:pPr>
        <w:spacing w:after="0" w:line="240" w:lineRule="auto"/>
        <w:jc w:val="right"/>
        <w:rPr>
          <w:rFonts w:ascii="Times New Roman" w:hAnsi="Times New Roman" w:cs="Times New Roman" w:eastAsia="Times New Roman" w:hint="default"/>
          <w:sz w:val="18"/>
          <w:szCs w:val="18"/>
        </w:rPr>
        <w:sectPr>
          <w:footerReference w:type="default" r:id="rId53"/>
          <w:pgSz w:w="11910" w:h="16840"/>
          <w:pgMar w:footer="979" w:header="747" w:top="1060" w:bottom="1160" w:left="980" w:right="0"/>
        </w:sectPr>
      </w:pPr>
    </w:p>
    <w:p>
      <w:pPr>
        <w:spacing w:line="240" w:lineRule="auto" w:before="6"/>
        <w:rPr>
          <w:rFonts w:ascii="宋体" w:hAnsi="宋体" w:cs="宋体" w:eastAsia="宋体" w:hint="default"/>
          <w:b/>
          <w:bCs/>
          <w:sz w:val="28"/>
          <w:szCs w:val="28"/>
        </w:rPr>
      </w:pPr>
    </w:p>
    <w:tbl>
      <w:tblPr>
        <w:tblW w:w="0" w:type="auto"/>
        <w:jc w:val="left"/>
        <w:tblInd w:w="149" w:type="dxa"/>
        <w:tblLayout w:type="fixed"/>
        <w:tblCellMar>
          <w:top w:w="0" w:type="dxa"/>
          <w:left w:w="0" w:type="dxa"/>
          <w:bottom w:w="0" w:type="dxa"/>
          <w:right w:w="0" w:type="dxa"/>
        </w:tblCellMar>
        <w:tblLook w:val="01E0"/>
      </w:tblPr>
      <w:tblGrid>
        <w:gridCol w:w="4785"/>
        <w:gridCol w:w="4784"/>
      </w:tblGrid>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1,364</w:t>
            </w:r>
          </w:p>
        </w:tc>
      </w:tr>
    </w:tbl>
    <w:p>
      <w:pPr>
        <w:spacing w:line="240" w:lineRule="auto" w:before="2"/>
        <w:rPr>
          <w:rFonts w:ascii="宋体" w:hAnsi="宋体" w:cs="宋体" w:eastAsia="宋体" w:hint="default"/>
          <w:b/>
          <w:bCs/>
          <w:sz w:val="19"/>
          <w:szCs w:val="19"/>
        </w:rPr>
      </w:pPr>
    </w:p>
    <w:p>
      <w:pPr>
        <w:pStyle w:val="Heading3"/>
        <w:spacing w:line="240" w:lineRule="auto" w:before="35"/>
        <w:ind w:right="0"/>
        <w:jc w:val="left"/>
        <w:rPr>
          <w:b w:val="0"/>
          <w:bCs w:val="0"/>
        </w:rPr>
      </w:pPr>
      <w:bookmarkStart w:name="2、薪酬政策" w:id="130"/>
      <w:bookmarkEnd w:id="130"/>
      <w:r>
        <w:rPr>
          <w:b w:val="0"/>
          <w:bCs w:val="0"/>
        </w:rPr>
      </w:r>
      <w:r>
        <w:rPr>
          <w:rFonts w:ascii="Times New Roman" w:hAnsi="Times New Roman" w:cs="Times New Roman" w:eastAsia="Times New Roman" w:hint="default"/>
        </w:rPr>
        <w:t>2</w:t>
      </w:r>
      <w:r>
        <w:rPr/>
        <w:t>、薪酬政策</w:t>
      </w:r>
      <w:r>
        <w:rPr>
          <w:b w:val="0"/>
          <w:bCs w:val="0"/>
        </w:rPr>
      </w:r>
    </w:p>
    <w:p>
      <w:pPr>
        <w:spacing w:line="240" w:lineRule="auto" w:before="7"/>
        <w:rPr>
          <w:rFonts w:ascii="宋体" w:hAnsi="宋体" w:cs="宋体" w:eastAsia="宋体" w:hint="default"/>
          <w:b/>
          <w:bCs/>
          <w:sz w:val="26"/>
          <w:szCs w:val="26"/>
        </w:rPr>
      </w:pPr>
    </w:p>
    <w:p>
      <w:pPr>
        <w:pStyle w:val="BodyText"/>
        <w:spacing w:line="316" w:lineRule="auto"/>
        <w:ind w:left="154" w:right="1133" w:firstLine="360"/>
        <w:jc w:val="both"/>
      </w:pPr>
      <w:r>
        <w:rPr>
          <w:spacing w:val="-2"/>
        </w:rPr>
        <w:t>公司建立与绩效联动的报酬体系，倡导企业与个人共同持续发展的理念，组织实施了股权激励计划，采用分层分类的奖</w:t>
      </w:r>
      <w:r>
        <w:rPr/>
        <w:t> 励办法，保证了各层各类人员均得到相应的激励，以充分调动员工的积极性和创造性。</w:t>
      </w:r>
    </w:p>
    <w:p>
      <w:pPr>
        <w:spacing w:line="240" w:lineRule="auto" w:before="7"/>
        <w:rPr>
          <w:rFonts w:ascii="宋体" w:hAnsi="宋体" w:cs="宋体" w:eastAsia="宋体" w:hint="default"/>
          <w:sz w:val="22"/>
          <w:szCs w:val="22"/>
        </w:rPr>
      </w:pPr>
    </w:p>
    <w:p>
      <w:pPr>
        <w:pStyle w:val="Heading3"/>
        <w:spacing w:line="240" w:lineRule="auto"/>
        <w:ind w:left="153" w:right="0"/>
        <w:jc w:val="left"/>
        <w:rPr>
          <w:b w:val="0"/>
          <w:bCs w:val="0"/>
        </w:rPr>
      </w:pPr>
      <w:bookmarkStart w:name="3、培训计划" w:id="131"/>
      <w:bookmarkEnd w:id="131"/>
      <w:r>
        <w:rPr>
          <w:b w:val="0"/>
          <w:bCs w:val="0"/>
        </w:rPr>
      </w:r>
      <w:r>
        <w:rPr>
          <w:rFonts w:ascii="Times New Roman" w:hAnsi="Times New Roman" w:cs="Times New Roman" w:eastAsia="Times New Roman" w:hint="default"/>
        </w:rPr>
        <w:t>3</w:t>
      </w:r>
      <w:r>
        <w:rPr/>
        <w:t>、培训计划</w:t>
      </w:r>
      <w:r>
        <w:rPr>
          <w:b w:val="0"/>
          <w:bCs w:val="0"/>
        </w:rPr>
      </w:r>
    </w:p>
    <w:p>
      <w:pPr>
        <w:spacing w:line="240" w:lineRule="auto" w:before="7"/>
        <w:rPr>
          <w:rFonts w:ascii="宋体" w:hAnsi="宋体" w:cs="宋体" w:eastAsia="宋体" w:hint="default"/>
          <w:b/>
          <w:bCs/>
          <w:sz w:val="26"/>
          <w:szCs w:val="26"/>
        </w:rPr>
      </w:pPr>
    </w:p>
    <w:p>
      <w:pPr>
        <w:pStyle w:val="BodyText"/>
        <w:spacing w:line="316" w:lineRule="auto"/>
        <w:ind w:right="1133" w:firstLine="360"/>
        <w:jc w:val="both"/>
      </w:pPr>
      <w:r>
        <w:rPr>
          <w:spacing w:val="-2"/>
        </w:rPr>
        <w:t>公司对员工培训专门制定了《员工培训制度》，通过奥拓学院，对培训工作的计划、实施考核、培训评估、培训档案做</w:t>
      </w:r>
      <w:r>
        <w:rPr/>
        <w:t> </w:t>
      </w:r>
      <w:r>
        <w:rPr>
          <w:spacing w:val="-2"/>
        </w:rPr>
        <w:t>了详细规定，使员工能充分施展自己的特长又符合公司发展的需要。同时，为强化公司的知识管理，制定了部门层面的《年</w:t>
      </w:r>
      <w:r>
        <w:rPr>
          <w:spacing w:val="-66"/>
        </w:rPr>
        <w:t> </w:t>
      </w:r>
      <w:r>
        <w:rPr>
          <w:spacing w:val="-66"/>
        </w:rPr>
      </w:r>
      <w:r>
        <w:rPr/>
        <w:t>度培训规划》，由负责培训的人员专门跟进规划的执行情况。</w:t>
      </w:r>
    </w:p>
    <w:p>
      <w:pPr>
        <w:spacing w:line="240" w:lineRule="auto" w:before="7"/>
        <w:rPr>
          <w:rFonts w:ascii="宋体" w:hAnsi="宋体" w:cs="宋体" w:eastAsia="宋体" w:hint="default"/>
          <w:sz w:val="22"/>
          <w:szCs w:val="22"/>
        </w:rPr>
      </w:pPr>
    </w:p>
    <w:p>
      <w:pPr>
        <w:pStyle w:val="Heading3"/>
        <w:spacing w:line="240" w:lineRule="auto"/>
        <w:ind w:right="0"/>
        <w:jc w:val="left"/>
        <w:rPr>
          <w:b w:val="0"/>
          <w:bCs w:val="0"/>
        </w:rPr>
      </w:pPr>
      <w:bookmarkStart w:name="4、劳务外包情况" w:id="132"/>
      <w:bookmarkEnd w:id="132"/>
      <w:r>
        <w:rPr>
          <w:b w:val="0"/>
          <w:bCs w:val="0"/>
        </w:rPr>
      </w:r>
      <w:r>
        <w:rPr>
          <w:rFonts w:ascii="Times New Roman" w:hAnsi="Times New Roman" w:cs="Times New Roman" w:eastAsia="Times New Roman" w:hint="default"/>
        </w:rPr>
        <w:t>4</w:t>
      </w:r>
      <w:r>
        <w:rPr/>
        <w:t>、劳务外包情况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154"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after="0" w:line="240" w:lineRule="auto"/>
        <w:jc w:val="left"/>
        <w:sectPr>
          <w:footerReference w:type="default" r:id="rId54"/>
          <w:pgSz w:w="11910" w:h="16840"/>
          <w:pgMar w:footer="979" w:header="747" w:top="1060" w:bottom="1160" w:left="980" w:right="0"/>
          <w:pgNumType w:start="101"/>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left="3064" w:right="4042"/>
        <w:jc w:val="center"/>
        <w:rPr>
          <w:b w:val="0"/>
          <w:bCs w:val="0"/>
        </w:rPr>
      </w:pPr>
      <w:bookmarkStart w:name="第九节 公司治理" w:id="133"/>
      <w:bookmarkEnd w:id="133"/>
      <w:r>
        <w:rPr>
          <w:b w:val="0"/>
          <w:bCs w:val="0"/>
        </w:rPr>
      </w:r>
      <w:bookmarkStart w:name="_bookmark7" w:id="134"/>
      <w:bookmarkEnd w:id="134"/>
      <w:r>
        <w:rPr>
          <w:b w:val="0"/>
          <w:bCs w:val="0"/>
        </w:rPr>
      </w:r>
      <w:r>
        <w:rPr/>
        <w:t>第九节</w:t>
      </w:r>
      <w:r>
        <w:rPr>
          <w:spacing w:val="-5"/>
        </w:rPr>
        <w:t> </w:t>
      </w:r>
      <w:r>
        <w:rPr/>
        <w:t>公司治理</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before="26"/>
        <w:ind w:right="0"/>
        <w:jc w:val="both"/>
        <w:rPr>
          <w:b w:val="0"/>
          <w:bCs w:val="0"/>
        </w:rPr>
      </w:pPr>
      <w:bookmarkStart w:name="一、公司治理的基本状况" w:id="135"/>
      <w:bookmarkEnd w:id="135"/>
      <w:r>
        <w:rPr>
          <w:b w:val="0"/>
          <w:bCs w:val="0"/>
        </w:rPr>
      </w:r>
      <w:r>
        <w:rPr/>
        <w:t>一、公司治理的基本状况</w:t>
      </w:r>
      <w:r>
        <w:rPr>
          <w:b w:val="0"/>
          <w:bCs w:val="0"/>
        </w:rPr>
      </w:r>
    </w:p>
    <w:p>
      <w:pPr>
        <w:spacing w:line="240" w:lineRule="auto" w:before="6"/>
        <w:rPr>
          <w:rFonts w:ascii="宋体" w:hAnsi="宋体" w:cs="宋体" w:eastAsia="宋体" w:hint="default"/>
          <w:b/>
          <w:bCs/>
          <w:sz w:val="26"/>
          <w:szCs w:val="26"/>
        </w:rPr>
      </w:pPr>
    </w:p>
    <w:p>
      <w:pPr>
        <w:pStyle w:val="BodyText"/>
        <w:spacing w:line="316" w:lineRule="auto"/>
        <w:ind w:right="1133" w:firstLine="360"/>
        <w:jc w:val="both"/>
      </w:pPr>
      <w:r>
        <w:rPr>
          <w:spacing w:val="-2"/>
        </w:rPr>
        <w:t>报告期内，公司严格按照《公司法》、《证券法》、《上市公司治理准则》、《深圳证券交易所股票上市规则》、《深</w:t>
      </w:r>
      <w:r>
        <w:rPr/>
        <w:t> </w:t>
      </w:r>
      <w:r>
        <w:rPr>
          <w:spacing w:val="-2"/>
        </w:rPr>
        <w:t>圳证券交易所中小企业板上市公司规范运作指引》和中国证监会、深圳证券交易所颁布的规范性文件等要求，不断改善公司</w:t>
      </w:r>
      <w:r>
        <w:rPr>
          <w:spacing w:val="-66"/>
        </w:rPr>
        <w:t> </w:t>
      </w:r>
      <w:r>
        <w:rPr>
          <w:spacing w:val="-66"/>
        </w:rPr>
      </w:r>
      <w:r>
        <w:rPr>
          <w:spacing w:val="-2"/>
        </w:rPr>
        <w:t>法人治理结构，建立和健全内部管理和控制制度，规范公司运作。公司股东大会、董事会、监事会均能严格按照相关规章制</w:t>
      </w:r>
      <w:r>
        <w:rPr>
          <w:spacing w:val="-66"/>
        </w:rPr>
        <w:t> </w:t>
      </w:r>
      <w:r>
        <w:rPr>
          <w:spacing w:val="-66"/>
        </w:rPr>
      </w:r>
      <w:r>
        <w:rPr>
          <w:spacing w:val="-2"/>
        </w:rPr>
        <w:t>度规范地召开，各位董事、监事均能勤勉认真地履行自己的职责。截至报告期末，公司治理的实际状况符合中国证监会、深</w:t>
      </w:r>
      <w:r>
        <w:rPr>
          <w:spacing w:val="-66"/>
        </w:rPr>
        <w:t> </w:t>
      </w:r>
      <w:r>
        <w:rPr>
          <w:spacing w:val="-66"/>
        </w:rPr>
      </w:r>
      <w:r>
        <w:rPr/>
        <w:t>圳证券交易所发布的关于上市公司治理的规范性文件的要求。</w:t>
      </w:r>
    </w:p>
    <w:p>
      <w:pPr>
        <w:pStyle w:val="BodyText"/>
        <w:spacing w:line="300" w:lineRule="auto" w:before="19"/>
        <w:ind w:left="514" w:right="1117"/>
        <w:jc w:val="left"/>
      </w:pPr>
      <w:r>
        <w:rPr>
          <w:rFonts w:ascii="Times New Roman" w:hAnsi="Times New Roman" w:cs="Times New Roman" w:eastAsia="Times New Roman" w:hint="default"/>
        </w:rPr>
        <w:t>1</w:t>
      </w:r>
      <w:r>
        <w:rPr/>
        <w:t>、股东与股东大会 </w:t>
      </w:r>
      <w:r>
        <w:rPr>
          <w:spacing w:val="-5"/>
        </w:rPr>
        <w:t>公司严格按照《公司法》、《证券法》等法律、法规和《公司章程》、《股东大会议事规则》的规定召集召开股东大会，</w:t>
      </w:r>
    </w:p>
    <w:p>
      <w:pPr>
        <w:pStyle w:val="BodyText"/>
        <w:spacing w:line="316" w:lineRule="auto" w:before="31"/>
        <w:ind w:left="154" w:right="1032"/>
        <w:jc w:val="left"/>
      </w:pPr>
      <w:r>
        <w:rPr/>
        <w:t>在股东大会召开前的规定时间发出会议通知，并且聘请律师现场见证，对会议的召集、召开和决议的有效性发表法律意见。</w:t>
      </w:r>
      <w:r>
        <w:rPr>
          <w:spacing w:val="-85"/>
        </w:rPr>
        <w:t> </w:t>
      </w:r>
      <w:r>
        <w:rPr>
          <w:spacing w:val="-85"/>
        </w:rPr>
      </w:r>
      <w:r>
        <w:rPr/>
        <w:t>确保全体股东特别是中小股东享有平等地位，充分行使自己的权利。报告期内共召开股东大会</w:t>
      </w:r>
      <w:r>
        <w:rPr>
          <w:rFonts w:ascii="Times New Roman" w:hAnsi="Times New Roman" w:cs="Times New Roman" w:eastAsia="Times New Roman" w:hint="default"/>
        </w:rPr>
        <w:t>3</w:t>
      </w:r>
      <w:r>
        <w:rPr/>
        <w:t>次，审议议案</w:t>
      </w:r>
      <w:r>
        <w:rPr>
          <w:rFonts w:ascii="宋体" w:hAnsi="宋体" w:cs="宋体" w:eastAsia="宋体" w:hint="default"/>
        </w:rPr>
        <w:t>19</w:t>
      </w:r>
      <w:r>
        <w:rPr/>
        <w:t>项。</w:t>
      </w:r>
    </w:p>
    <w:p>
      <w:pPr>
        <w:pStyle w:val="BodyText"/>
        <w:spacing w:line="300" w:lineRule="auto"/>
        <w:ind w:left="514" w:right="5352"/>
        <w:jc w:val="left"/>
      </w:pPr>
      <w:r>
        <w:rPr>
          <w:rFonts w:ascii="Times New Roman" w:hAnsi="Times New Roman" w:cs="Times New Roman" w:eastAsia="Times New Roman" w:hint="default"/>
        </w:rPr>
        <w:t>2</w:t>
      </w:r>
      <w:r>
        <w:rPr/>
        <w:t>、控股股东与上市公司 公司控股股东行为规范，能依法行使其权利，并承担相应义务。</w:t>
      </w:r>
    </w:p>
    <w:p>
      <w:pPr>
        <w:pStyle w:val="BodyText"/>
        <w:spacing w:line="316" w:lineRule="auto" w:before="31"/>
        <w:ind w:left="154" w:right="1132" w:firstLine="360"/>
        <w:jc w:val="both"/>
      </w:pPr>
      <w:r>
        <w:rPr>
          <w:spacing w:val="-6"/>
        </w:rPr>
        <w:t>公司在资产、人员、财务、机构、业务等方面均独立于控股股东，拥有独立完整的研发、供应、生产、销售等业务体系，</w:t>
      </w:r>
      <w:r>
        <w:rPr/>
        <w:t> 具备面向市场独立经营的能力。公司董事会、监事会和内部机构能够独立运作。</w:t>
      </w:r>
    </w:p>
    <w:p>
      <w:pPr>
        <w:pStyle w:val="BodyText"/>
        <w:spacing w:line="300" w:lineRule="auto" w:before="19"/>
        <w:ind w:left="514" w:right="0"/>
        <w:jc w:val="left"/>
      </w:pPr>
      <w:r>
        <w:rPr>
          <w:rFonts w:ascii="Times New Roman" w:hAnsi="Times New Roman" w:cs="Times New Roman" w:eastAsia="Times New Roman" w:hint="default"/>
        </w:rPr>
        <w:t>3</w:t>
      </w:r>
      <w:r>
        <w:rPr/>
        <w:t>、董事与董事会 </w:t>
      </w:r>
      <w:r>
        <w:rPr>
          <w:spacing w:val="-2"/>
        </w:rPr>
        <w:t>公司董事会有</w:t>
      </w:r>
      <w:r>
        <w:rPr>
          <w:rFonts w:ascii="Times New Roman" w:hAnsi="Times New Roman" w:cs="Times New Roman" w:eastAsia="Times New Roman" w:hint="default"/>
          <w:spacing w:val="-2"/>
        </w:rPr>
        <w:t>9</w:t>
      </w:r>
      <w:r>
        <w:rPr>
          <w:spacing w:val="-2"/>
        </w:rPr>
        <w:t>名董事。其中有</w:t>
      </w:r>
      <w:r>
        <w:rPr>
          <w:rFonts w:ascii="Times New Roman" w:hAnsi="Times New Roman" w:cs="Times New Roman" w:eastAsia="Times New Roman" w:hint="default"/>
          <w:spacing w:val="-2"/>
        </w:rPr>
        <w:t>3</w:t>
      </w:r>
      <w:r>
        <w:rPr>
          <w:spacing w:val="-2"/>
        </w:rPr>
        <w:t>名独立董事，他们是管理、财务、法律等方面的专家，在各自领域都具有多年的从业经</w:t>
      </w:r>
    </w:p>
    <w:p>
      <w:pPr>
        <w:pStyle w:val="BodyText"/>
        <w:spacing w:line="312" w:lineRule="auto" w:before="13"/>
        <w:ind w:left="154" w:right="1130"/>
        <w:jc w:val="both"/>
      </w:pPr>
      <w:r>
        <w:rPr/>
        <w:t>验和丰富的专业知识；另外</w:t>
      </w:r>
      <w:r>
        <w:rPr>
          <w:rFonts w:ascii="Times New Roman" w:hAnsi="Times New Roman" w:cs="Times New Roman" w:eastAsia="Times New Roman" w:hint="default"/>
        </w:rPr>
        <w:t>6</w:t>
      </w:r>
      <w:r>
        <w:rPr/>
        <w:t>名董事在经营、管理等方面均具有较高的专业理论水平和丰富的管理实践经验。董事会设立了 </w:t>
      </w:r>
      <w:r>
        <w:rPr>
          <w:spacing w:val="-2"/>
        </w:rPr>
        <w:t>战略、提名、审计、薪酬与考核四个专门委员会，制订了相应的议事规则。公司董事积极参加相关知识培训，熟悉有关法律</w:t>
      </w:r>
      <w:r>
        <w:rPr>
          <w:spacing w:val="-67"/>
        </w:rPr>
        <w:t> </w:t>
      </w:r>
      <w:r>
        <w:rPr>
          <w:spacing w:val="-67"/>
        </w:rPr>
      </w:r>
      <w:r>
        <w:rPr>
          <w:spacing w:val="-2"/>
        </w:rPr>
        <w:t>法规；公司董事严格按照《董事会议事规则》等制度开展工作，正确行使权利和勤勉尽责履行义务，确保董事会的有效运作</w:t>
      </w:r>
      <w:r>
        <w:rPr>
          <w:spacing w:val="-66"/>
        </w:rPr>
        <w:t> </w:t>
      </w:r>
      <w:r>
        <w:rPr>
          <w:spacing w:val="-66"/>
        </w:rPr>
      </w:r>
      <w:r>
        <w:rPr/>
        <w:t>和科学决策。报告期内，董事会共召开会议</w:t>
      </w:r>
      <w:r>
        <w:rPr>
          <w:rFonts w:ascii="宋体" w:hAnsi="宋体" w:cs="宋体" w:eastAsia="宋体" w:hint="default"/>
        </w:rPr>
        <w:t>8</w:t>
      </w:r>
      <w:r>
        <w:rPr/>
        <w:t>次，审议议案</w:t>
      </w:r>
      <w:r>
        <w:rPr>
          <w:rFonts w:ascii="宋体" w:hAnsi="宋体" w:cs="宋体" w:eastAsia="宋体" w:hint="default"/>
        </w:rPr>
        <w:t>44</w:t>
      </w:r>
      <w:r>
        <w:rPr/>
        <w:t>项。</w:t>
      </w:r>
    </w:p>
    <w:p>
      <w:pPr>
        <w:pStyle w:val="BodyText"/>
        <w:spacing w:line="300" w:lineRule="auto" w:before="22"/>
        <w:ind w:left="514" w:right="1122"/>
        <w:jc w:val="left"/>
      </w:pPr>
      <w:r>
        <w:rPr>
          <w:rFonts w:ascii="Times New Roman" w:hAnsi="Times New Roman" w:cs="Times New Roman" w:eastAsia="Times New Roman" w:hint="default"/>
        </w:rPr>
        <w:t>4</w:t>
      </w:r>
      <w:r>
        <w:rPr/>
        <w:t>、监事与监事会 公司监事会由</w:t>
      </w:r>
      <w:r>
        <w:rPr>
          <w:rFonts w:ascii="Times New Roman" w:hAnsi="Times New Roman" w:cs="Times New Roman" w:eastAsia="Times New Roman" w:hint="default"/>
        </w:rPr>
        <w:t>3</w:t>
      </w:r>
      <w:r>
        <w:rPr/>
        <w:t>名监事组成，其中</w:t>
      </w:r>
      <w:r>
        <w:rPr>
          <w:rFonts w:ascii="Times New Roman" w:hAnsi="Times New Roman" w:cs="Times New Roman" w:eastAsia="Times New Roman" w:hint="default"/>
        </w:rPr>
        <w:t>2</w:t>
      </w:r>
      <w:r>
        <w:rPr/>
        <w:t>名监事由股东大会选举产生，</w:t>
      </w:r>
      <w:r>
        <w:rPr>
          <w:rFonts w:ascii="Times New Roman" w:hAnsi="Times New Roman" w:cs="Times New Roman" w:eastAsia="Times New Roman" w:hint="default"/>
        </w:rPr>
        <w:t>1</w:t>
      </w:r>
      <w:r>
        <w:rPr/>
        <w:t>名监事由职工代表大会选举产生。在日常工作中，监</w:t>
      </w:r>
    </w:p>
    <w:p>
      <w:pPr>
        <w:pStyle w:val="BodyText"/>
        <w:spacing w:line="316" w:lineRule="auto" w:before="13"/>
        <w:ind w:right="0"/>
        <w:jc w:val="left"/>
      </w:pPr>
      <w:r>
        <w:rPr>
          <w:spacing w:val="-2"/>
        </w:rPr>
        <w:t>事会能够勤勉尽责，严格按照《监事会议事规则》等制度的规定，切实维护公司利益和广大中小股东权益，认真履行监督职</w:t>
      </w:r>
      <w:r>
        <w:rPr>
          <w:spacing w:val="-66"/>
        </w:rPr>
        <w:t> </w:t>
      </w:r>
      <w:r>
        <w:rPr>
          <w:spacing w:val="-66"/>
        </w:rPr>
      </w:r>
      <w:r>
        <w:rPr/>
        <w:t>责，听取公司各项重要提案并发表意见，履行了监事会的监督职能。报告期内，监事会共召开会议</w:t>
      </w:r>
      <w:r>
        <w:rPr>
          <w:rFonts w:ascii="Times New Roman" w:hAnsi="Times New Roman" w:cs="Times New Roman" w:eastAsia="Times New Roman" w:hint="default"/>
        </w:rPr>
        <w:t>6</w:t>
      </w:r>
      <w:r>
        <w:rPr/>
        <w:t>次，审议议案</w:t>
      </w:r>
      <w:r>
        <w:rPr>
          <w:rFonts w:ascii="宋体" w:hAnsi="宋体" w:cs="宋体" w:eastAsia="宋体" w:hint="default"/>
        </w:rPr>
        <w:t>23</w:t>
      </w:r>
      <w:r>
        <w:rPr/>
        <w:t>项。</w:t>
      </w:r>
    </w:p>
    <w:p>
      <w:pPr>
        <w:pStyle w:val="BodyText"/>
        <w:spacing w:line="300" w:lineRule="auto"/>
        <w:ind w:left="514" w:right="0"/>
        <w:jc w:val="left"/>
      </w:pPr>
      <w:r>
        <w:rPr>
          <w:rFonts w:ascii="Times New Roman" w:hAnsi="Times New Roman" w:cs="Times New Roman" w:eastAsia="Times New Roman" w:hint="default"/>
        </w:rPr>
        <w:t>5</w:t>
      </w:r>
      <w:r>
        <w:rPr/>
        <w:t>、绩效评价与激励约束机制 </w:t>
      </w:r>
      <w:r>
        <w:rPr>
          <w:spacing w:val="-2"/>
        </w:rPr>
        <w:t>公司逐步建立和完善公正、透明的董事、监事和高级管理人员的绩效评价标准和激励约束机制，公司高级管理人员的聘</w:t>
      </w:r>
    </w:p>
    <w:p>
      <w:pPr>
        <w:pStyle w:val="BodyText"/>
        <w:spacing w:line="240" w:lineRule="auto" w:before="31"/>
        <w:ind w:left="154" w:right="0"/>
        <w:jc w:val="both"/>
      </w:pPr>
      <w:r>
        <w:rPr/>
        <w:t>任公开、透明，符合法律法规的规定。</w:t>
      </w:r>
    </w:p>
    <w:p>
      <w:pPr>
        <w:pStyle w:val="BodyText"/>
        <w:spacing w:line="300" w:lineRule="auto" w:before="76"/>
        <w:ind w:left="513" w:right="1118"/>
        <w:jc w:val="left"/>
      </w:pPr>
      <w:r>
        <w:rPr>
          <w:rFonts w:ascii="Times New Roman" w:hAnsi="Times New Roman" w:cs="Times New Roman" w:eastAsia="Times New Roman" w:hint="default"/>
        </w:rPr>
        <w:t>6</w:t>
      </w:r>
      <w:r>
        <w:rPr/>
        <w:t>、利益相关者 </w:t>
      </w:r>
      <w:r>
        <w:rPr>
          <w:spacing w:val="-2"/>
        </w:rPr>
        <w:t>公司尊重员工、客户、供应商等利益相关者的合法权利，实现各方利益的和谐发展，共同推动公司和行业持续、健康地</w:t>
      </w:r>
    </w:p>
    <w:p>
      <w:pPr>
        <w:pStyle w:val="BodyText"/>
        <w:spacing w:line="240" w:lineRule="auto" w:before="31"/>
        <w:ind w:right="0"/>
        <w:jc w:val="both"/>
      </w:pPr>
      <w:r>
        <w:rPr/>
        <w:t>发展。</w:t>
      </w:r>
    </w:p>
    <w:p>
      <w:pPr>
        <w:pStyle w:val="BodyText"/>
        <w:spacing w:line="300" w:lineRule="auto" w:before="76"/>
        <w:ind w:left="514" w:right="0"/>
        <w:jc w:val="left"/>
      </w:pPr>
      <w:r>
        <w:rPr>
          <w:rFonts w:ascii="Times New Roman" w:hAnsi="Times New Roman" w:cs="Times New Roman" w:eastAsia="Times New Roman" w:hint="default"/>
        </w:rPr>
        <w:t>7</w:t>
      </w:r>
      <w:r>
        <w:rPr/>
        <w:t>、信息披露与透明度 </w:t>
      </w:r>
      <w:r>
        <w:rPr>
          <w:spacing w:val="-2"/>
        </w:rPr>
        <w:t>公司指定董事会秘书为公司的投资者关系管理负责人，负责公司的信息披露与投资者关系的管理，接待投资者和调研机</w:t>
      </w:r>
    </w:p>
    <w:p>
      <w:pPr>
        <w:pStyle w:val="BodyText"/>
        <w:spacing w:line="316" w:lineRule="auto" w:before="31"/>
        <w:ind w:right="0"/>
        <w:jc w:val="left"/>
      </w:pPr>
      <w:r>
        <w:rPr>
          <w:spacing w:val="-2"/>
        </w:rPr>
        <w:t>构的来访。指定《证券时报》和巨潮资讯网为公司信息披露的报纸和网站，严格按照有关法律法规的规定和公司《投资者关</w:t>
      </w:r>
      <w:r>
        <w:rPr>
          <w:spacing w:val="-67"/>
        </w:rPr>
        <w:t> </w:t>
      </w:r>
      <w:r>
        <w:rPr>
          <w:spacing w:val="-67"/>
        </w:rPr>
      </w:r>
      <w:r>
        <w:rPr/>
        <w:t>系管理制度》《信息披露管理制度》，真实、准确、及时地披露信息，并确保所有股东有公平的机会获得信息。</w:t>
      </w:r>
    </w:p>
    <w:p>
      <w:pPr>
        <w:pStyle w:val="BodyText"/>
        <w:spacing w:line="300" w:lineRule="auto" w:before="19"/>
        <w:ind w:left="514" w:right="5712"/>
        <w:jc w:val="left"/>
      </w:pPr>
      <w:r>
        <w:rPr>
          <w:rFonts w:ascii="Times New Roman" w:hAnsi="Times New Roman" w:cs="Times New Roman" w:eastAsia="Times New Roman" w:hint="default"/>
        </w:rPr>
        <w:t>8</w:t>
      </w:r>
      <w:r>
        <w:rPr/>
        <w:t>、报告期内，公司已建立或修订的各项基本制度情况 报告期内，修订了《募集资金管理制度》、《公司章程》。</w:t>
      </w:r>
    </w:p>
    <w:p>
      <w:pPr>
        <w:pStyle w:val="BodyText"/>
        <w:spacing w:line="240" w:lineRule="auto" w:before="72"/>
        <w:ind w:left="154" w:right="0"/>
        <w:jc w:val="both"/>
      </w:pPr>
      <w:r>
        <w:rPr/>
        <w:t>公司治理的实际状况与中国证监会发布的有关上市公司治理的规范性文件是否存在重大差异</w:t>
      </w:r>
    </w:p>
    <w:p>
      <w:pPr>
        <w:pStyle w:val="BodyText"/>
        <w:spacing w:line="338" w:lineRule="auto" w:before="117"/>
        <w:ind w:right="3553"/>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否 公司治理的实际状况与中国证监会发布的有关上市公司治理的规范性文件不存在重大差异。</w:t>
      </w:r>
    </w:p>
    <w:p>
      <w:pPr>
        <w:spacing w:after="0" w:line="338" w:lineRule="auto"/>
        <w:jc w:val="left"/>
        <w:sectPr>
          <w:pgSz w:w="11910" w:h="16840"/>
          <w:pgMar w:header="747" w:footer="979" w:top="1060" w:bottom="116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0"/>
        <w:jc w:val="left"/>
        <w:rPr>
          <w:b w:val="0"/>
          <w:bCs w:val="0"/>
        </w:rPr>
      </w:pPr>
      <w:bookmarkStart w:name="二、公司相对于控股股东在业务、人员、资产、机构、财务等方面的独立情况" w:id="136"/>
      <w:bookmarkEnd w:id="136"/>
      <w:r>
        <w:rPr>
          <w:b w:val="0"/>
          <w:bCs w:val="0"/>
        </w:rPr>
      </w:r>
      <w:r>
        <w:rPr/>
        <w:t>二、公司相对于控股股东在业务、人员、资产、机构、财务等方面的独立情况</w:t>
      </w:r>
      <w:r>
        <w:rPr>
          <w:b w:val="0"/>
          <w:bCs w:val="0"/>
        </w:rPr>
      </w:r>
    </w:p>
    <w:p>
      <w:pPr>
        <w:spacing w:line="240" w:lineRule="auto" w:before="7"/>
        <w:rPr>
          <w:rFonts w:ascii="宋体" w:hAnsi="宋体" w:cs="宋体" w:eastAsia="宋体" w:hint="default"/>
          <w:b/>
          <w:bCs/>
          <w:sz w:val="26"/>
          <w:szCs w:val="26"/>
        </w:rPr>
      </w:pPr>
    </w:p>
    <w:p>
      <w:pPr>
        <w:pStyle w:val="BodyText"/>
        <w:spacing w:line="316" w:lineRule="auto"/>
        <w:ind w:right="1043" w:firstLine="360"/>
        <w:jc w:val="both"/>
      </w:pPr>
      <w:r>
        <w:rPr/>
        <w:t>公司严格按照《公司法》、《证券法》等有关法律法规和《公司章程》的要求规范运作，在业务、人员、资产、机构、 财务等方面均与控股股东完全分开，具有独立完整的业务及自主经营能力。</w:t>
      </w:r>
    </w:p>
    <w:p>
      <w:pPr>
        <w:pStyle w:val="BodyText"/>
        <w:spacing w:line="309" w:lineRule="auto" w:before="19"/>
        <w:ind w:left="154" w:right="1131" w:firstLine="360"/>
        <w:jc w:val="both"/>
      </w:pPr>
      <w:r>
        <w:rPr>
          <w:rFonts w:ascii="Times New Roman" w:hAnsi="Times New Roman" w:cs="Times New Roman" w:eastAsia="Times New Roman" w:hint="default"/>
        </w:rPr>
        <w:t>1</w:t>
      </w:r>
      <w:r>
        <w:rPr/>
        <w:t>、业务独立性：公司拥有独立完整的采购体系、生产体系、销售体系和研发设计体系，具有直接面向市场独立经营的 </w:t>
      </w:r>
      <w:r>
        <w:rPr>
          <w:spacing w:val="-2"/>
        </w:rPr>
        <w:t>能力，不存在其它需要依赖控股股东进行生产经营活动的情况。公司与控股股东之间无同业竞争，控股股东不存在直接或间</w:t>
      </w:r>
      <w:r>
        <w:rPr>
          <w:spacing w:val="-65"/>
        </w:rPr>
        <w:t> </w:t>
      </w:r>
      <w:r>
        <w:rPr>
          <w:spacing w:val="-65"/>
        </w:rPr>
      </w:r>
      <w:r>
        <w:rPr/>
        <w:t>接干预公司经营运作的情形。</w:t>
      </w:r>
    </w:p>
    <w:p>
      <w:pPr>
        <w:pStyle w:val="BodyText"/>
        <w:spacing w:line="309" w:lineRule="auto" w:before="24"/>
        <w:ind w:left="154" w:right="1133" w:firstLine="360"/>
        <w:jc w:val="both"/>
      </w:pPr>
      <w:r>
        <w:rPr>
          <w:rFonts w:ascii="Times New Roman" w:hAnsi="Times New Roman" w:cs="Times New Roman" w:eastAsia="Times New Roman" w:hint="default"/>
        </w:rPr>
        <w:t>2</w:t>
      </w:r>
      <w:r>
        <w:rPr/>
        <w:t>、人员独立性：公司在劳动、人事、工资管理等方面完全独立。公司的董事、监事、总经理、副总经理、财务负责人 </w:t>
      </w:r>
      <w:r>
        <w:rPr>
          <w:spacing w:val="-2"/>
        </w:rPr>
        <w:t>和董事会秘书等高级管理人员的任职，均按照《公司法》及其他法律、法规、规范性文件、公司章程规定的程序进行。公司</w:t>
      </w:r>
      <w:r>
        <w:rPr>
          <w:spacing w:val="-72"/>
        </w:rPr>
        <w:t> </w:t>
      </w:r>
      <w:r>
        <w:rPr>
          <w:spacing w:val="-72"/>
        </w:rPr>
      </w:r>
      <w:r>
        <w:rPr/>
        <w:t>总经理、副总经理、财务总监、董事会秘书等高级管理人员专职在公司工作并领取报酬。</w:t>
      </w:r>
    </w:p>
    <w:p>
      <w:pPr>
        <w:pStyle w:val="BodyText"/>
        <w:spacing w:line="300" w:lineRule="auto" w:before="24"/>
        <w:ind w:left="154" w:right="1140" w:firstLine="360"/>
        <w:jc w:val="both"/>
      </w:pPr>
      <w:r>
        <w:rPr>
          <w:rFonts w:ascii="Times New Roman" w:hAnsi="Times New Roman" w:cs="Times New Roman" w:eastAsia="Times New Roman" w:hint="default"/>
        </w:rPr>
        <w:t>3</w:t>
      </w:r>
      <w:r>
        <w:rPr/>
        <w:t>、资产独立性：公司与控股股东产权关系明晰，拥有独立的生产经营场所，拥有独立的研发、采购、生产、销售系统 及配套设施、商标使用权、土地使用权等资产，不存在控股股东占有公司资金、资产或其它资源的情况。</w:t>
      </w:r>
    </w:p>
    <w:p>
      <w:pPr>
        <w:pStyle w:val="BodyText"/>
        <w:spacing w:line="300" w:lineRule="auto" w:before="31"/>
        <w:ind w:left="154" w:right="1140" w:firstLine="360"/>
        <w:jc w:val="both"/>
      </w:pPr>
      <w:r>
        <w:rPr>
          <w:rFonts w:ascii="Times New Roman" w:hAnsi="Times New Roman" w:cs="Times New Roman" w:eastAsia="Times New Roman" w:hint="default"/>
        </w:rPr>
        <w:t>4</w:t>
      </w:r>
      <w:r>
        <w:rPr/>
        <w:t>、机构独立性：公司通过股东大会、董事会及其专门委员会、监事会、独立董事制度，强化权力制衡机制，形成了有 效的法人治理结构。公司销售、人事、行政、财务等所有机构与控股股东完全分开。</w:t>
      </w:r>
    </w:p>
    <w:p>
      <w:pPr>
        <w:pStyle w:val="BodyText"/>
        <w:spacing w:line="312" w:lineRule="auto" w:before="31"/>
        <w:ind w:left="154" w:right="1130" w:firstLine="360"/>
        <w:jc w:val="both"/>
      </w:pPr>
      <w:r>
        <w:rPr>
          <w:rFonts w:ascii="Times New Roman" w:hAnsi="Times New Roman" w:cs="Times New Roman" w:eastAsia="Times New Roman" w:hint="default"/>
        </w:rPr>
        <w:t>5</w:t>
      </w:r>
      <w:r>
        <w:rPr/>
        <w:t>、财务独立性：公司设立了独立的财务部门，配备了独立的财务人员，建立了独立的财务核算体系和规范的财务管理 </w:t>
      </w:r>
      <w:r>
        <w:rPr>
          <w:spacing w:val="-2"/>
        </w:rPr>
        <w:t>制度，能够独立作出财务决策。公司开设了独立的银行账号，依法独立进行纳税申报和履行纳税义务，不存在与控股股东共</w:t>
      </w:r>
      <w:r>
        <w:rPr>
          <w:spacing w:val="-66"/>
        </w:rPr>
        <w:t> </w:t>
      </w:r>
      <w:r>
        <w:rPr>
          <w:spacing w:val="-66"/>
        </w:rPr>
      </w:r>
      <w:r>
        <w:rPr>
          <w:spacing w:val="-2"/>
        </w:rPr>
        <w:t>用银行账户或混合纳税的情况。公司不存在货币资金或其他资产被控股股东占用的情况，也不存在为控股股东提供担保的情</w:t>
      </w:r>
      <w:r>
        <w:rPr>
          <w:spacing w:val="-63"/>
        </w:rPr>
        <w:t> </w:t>
      </w:r>
      <w:r>
        <w:rPr>
          <w:spacing w:val="-63"/>
        </w:rPr>
      </w:r>
      <w:r>
        <w:rPr/>
        <w:t>况。</w:t>
      </w:r>
    </w:p>
    <w:p>
      <w:pPr>
        <w:spacing w:line="240" w:lineRule="auto" w:before="0"/>
        <w:rPr>
          <w:rFonts w:ascii="宋体" w:hAnsi="宋体" w:cs="宋体" w:eastAsia="宋体" w:hint="default"/>
          <w:sz w:val="21"/>
          <w:szCs w:val="21"/>
        </w:rPr>
      </w:pPr>
    </w:p>
    <w:p>
      <w:pPr>
        <w:pStyle w:val="Heading2"/>
        <w:spacing w:line="240" w:lineRule="auto"/>
        <w:ind w:left="154" w:right="0"/>
        <w:jc w:val="left"/>
        <w:rPr>
          <w:b w:val="0"/>
          <w:bCs w:val="0"/>
        </w:rPr>
      </w:pPr>
      <w:bookmarkStart w:name="三、同业竞争情况" w:id="137"/>
      <w:bookmarkEnd w:id="137"/>
      <w:r>
        <w:rPr>
          <w:b w:val="0"/>
          <w:bCs w:val="0"/>
        </w:rPr>
      </w:r>
      <w:r>
        <w:rPr/>
        <w:t>三、同业竞争情况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3"/>
        <w:rPr>
          <w:rFonts w:ascii="宋体" w:hAnsi="宋体" w:cs="宋体" w:eastAsia="宋体" w:hint="default"/>
          <w:sz w:val="23"/>
          <w:szCs w:val="23"/>
        </w:rPr>
      </w:pPr>
    </w:p>
    <w:p>
      <w:pPr>
        <w:pStyle w:val="Heading2"/>
        <w:spacing w:line="240" w:lineRule="auto"/>
        <w:ind w:right="0"/>
        <w:jc w:val="left"/>
        <w:rPr>
          <w:b w:val="0"/>
          <w:bCs w:val="0"/>
        </w:rPr>
      </w:pPr>
      <w:bookmarkStart w:name="四、报告期内召开的年度股东大会和临时股东大会的有关情况" w:id="138"/>
      <w:bookmarkEnd w:id="138"/>
      <w:r>
        <w:rPr>
          <w:b w:val="0"/>
          <w:bCs w:val="0"/>
        </w:rPr>
      </w:r>
      <w:r>
        <w:rPr/>
        <w:t>四、报告期内召开的年度股东大会和临时股东大会的有关情况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left="153" w:right="0"/>
        <w:jc w:val="left"/>
        <w:rPr>
          <w:b w:val="0"/>
          <w:bCs w:val="0"/>
        </w:rPr>
      </w:pPr>
      <w:bookmarkStart w:name="1、本报告期股东大会情况" w:id="139"/>
      <w:bookmarkEnd w:id="139"/>
      <w:r>
        <w:rPr>
          <w:b w:val="0"/>
          <w:bCs w:val="0"/>
        </w:rPr>
      </w:r>
      <w:r>
        <w:rPr>
          <w:rFonts w:ascii="Times New Roman" w:hAnsi="Times New Roman" w:cs="Times New Roman" w:eastAsia="Times New Roman" w:hint="default"/>
        </w:rPr>
        <w:t>1</w:t>
      </w:r>
      <w:r>
        <w:rPr/>
        <w:t>、本报告期股东大会情况</w:t>
      </w:r>
      <w:r>
        <w:rPr>
          <w:b w:val="0"/>
          <w:bCs w:val="0"/>
        </w:rPr>
      </w:r>
    </w:p>
    <w:p>
      <w:pPr>
        <w:spacing w:line="240" w:lineRule="auto" w:before="10"/>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1596"/>
        <w:gridCol w:w="1594"/>
        <w:gridCol w:w="1595"/>
        <w:gridCol w:w="1594"/>
        <w:gridCol w:w="1594"/>
        <w:gridCol w:w="1595"/>
      </w:tblGrid>
      <w:tr>
        <w:trPr>
          <w:trHeight w:val="401"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会议届次</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2" w:right="0"/>
              <w:jc w:val="left"/>
              <w:rPr>
                <w:rFonts w:ascii="宋体" w:hAnsi="宋体" w:cs="宋体" w:eastAsia="宋体" w:hint="default"/>
                <w:sz w:val="18"/>
                <w:szCs w:val="18"/>
              </w:rPr>
            </w:pPr>
            <w:r>
              <w:rPr>
                <w:rFonts w:ascii="宋体" w:hAnsi="宋体" w:cs="宋体" w:eastAsia="宋体" w:hint="default"/>
                <w:sz w:val="18"/>
                <w:szCs w:val="18"/>
              </w:rPr>
              <w:t>会议类型</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63" w:right="0"/>
              <w:jc w:val="left"/>
              <w:rPr>
                <w:rFonts w:ascii="宋体" w:hAnsi="宋体" w:cs="宋体" w:eastAsia="宋体" w:hint="default"/>
                <w:sz w:val="18"/>
                <w:szCs w:val="18"/>
              </w:rPr>
            </w:pPr>
            <w:r>
              <w:rPr>
                <w:rFonts w:ascii="宋体" w:hAnsi="宋体" w:cs="宋体" w:eastAsia="宋体" w:hint="default"/>
                <w:sz w:val="18"/>
                <w:szCs w:val="18"/>
              </w:rPr>
              <w:t>投资者参与比例</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召开日期</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披露日期</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3" w:right="0"/>
              <w:jc w:val="left"/>
              <w:rPr>
                <w:rFonts w:ascii="宋体" w:hAnsi="宋体" w:cs="宋体" w:eastAsia="宋体" w:hint="default"/>
                <w:sz w:val="18"/>
                <w:szCs w:val="18"/>
              </w:rPr>
            </w:pPr>
            <w:r>
              <w:rPr>
                <w:rFonts w:ascii="宋体" w:hAnsi="宋体" w:cs="宋体" w:eastAsia="宋体" w:hint="default"/>
                <w:sz w:val="18"/>
                <w:szCs w:val="18"/>
              </w:rPr>
              <w:t>披露索引</w:t>
            </w:r>
          </w:p>
        </w:tc>
      </w:tr>
      <w:tr>
        <w:trPr>
          <w:trHeight w:val="196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right="54"/>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22" w:right="0"/>
              <w:jc w:val="left"/>
              <w:rPr>
                <w:rFonts w:ascii="宋体" w:hAnsi="宋体" w:cs="宋体" w:eastAsia="宋体" w:hint="default"/>
                <w:sz w:val="18"/>
                <w:szCs w:val="18"/>
              </w:rPr>
            </w:pPr>
            <w:r>
              <w:rPr>
                <w:rFonts w:ascii="宋体" w:hAnsi="宋体" w:cs="宋体" w:eastAsia="宋体" w:hint="default"/>
                <w:sz w:val="18"/>
                <w:szCs w:val="18"/>
              </w:rPr>
              <w:t>年度股东大会</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45.77%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right="5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right="5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04" w:lineRule="auto" w:before="52"/>
              <w:ind w:left="23" w:right="20"/>
              <w:jc w:val="both"/>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年度股东大会 决议公告（公告编 </w:t>
            </w:r>
            <w:r>
              <w:rPr>
                <w:rFonts w:ascii="宋体" w:hAnsi="宋体" w:cs="宋体" w:eastAsia="宋体" w:hint="default"/>
                <w:spacing w:val="-5"/>
                <w:sz w:val="18"/>
                <w:szCs w:val="18"/>
              </w:rPr>
              <w:t>号：</w:t>
            </w:r>
            <w:r>
              <w:rPr>
                <w:rFonts w:ascii="Times New Roman" w:hAnsi="Times New Roman" w:cs="Times New Roman" w:eastAsia="Times New Roman" w:hint="default"/>
                <w:spacing w:val="-5"/>
                <w:sz w:val="18"/>
                <w:szCs w:val="18"/>
              </w:rPr>
              <w:t>2017-035</w:t>
            </w:r>
            <w:r>
              <w:rPr>
                <w:rFonts w:ascii="宋体" w:hAnsi="宋体" w:cs="宋体" w:eastAsia="宋体" w:hint="default"/>
                <w:spacing w:val="-5"/>
                <w:sz w:val="18"/>
                <w:szCs w:val="18"/>
              </w:rPr>
              <w:t>）刊登</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在巨潮资讯网</w:t>
            </w:r>
          </w:p>
          <w:p>
            <w:pPr>
              <w:pStyle w:val="TableParagraph"/>
              <w:spacing w:line="240" w:lineRule="auto" w:before="67"/>
              <w:ind w:left="23" w:right="0"/>
              <w:jc w:val="both"/>
              <w:rPr>
                <w:rFonts w:ascii="Times New Roman" w:hAnsi="Times New Roman" w:cs="Times New Roman" w:eastAsia="Times New Roman" w:hint="default"/>
                <w:sz w:val="18"/>
                <w:szCs w:val="18"/>
              </w:rPr>
            </w:pPr>
            <w:hyperlink r:id="rId13">
              <w:r>
                <w:rPr>
                  <w:rFonts w:ascii="Times New Roman"/>
                  <w:sz w:val="18"/>
                </w:rPr>
                <w:t>(ww</w:t>
              </w:r>
            </w:hyperlink>
            <w:r>
              <w:rPr>
                <w:rFonts w:ascii="Times New Roman"/>
                <w:sz w:val="18"/>
              </w:rPr>
              <w:t>w</w:t>
            </w:r>
            <w:hyperlink r:id="rId13">
              <w:r>
                <w:rPr>
                  <w:rFonts w:ascii="Times New Roman"/>
                  <w:sz w:val="18"/>
                </w:rPr>
                <w:t>.cninfo.com.cn</w:t>
              </w:r>
            </w:hyperlink>
          </w:p>
          <w:p>
            <w:pPr>
              <w:pStyle w:val="TableParagraph"/>
              <w:spacing w:line="240" w:lineRule="auto" w:before="66"/>
              <w:ind w:left="23"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和《证券时报》</w:t>
            </w:r>
          </w:p>
        </w:tc>
      </w:tr>
      <w:tr>
        <w:trPr>
          <w:trHeight w:val="196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5"/>
                <w:szCs w:val="15"/>
              </w:rPr>
            </w:pPr>
          </w:p>
          <w:p>
            <w:pPr>
              <w:pStyle w:val="TableParagraph"/>
              <w:spacing w:line="300" w:lineRule="auto"/>
              <w:ind w:left="22" w:right="77"/>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年度第一次临 时股东大会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22"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41.41%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right="5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right="5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04" w:lineRule="auto" w:before="52"/>
              <w:ind w:left="23" w:right="20"/>
              <w:jc w:val="both"/>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年度股东大会 决议公告（公告编 </w:t>
            </w:r>
            <w:r>
              <w:rPr>
                <w:rFonts w:ascii="宋体" w:hAnsi="宋体" w:cs="宋体" w:eastAsia="宋体" w:hint="default"/>
                <w:spacing w:val="-5"/>
                <w:sz w:val="18"/>
                <w:szCs w:val="18"/>
              </w:rPr>
              <w:t>号：</w:t>
            </w:r>
            <w:r>
              <w:rPr>
                <w:rFonts w:ascii="Times New Roman" w:hAnsi="Times New Roman" w:cs="Times New Roman" w:eastAsia="Times New Roman" w:hint="default"/>
                <w:spacing w:val="-5"/>
                <w:sz w:val="18"/>
                <w:szCs w:val="18"/>
              </w:rPr>
              <w:t>2017-063</w:t>
            </w:r>
            <w:r>
              <w:rPr>
                <w:rFonts w:ascii="宋体" w:hAnsi="宋体" w:cs="宋体" w:eastAsia="宋体" w:hint="default"/>
                <w:spacing w:val="-5"/>
                <w:sz w:val="18"/>
                <w:szCs w:val="18"/>
              </w:rPr>
              <w:t>）刊登</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在巨潮资讯网</w:t>
            </w:r>
          </w:p>
          <w:p>
            <w:pPr>
              <w:pStyle w:val="TableParagraph"/>
              <w:spacing w:line="240" w:lineRule="auto" w:before="67"/>
              <w:ind w:left="23" w:right="0"/>
              <w:jc w:val="both"/>
              <w:rPr>
                <w:rFonts w:ascii="Times New Roman" w:hAnsi="Times New Roman" w:cs="Times New Roman" w:eastAsia="Times New Roman" w:hint="default"/>
                <w:sz w:val="18"/>
                <w:szCs w:val="18"/>
              </w:rPr>
            </w:pPr>
            <w:hyperlink r:id="rId13">
              <w:r>
                <w:rPr>
                  <w:rFonts w:ascii="Times New Roman"/>
                  <w:sz w:val="18"/>
                </w:rPr>
                <w:t>(ww</w:t>
              </w:r>
            </w:hyperlink>
            <w:r>
              <w:rPr>
                <w:rFonts w:ascii="Times New Roman"/>
                <w:sz w:val="18"/>
              </w:rPr>
              <w:t>w</w:t>
            </w:r>
            <w:hyperlink r:id="rId13">
              <w:r>
                <w:rPr>
                  <w:rFonts w:ascii="Times New Roman"/>
                  <w:sz w:val="18"/>
                </w:rPr>
                <w:t>.cninfo.com.cn</w:t>
              </w:r>
            </w:hyperlink>
          </w:p>
          <w:p>
            <w:pPr>
              <w:pStyle w:val="TableParagraph"/>
              <w:spacing w:line="240" w:lineRule="auto" w:before="66"/>
              <w:ind w:left="23"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和《证券时报》</w:t>
            </w:r>
          </w:p>
        </w:tc>
      </w:tr>
      <w:tr>
        <w:trPr>
          <w:trHeight w:val="986"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300" w:lineRule="auto"/>
              <w:ind w:left="22" w:right="77"/>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年度第二次临 时股东大会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6"/>
                <w:szCs w:val="26"/>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8"/>
              <w:ind w:right="19"/>
              <w:jc w:val="right"/>
              <w:rPr>
                <w:rFonts w:ascii="Times New Roman" w:hAnsi="Times New Roman" w:cs="Times New Roman" w:eastAsia="Times New Roman" w:hint="default"/>
                <w:sz w:val="18"/>
                <w:szCs w:val="18"/>
              </w:rPr>
            </w:pPr>
            <w:r>
              <w:rPr>
                <w:rFonts w:ascii="Times New Roman"/>
                <w:sz w:val="18"/>
              </w:rPr>
              <w:t>38.68%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6"/>
                <w:szCs w:val="26"/>
              </w:rPr>
            </w:pPr>
          </w:p>
          <w:p>
            <w:pPr>
              <w:pStyle w:val="TableParagraph"/>
              <w:spacing w:line="240" w:lineRule="auto"/>
              <w:ind w:right="59"/>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6"/>
                <w:szCs w:val="26"/>
              </w:rPr>
            </w:pPr>
          </w:p>
          <w:p>
            <w:pPr>
              <w:pStyle w:val="TableParagraph"/>
              <w:spacing w:line="240" w:lineRule="auto"/>
              <w:ind w:right="59"/>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2"/>
              <w:ind w:left="23" w:right="20"/>
              <w:jc w:val="both"/>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年度股东大会 决议公告（公告编 </w:t>
            </w:r>
            <w:r>
              <w:rPr>
                <w:rFonts w:ascii="宋体" w:hAnsi="宋体" w:cs="宋体" w:eastAsia="宋体" w:hint="default"/>
                <w:spacing w:val="-5"/>
                <w:sz w:val="18"/>
                <w:szCs w:val="18"/>
              </w:rPr>
              <w:t>号：</w:t>
            </w:r>
            <w:r>
              <w:rPr>
                <w:rFonts w:ascii="Times New Roman" w:hAnsi="Times New Roman" w:cs="Times New Roman" w:eastAsia="Times New Roman" w:hint="default"/>
                <w:spacing w:val="-5"/>
                <w:sz w:val="18"/>
                <w:szCs w:val="18"/>
              </w:rPr>
              <w:t>2017-086</w:t>
            </w:r>
            <w:r>
              <w:rPr>
                <w:rFonts w:ascii="宋体" w:hAnsi="宋体" w:cs="宋体" w:eastAsia="宋体" w:hint="default"/>
                <w:spacing w:val="-5"/>
                <w:sz w:val="18"/>
                <w:szCs w:val="18"/>
              </w:rPr>
              <w:t>）刊登</w:t>
            </w:r>
          </w:p>
        </w:tc>
      </w:tr>
    </w:tbl>
    <w:p>
      <w:pPr>
        <w:spacing w:after="0" w:line="309" w:lineRule="auto"/>
        <w:jc w:val="both"/>
        <w:rPr>
          <w:rFonts w:ascii="宋体" w:hAnsi="宋体" w:cs="宋体" w:eastAsia="宋体"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b/>
          <w:bCs/>
          <w:sz w:val="28"/>
          <w:szCs w:val="28"/>
        </w:rPr>
      </w:pPr>
    </w:p>
    <w:tbl>
      <w:tblPr>
        <w:tblW w:w="0" w:type="auto"/>
        <w:jc w:val="left"/>
        <w:tblInd w:w="149" w:type="dxa"/>
        <w:tblLayout w:type="fixed"/>
        <w:tblCellMar>
          <w:top w:w="0" w:type="dxa"/>
          <w:left w:w="0" w:type="dxa"/>
          <w:bottom w:w="0" w:type="dxa"/>
          <w:right w:w="0" w:type="dxa"/>
        </w:tblCellMar>
        <w:tblLook w:val="01E0"/>
      </w:tblPr>
      <w:tblGrid>
        <w:gridCol w:w="1596"/>
        <w:gridCol w:w="1594"/>
        <w:gridCol w:w="1595"/>
        <w:gridCol w:w="1594"/>
        <w:gridCol w:w="1594"/>
        <w:gridCol w:w="1595"/>
      </w:tblGrid>
      <w:tr>
        <w:trPr>
          <w:trHeight w:val="986" w:hRule="exact"/>
        </w:trPr>
        <w:tc>
          <w:tcPr>
            <w:tcW w:w="1596"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在巨潮资讯网</w:t>
            </w:r>
          </w:p>
          <w:p>
            <w:pPr>
              <w:pStyle w:val="TableParagraph"/>
              <w:spacing w:line="240" w:lineRule="auto" w:before="116"/>
              <w:ind w:left="23" w:right="0"/>
              <w:jc w:val="left"/>
              <w:rPr>
                <w:rFonts w:ascii="Times New Roman" w:hAnsi="Times New Roman" w:cs="Times New Roman" w:eastAsia="Times New Roman" w:hint="default"/>
                <w:sz w:val="18"/>
                <w:szCs w:val="18"/>
              </w:rPr>
            </w:pPr>
            <w:hyperlink r:id="rId13">
              <w:r>
                <w:rPr>
                  <w:rFonts w:ascii="Times New Roman"/>
                  <w:sz w:val="18"/>
                </w:rPr>
                <w:t>(ww</w:t>
              </w:r>
            </w:hyperlink>
            <w:r>
              <w:rPr>
                <w:rFonts w:ascii="Times New Roman"/>
                <w:sz w:val="18"/>
              </w:rPr>
              <w:t>w</w:t>
            </w:r>
            <w:hyperlink r:id="rId13">
              <w:r>
                <w:rPr>
                  <w:rFonts w:ascii="Times New Roman"/>
                  <w:sz w:val="18"/>
                </w:rPr>
                <w:t>.cninfo.com.cn</w:t>
              </w:r>
            </w:hyperlink>
          </w:p>
          <w:p>
            <w:pPr>
              <w:pStyle w:val="TableParagraph"/>
              <w:spacing w:line="240" w:lineRule="auto" w:before="66"/>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和《证券时报》</w:t>
            </w:r>
          </w:p>
        </w:tc>
      </w:tr>
    </w:tbl>
    <w:p>
      <w:pPr>
        <w:spacing w:line="240" w:lineRule="auto" w:before="3"/>
        <w:rPr>
          <w:rFonts w:ascii="宋体" w:hAnsi="宋体" w:cs="宋体" w:eastAsia="宋体" w:hint="default"/>
          <w:b/>
          <w:bCs/>
          <w:sz w:val="19"/>
          <w:szCs w:val="19"/>
        </w:rPr>
      </w:pPr>
    </w:p>
    <w:p>
      <w:pPr>
        <w:pStyle w:val="Heading3"/>
        <w:spacing w:line="240" w:lineRule="auto" w:before="35"/>
        <w:ind w:right="0"/>
        <w:jc w:val="left"/>
        <w:rPr>
          <w:b w:val="0"/>
          <w:bCs w:val="0"/>
        </w:rPr>
      </w:pPr>
      <w:bookmarkStart w:name="2、表决权恢复的优先股股东请求召开临时股东大会" w:id="140"/>
      <w:bookmarkEnd w:id="140"/>
      <w:r>
        <w:rPr>
          <w:b w:val="0"/>
          <w:bCs w:val="0"/>
        </w:rPr>
      </w:r>
      <w:r>
        <w:rPr>
          <w:rFonts w:ascii="Times New Roman" w:hAnsi="Times New Roman" w:cs="Times New Roman" w:eastAsia="Times New Roman" w:hint="default"/>
        </w:rPr>
        <w:t>2</w:t>
      </w:r>
      <w:r>
        <w:rPr/>
        <w:t>、表决权恢复的优先股股东请求召开临时股东大会</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154"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2"/>
        <w:rPr>
          <w:rFonts w:ascii="宋体" w:hAnsi="宋体" w:cs="宋体" w:eastAsia="宋体" w:hint="default"/>
          <w:sz w:val="23"/>
          <w:szCs w:val="23"/>
        </w:rPr>
      </w:pPr>
    </w:p>
    <w:p>
      <w:pPr>
        <w:pStyle w:val="Heading2"/>
        <w:spacing w:line="240" w:lineRule="auto"/>
        <w:ind w:right="0"/>
        <w:jc w:val="left"/>
        <w:rPr>
          <w:b w:val="0"/>
          <w:bCs w:val="0"/>
        </w:rPr>
      </w:pPr>
      <w:bookmarkStart w:name="五、报告期内独立董事履行职责的情况" w:id="141"/>
      <w:bookmarkEnd w:id="141"/>
      <w:r>
        <w:rPr>
          <w:b w:val="0"/>
          <w:bCs w:val="0"/>
        </w:rPr>
      </w:r>
      <w:r>
        <w:rPr/>
        <w:t>五、报告期内独立董事履行职责的情况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left="153" w:right="0"/>
        <w:jc w:val="left"/>
        <w:rPr>
          <w:b w:val="0"/>
          <w:bCs w:val="0"/>
        </w:rPr>
      </w:pPr>
      <w:bookmarkStart w:name="1、独立董事出席董事会及股东大会的情况" w:id="142"/>
      <w:bookmarkEnd w:id="142"/>
      <w:r>
        <w:rPr>
          <w:b w:val="0"/>
          <w:bCs w:val="0"/>
        </w:rPr>
      </w:r>
      <w:r>
        <w:rPr>
          <w:rFonts w:ascii="Times New Roman" w:hAnsi="Times New Roman" w:cs="Times New Roman" w:eastAsia="Times New Roman" w:hint="default"/>
        </w:rPr>
        <w:t>1</w:t>
      </w:r>
      <w:r>
        <w:rPr/>
        <w:t>、独立董事出席董事会及股东大会的情况</w:t>
      </w:r>
      <w:r>
        <w:rPr>
          <w:b w:val="0"/>
          <w:bCs w:val="0"/>
        </w:rPr>
      </w:r>
    </w:p>
    <w:p>
      <w:pPr>
        <w:spacing w:line="240" w:lineRule="auto" w:before="10"/>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1427"/>
        <w:gridCol w:w="1164"/>
        <w:gridCol w:w="1164"/>
        <w:gridCol w:w="1163"/>
        <w:gridCol w:w="1164"/>
        <w:gridCol w:w="1163"/>
        <w:gridCol w:w="1163"/>
        <w:gridCol w:w="1163"/>
      </w:tblGrid>
      <w:tr>
        <w:trPr>
          <w:trHeight w:val="402" w:hRule="exact"/>
        </w:trPr>
        <w:tc>
          <w:tcPr>
            <w:tcW w:w="9571"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独立董事出席董事会及股东大会的情况</w:t>
            </w:r>
          </w:p>
        </w:tc>
      </w:tr>
      <w:tr>
        <w:trPr>
          <w:trHeight w:val="1025"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68" w:right="0"/>
              <w:jc w:val="left"/>
              <w:rPr>
                <w:rFonts w:ascii="宋体" w:hAnsi="宋体" w:cs="宋体" w:eastAsia="宋体" w:hint="default"/>
                <w:sz w:val="18"/>
                <w:szCs w:val="18"/>
              </w:rPr>
            </w:pPr>
            <w:r>
              <w:rPr>
                <w:rFonts w:ascii="宋体" w:hAnsi="宋体" w:cs="宋体" w:eastAsia="宋体" w:hint="default"/>
                <w:sz w:val="18"/>
                <w:szCs w:val="18"/>
              </w:rPr>
              <w:t>独立董事姓名</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35" w:right="36"/>
              <w:jc w:val="left"/>
              <w:rPr>
                <w:rFonts w:ascii="宋体" w:hAnsi="宋体" w:cs="宋体" w:eastAsia="宋体" w:hint="default"/>
                <w:sz w:val="18"/>
                <w:szCs w:val="18"/>
              </w:rPr>
            </w:pPr>
            <w:r>
              <w:rPr>
                <w:rFonts w:ascii="宋体" w:hAnsi="宋体" w:cs="宋体" w:eastAsia="宋体" w:hint="default"/>
                <w:sz w:val="18"/>
                <w:szCs w:val="18"/>
              </w:rPr>
              <w:t>本报告期应参 加董事会次数</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306" w:right="36" w:hanging="270"/>
              <w:jc w:val="left"/>
              <w:rPr>
                <w:rFonts w:ascii="宋体" w:hAnsi="宋体" w:cs="宋体" w:eastAsia="宋体" w:hint="default"/>
                <w:sz w:val="18"/>
                <w:szCs w:val="18"/>
              </w:rPr>
            </w:pPr>
            <w:r>
              <w:rPr>
                <w:rFonts w:ascii="宋体" w:hAnsi="宋体" w:cs="宋体" w:eastAsia="宋体" w:hint="default"/>
                <w:sz w:val="18"/>
                <w:szCs w:val="18"/>
              </w:rPr>
              <w:t>现场出席董事 会次数</w:t>
            </w:r>
          </w:p>
        </w:tc>
        <w:tc>
          <w:tcPr>
            <w:tcW w:w="11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35" w:right="35"/>
              <w:jc w:val="left"/>
              <w:rPr>
                <w:rFonts w:ascii="宋体" w:hAnsi="宋体" w:cs="宋体" w:eastAsia="宋体" w:hint="default"/>
                <w:sz w:val="18"/>
                <w:szCs w:val="18"/>
              </w:rPr>
            </w:pPr>
            <w:r>
              <w:rPr>
                <w:rFonts w:ascii="宋体" w:hAnsi="宋体" w:cs="宋体" w:eastAsia="宋体" w:hint="default"/>
                <w:sz w:val="18"/>
                <w:szCs w:val="18"/>
              </w:rPr>
              <w:t>以通讯方式参 加董事会次数</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307" w:right="35" w:hanging="270"/>
              <w:jc w:val="left"/>
              <w:rPr>
                <w:rFonts w:ascii="宋体" w:hAnsi="宋体" w:cs="宋体" w:eastAsia="宋体" w:hint="default"/>
                <w:sz w:val="18"/>
                <w:szCs w:val="18"/>
              </w:rPr>
            </w:pPr>
            <w:r>
              <w:rPr>
                <w:rFonts w:ascii="宋体" w:hAnsi="宋体" w:cs="宋体" w:eastAsia="宋体" w:hint="default"/>
                <w:sz w:val="18"/>
                <w:szCs w:val="18"/>
              </w:rPr>
              <w:t>委托出席董事 会次数</w:t>
            </w:r>
          </w:p>
        </w:tc>
        <w:tc>
          <w:tcPr>
            <w:tcW w:w="11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486" w:right="35" w:hanging="450"/>
              <w:jc w:val="left"/>
              <w:rPr>
                <w:rFonts w:ascii="宋体" w:hAnsi="宋体" w:cs="宋体" w:eastAsia="宋体" w:hint="default"/>
                <w:sz w:val="18"/>
                <w:szCs w:val="18"/>
              </w:rPr>
            </w:pPr>
            <w:r>
              <w:rPr>
                <w:rFonts w:ascii="宋体" w:hAnsi="宋体" w:cs="宋体" w:eastAsia="宋体" w:hint="default"/>
                <w:sz w:val="18"/>
                <w:szCs w:val="18"/>
              </w:rPr>
              <w:t>缺席董事会次 数</w:t>
            </w:r>
          </w:p>
        </w:tc>
        <w:tc>
          <w:tcPr>
            <w:tcW w:w="11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35" w:right="35"/>
              <w:jc w:val="center"/>
              <w:rPr>
                <w:rFonts w:ascii="宋体" w:hAnsi="宋体" w:cs="宋体" w:eastAsia="宋体" w:hint="default"/>
                <w:sz w:val="18"/>
                <w:szCs w:val="18"/>
              </w:rPr>
            </w:pPr>
            <w:r>
              <w:rPr>
                <w:rFonts w:ascii="宋体" w:hAnsi="宋体" w:cs="宋体" w:eastAsia="宋体" w:hint="default"/>
                <w:sz w:val="18"/>
                <w:szCs w:val="18"/>
              </w:rPr>
              <w:t>是否连续两次 未亲自参加董 事会会议</w:t>
            </w:r>
          </w:p>
        </w:tc>
        <w:tc>
          <w:tcPr>
            <w:tcW w:w="11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396" w:right="35" w:hanging="360"/>
              <w:jc w:val="left"/>
              <w:rPr>
                <w:rFonts w:ascii="宋体" w:hAnsi="宋体" w:cs="宋体" w:eastAsia="宋体" w:hint="default"/>
                <w:sz w:val="18"/>
                <w:szCs w:val="18"/>
              </w:rPr>
            </w:pPr>
            <w:r>
              <w:rPr>
                <w:rFonts w:ascii="宋体" w:hAnsi="宋体" w:cs="宋体" w:eastAsia="宋体" w:hint="default"/>
                <w:sz w:val="18"/>
                <w:szCs w:val="18"/>
              </w:rPr>
              <w:t>出席股东大会 次数</w:t>
            </w:r>
          </w:p>
        </w:tc>
      </w:tr>
      <w:tr>
        <w:trPr>
          <w:trHeight w:val="402" w:hRule="exact"/>
        </w:trPr>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马秀敏</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z w:val="18"/>
              </w:rPr>
              <w:t>8</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z w:val="18"/>
              </w:rPr>
              <w:t>6</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王丽娜</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z w:val="18"/>
              </w:rPr>
              <w:t>8</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z w:val="18"/>
              </w:rPr>
              <w:t>7</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w:t>
            </w:r>
          </w:p>
        </w:tc>
      </w:tr>
      <w:tr>
        <w:trPr>
          <w:trHeight w:val="403" w:hRule="exact"/>
        </w:trPr>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贾广新</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z w:val="18"/>
              </w:rPr>
              <w:t>8</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z w:val="18"/>
              </w:rPr>
              <w:t>6</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w:t>
            </w:r>
          </w:p>
        </w:tc>
      </w:tr>
    </w:tbl>
    <w:p>
      <w:pPr>
        <w:pStyle w:val="BodyText"/>
        <w:spacing w:line="240" w:lineRule="auto" w:before="51"/>
        <w:ind w:left="154" w:right="0"/>
        <w:jc w:val="both"/>
      </w:pPr>
      <w:r>
        <w:rPr/>
        <w:t>连续两次未亲自出席董事会的说明</w:t>
      </w:r>
    </w:p>
    <w:p>
      <w:pPr>
        <w:spacing w:line="240" w:lineRule="auto" w:before="10"/>
        <w:rPr>
          <w:rFonts w:ascii="宋体" w:hAnsi="宋体" w:cs="宋体" w:eastAsia="宋体" w:hint="default"/>
          <w:sz w:val="26"/>
          <w:szCs w:val="26"/>
        </w:rPr>
      </w:pPr>
    </w:p>
    <w:p>
      <w:pPr>
        <w:pStyle w:val="Heading3"/>
        <w:spacing w:line="240" w:lineRule="auto"/>
        <w:ind w:right="0"/>
        <w:jc w:val="both"/>
        <w:rPr>
          <w:b w:val="0"/>
          <w:bCs w:val="0"/>
        </w:rPr>
      </w:pPr>
      <w:bookmarkStart w:name="2、独立董事对公司有关事项提出异议的情况" w:id="143"/>
      <w:bookmarkEnd w:id="143"/>
      <w:r>
        <w:rPr>
          <w:b w:val="0"/>
          <w:bCs w:val="0"/>
        </w:rPr>
      </w:r>
      <w:r>
        <w:rPr>
          <w:rFonts w:ascii="Times New Roman" w:hAnsi="Times New Roman" w:cs="Times New Roman" w:eastAsia="Times New Roman" w:hint="default"/>
        </w:rPr>
        <w:t>2</w:t>
      </w:r>
      <w:r>
        <w:rPr/>
        <w:t>、独立董事对公司有关事项提出异议的情况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154" w:right="0"/>
        <w:jc w:val="both"/>
      </w:pPr>
      <w:r>
        <w:rPr/>
        <w:t>独立董事对公司有关事项是否提出异议</w:t>
      </w:r>
    </w:p>
    <w:p>
      <w:pPr>
        <w:pStyle w:val="BodyText"/>
        <w:spacing w:line="340" w:lineRule="auto" w:before="116"/>
        <w:ind w:right="6973"/>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否 报告期内独立董事对公司有关事项未提出异议。</w:t>
      </w:r>
    </w:p>
    <w:p>
      <w:pPr>
        <w:spacing w:line="240" w:lineRule="auto" w:before="12"/>
        <w:rPr>
          <w:rFonts w:ascii="宋体" w:hAnsi="宋体" w:cs="宋体" w:eastAsia="宋体" w:hint="default"/>
          <w:sz w:val="20"/>
          <w:szCs w:val="20"/>
        </w:rPr>
      </w:pPr>
    </w:p>
    <w:p>
      <w:pPr>
        <w:pStyle w:val="Heading3"/>
        <w:spacing w:line="240" w:lineRule="auto"/>
        <w:ind w:left="153" w:right="0"/>
        <w:jc w:val="both"/>
        <w:rPr>
          <w:b w:val="0"/>
          <w:bCs w:val="0"/>
        </w:rPr>
      </w:pPr>
      <w:bookmarkStart w:name="3、独立董事履行职责的其他说明" w:id="144"/>
      <w:bookmarkEnd w:id="144"/>
      <w:r>
        <w:rPr>
          <w:b w:val="0"/>
          <w:bCs w:val="0"/>
        </w:rPr>
      </w:r>
      <w:r>
        <w:rPr>
          <w:rFonts w:ascii="Times New Roman" w:hAnsi="Times New Roman" w:cs="Times New Roman" w:eastAsia="Times New Roman" w:hint="default"/>
        </w:rPr>
        <w:t>3</w:t>
      </w:r>
      <w:r>
        <w:rPr/>
        <w:t>、独立董事履行职责的其他说明</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both"/>
      </w:pPr>
      <w:r>
        <w:rPr/>
        <w:t>独立董事对公司有关建议是否被采纳</w:t>
      </w:r>
    </w:p>
    <w:p>
      <w:pPr>
        <w:pStyle w:val="BodyText"/>
        <w:spacing w:line="338" w:lineRule="auto" w:before="116"/>
        <w:ind w:right="6793"/>
        <w:jc w:val="left"/>
      </w:pPr>
      <w:r>
        <w:rPr>
          <w:rFonts w:ascii="Times New Roman" w:hAnsi="Times New Roman" w:cs="Times New Roman" w:eastAsia="Times New Roman" w:hint="default"/>
        </w:rPr>
        <w:t>√</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否 独立董事对公司有关建议被采纳或未被采纳的说明</w:t>
      </w:r>
    </w:p>
    <w:p>
      <w:pPr>
        <w:pStyle w:val="BodyText"/>
        <w:spacing w:line="316" w:lineRule="auto" w:before="42"/>
        <w:ind w:right="0" w:firstLine="360"/>
        <w:jc w:val="left"/>
      </w:pPr>
      <w:r>
        <w:rPr>
          <w:spacing w:val="-2"/>
        </w:rPr>
        <w:t>报告期内，独立董事通过参加会议和现场检查等方式，及时了解掌握公司经营与发展情况，结合其在管理、财务、法律</w:t>
      </w:r>
      <w:r>
        <w:rPr/>
        <w:t> 等方面的特长，就公司的战略发展、内部控制等方面提出的合理的建议，公司结合自身实际情况予以采纳。</w:t>
      </w:r>
    </w:p>
    <w:p>
      <w:pPr>
        <w:spacing w:line="240" w:lineRule="auto" w:before="10"/>
        <w:rPr>
          <w:rFonts w:ascii="宋体" w:hAnsi="宋体" w:cs="宋体" w:eastAsia="宋体" w:hint="default"/>
          <w:sz w:val="20"/>
          <w:szCs w:val="20"/>
        </w:rPr>
      </w:pPr>
    </w:p>
    <w:p>
      <w:pPr>
        <w:pStyle w:val="Heading2"/>
        <w:spacing w:line="240" w:lineRule="auto"/>
        <w:ind w:right="0"/>
        <w:jc w:val="both"/>
        <w:rPr>
          <w:b w:val="0"/>
          <w:bCs w:val="0"/>
        </w:rPr>
      </w:pPr>
      <w:bookmarkStart w:name="六、董事会下设专门委员会在报告期内履行职责情况" w:id="145"/>
      <w:bookmarkEnd w:id="145"/>
      <w:r>
        <w:rPr>
          <w:b w:val="0"/>
          <w:bCs w:val="0"/>
        </w:rPr>
      </w:r>
      <w:r>
        <w:rPr/>
        <w:t>六、董事会下设专门委员会在报告期内履行职责情况</w:t>
      </w:r>
      <w:r>
        <w:rPr>
          <w:b w:val="0"/>
          <w:bCs w:val="0"/>
        </w:rPr>
      </w:r>
    </w:p>
    <w:p>
      <w:pPr>
        <w:spacing w:line="240" w:lineRule="auto" w:before="6"/>
        <w:rPr>
          <w:rFonts w:ascii="宋体" w:hAnsi="宋体" w:cs="宋体" w:eastAsia="宋体" w:hint="default"/>
          <w:b/>
          <w:bCs/>
          <w:sz w:val="26"/>
          <w:szCs w:val="26"/>
        </w:rPr>
      </w:pPr>
    </w:p>
    <w:p>
      <w:pPr>
        <w:pStyle w:val="BodyText"/>
        <w:spacing w:line="300" w:lineRule="auto"/>
        <w:ind w:left="513" w:right="0"/>
        <w:jc w:val="left"/>
      </w:pPr>
      <w:r>
        <w:rPr>
          <w:rFonts w:ascii="Times New Roman" w:hAnsi="Times New Roman" w:cs="Times New Roman" w:eastAsia="Times New Roman" w:hint="default"/>
        </w:rPr>
        <w:t>1</w:t>
      </w:r>
      <w:r>
        <w:rPr/>
        <w:t>、董事会战略委员会的履职情况 </w:t>
      </w:r>
      <w:r>
        <w:rPr>
          <w:spacing w:val="-2"/>
        </w:rPr>
        <w:t>公司董事会战略委员会由吴涵渠、王丽娜、贾广新三位董事组成，其中王丽娜、贾广新为独立董事，吴涵渠担任委员会</w:t>
      </w:r>
    </w:p>
    <w:p>
      <w:pPr>
        <w:pStyle w:val="BodyText"/>
        <w:spacing w:line="309" w:lineRule="auto" w:before="31"/>
        <w:ind w:right="1158"/>
        <w:jc w:val="both"/>
      </w:pPr>
      <w:r>
        <w:rPr/>
        <w:t>主任。</w:t>
      </w:r>
      <w:r>
        <w:rPr>
          <w:spacing w:val="-19"/>
        </w:rPr>
        <w:t> </w:t>
      </w:r>
      <w:r>
        <w:rPr/>
        <w:t>报告期内，根据中国证监会、深圳证券交易所及公司《战略委员会议事规则》的规定，公司战略委员会本着勤勉尽</w:t>
      </w:r>
      <w:r>
        <w:rPr/>
        <w:t> 责的原则，履行工作职责。报告期内，战略委员会共召开了</w:t>
      </w:r>
      <w:r>
        <w:rPr>
          <w:rFonts w:ascii="Times New Roman" w:hAnsi="Times New Roman" w:cs="Times New Roman" w:eastAsia="Times New Roman" w:hint="default"/>
        </w:rPr>
        <w:t>1</w:t>
      </w:r>
      <w:r>
        <w:rPr/>
        <w:t>次会议，审议通过了《关于</w:t>
      </w:r>
      <w:r>
        <w:rPr>
          <w:rFonts w:ascii="Times New Roman" w:hAnsi="Times New Roman" w:cs="Times New Roman" w:eastAsia="Times New Roman" w:hint="default"/>
        </w:rPr>
        <w:t>&lt;</w:t>
      </w:r>
      <w:r>
        <w:rPr/>
        <w:t>公司</w:t>
      </w:r>
      <w:r>
        <w:rPr>
          <w:rFonts w:ascii="Times New Roman" w:hAnsi="Times New Roman" w:cs="Times New Roman" w:eastAsia="Times New Roman" w:hint="default"/>
        </w:rPr>
        <w:t>2017</w:t>
      </w:r>
      <w:r>
        <w:rPr/>
        <w:t>年度发展战略和经营计 划</w:t>
      </w:r>
      <w:r>
        <w:rPr>
          <w:rFonts w:ascii="Times New Roman" w:hAnsi="Times New Roman" w:cs="Times New Roman" w:eastAsia="Times New Roman" w:hint="default"/>
        </w:rPr>
        <w:t>&gt;</w:t>
      </w:r>
      <w:r>
        <w:rPr/>
        <w:t>的议案》。</w:t>
      </w:r>
    </w:p>
    <w:p>
      <w:pPr>
        <w:spacing w:after="0" w:line="309" w:lineRule="auto"/>
        <w:jc w:val="both"/>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00" w:lineRule="auto" w:before="44"/>
        <w:ind w:left="513" w:right="0"/>
        <w:jc w:val="left"/>
      </w:pPr>
      <w:r>
        <w:rPr>
          <w:rFonts w:ascii="Times New Roman" w:hAnsi="Times New Roman" w:cs="Times New Roman" w:eastAsia="Times New Roman" w:hint="default"/>
        </w:rPr>
        <w:t>2</w:t>
      </w:r>
      <w:r>
        <w:rPr/>
        <w:t>、董事会审计委员会的履职情况 </w:t>
      </w:r>
      <w:r>
        <w:rPr>
          <w:spacing w:val="-2"/>
        </w:rPr>
        <w:t>公司董事会审计委员会由马秀敏、王丽娜、吴涵渠三位董事组成，其中马秀敏、王丽娜为独立董事，马秀敏（会计专业</w:t>
      </w:r>
    </w:p>
    <w:p>
      <w:pPr>
        <w:pStyle w:val="BodyText"/>
        <w:spacing w:line="316" w:lineRule="auto" w:before="31"/>
        <w:ind w:right="1130"/>
        <w:jc w:val="both"/>
      </w:pPr>
      <w:r>
        <w:rPr>
          <w:spacing w:val="-2"/>
        </w:rPr>
        <w:t>人士）担任委员会主任。报告期内，根据中国证监会、深圳证券交易所及公司《审计委员会议事规则》的规定，公司董事会</w:t>
      </w:r>
      <w:r>
        <w:rPr>
          <w:spacing w:val="-71"/>
        </w:rPr>
        <w:t> </w:t>
      </w:r>
      <w:r>
        <w:rPr>
          <w:spacing w:val="-71"/>
        </w:rPr>
      </w:r>
      <w:r>
        <w:rPr>
          <w:spacing w:val="-2"/>
        </w:rPr>
        <w:t>审计委员会本着勤勉尽责的原则，履行工作职责。报告期内，审计委员会共召开</w:t>
      </w:r>
      <w:r>
        <w:rPr>
          <w:rFonts w:ascii="宋体" w:hAnsi="宋体" w:cs="宋体" w:eastAsia="宋体" w:hint="default"/>
          <w:spacing w:val="-2"/>
        </w:rPr>
        <w:t>6</w:t>
      </w:r>
      <w:r>
        <w:rPr>
          <w:spacing w:val="-2"/>
        </w:rPr>
        <w:t>次会议，审议通过了《关于</w:t>
      </w:r>
      <w:r>
        <w:rPr>
          <w:rFonts w:ascii="宋体" w:hAnsi="宋体" w:cs="宋体" w:eastAsia="宋体" w:hint="default"/>
          <w:spacing w:val="-2"/>
        </w:rPr>
        <w:t>&lt;2016</w:t>
      </w:r>
      <w:r>
        <w:rPr>
          <w:spacing w:val="-2"/>
        </w:rPr>
        <w:t>年度审计</w:t>
      </w:r>
      <w:r>
        <w:rPr>
          <w:spacing w:val="-60"/>
        </w:rPr>
        <w:t> </w:t>
      </w:r>
      <w:r>
        <w:rPr>
          <w:spacing w:val="-60"/>
        </w:rPr>
      </w:r>
      <w:r>
        <w:rPr/>
        <w:t>部工作总结</w:t>
      </w:r>
      <w:r>
        <w:rPr>
          <w:rFonts w:ascii="宋体" w:hAnsi="宋体" w:cs="宋体" w:eastAsia="宋体" w:hint="default"/>
        </w:rPr>
        <w:t>&gt;</w:t>
      </w:r>
      <w:r>
        <w:rPr/>
        <w:t>的议案》、《关于</w:t>
      </w:r>
      <w:r>
        <w:rPr>
          <w:rFonts w:ascii="宋体" w:hAnsi="宋体" w:cs="宋体" w:eastAsia="宋体" w:hint="default"/>
        </w:rPr>
        <w:t>&lt;2017</w:t>
      </w:r>
      <w:r>
        <w:rPr/>
        <w:t>年度审计部工作计划</w:t>
      </w:r>
      <w:r>
        <w:rPr>
          <w:rFonts w:ascii="宋体" w:hAnsi="宋体" w:cs="宋体" w:eastAsia="宋体" w:hint="default"/>
        </w:rPr>
        <w:t>&gt;</w:t>
      </w:r>
      <w:r>
        <w:rPr/>
        <w:t>的议案》、《关于</w:t>
      </w:r>
      <w:r>
        <w:rPr>
          <w:rFonts w:ascii="宋体" w:hAnsi="宋体" w:cs="宋体" w:eastAsia="宋体" w:hint="default"/>
        </w:rPr>
        <w:t>&lt;</w:t>
      </w:r>
      <w:r>
        <w:rPr/>
        <w:t>公司</w:t>
      </w:r>
      <w:r>
        <w:rPr>
          <w:rFonts w:ascii="宋体" w:hAnsi="宋体" w:cs="宋体" w:eastAsia="宋体" w:hint="default"/>
        </w:rPr>
        <w:t>2016</w:t>
      </w:r>
      <w:r>
        <w:rPr/>
        <w:t>年度财务决算报告</w:t>
      </w:r>
      <w:r>
        <w:rPr>
          <w:rFonts w:ascii="宋体" w:hAnsi="宋体" w:cs="宋体" w:eastAsia="宋体" w:hint="default"/>
        </w:rPr>
        <w:t>&gt;</w:t>
      </w:r>
      <w:r>
        <w:rPr/>
        <w:t>的议案》、《关 于</w:t>
      </w:r>
      <w:r>
        <w:rPr>
          <w:rFonts w:ascii="宋体" w:hAnsi="宋体" w:cs="宋体" w:eastAsia="宋体" w:hint="default"/>
        </w:rPr>
        <w:t>&lt;</w:t>
      </w:r>
      <w:r>
        <w:rPr/>
        <w:t>公司</w:t>
      </w:r>
      <w:r>
        <w:rPr>
          <w:rFonts w:ascii="宋体" w:hAnsi="宋体" w:cs="宋体" w:eastAsia="宋体" w:hint="default"/>
        </w:rPr>
        <w:t>2016</w:t>
      </w:r>
      <w:r>
        <w:rPr/>
        <w:t>年度募集资金存放与使用情况的专项报告</w:t>
      </w:r>
      <w:r>
        <w:rPr>
          <w:rFonts w:ascii="宋体" w:hAnsi="宋体" w:cs="宋体" w:eastAsia="宋体" w:hint="default"/>
        </w:rPr>
        <w:t>&gt;</w:t>
      </w:r>
      <w:r>
        <w:rPr/>
        <w:t>的议案》、《关于公司 </w:t>
      </w:r>
      <w:r>
        <w:rPr>
          <w:rFonts w:ascii="宋体" w:hAnsi="宋体" w:cs="宋体" w:eastAsia="宋体" w:hint="default"/>
        </w:rPr>
        <w:t>2017</w:t>
      </w:r>
      <w:r>
        <w:rPr/>
        <w:t>年半年度募集资金存放与使用情况的专 </w:t>
      </w:r>
      <w:r>
        <w:rPr>
          <w:spacing w:val="-2"/>
        </w:rPr>
        <w:t>项报告的议案》、《关于全资子公司使用闲置募集资金进行现金管理的议案》、《关于以募集资金置换已预先投入自筹资金</w:t>
      </w:r>
      <w:r>
        <w:rPr>
          <w:spacing w:val="-68"/>
        </w:rPr>
        <w:t> </w:t>
      </w:r>
      <w:r>
        <w:rPr>
          <w:spacing w:val="-68"/>
        </w:rPr>
      </w:r>
      <w:r>
        <w:rPr>
          <w:spacing w:val="-2"/>
        </w:rPr>
        <w:t>的议案》、《关于修订</w:t>
      </w:r>
      <w:r>
        <w:rPr>
          <w:rFonts w:ascii="宋体" w:hAnsi="宋体" w:cs="宋体" w:eastAsia="宋体" w:hint="default"/>
          <w:spacing w:val="-2"/>
        </w:rPr>
        <w:t>&lt;</w:t>
      </w:r>
      <w:r>
        <w:rPr>
          <w:spacing w:val="-2"/>
        </w:rPr>
        <w:t>募集资金管理制度</w:t>
      </w:r>
      <w:r>
        <w:rPr>
          <w:rFonts w:ascii="宋体" w:hAnsi="宋体" w:cs="宋体" w:eastAsia="宋体" w:hint="default"/>
          <w:spacing w:val="-2"/>
        </w:rPr>
        <w:t>&gt;</w:t>
      </w:r>
      <w:r>
        <w:rPr>
          <w:spacing w:val="-2"/>
        </w:rPr>
        <w:t>的议案》、《关于</w:t>
      </w:r>
      <w:r>
        <w:rPr>
          <w:rFonts w:ascii="宋体" w:hAnsi="宋体" w:cs="宋体" w:eastAsia="宋体" w:hint="default"/>
          <w:spacing w:val="-2"/>
        </w:rPr>
        <w:t>&lt;</w:t>
      </w:r>
      <w:r>
        <w:rPr>
          <w:spacing w:val="-2"/>
        </w:rPr>
        <w:t>公司</w:t>
      </w:r>
      <w:r>
        <w:rPr>
          <w:rFonts w:ascii="宋体" w:hAnsi="宋体" w:cs="宋体" w:eastAsia="宋体" w:hint="default"/>
          <w:spacing w:val="-2"/>
        </w:rPr>
        <w:t>2016</w:t>
      </w:r>
      <w:r>
        <w:rPr>
          <w:spacing w:val="-2"/>
        </w:rPr>
        <w:t>年度内部控制自我评价报告</w:t>
      </w:r>
      <w:r>
        <w:rPr>
          <w:rFonts w:ascii="宋体" w:hAnsi="宋体" w:cs="宋体" w:eastAsia="宋体" w:hint="default"/>
          <w:spacing w:val="-2"/>
        </w:rPr>
        <w:t>&gt;</w:t>
      </w:r>
      <w:r>
        <w:rPr>
          <w:spacing w:val="-2"/>
        </w:rPr>
        <w:t>的议案》、《关于公司</w:t>
      </w:r>
      <w:r>
        <w:rPr>
          <w:spacing w:val="-61"/>
        </w:rPr>
        <w:t> </w:t>
      </w:r>
      <w:r>
        <w:rPr>
          <w:spacing w:val="-61"/>
        </w:rPr>
      </w:r>
      <w:r>
        <w:rPr>
          <w:spacing w:val="-2"/>
        </w:rPr>
        <w:t>续聘会计师事务所的议案》、《关于公司</w:t>
      </w:r>
      <w:r>
        <w:rPr>
          <w:rFonts w:ascii="宋体" w:hAnsi="宋体" w:cs="宋体" w:eastAsia="宋体" w:hint="default"/>
          <w:spacing w:val="-2"/>
        </w:rPr>
        <w:t>2017</w:t>
      </w:r>
      <w:r>
        <w:rPr>
          <w:spacing w:val="-2"/>
        </w:rPr>
        <w:t>年第一季度财务报告的议案》、《关于审计部</w:t>
      </w:r>
      <w:r>
        <w:rPr>
          <w:rFonts w:ascii="宋体" w:hAnsi="宋体" w:cs="宋体" w:eastAsia="宋体" w:hint="default"/>
          <w:spacing w:val="-2"/>
        </w:rPr>
        <w:t>2017</w:t>
      </w:r>
      <w:r>
        <w:rPr>
          <w:spacing w:val="-2"/>
        </w:rPr>
        <w:t>年第一季度工作总结报告和</w:t>
      </w:r>
      <w:r>
        <w:rPr>
          <w:spacing w:val="-60"/>
        </w:rPr>
        <w:t> </w:t>
      </w:r>
      <w:r>
        <w:rPr>
          <w:spacing w:val="-2"/>
        </w:rPr>
        <w:t>第二季度工作计划的议案》、《关于公司</w:t>
      </w:r>
      <w:r>
        <w:rPr>
          <w:rFonts w:ascii="宋体" w:hAnsi="宋体" w:cs="宋体" w:eastAsia="宋体" w:hint="default"/>
          <w:spacing w:val="-2"/>
        </w:rPr>
        <w:t>2017</w:t>
      </w:r>
      <w:r>
        <w:rPr>
          <w:spacing w:val="-2"/>
        </w:rPr>
        <w:t>年半年度财务报告的议案》、《关于审计部</w:t>
      </w:r>
      <w:r>
        <w:rPr>
          <w:rFonts w:ascii="宋体" w:hAnsi="宋体" w:cs="宋体" w:eastAsia="宋体" w:hint="default"/>
          <w:spacing w:val="-2"/>
        </w:rPr>
        <w:t>2017</w:t>
      </w:r>
      <w:r>
        <w:rPr>
          <w:spacing w:val="-2"/>
        </w:rPr>
        <w:t>年第二季度工作总结报告和第</w:t>
      </w:r>
      <w:r>
        <w:rPr>
          <w:spacing w:val="-60"/>
        </w:rPr>
        <w:t> </w:t>
      </w:r>
      <w:r>
        <w:rPr>
          <w:spacing w:val="-2"/>
        </w:rPr>
        <w:t>三季度工作计划的议案》、《关于公司</w:t>
      </w:r>
      <w:r>
        <w:rPr>
          <w:rFonts w:ascii="宋体" w:hAnsi="宋体" w:cs="宋体" w:eastAsia="宋体" w:hint="default"/>
          <w:spacing w:val="-2"/>
        </w:rPr>
        <w:t>2017</w:t>
      </w:r>
      <w:r>
        <w:rPr>
          <w:spacing w:val="-2"/>
        </w:rPr>
        <w:t>年第三季度财务报告的议案》、《关于审计部</w:t>
      </w:r>
      <w:r>
        <w:rPr>
          <w:rFonts w:ascii="宋体" w:hAnsi="宋体" w:cs="宋体" w:eastAsia="宋体" w:hint="default"/>
          <w:spacing w:val="-2"/>
        </w:rPr>
        <w:t>2017</w:t>
      </w:r>
      <w:r>
        <w:rPr>
          <w:spacing w:val="-2"/>
        </w:rPr>
        <w:t>年第三季度工作总结报告和第</w:t>
      </w:r>
      <w:r>
        <w:rPr>
          <w:spacing w:val="-59"/>
        </w:rPr>
        <w:t> </w:t>
      </w:r>
      <w:r>
        <w:rPr/>
        <w:t>四季度工作计划的议案》、《关于会计政策变更的议案》。</w:t>
      </w:r>
    </w:p>
    <w:p>
      <w:pPr>
        <w:pStyle w:val="BodyText"/>
        <w:spacing w:line="300" w:lineRule="auto" w:before="19"/>
        <w:ind w:left="514" w:right="0"/>
        <w:jc w:val="left"/>
      </w:pPr>
      <w:r>
        <w:rPr>
          <w:rFonts w:ascii="Times New Roman" w:hAnsi="Times New Roman" w:cs="Times New Roman" w:eastAsia="Times New Roman" w:hint="default"/>
        </w:rPr>
        <w:t>3</w:t>
      </w:r>
      <w:r>
        <w:rPr/>
        <w:t>、董事会薪酬与考核委员会的履职情况 </w:t>
      </w:r>
      <w:r>
        <w:rPr>
          <w:spacing w:val="-2"/>
        </w:rPr>
        <w:t>公司董事会薪酬与考核委员会有王丽娜、贾广新、吴涵渠三位董事组成，其中王丽娜、贾广新为独立董事，王丽娜担任</w:t>
      </w:r>
    </w:p>
    <w:p>
      <w:pPr>
        <w:pStyle w:val="BodyText"/>
        <w:spacing w:line="304" w:lineRule="auto" w:before="31"/>
        <w:ind w:right="1033"/>
        <w:jc w:val="left"/>
      </w:pPr>
      <w:r>
        <w:rPr>
          <w:spacing w:val="-2"/>
        </w:rPr>
        <w:t>委员会主任。报告期内，根据中国证监会、深圳证券交易所及公司《薪酬与考核委员会议事规则》的规定。公司董事会薪酬</w:t>
      </w:r>
      <w:r>
        <w:rPr>
          <w:spacing w:val="-68"/>
        </w:rPr>
        <w:t> </w:t>
      </w:r>
      <w:r>
        <w:rPr>
          <w:spacing w:val="-68"/>
        </w:rPr>
      </w:r>
      <w:r>
        <w:rPr/>
        <w:t>与考核委员会本着勤勉尽责的原则，履行工作职责。报告期内，薪酬与考核委员会共召开了</w:t>
      </w:r>
      <w:r>
        <w:rPr>
          <w:rFonts w:ascii="Times New Roman" w:hAnsi="Times New Roman" w:cs="Times New Roman" w:eastAsia="Times New Roman" w:hint="default"/>
        </w:rPr>
        <w:t>4</w:t>
      </w:r>
      <w:r>
        <w:rPr/>
        <w:t>次会议，审议通过了《</w:t>
      </w:r>
      <w:r>
        <w:rPr>
          <w:rFonts w:ascii="Times New Roman" w:hAnsi="Times New Roman" w:cs="Times New Roman" w:eastAsia="Times New Roman" w:hint="default"/>
        </w:rPr>
        <w:t>2017</w:t>
      </w:r>
      <w:r>
        <w:rPr/>
        <w:t>年 股票期权激励计划（草案）》、《关于</w:t>
      </w:r>
      <w:r>
        <w:rPr>
          <w:rFonts w:ascii="Times New Roman" w:hAnsi="Times New Roman" w:cs="Times New Roman" w:eastAsia="Times New Roman" w:hint="default"/>
        </w:rPr>
        <w:t>2017</w:t>
      </w:r>
      <w:r>
        <w:rPr/>
        <w:t>年股票期权激励计划向激励对象首次授予股票期权的公告》、《关于公司董事、</w:t>
      </w:r>
      <w:r>
        <w:rPr>
          <w:spacing w:val="-85"/>
        </w:rPr>
        <w:t> </w:t>
      </w:r>
      <w:r>
        <w:rPr>
          <w:spacing w:val="-85"/>
        </w:rPr>
      </w:r>
      <w:r>
        <w:rPr/>
        <w:t>高级管理人员</w:t>
      </w:r>
      <w:r>
        <w:rPr>
          <w:rFonts w:ascii="Times New Roman" w:hAnsi="Times New Roman" w:cs="Times New Roman" w:eastAsia="Times New Roman" w:hint="default"/>
        </w:rPr>
        <w:t>2016</w:t>
      </w:r>
      <w:r>
        <w:rPr/>
        <w:t>年度薪酬的议案》、《关于公司董事长</w:t>
      </w:r>
      <w:r>
        <w:rPr>
          <w:rFonts w:ascii="Times New Roman" w:hAnsi="Times New Roman" w:cs="Times New Roman" w:eastAsia="Times New Roman" w:hint="default"/>
        </w:rPr>
        <w:t>2017</w:t>
      </w:r>
      <w:r>
        <w:rPr/>
        <w:t>年度薪酬分配方案的议案》、《关于公司高级管理人员</w:t>
      </w:r>
      <w:r>
        <w:rPr>
          <w:rFonts w:ascii="Times New Roman" w:hAnsi="Times New Roman" w:cs="Times New Roman" w:eastAsia="Times New Roman" w:hint="default"/>
        </w:rPr>
        <w:t>2017 </w:t>
      </w:r>
      <w:r>
        <w:rPr/>
        <w:t>年度薪酬分配方案的议案》。</w:t>
      </w:r>
    </w:p>
    <w:p>
      <w:pPr>
        <w:pStyle w:val="BodyText"/>
        <w:spacing w:line="300" w:lineRule="auto" w:before="28"/>
        <w:ind w:left="513" w:right="0"/>
        <w:jc w:val="left"/>
      </w:pPr>
      <w:r>
        <w:rPr>
          <w:rFonts w:ascii="Times New Roman" w:hAnsi="Times New Roman" w:cs="Times New Roman" w:eastAsia="Times New Roman" w:hint="default"/>
        </w:rPr>
        <w:t>4</w:t>
      </w:r>
      <w:r>
        <w:rPr/>
        <w:t>、董事会提名委员会的履职情况 </w:t>
      </w:r>
      <w:r>
        <w:rPr>
          <w:spacing w:val="-2"/>
        </w:rPr>
        <w:t>公司董事会提名委员会有贾广新、王丽娜、吴涵渠三位董事组成，其中贾广新、王丽娜为独立董事，贾广新担任委员会</w:t>
      </w:r>
    </w:p>
    <w:p>
      <w:pPr>
        <w:pStyle w:val="BodyText"/>
        <w:spacing w:line="240" w:lineRule="auto" w:before="31"/>
        <w:ind w:right="0"/>
        <w:jc w:val="left"/>
      </w:pPr>
      <w:r>
        <w:rPr/>
        <w:t>主任。报告期内，提名委员会共召开</w:t>
      </w:r>
      <w:r>
        <w:rPr>
          <w:rFonts w:ascii="Times New Roman" w:hAnsi="Times New Roman" w:cs="Times New Roman" w:eastAsia="Times New Roman" w:hint="default"/>
        </w:rPr>
        <w:t>1</w:t>
      </w:r>
      <w:r>
        <w:rPr/>
        <w:t>次会议，审核公司董事（非独立董事）及高级管理人员的履职情况。</w:t>
      </w:r>
    </w:p>
    <w:p>
      <w:pPr>
        <w:spacing w:line="240" w:lineRule="auto" w:before="2"/>
        <w:rPr>
          <w:rFonts w:ascii="宋体" w:hAnsi="宋体" w:cs="宋体" w:eastAsia="宋体" w:hint="default"/>
          <w:sz w:val="24"/>
          <w:szCs w:val="24"/>
        </w:rPr>
      </w:pPr>
    </w:p>
    <w:p>
      <w:pPr>
        <w:pStyle w:val="Heading2"/>
        <w:spacing w:line="240" w:lineRule="auto"/>
        <w:ind w:right="0"/>
        <w:jc w:val="left"/>
        <w:rPr>
          <w:b w:val="0"/>
          <w:bCs w:val="0"/>
        </w:rPr>
      </w:pPr>
      <w:bookmarkStart w:name="七、监事会工作情况" w:id="146"/>
      <w:bookmarkEnd w:id="146"/>
      <w:r>
        <w:rPr>
          <w:b w:val="0"/>
          <w:bCs w:val="0"/>
        </w:rPr>
      </w:r>
      <w:r>
        <w:rPr/>
        <w:t>七、监事会工作情况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监事会在报告期内的监督活动中发现公司是否存在风险</w:t>
      </w:r>
    </w:p>
    <w:p>
      <w:pPr>
        <w:pStyle w:val="BodyText"/>
        <w:spacing w:line="340" w:lineRule="auto" w:before="116"/>
        <w:ind w:right="7693"/>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否 监事会对报告期内的监督事项无异议。</w:t>
      </w:r>
    </w:p>
    <w:p>
      <w:pPr>
        <w:spacing w:line="240" w:lineRule="auto" w:before="3"/>
        <w:rPr>
          <w:rFonts w:ascii="宋体" w:hAnsi="宋体" w:cs="宋体" w:eastAsia="宋体" w:hint="default"/>
          <w:sz w:val="19"/>
          <w:szCs w:val="19"/>
        </w:rPr>
      </w:pPr>
    </w:p>
    <w:p>
      <w:pPr>
        <w:pStyle w:val="Heading2"/>
        <w:spacing w:line="240" w:lineRule="auto"/>
        <w:ind w:right="0"/>
        <w:jc w:val="left"/>
        <w:rPr>
          <w:b w:val="0"/>
          <w:bCs w:val="0"/>
        </w:rPr>
      </w:pPr>
      <w:bookmarkStart w:name="八、高级管理人员的考评及激励情况" w:id="147"/>
      <w:bookmarkEnd w:id="147"/>
      <w:r>
        <w:rPr>
          <w:b w:val="0"/>
          <w:bCs w:val="0"/>
        </w:rPr>
      </w:r>
      <w:r>
        <w:rPr/>
        <w:t>八、高级管理人员的考评及激励情况</w:t>
      </w:r>
      <w:r>
        <w:rPr>
          <w:b w:val="0"/>
          <w:bCs w:val="0"/>
        </w:rPr>
      </w:r>
    </w:p>
    <w:p>
      <w:pPr>
        <w:spacing w:line="240" w:lineRule="auto" w:before="7"/>
        <w:rPr>
          <w:rFonts w:ascii="宋体" w:hAnsi="宋体" w:cs="宋体" w:eastAsia="宋体" w:hint="default"/>
          <w:b/>
          <w:bCs/>
          <w:sz w:val="26"/>
          <w:szCs w:val="26"/>
        </w:rPr>
      </w:pPr>
    </w:p>
    <w:p>
      <w:pPr>
        <w:pStyle w:val="BodyText"/>
        <w:spacing w:line="316" w:lineRule="auto"/>
        <w:ind w:right="1133" w:firstLine="360"/>
        <w:jc w:val="both"/>
      </w:pPr>
      <w:r>
        <w:rPr>
          <w:spacing w:val="-5"/>
        </w:rPr>
        <w:t>根据《上市公司治理准则》等要求，公司建立了考核激励体系，且高级管理人员全部由董事会聘任，直接对董事会负责，</w:t>
      </w:r>
      <w:r>
        <w:rPr/>
        <w:t> </w:t>
      </w:r>
      <w:r>
        <w:rPr>
          <w:spacing w:val="-2"/>
        </w:rPr>
        <w:t>承担董事会下达的经营指标，董事会下设的薪酬与考核委员会负责对高级管理人员的工作能力、履职情况、责任目标完成情</w:t>
      </w:r>
      <w:r>
        <w:rPr>
          <w:spacing w:val="-66"/>
        </w:rPr>
        <w:t> </w:t>
      </w:r>
      <w:r>
        <w:rPr>
          <w:spacing w:val="-66"/>
        </w:rPr>
      </w:r>
      <w:r>
        <w:rPr/>
        <w:t>况等进行年终考评，制定薪酬方案并报董事会审批；高级管理人员参与了公司股权激励计划。</w:t>
      </w:r>
    </w:p>
    <w:p>
      <w:pPr>
        <w:spacing w:line="240" w:lineRule="auto" w:before="10"/>
        <w:rPr>
          <w:rFonts w:ascii="宋体" w:hAnsi="宋体" w:cs="宋体" w:eastAsia="宋体" w:hint="default"/>
          <w:sz w:val="20"/>
          <w:szCs w:val="20"/>
        </w:rPr>
      </w:pPr>
    </w:p>
    <w:p>
      <w:pPr>
        <w:pStyle w:val="Heading2"/>
        <w:spacing w:line="240" w:lineRule="auto"/>
        <w:ind w:right="0"/>
        <w:jc w:val="left"/>
        <w:rPr>
          <w:b w:val="0"/>
          <w:bCs w:val="0"/>
        </w:rPr>
      </w:pPr>
      <w:bookmarkStart w:name="九、内部控制评价报告" w:id="148"/>
      <w:bookmarkEnd w:id="148"/>
      <w:r>
        <w:rPr>
          <w:b w:val="0"/>
          <w:bCs w:val="0"/>
        </w:rPr>
      </w:r>
      <w:r>
        <w:rPr/>
        <w:t>九、内部控制评价报告</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53" w:right="0"/>
        <w:jc w:val="left"/>
        <w:rPr>
          <w:b w:val="0"/>
          <w:bCs w:val="0"/>
        </w:rPr>
      </w:pPr>
      <w:bookmarkStart w:name="1、报告期内发现的内部控制重大缺陷的具体情况" w:id="149"/>
      <w:bookmarkEnd w:id="149"/>
      <w:r>
        <w:rPr>
          <w:b w:val="0"/>
          <w:bCs w:val="0"/>
        </w:rPr>
      </w:r>
      <w:r>
        <w:rPr>
          <w:rFonts w:ascii="Times New Roman" w:hAnsi="Times New Roman" w:cs="Times New Roman" w:eastAsia="Times New Roman" w:hint="default"/>
        </w:rPr>
        <w:t>1</w:t>
      </w:r>
      <w:r>
        <w:rPr/>
        <w:t>、报告期内发现的内部控制重大缺陷的具体情况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否</w:t>
      </w:r>
    </w:p>
    <w:p>
      <w:pPr>
        <w:spacing w:line="240" w:lineRule="auto" w:before="9"/>
        <w:rPr>
          <w:rFonts w:ascii="宋体" w:hAnsi="宋体" w:cs="宋体" w:eastAsia="宋体" w:hint="default"/>
          <w:sz w:val="25"/>
          <w:szCs w:val="25"/>
        </w:rPr>
      </w:pPr>
    </w:p>
    <w:p>
      <w:pPr>
        <w:pStyle w:val="Heading3"/>
        <w:spacing w:line="240" w:lineRule="auto"/>
        <w:ind w:left="153" w:right="0"/>
        <w:jc w:val="left"/>
        <w:rPr>
          <w:b w:val="0"/>
          <w:bCs w:val="0"/>
        </w:rPr>
      </w:pPr>
      <w:bookmarkStart w:name="2、内控自我评价报告" w:id="150"/>
      <w:bookmarkEnd w:id="150"/>
      <w:r>
        <w:rPr>
          <w:b w:val="0"/>
          <w:bCs w:val="0"/>
        </w:rPr>
      </w:r>
      <w:r>
        <w:rPr>
          <w:rFonts w:ascii="Times New Roman" w:hAnsi="Times New Roman" w:cs="Times New Roman" w:eastAsia="Times New Roman" w:hint="default"/>
        </w:rPr>
        <w:t>2</w:t>
      </w:r>
      <w:r>
        <w:rPr/>
        <w:t>、内控自我评价报告</w:t>
      </w:r>
      <w:r>
        <w:rPr>
          <w:b w:val="0"/>
          <w:bCs w:val="0"/>
        </w:rPr>
      </w:r>
    </w:p>
    <w:p>
      <w:pPr>
        <w:spacing w:line="240" w:lineRule="auto" w:before="10"/>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194"/>
        <w:gridCol w:w="6375"/>
      </w:tblGrid>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内部控制评价报告全文披露日期</w:t>
            </w:r>
          </w:p>
        </w:tc>
        <w:tc>
          <w:tcPr>
            <w:tcW w:w="6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r>
        <w:rPr/>
        <w:pict>
          <v:group style="position:absolute;margin-left:383.980011pt;margin-top:331.039978pt;width:149.8pt;height:15.6pt;mso-position-horizontal-relative:page;mso-position-vertical-relative:page;z-index:-1253608" coordorigin="7680,6621" coordsize="2996,312">
            <v:shape style="position:absolute;left:7680;top:6621;width:2996;height:312" coordorigin="7680,6621" coordsize="2996,312" path="m7680,6933l10675,6933,10675,6621,7680,6621,7680,6933xe" filled="true" fillcolor="#ffffff" stroked="false">
              <v:path arrowok="t"/>
              <v:fill type="solid"/>
            </v:shape>
            <w10:wrap type="none"/>
          </v:group>
        </w:pict>
      </w:r>
      <w:r>
        <w:rPr/>
        <w:pict>
          <v:group style="position:absolute;margin-left:383.980011pt;margin-top:533.859985pt;width:149.8pt;height:15.6pt;mso-position-horizontal-relative:page;mso-position-vertical-relative:page;z-index:-1253584" coordorigin="7680,10677" coordsize="2996,312">
            <v:shape style="position:absolute;left:7680;top:10677;width:2996;height:312" coordorigin="7680,10677" coordsize="2996,312" path="m7680,10989l10675,10989,10675,10677,7680,10677,7680,10989xe" filled="true" fillcolor="#ffffff" stroked="false">
              <v:path arrowok="t"/>
              <v:fill type="solid"/>
            </v:shape>
            <w10:wrap type="none"/>
          </v:group>
        </w:pict>
      </w:r>
      <w:r>
        <w:rPr/>
        <w:pict>
          <v:group style="position:absolute;margin-left:383.980011pt;margin-top:565.059998pt;width:149.8pt;height:15.6pt;mso-position-horizontal-relative:page;mso-position-vertical-relative:page;z-index:-1253560" coordorigin="7680,11301" coordsize="2996,312">
            <v:shape style="position:absolute;left:7680;top:11301;width:2996;height:312" coordorigin="7680,11301" coordsize="2996,312" path="m7680,11613l10675,11613,10675,11301,7680,11301,7680,11613xe" filled="true" fillcolor="#ffffff" stroked="false">
              <v:path arrowok="t"/>
              <v:fill type="solid"/>
            </v:shape>
            <w10:wrap type="none"/>
          </v:group>
        </w:pict>
      </w: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3189"/>
        <w:gridCol w:w="3341"/>
        <w:gridCol w:w="3039"/>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内部控制评价报告全文披露索引</w:t>
            </w:r>
          </w:p>
        </w:tc>
        <w:tc>
          <w:tcPr>
            <w:tcW w:w="6380"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16"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巨潮资讯网</w:t>
            </w:r>
            <w:r>
              <w:rPr>
                <w:rFonts w:ascii="Times New Roman" w:hAnsi="Times New Roman" w:cs="Times New Roman" w:eastAsia="Times New Roman" w:hint="default"/>
                <w:sz w:val="18"/>
                <w:szCs w:val="18"/>
              </w:rPr>
              <w:t>(www.cninfo.com.cn)</w:t>
            </w:r>
          </w:p>
        </w:tc>
      </w:tr>
      <w:tr>
        <w:trPr>
          <w:trHeight w:val="714"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94"/>
              <w:jc w:val="left"/>
              <w:rPr>
                <w:rFonts w:ascii="宋体" w:hAnsi="宋体" w:cs="宋体" w:eastAsia="宋体" w:hint="default"/>
                <w:sz w:val="18"/>
                <w:szCs w:val="18"/>
              </w:rPr>
            </w:pPr>
            <w:r>
              <w:rPr>
                <w:rFonts w:ascii="宋体" w:hAnsi="宋体" w:cs="宋体" w:eastAsia="宋体" w:hint="default"/>
                <w:sz w:val="18"/>
                <w:szCs w:val="18"/>
              </w:rPr>
              <w:t>纳入评价范围单位资产总额占公司合并 财务报表资产总额的比例</w:t>
            </w:r>
          </w:p>
        </w:tc>
        <w:tc>
          <w:tcPr>
            <w:tcW w:w="6380"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r>
      <w:tr>
        <w:trPr>
          <w:trHeight w:val="714"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94"/>
              <w:jc w:val="left"/>
              <w:rPr>
                <w:rFonts w:ascii="宋体" w:hAnsi="宋体" w:cs="宋体" w:eastAsia="宋体" w:hint="default"/>
                <w:sz w:val="18"/>
                <w:szCs w:val="18"/>
              </w:rPr>
            </w:pPr>
            <w:r>
              <w:rPr>
                <w:rFonts w:ascii="宋体" w:hAnsi="宋体" w:cs="宋体" w:eastAsia="宋体" w:hint="default"/>
                <w:sz w:val="18"/>
                <w:szCs w:val="18"/>
              </w:rPr>
              <w:t>纳入评价范围单位营业收入占公司合并 财务报表营业收入的比例</w:t>
            </w:r>
          </w:p>
        </w:tc>
        <w:tc>
          <w:tcPr>
            <w:tcW w:w="6380"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r>
      <w:tr>
        <w:trPr>
          <w:trHeight w:val="397" w:hRule="exact"/>
        </w:trPr>
        <w:tc>
          <w:tcPr>
            <w:tcW w:w="9569"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缺陷认定标准</w:t>
            </w:r>
          </w:p>
        </w:tc>
      </w:tr>
      <w:tr>
        <w:trPr>
          <w:trHeight w:val="407"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4"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33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right="4"/>
              <w:jc w:val="center"/>
              <w:rPr>
                <w:rFonts w:ascii="宋体" w:hAnsi="宋体" w:cs="宋体" w:eastAsia="宋体" w:hint="default"/>
                <w:sz w:val="18"/>
                <w:szCs w:val="18"/>
              </w:rPr>
            </w:pPr>
            <w:r>
              <w:rPr>
                <w:rFonts w:ascii="宋体" w:hAnsi="宋体" w:cs="宋体" w:eastAsia="宋体" w:hint="default"/>
                <w:sz w:val="18"/>
                <w:szCs w:val="18"/>
              </w:rPr>
              <w:t>财务报告</w:t>
            </w:r>
          </w:p>
        </w:tc>
        <w:tc>
          <w:tcPr>
            <w:tcW w:w="30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right="10"/>
              <w:jc w:val="center"/>
              <w:rPr>
                <w:rFonts w:ascii="宋体" w:hAnsi="宋体" w:cs="宋体" w:eastAsia="宋体" w:hint="default"/>
                <w:sz w:val="18"/>
                <w:szCs w:val="18"/>
              </w:rPr>
            </w:pPr>
            <w:r>
              <w:rPr>
                <w:rFonts w:ascii="宋体" w:hAnsi="宋体" w:cs="宋体" w:eastAsia="宋体" w:hint="default"/>
                <w:sz w:val="18"/>
                <w:szCs w:val="18"/>
              </w:rPr>
              <w:t>非财务报告</w:t>
            </w:r>
          </w:p>
        </w:tc>
      </w:tr>
      <w:tr>
        <w:trPr>
          <w:trHeight w:val="3905" w:hRule="exact"/>
        </w:trPr>
        <w:tc>
          <w:tcPr>
            <w:tcW w:w="3189" w:type="dxa"/>
            <w:tcBorders>
              <w:top w:val="single" w:sz="4" w:space="0" w:color="000000"/>
              <w:left w:val="single" w:sz="4" w:space="0" w:color="000000"/>
              <w:bottom w:val="nil" w:sz="6" w:space="0" w:color="auto"/>
              <w:right w:val="single" w:sz="4" w:space="0" w:color="000000"/>
            </w:tcBorders>
            <w:shd w:val="clear" w:color="auto" w:fill="D2D2D2"/>
          </w:tcPr>
          <w:p>
            <w:pPr/>
          </w:p>
        </w:tc>
        <w:tc>
          <w:tcPr>
            <w:tcW w:w="3341" w:type="dxa"/>
            <w:vMerge w:val="restart"/>
            <w:tcBorders>
              <w:top w:val="single" w:sz="4" w:space="0" w:color="000000"/>
              <w:left w:val="single" w:sz="9" w:space="0" w:color="D2D2D2"/>
              <w:right w:val="single" w:sz="9" w:space="0" w:color="FFFFFF"/>
            </w:tcBorders>
          </w:tcPr>
          <w:p>
            <w:pPr>
              <w:pStyle w:val="TableParagraph"/>
              <w:spacing w:line="312" w:lineRule="auto" w:before="51"/>
              <w:ind w:left="22" w:right="-28"/>
              <w:jc w:val="left"/>
              <w:rPr>
                <w:rFonts w:ascii="宋体" w:hAnsi="宋体" w:cs="宋体" w:eastAsia="宋体" w:hint="default"/>
                <w:sz w:val="18"/>
                <w:szCs w:val="18"/>
              </w:rPr>
            </w:pPr>
            <w:r>
              <w:rPr>
                <w:rFonts w:ascii="宋体" w:hAnsi="宋体" w:cs="宋体" w:eastAsia="宋体" w:hint="default"/>
                <w:sz w:val="18"/>
                <w:szCs w:val="18"/>
              </w:rPr>
              <w:t>①重大缺陷：是指一个或多个与财务相关 的一般缺陷的组合，可能严重影响内部整 体控制的有效性，进而导致企业财务报告 不能真实反映企业财务状况的情形。出现 下列情形的，认定为重大缺陷：</w:t>
            </w:r>
            <w:r>
              <w:rPr>
                <w:rFonts w:ascii="Times New Roman" w:hAnsi="Times New Roman" w:cs="Times New Roman" w:eastAsia="Times New Roman" w:hint="default"/>
                <w:sz w:val="18"/>
                <w:szCs w:val="18"/>
              </w:rPr>
              <w:t>a.</w:t>
            </w:r>
            <w:r>
              <w:rPr>
                <w:rFonts w:ascii="宋体" w:hAnsi="宋体" w:cs="宋体" w:eastAsia="宋体" w:hint="default"/>
                <w:sz w:val="18"/>
                <w:szCs w:val="18"/>
              </w:rPr>
              <w:t>内部控 制环境无效；</w:t>
            </w:r>
            <w:r>
              <w:rPr>
                <w:rFonts w:ascii="Times New Roman" w:hAnsi="Times New Roman" w:cs="Times New Roman" w:eastAsia="Times New Roman" w:hint="default"/>
                <w:sz w:val="18"/>
                <w:szCs w:val="18"/>
              </w:rPr>
              <w:t>b.</w:t>
            </w:r>
            <w:r>
              <w:rPr>
                <w:rFonts w:ascii="宋体" w:hAnsi="宋体" w:cs="宋体" w:eastAsia="宋体" w:hint="default"/>
                <w:sz w:val="18"/>
                <w:szCs w:val="18"/>
              </w:rPr>
              <w:t>董事、监事和高层管理人 员舞弊并给企业造成重大损失和不利影 响；</w:t>
            </w:r>
            <w:r>
              <w:rPr>
                <w:rFonts w:ascii="Times New Roman" w:hAnsi="Times New Roman" w:cs="Times New Roman" w:eastAsia="Times New Roman" w:hint="default"/>
                <w:sz w:val="18"/>
                <w:szCs w:val="18"/>
              </w:rPr>
              <w:t>c.</w:t>
            </w:r>
            <w:r>
              <w:rPr>
                <w:rFonts w:ascii="宋体" w:hAnsi="宋体" w:cs="宋体" w:eastAsia="宋体" w:hint="default"/>
                <w:sz w:val="18"/>
                <w:szCs w:val="18"/>
              </w:rPr>
              <w:t>外部审计发现当期财务报告存在重 </w:t>
            </w:r>
            <w:r>
              <w:rPr>
                <w:rFonts w:ascii="宋体" w:hAnsi="宋体" w:cs="宋体" w:eastAsia="宋体" w:hint="default"/>
                <w:spacing w:val="-6"/>
                <w:sz w:val="18"/>
                <w:szCs w:val="18"/>
              </w:rPr>
              <w:t>大错报，公司内部控制却未能发现该错报；</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Times New Roman" w:hAnsi="Times New Roman" w:cs="Times New Roman" w:eastAsia="Times New Roman" w:hint="default"/>
                <w:sz w:val="18"/>
                <w:szCs w:val="18"/>
              </w:rPr>
              <w:t>d.</w:t>
            </w:r>
            <w:r>
              <w:rPr>
                <w:rFonts w:ascii="宋体" w:hAnsi="宋体" w:cs="宋体" w:eastAsia="宋体" w:hint="default"/>
                <w:sz w:val="18"/>
                <w:szCs w:val="18"/>
              </w:rPr>
              <w:t>企业审计委员会和内部审计机构对内部 控制的监督无效；</w:t>
            </w:r>
            <w:r>
              <w:rPr>
                <w:rFonts w:ascii="Times New Roman" w:hAnsi="Times New Roman" w:cs="Times New Roman" w:eastAsia="Times New Roman" w:hint="default"/>
                <w:sz w:val="18"/>
                <w:szCs w:val="18"/>
              </w:rPr>
              <w:t>e.</w:t>
            </w:r>
            <w:r>
              <w:rPr>
                <w:rFonts w:ascii="Times New Roman" w:hAnsi="Times New Roman" w:cs="Times New Roman" w:eastAsia="Times New Roman" w:hint="default"/>
                <w:spacing w:val="39"/>
                <w:sz w:val="18"/>
                <w:szCs w:val="18"/>
              </w:rPr>
              <w:t> </w:t>
            </w:r>
            <w:r>
              <w:rPr>
                <w:rFonts w:ascii="宋体" w:hAnsi="宋体" w:cs="宋体" w:eastAsia="宋体" w:hint="default"/>
                <w:sz w:val="18"/>
                <w:szCs w:val="18"/>
              </w:rPr>
              <w:t>已经发现并报告给管 理层的重大缺陷在合理的时间内未加以改 正。②重要缺陷：是指一个或多个与财务 相关的一般缺陷的组合，其严重程度低于 重大缺陷，但导致企业财务报告不能真实 反映企业财务状况的可能性依然重大，须 引起企业管理层关注的缺陷。出现下列情 形的，认定为重要缺陷：</w:t>
            </w:r>
            <w:r>
              <w:rPr>
                <w:rFonts w:ascii="Times New Roman" w:hAnsi="Times New Roman" w:cs="Times New Roman" w:eastAsia="Times New Roman" w:hint="default"/>
                <w:sz w:val="18"/>
                <w:szCs w:val="18"/>
              </w:rPr>
              <w:t>a.</w:t>
            </w:r>
            <w:r>
              <w:rPr>
                <w:rFonts w:ascii="宋体" w:hAnsi="宋体" w:cs="宋体" w:eastAsia="宋体" w:hint="default"/>
                <w:sz w:val="18"/>
                <w:szCs w:val="18"/>
              </w:rPr>
              <w:t>未依照公认会 计准则选择和应用会计政策；</w:t>
            </w:r>
            <w:r>
              <w:rPr>
                <w:rFonts w:ascii="Times New Roman" w:hAnsi="Times New Roman" w:cs="Times New Roman" w:eastAsia="Times New Roman" w:hint="default"/>
                <w:sz w:val="18"/>
                <w:szCs w:val="18"/>
              </w:rPr>
              <w:t>b.</w:t>
            </w:r>
            <w:r>
              <w:rPr>
                <w:rFonts w:ascii="宋体" w:hAnsi="宋体" w:cs="宋体" w:eastAsia="宋体" w:hint="default"/>
                <w:sz w:val="18"/>
                <w:szCs w:val="18"/>
              </w:rPr>
              <w:t>未建立反 舞弊程序和控制措施；</w:t>
            </w:r>
            <w:r>
              <w:rPr>
                <w:rFonts w:ascii="Times New Roman" w:hAnsi="Times New Roman" w:cs="Times New Roman" w:eastAsia="Times New Roman" w:hint="default"/>
                <w:sz w:val="18"/>
                <w:szCs w:val="18"/>
              </w:rPr>
              <w:t>c.</w:t>
            </w:r>
            <w:r>
              <w:rPr>
                <w:rFonts w:ascii="宋体" w:hAnsi="宋体" w:cs="宋体" w:eastAsia="宋体" w:hint="default"/>
                <w:sz w:val="18"/>
                <w:szCs w:val="18"/>
              </w:rPr>
              <w:t>对于期末财务报 告的控制存在一项或多项缺陷且不能合理 </w:t>
            </w:r>
            <w:r>
              <w:rPr>
                <w:rFonts w:ascii="宋体" w:hAnsi="宋体" w:cs="宋体" w:eastAsia="宋体" w:hint="default"/>
                <w:spacing w:val="-6"/>
                <w:sz w:val="18"/>
                <w:szCs w:val="18"/>
              </w:rPr>
              <w:t>保证编制的财务报表达到真实、准确目标。</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Times New Roman" w:hAnsi="Times New Roman" w:cs="Times New Roman" w:eastAsia="Times New Roman" w:hint="default"/>
                <w:sz w:val="18"/>
                <w:szCs w:val="18"/>
              </w:rPr>
              <w:t>d.</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已经发现并报告给管理层的重要缺陷 </w:t>
            </w:r>
            <w:r>
              <w:rPr>
                <w:rFonts w:ascii="宋体" w:hAnsi="宋体" w:cs="宋体" w:eastAsia="宋体" w:hint="default"/>
                <w:spacing w:val="-6"/>
                <w:sz w:val="18"/>
                <w:szCs w:val="18"/>
              </w:rPr>
              <w:t>在合理的时间内未加以改正。③一般缺陷：</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除重大缺陷及重要缺陷以外的其它与财务</w:t>
            </w:r>
            <w:r>
              <w:rPr>
                <w:rFonts w:ascii="宋体" w:hAnsi="宋体" w:cs="宋体" w:eastAsia="宋体" w:hint="default"/>
                <w:sz w:val="18"/>
                <w:szCs w:val="18"/>
              </w:rPr>
              <w:t> 有关的内控缺陷为一般缺陷。</w:t>
            </w:r>
          </w:p>
        </w:tc>
        <w:tc>
          <w:tcPr>
            <w:tcW w:w="3039" w:type="dxa"/>
            <w:vMerge w:val="restart"/>
            <w:tcBorders>
              <w:top w:val="single" w:sz="4" w:space="0" w:color="000000"/>
              <w:left w:val="single" w:sz="9" w:space="0" w:color="FFFFFF"/>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2" w:lineRule="auto" w:before="156"/>
              <w:ind w:left="4" w:right="-43"/>
              <w:jc w:val="left"/>
              <w:rPr>
                <w:rFonts w:ascii="宋体" w:hAnsi="宋体" w:cs="宋体" w:eastAsia="宋体" w:hint="default"/>
                <w:sz w:val="18"/>
                <w:szCs w:val="18"/>
              </w:rPr>
            </w:pPr>
            <w:r>
              <w:rPr>
                <w:rFonts w:ascii="宋体" w:hAnsi="宋体" w:cs="宋体" w:eastAsia="宋体" w:hint="default"/>
                <w:spacing w:val="-4"/>
                <w:sz w:val="18"/>
                <w:szCs w:val="18"/>
              </w:rPr>
              <w:t>①重大缺陷：是指一个或多个一般缺陷</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4"/>
                <w:sz w:val="18"/>
                <w:szCs w:val="18"/>
              </w:rPr>
              <w:t>的组合，可能严重影响内部整体控制的</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4"/>
                <w:sz w:val="18"/>
                <w:szCs w:val="18"/>
              </w:rPr>
              <w:t>有效性，进而导致企业无法及时防范或</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4"/>
                <w:sz w:val="18"/>
                <w:szCs w:val="18"/>
              </w:rPr>
              <w:t>发现严重偏离整体控制目标的情形。出</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现下列情形的，认定为重大缺陷：</w:t>
            </w:r>
            <w:r>
              <w:rPr>
                <w:rFonts w:ascii="Times New Roman" w:hAnsi="Times New Roman" w:cs="Times New Roman" w:eastAsia="Times New Roman" w:hint="default"/>
                <w:sz w:val="18"/>
                <w:szCs w:val="18"/>
              </w:rPr>
              <w:t>a.</w:t>
            </w:r>
            <w:r>
              <w:rPr>
                <w:rFonts w:ascii="宋体" w:hAnsi="宋体" w:cs="宋体" w:eastAsia="宋体" w:hint="default"/>
                <w:sz w:val="18"/>
                <w:szCs w:val="18"/>
              </w:rPr>
              <w:t>公 司决策程序不科学导致重大决策失误； </w:t>
            </w:r>
            <w:r>
              <w:rPr>
                <w:rFonts w:ascii="Times New Roman" w:hAnsi="Times New Roman" w:cs="Times New Roman" w:eastAsia="Times New Roman" w:hint="default"/>
                <w:sz w:val="18"/>
                <w:szCs w:val="18"/>
              </w:rPr>
              <w:t>b.</w:t>
            </w:r>
            <w:r>
              <w:rPr>
                <w:rFonts w:ascii="宋体" w:hAnsi="宋体" w:cs="宋体" w:eastAsia="宋体" w:hint="default"/>
                <w:sz w:val="18"/>
                <w:szCs w:val="18"/>
              </w:rPr>
              <w:t>内部控制评价为重大缺陷未在合理 时间内得到整改；</w:t>
            </w:r>
            <w:r>
              <w:rPr>
                <w:rFonts w:ascii="Times New Roman" w:hAnsi="Times New Roman" w:cs="Times New Roman" w:eastAsia="Times New Roman" w:hint="default"/>
                <w:sz w:val="18"/>
                <w:szCs w:val="18"/>
              </w:rPr>
              <w:t>c.</w:t>
            </w:r>
            <w:r>
              <w:rPr>
                <w:rFonts w:ascii="宋体" w:hAnsi="宋体" w:cs="宋体" w:eastAsia="宋体" w:hint="default"/>
                <w:sz w:val="18"/>
                <w:szCs w:val="18"/>
              </w:rPr>
              <w:t>公司董事、监事、 </w:t>
            </w:r>
            <w:r>
              <w:rPr>
                <w:rFonts w:ascii="宋体" w:hAnsi="宋体" w:cs="宋体" w:eastAsia="宋体" w:hint="default"/>
                <w:spacing w:val="-4"/>
                <w:sz w:val="18"/>
                <w:szCs w:val="18"/>
              </w:rPr>
              <w:t>高层管理人员违犯国家法律、法规被处</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以重罚或承担刑事责任；</w:t>
            </w:r>
            <w:r>
              <w:rPr>
                <w:rFonts w:ascii="Times New Roman" w:hAnsi="Times New Roman" w:cs="Times New Roman" w:eastAsia="Times New Roman" w:hint="default"/>
                <w:sz w:val="18"/>
                <w:szCs w:val="18"/>
              </w:rPr>
              <w:t>d.</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安全、环 保事故造成</w:t>
            </w:r>
            <w:r>
              <w:rPr>
                <w:rFonts w:ascii="宋体" w:hAnsi="宋体" w:cs="宋体" w:eastAsia="宋体" w:hint="default"/>
                <w:spacing w:val="-61"/>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7"/>
                <w:sz w:val="18"/>
                <w:szCs w:val="18"/>
              </w:rPr>
              <w:t> </w:t>
            </w:r>
            <w:r>
              <w:rPr>
                <w:rFonts w:ascii="宋体" w:hAnsi="宋体" w:cs="宋体" w:eastAsia="宋体" w:hint="default"/>
                <w:sz w:val="18"/>
                <w:szCs w:val="18"/>
              </w:rPr>
              <w:t>人以上死亡或者</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50</w:t>
            </w:r>
            <w:r>
              <w:rPr>
                <w:rFonts w:ascii="Times New Roman" w:hAnsi="Times New Roman" w:cs="Times New Roman" w:eastAsia="Times New Roman" w:hint="default"/>
                <w:spacing w:val="-17"/>
                <w:sz w:val="18"/>
                <w:szCs w:val="18"/>
              </w:rPr>
              <w:t> </w:t>
            </w:r>
            <w:r>
              <w:rPr>
                <w:rFonts w:ascii="宋体" w:hAnsi="宋体" w:cs="宋体" w:eastAsia="宋体" w:hint="default"/>
                <w:sz w:val="18"/>
                <w:szCs w:val="18"/>
              </w:rPr>
              <w:t>人以 </w:t>
            </w:r>
            <w:r>
              <w:rPr>
                <w:rFonts w:ascii="宋体" w:hAnsi="宋体" w:cs="宋体" w:eastAsia="宋体" w:hint="default"/>
                <w:spacing w:val="-4"/>
                <w:sz w:val="18"/>
                <w:szCs w:val="18"/>
              </w:rPr>
              <w:t>上重伤，对公司造成重大负面影响的情</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4"/>
                <w:sz w:val="18"/>
                <w:szCs w:val="18"/>
              </w:rPr>
              <w:t>形。②重要缺陷：是指一个或多个一般</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缺陷的组合，其严重程度低于重大缺 </w:t>
            </w:r>
            <w:r>
              <w:rPr>
                <w:rFonts w:ascii="宋体" w:hAnsi="宋体" w:cs="宋体" w:eastAsia="宋体" w:hint="default"/>
                <w:spacing w:val="-4"/>
                <w:sz w:val="18"/>
                <w:szCs w:val="18"/>
              </w:rPr>
              <w:t>陷，但导致企业无法及时防范或发现偏</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离整体控制目标的严重程度依然重大， </w:t>
            </w:r>
            <w:r>
              <w:rPr>
                <w:rFonts w:ascii="宋体" w:hAnsi="宋体" w:cs="宋体" w:eastAsia="宋体" w:hint="default"/>
                <w:spacing w:val="-4"/>
                <w:sz w:val="18"/>
                <w:szCs w:val="18"/>
              </w:rPr>
              <w:t>须引起企业管理层关注的缺陷。出现下</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列情形的，认定为重要缺陷：</w:t>
            </w:r>
            <w:r>
              <w:rPr>
                <w:rFonts w:ascii="Times New Roman" w:hAnsi="Times New Roman" w:cs="Times New Roman" w:eastAsia="Times New Roman" w:hint="default"/>
                <w:sz w:val="18"/>
                <w:szCs w:val="18"/>
              </w:rPr>
              <w:t>a.</w:t>
            </w:r>
            <w:r>
              <w:rPr>
                <w:rFonts w:ascii="宋体" w:hAnsi="宋体" w:cs="宋体" w:eastAsia="宋体" w:hint="default"/>
                <w:sz w:val="18"/>
                <w:szCs w:val="18"/>
              </w:rPr>
              <w:t>重要业 务缺乏制度控制或制度控制系统失效； </w:t>
            </w:r>
            <w:r>
              <w:rPr>
                <w:rFonts w:ascii="Times New Roman" w:hAnsi="Times New Roman" w:cs="Times New Roman" w:eastAsia="Times New Roman" w:hint="default"/>
                <w:sz w:val="18"/>
                <w:szCs w:val="18"/>
              </w:rPr>
              <w:t>b.</w:t>
            </w:r>
            <w:r>
              <w:rPr>
                <w:rFonts w:ascii="宋体" w:hAnsi="宋体" w:cs="宋体" w:eastAsia="宋体" w:hint="default"/>
                <w:sz w:val="18"/>
                <w:szCs w:val="18"/>
              </w:rPr>
              <w:t>内部控制评价为重要缺陷未在合理 时间内得到整改；</w:t>
            </w:r>
            <w:r>
              <w:rPr>
                <w:rFonts w:ascii="Times New Roman" w:hAnsi="Times New Roman" w:cs="Times New Roman" w:eastAsia="Times New Roman" w:hint="default"/>
                <w:sz w:val="18"/>
                <w:szCs w:val="18"/>
              </w:rPr>
              <w:t>c.</w:t>
            </w:r>
            <w:r>
              <w:rPr>
                <w:rFonts w:ascii="宋体" w:hAnsi="宋体" w:cs="宋体" w:eastAsia="宋体" w:hint="default"/>
                <w:sz w:val="18"/>
                <w:szCs w:val="18"/>
              </w:rPr>
              <w:t>公司核心管理人员 或核心技术人员大量流失。③一般缺 </w:t>
            </w:r>
            <w:r>
              <w:rPr>
                <w:rFonts w:ascii="宋体" w:hAnsi="宋体" w:cs="宋体" w:eastAsia="宋体" w:hint="default"/>
                <w:spacing w:val="-4"/>
                <w:sz w:val="18"/>
                <w:szCs w:val="18"/>
              </w:rPr>
              <w:t>陷：除重大缺陷及重要缺陷以外的其它</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缺陷为一般缺陷。</w:t>
            </w:r>
          </w:p>
        </w:tc>
      </w:tr>
      <w:tr>
        <w:trPr>
          <w:trHeight w:val="392" w:hRule="exact"/>
        </w:trPr>
        <w:tc>
          <w:tcPr>
            <w:tcW w:w="318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定性标准</w:t>
            </w:r>
          </w:p>
        </w:tc>
        <w:tc>
          <w:tcPr>
            <w:tcW w:w="3341" w:type="dxa"/>
            <w:vMerge/>
            <w:tcBorders>
              <w:left w:val="single" w:sz="9" w:space="0" w:color="D2D2D2"/>
              <w:right w:val="single" w:sz="9" w:space="0" w:color="FFFFFF"/>
            </w:tcBorders>
          </w:tcPr>
          <w:p>
            <w:pPr/>
          </w:p>
        </w:tc>
        <w:tc>
          <w:tcPr>
            <w:tcW w:w="3039" w:type="dxa"/>
            <w:vMerge/>
            <w:tcBorders>
              <w:left w:val="single" w:sz="9" w:space="0" w:color="FFFFFF"/>
              <w:right w:val="single" w:sz="4" w:space="0" w:color="000000"/>
            </w:tcBorders>
          </w:tcPr>
          <w:p>
            <w:pPr/>
          </w:p>
        </w:tc>
      </w:tr>
      <w:tr>
        <w:trPr>
          <w:trHeight w:val="3905" w:hRule="exact"/>
        </w:trPr>
        <w:tc>
          <w:tcPr>
            <w:tcW w:w="3189" w:type="dxa"/>
            <w:tcBorders>
              <w:top w:val="nil" w:sz="6" w:space="0" w:color="auto"/>
              <w:left w:val="single" w:sz="4" w:space="0" w:color="000000"/>
              <w:bottom w:val="single" w:sz="4" w:space="0" w:color="000000"/>
              <w:right w:val="single" w:sz="4" w:space="0" w:color="000000"/>
            </w:tcBorders>
            <w:shd w:val="clear" w:color="auto" w:fill="D2D2D2"/>
          </w:tcPr>
          <w:p>
            <w:pPr/>
          </w:p>
        </w:tc>
        <w:tc>
          <w:tcPr>
            <w:tcW w:w="3341" w:type="dxa"/>
            <w:vMerge/>
            <w:tcBorders>
              <w:left w:val="single" w:sz="9" w:space="0" w:color="D2D2D2"/>
              <w:bottom w:val="single" w:sz="4" w:space="0" w:color="000000"/>
              <w:right w:val="single" w:sz="9" w:space="0" w:color="FFFFFF"/>
            </w:tcBorders>
          </w:tcPr>
          <w:p>
            <w:pPr/>
          </w:p>
        </w:tc>
        <w:tc>
          <w:tcPr>
            <w:tcW w:w="3039" w:type="dxa"/>
            <w:vMerge/>
            <w:tcBorders>
              <w:left w:val="single" w:sz="9" w:space="0" w:color="FFFFFF"/>
              <w:bottom w:val="single" w:sz="4" w:space="0" w:color="000000"/>
              <w:right w:val="single" w:sz="4" w:space="0" w:color="000000"/>
            </w:tcBorders>
          </w:tcPr>
          <w:p>
            <w:pPr/>
          </w:p>
        </w:tc>
      </w:tr>
      <w:tr>
        <w:trPr>
          <w:trHeight w:val="1234" w:hRule="exact"/>
        </w:trPr>
        <w:tc>
          <w:tcPr>
            <w:tcW w:w="3189" w:type="dxa"/>
            <w:tcBorders>
              <w:top w:val="single" w:sz="4" w:space="0" w:color="000000"/>
              <w:left w:val="single" w:sz="4" w:space="0" w:color="000000"/>
              <w:bottom w:val="nil" w:sz="6" w:space="0" w:color="auto"/>
              <w:right w:val="single" w:sz="4" w:space="0" w:color="000000"/>
            </w:tcBorders>
            <w:shd w:val="clear" w:color="auto" w:fill="D2D2D2"/>
          </w:tcPr>
          <w:p>
            <w:pPr/>
          </w:p>
        </w:tc>
        <w:tc>
          <w:tcPr>
            <w:tcW w:w="3341" w:type="dxa"/>
            <w:vMerge w:val="restart"/>
            <w:tcBorders>
              <w:top w:val="single" w:sz="4" w:space="0" w:color="000000"/>
              <w:left w:val="single" w:sz="9" w:space="0" w:color="D2D2D2"/>
              <w:right w:val="single" w:sz="4" w:space="0" w:color="000000"/>
            </w:tcBorders>
          </w:tcPr>
          <w:p>
            <w:pPr>
              <w:pStyle w:val="TableParagraph"/>
              <w:spacing w:line="312" w:lineRule="auto" w:before="51"/>
              <w:ind w:left="22" w:right="32"/>
              <w:jc w:val="both"/>
              <w:rPr>
                <w:rFonts w:ascii="宋体" w:hAnsi="宋体" w:cs="宋体" w:eastAsia="宋体" w:hint="default"/>
                <w:sz w:val="18"/>
                <w:szCs w:val="18"/>
              </w:rPr>
            </w:pPr>
            <w:r>
              <w:rPr>
                <w:rFonts w:ascii="宋体" w:hAnsi="宋体" w:cs="宋体" w:eastAsia="宋体" w:hint="default"/>
                <w:sz w:val="18"/>
                <w:szCs w:val="18"/>
              </w:rPr>
              <w:t>内部控制缺陷导致或可能导致的损失与利 润表相关的，以营业收入的一定比例作指 标衡量。①重大缺陷：该缺陷单独或连同 其他缺陷可能导致的财务报告错误金额超 过营业收入的</w:t>
            </w:r>
            <w:r>
              <w:rPr>
                <w:rFonts w:ascii="宋体" w:hAnsi="宋体" w:cs="宋体" w:eastAsia="宋体" w:hint="default"/>
                <w:spacing w:val="-38"/>
                <w:sz w:val="18"/>
                <w:szCs w:val="18"/>
              </w:rPr>
              <w:t> </w:t>
            </w:r>
            <w:r>
              <w:rPr>
                <w:rFonts w:ascii="Times New Roman" w:hAnsi="Times New Roman" w:cs="Times New Roman" w:eastAsia="Times New Roman" w:hint="default"/>
                <w:spacing w:val="-7"/>
                <w:sz w:val="18"/>
                <w:szCs w:val="18"/>
              </w:rPr>
              <w:t>2%</w:t>
            </w:r>
            <w:r>
              <w:rPr>
                <w:rFonts w:ascii="宋体" w:hAnsi="宋体" w:cs="宋体" w:eastAsia="宋体" w:hint="default"/>
                <w:spacing w:val="-7"/>
                <w:sz w:val="18"/>
                <w:szCs w:val="18"/>
              </w:rPr>
              <w:t>。②重要缺陷：该缺陷单</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独或连同其他缺陷可能导致的财务报告错 误金额超过营业收入的</w:t>
            </w:r>
            <w:r>
              <w:rPr>
                <w:rFonts w:ascii="宋体" w:hAnsi="宋体" w:cs="宋体" w:eastAsia="宋体" w:hint="default"/>
                <w:spacing w:val="-44"/>
                <w:sz w:val="18"/>
                <w:szCs w:val="18"/>
              </w:rPr>
              <w:t> </w:t>
            </w:r>
            <w:r>
              <w:rPr>
                <w:rFonts w:ascii="Times New Roman" w:hAnsi="Times New Roman" w:cs="Times New Roman" w:eastAsia="Times New Roman" w:hint="default"/>
                <w:spacing w:val="-9"/>
                <w:sz w:val="18"/>
                <w:szCs w:val="18"/>
              </w:rPr>
              <w:t>1%</w:t>
            </w:r>
            <w:r>
              <w:rPr>
                <w:rFonts w:ascii="宋体" w:hAnsi="宋体" w:cs="宋体" w:eastAsia="宋体" w:hint="default"/>
                <w:spacing w:val="-9"/>
                <w:sz w:val="18"/>
                <w:szCs w:val="18"/>
              </w:rPr>
              <w:t>，但小于或等于</w:t>
            </w:r>
            <w:r>
              <w:rPr>
                <w:rFonts w:ascii="宋体" w:hAnsi="宋体" w:cs="宋体" w:eastAsia="宋体" w:hint="default"/>
                <w:sz w:val="18"/>
                <w:szCs w:val="18"/>
              </w:rPr>
              <w:t> 营业收入的</w:t>
            </w:r>
            <w:r>
              <w:rPr>
                <w:rFonts w:ascii="宋体" w:hAnsi="宋体" w:cs="宋体" w:eastAsia="宋体" w:hint="default"/>
                <w:spacing w:val="-43"/>
                <w:sz w:val="18"/>
                <w:szCs w:val="18"/>
              </w:rPr>
              <w:t> </w:t>
            </w:r>
            <w:r>
              <w:rPr>
                <w:rFonts w:ascii="Times New Roman" w:hAnsi="Times New Roman" w:cs="Times New Roman" w:eastAsia="Times New Roman" w:hint="default"/>
                <w:spacing w:val="-6"/>
                <w:sz w:val="18"/>
                <w:szCs w:val="18"/>
              </w:rPr>
              <w:t>2%</w:t>
            </w:r>
            <w:r>
              <w:rPr>
                <w:rFonts w:ascii="宋体" w:hAnsi="宋体" w:cs="宋体" w:eastAsia="宋体" w:hint="default"/>
                <w:spacing w:val="-6"/>
                <w:sz w:val="18"/>
                <w:szCs w:val="18"/>
              </w:rPr>
              <w:t>。③一般缺陷：该缺陷单独</w:t>
            </w:r>
            <w:r>
              <w:rPr>
                <w:rFonts w:ascii="宋体" w:hAnsi="宋体" w:cs="宋体" w:eastAsia="宋体" w:hint="default"/>
                <w:sz w:val="18"/>
                <w:szCs w:val="18"/>
              </w:rPr>
              <w:t> 或连同其他缺陷可能导致的财务报告错误</w:t>
            </w:r>
          </w:p>
        </w:tc>
        <w:tc>
          <w:tcPr>
            <w:tcW w:w="3039" w:type="dxa"/>
            <w:vMerge w:val="restart"/>
            <w:tcBorders>
              <w:top w:val="single" w:sz="4" w:space="0" w:color="000000"/>
              <w:left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6"/>
                <w:szCs w:val="16"/>
              </w:rPr>
            </w:pPr>
          </w:p>
          <w:p>
            <w:pPr>
              <w:pStyle w:val="TableParagraph"/>
              <w:spacing w:line="314" w:lineRule="auto"/>
              <w:ind w:left="11" w:right="21"/>
              <w:jc w:val="left"/>
              <w:rPr>
                <w:rFonts w:ascii="宋体" w:hAnsi="宋体" w:cs="宋体" w:eastAsia="宋体" w:hint="default"/>
                <w:sz w:val="18"/>
                <w:szCs w:val="18"/>
              </w:rPr>
            </w:pPr>
            <w:r>
              <w:rPr>
                <w:rFonts w:ascii="宋体" w:hAnsi="宋体" w:cs="宋体" w:eastAsia="宋体" w:hint="default"/>
                <w:spacing w:val="-4"/>
                <w:sz w:val="18"/>
                <w:szCs w:val="18"/>
              </w:rPr>
              <w:t>①重大缺陷：该内部控制缺陷造成直接</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财产损失在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万元以上，对公司造 成较大负面影响并以公告形式对外披 露。 ②重要缺陷：该内部控制缺陷造 成直接财产损失在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r>
              <w:rPr>
                <w:rFonts w:ascii="Times New Roman" w:hAnsi="Times New Roman" w:cs="Times New Roman" w:eastAsia="Times New Roman" w:hint="default"/>
                <w:sz w:val="18"/>
                <w:szCs w:val="18"/>
              </w:rPr>
              <w:t>-1000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p>
            <w:pPr>
              <w:pStyle w:val="TableParagraph"/>
              <w:spacing w:line="300" w:lineRule="auto" w:before="1"/>
              <w:ind w:left="11" w:right="47"/>
              <w:jc w:val="left"/>
              <w:rPr>
                <w:rFonts w:ascii="Times New Roman" w:hAnsi="Times New Roman" w:cs="Times New Roman" w:eastAsia="Times New Roman" w:hint="default"/>
                <w:sz w:val="18"/>
                <w:szCs w:val="18"/>
              </w:rPr>
            </w:pPr>
            <w:r>
              <w:rPr>
                <w:rFonts w:ascii="宋体" w:hAnsi="宋体" w:cs="宋体" w:eastAsia="宋体" w:hint="default"/>
                <w:sz w:val="18"/>
                <w:szCs w:val="18"/>
              </w:rPr>
              <w:t>（含 </w:t>
            </w:r>
            <w:r>
              <w:rPr>
                <w:rFonts w:ascii="Times New Roman" w:hAnsi="Times New Roman" w:cs="Times New Roman" w:eastAsia="Times New Roman" w:hint="default"/>
                <w:sz w:val="18"/>
                <w:szCs w:val="18"/>
              </w:rPr>
              <w:t>1000 </w:t>
            </w:r>
            <w:r>
              <w:rPr>
                <w:rFonts w:ascii="宋体" w:hAnsi="宋体" w:cs="宋体" w:eastAsia="宋体" w:hint="default"/>
                <w:spacing w:val="-23"/>
                <w:sz w:val="18"/>
                <w:szCs w:val="18"/>
              </w:rPr>
              <w:t>万元）。</w:t>
            </w:r>
            <w:r>
              <w:rPr>
                <w:rFonts w:ascii="宋体" w:hAnsi="宋体" w:cs="宋体" w:eastAsia="宋体" w:hint="default"/>
                <w:spacing w:val="-45"/>
                <w:sz w:val="18"/>
                <w:szCs w:val="18"/>
              </w:rPr>
              <w:t> </w:t>
            </w:r>
            <w:r>
              <w:rPr>
                <w:rFonts w:ascii="宋体" w:hAnsi="宋体" w:cs="宋体" w:eastAsia="宋体" w:hint="default"/>
                <w:sz w:val="18"/>
                <w:szCs w:val="18"/>
              </w:rPr>
              <w:t>③一般缺陷：该内</w:t>
            </w:r>
            <w:r>
              <w:rPr>
                <w:rFonts w:ascii="宋体" w:hAnsi="宋体" w:cs="宋体" w:eastAsia="宋体" w:hint="default"/>
                <w:sz w:val="18"/>
                <w:szCs w:val="18"/>
              </w:rPr>
              <w:t> 部控制缺陷造成直接财产损失在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500</w:t>
            </w:r>
          </w:p>
          <w:p>
            <w:pPr>
              <w:pStyle w:val="TableParagraph"/>
              <w:spacing w:line="240" w:lineRule="auto" w:before="14"/>
              <w:ind w:left="11" w:right="0"/>
              <w:jc w:val="left"/>
              <w:rPr>
                <w:rFonts w:ascii="宋体" w:hAnsi="宋体" w:cs="宋体" w:eastAsia="宋体" w:hint="default"/>
                <w:sz w:val="18"/>
                <w:szCs w:val="18"/>
              </w:rPr>
            </w:pPr>
            <w:r>
              <w:rPr>
                <w:rFonts w:ascii="宋体" w:hAnsi="宋体" w:cs="宋体" w:eastAsia="宋体" w:hint="default"/>
                <w:sz w:val="18"/>
                <w:szCs w:val="18"/>
              </w:rPr>
              <w:t>万元以下（含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391" w:hRule="exact"/>
        </w:trPr>
        <w:tc>
          <w:tcPr>
            <w:tcW w:w="318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定量标准</w:t>
            </w:r>
          </w:p>
        </w:tc>
        <w:tc>
          <w:tcPr>
            <w:tcW w:w="3341" w:type="dxa"/>
            <w:vMerge/>
            <w:tcBorders>
              <w:left w:val="single" w:sz="9" w:space="0" w:color="D2D2D2"/>
              <w:right w:val="single" w:sz="4" w:space="0" w:color="000000"/>
            </w:tcBorders>
          </w:tcPr>
          <w:p>
            <w:pPr/>
          </w:p>
        </w:tc>
        <w:tc>
          <w:tcPr>
            <w:tcW w:w="3039" w:type="dxa"/>
            <w:vMerge/>
            <w:tcBorders>
              <w:left w:val="single" w:sz="4" w:space="0" w:color="000000"/>
              <w:right w:val="single" w:sz="4" w:space="0" w:color="000000"/>
            </w:tcBorders>
          </w:tcPr>
          <w:p>
            <w:pPr/>
          </w:p>
        </w:tc>
      </w:tr>
      <w:tr>
        <w:trPr>
          <w:trHeight w:val="1234" w:hRule="exact"/>
        </w:trPr>
        <w:tc>
          <w:tcPr>
            <w:tcW w:w="3189" w:type="dxa"/>
            <w:tcBorders>
              <w:top w:val="nil" w:sz="6" w:space="0" w:color="auto"/>
              <w:left w:val="single" w:sz="4" w:space="0" w:color="000000"/>
              <w:bottom w:val="single" w:sz="4" w:space="0" w:color="000000"/>
              <w:right w:val="single" w:sz="4" w:space="0" w:color="000000"/>
            </w:tcBorders>
            <w:shd w:val="clear" w:color="auto" w:fill="D2D2D2"/>
          </w:tcPr>
          <w:p>
            <w:pPr/>
          </w:p>
        </w:tc>
        <w:tc>
          <w:tcPr>
            <w:tcW w:w="3341" w:type="dxa"/>
            <w:vMerge/>
            <w:tcBorders>
              <w:left w:val="single" w:sz="9" w:space="0" w:color="D2D2D2"/>
              <w:bottom w:val="single" w:sz="4" w:space="0" w:color="000000"/>
              <w:right w:val="single" w:sz="4" w:space="0" w:color="000000"/>
            </w:tcBorders>
          </w:tcPr>
          <w:p>
            <w:pPr/>
          </w:p>
        </w:tc>
        <w:tc>
          <w:tcPr>
            <w:tcW w:w="3039" w:type="dxa"/>
            <w:vMerge/>
            <w:tcBorders>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3194"/>
        <w:gridCol w:w="3324"/>
        <w:gridCol w:w="3051"/>
      </w:tblGrid>
      <w:tr>
        <w:trPr>
          <w:trHeight w:val="322" w:hRule="exact"/>
        </w:trPr>
        <w:tc>
          <w:tcPr>
            <w:tcW w:w="3194" w:type="dxa"/>
            <w:vMerge w:val="restart"/>
            <w:tcBorders>
              <w:top w:val="single" w:sz="4" w:space="0" w:color="000000"/>
              <w:left w:val="single" w:sz="4" w:space="0" w:color="000000"/>
              <w:right w:val="single" w:sz="4" w:space="0" w:color="000000"/>
            </w:tcBorders>
            <w:shd w:val="clear" w:color="auto" w:fill="D2D2D2"/>
          </w:tcPr>
          <w:p>
            <w:pPr/>
          </w:p>
        </w:tc>
        <w:tc>
          <w:tcPr>
            <w:tcW w:w="332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金额小于或等于营业收入的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宋体" w:hAnsi="宋体" w:cs="宋体" w:eastAsia="宋体" w:hint="default"/>
                <w:spacing w:val="-78"/>
                <w:sz w:val="18"/>
                <w:szCs w:val="18"/>
              </w:rPr>
              <w:t>。</w:t>
            </w:r>
            <w:r>
              <w:rPr>
                <w:rFonts w:ascii="宋体" w:hAnsi="宋体" w:cs="宋体" w:eastAsia="宋体" w:hint="default"/>
                <w:sz w:val="18"/>
                <w:szCs w:val="18"/>
              </w:rPr>
              <w:t>内部控制</w:t>
            </w:r>
          </w:p>
        </w:tc>
        <w:tc>
          <w:tcPr>
            <w:tcW w:w="3051" w:type="dxa"/>
            <w:vMerge w:val="restart"/>
            <w:tcBorders>
              <w:top w:val="single" w:sz="4" w:space="0" w:color="000000"/>
              <w:left w:val="single" w:sz="4" w:space="0" w:color="000000"/>
              <w:right w:val="single" w:sz="4" w:space="0" w:color="000000"/>
            </w:tcBorders>
          </w:tcPr>
          <w:p>
            <w:pPr>
              <w:pStyle w:val="TableParagraph"/>
              <w:spacing w:line="3473"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68"/>
                <w:sz w:val="20"/>
                <w:szCs w:val="20"/>
              </w:rPr>
              <w:pict>
                <v:group style="width:152.1pt;height:173.7pt;mso-position-horizontal-relative:char;mso-position-vertical-relative:line" coordorigin="0,0" coordsize="3042,3474">
                  <v:group style="position:absolute;left:0;top:0;width:3042;height:3474" coordorigin="0,0" coordsize="3042,3474">
                    <v:shape style="position:absolute;left:0;top:0;width:3042;height:3474" coordorigin="0,0" coordsize="3042,3474" path="m0,3473l3041,3473,3041,0,0,0,0,3473xe" filled="true" fillcolor="#ffffff" stroked="false">
                      <v:path arrowok="t"/>
                      <v:fill type="solid"/>
                    </v:shape>
                  </v:group>
                </v:group>
              </w:pict>
            </w:r>
            <w:r>
              <w:rPr>
                <w:rFonts w:ascii="Times New Roman" w:hAnsi="Times New Roman" w:cs="Times New Roman" w:eastAsia="Times New Roman" w:hint="default"/>
                <w:position w:val="-68"/>
                <w:sz w:val="20"/>
                <w:szCs w:val="20"/>
              </w:rPr>
            </w:r>
          </w:p>
        </w:tc>
      </w:tr>
      <w:tr>
        <w:trPr>
          <w:trHeight w:val="307" w:hRule="exact"/>
        </w:trPr>
        <w:tc>
          <w:tcPr>
            <w:tcW w:w="3194" w:type="dxa"/>
            <w:vMerge/>
            <w:tcBorders>
              <w:left w:val="single" w:sz="4" w:space="0" w:color="000000"/>
              <w:right w:val="single" w:sz="4" w:space="0" w:color="000000"/>
            </w:tcBorders>
            <w:shd w:val="clear" w:color="auto" w:fill="D2D2D2"/>
          </w:tcPr>
          <w:p>
            <w:pPr/>
          </w:p>
        </w:tc>
        <w:tc>
          <w:tcPr>
            <w:tcW w:w="332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缺陷导致或可能导致的损失与资产管理相</w:t>
            </w:r>
          </w:p>
        </w:tc>
        <w:tc>
          <w:tcPr>
            <w:tcW w:w="3051" w:type="dxa"/>
            <w:vMerge/>
            <w:tcBorders>
              <w:left w:val="single" w:sz="4" w:space="0" w:color="000000"/>
              <w:right w:val="single" w:sz="4" w:space="0" w:color="000000"/>
            </w:tcBorders>
          </w:tcPr>
          <w:p>
            <w:pPr/>
          </w:p>
        </w:tc>
      </w:tr>
      <w:tr>
        <w:trPr>
          <w:trHeight w:val="312" w:hRule="exact"/>
        </w:trPr>
        <w:tc>
          <w:tcPr>
            <w:tcW w:w="3194" w:type="dxa"/>
            <w:vMerge/>
            <w:tcBorders>
              <w:left w:val="single" w:sz="4" w:space="0" w:color="000000"/>
              <w:right w:val="single" w:sz="4" w:space="0" w:color="000000"/>
            </w:tcBorders>
            <w:shd w:val="clear" w:color="auto" w:fill="D2D2D2"/>
          </w:tcPr>
          <w:p>
            <w:pPr/>
          </w:p>
        </w:tc>
        <w:tc>
          <w:tcPr>
            <w:tcW w:w="332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9"/>
                <w:sz w:val="18"/>
                <w:szCs w:val="18"/>
              </w:rPr>
              <w:t>关的，以资产总</w:t>
            </w:r>
          </w:p>
        </w:tc>
        <w:tc>
          <w:tcPr>
            <w:tcW w:w="3051" w:type="dxa"/>
            <w:vMerge/>
            <w:tcBorders>
              <w:left w:val="single" w:sz="4" w:space="0" w:color="000000"/>
              <w:right w:val="single" w:sz="4" w:space="0" w:color="000000"/>
            </w:tcBorders>
          </w:tcPr>
          <w:p>
            <w:pPr/>
          </w:p>
        </w:tc>
      </w:tr>
      <w:tr>
        <w:trPr>
          <w:trHeight w:val="312" w:hRule="exact"/>
        </w:trPr>
        <w:tc>
          <w:tcPr>
            <w:tcW w:w="3194" w:type="dxa"/>
            <w:vMerge/>
            <w:tcBorders>
              <w:left w:val="single" w:sz="4" w:space="0" w:color="000000"/>
              <w:right w:val="single" w:sz="4" w:space="0" w:color="000000"/>
            </w:tcBorders>
            <w:shd w:val="clear" w:color="auto" w:fill="D2D2D2"/>
          </w:tcPr>
          <w:p>
            <w:pPr/>
          </w:p>
        </w:tc>
        <w:tc>
          <w:tcPr>
            <w:tcW w:w="332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①重大缺陷：该缺陷单独或连同其他缺陷</w:t>
            </w:r>
          </w:p>
        </w:tc>
        <w:tc>
          <w:tcPr>
            <w:tcW w:w="3051" w:type="dxa"/>
            <w:vMerge/>
            <w:tcBorders>
              <w:left w:val="single" w:sz="4" w:space="0" w:color="000000"/>
              <w:right w:val="single" w:sz="4" w:space="0" w:color="000000"/>
            </w:tcBorders>
          </w:tcPr>
          <w:p>
            <w:pPr/>
          </w:p>
        </w:tc>
      </w:tr>
      <w:tr>
        <w:trPr>
          <w:trHeight w:val="312" w:hRule="exact"/>
        </w:trPr>
        <w:tc>
          <w:tcPr>
            <w:tcW w:w="3194" w:type="dxa"/>
            <w:vMerge/>
            <w:tcBorders>
              <w:left w:val="single" w:sz="4" w:space="0" w:color="000000"/>
              <w:right w:val="single" w:sz="4" w:space="0" w:color="000000"/>
            </w:tcBorders>
            <w:shd w:val="clear" w:color="auto" w:fill="D2D2D2"/>
          </w:tcPr>
          <w:p>
            <w:pPr/>
          </w:p>
        </w:tc>
        <w:tc>
          <w:tcPr>
            <w:tcW w:w="332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可能导致的财务报告错误金额超过资产总</w:t>
            </w:r>
          </w:p>
        </w:tc>
        <w:tc>
          <w:tcPr>
            <w:tcW w:w="3051" w:type="dxa"/>
            <w:vMerge/>
            <w:tcBorders>
              <w:left w:val="single" w:sz="4" w:space="0" w:color="000000"/>
              <w:right w:val="single" w:sz="4" w:space="0" w:color="000000"/>
            </w:tcBorders>
          </w:tcPr>
          <w:p>
            <w:pPr/>
          </w:p>
        </w:tc>
      </w:tr>
      <w:tr>
        <w:trPr>
          <w:trHeight w:val="317" w:hRule="exact"/>
        </w:trPr>
        <w:tc>
          <w:tcPr>
            <w:tcW w:w="3194" w:type="dxa"/>
            <w:vMerge/>
            <w:tcBorders>
              <w:left w:val="single" w:sz="4" w:space="0" w:color="000000"/>
              <w:right w:val="single" w:sz="4" w:space="0" w:color="000000"/>
            </w:tcBorders>
            <w:shd w:val="clear" w:color="auto" w:fill="D2D2D2"/>
          </w:tcPr>
          <w:p>
            <w:pPr/>
          </w:p>
        </w:tc>
        <w:tc>
          <w:tcPr>
            <w:tcW w:w="332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额的</w:t>
            </w:r>
            <w:r>
              <w:rPr>
                <w:rFonts w:ascii="宋体" w:hAnsi="宋体" w:cs="宋体" w:eastAsia="宋体" w:hint="default"/>
                <w:spacing w:val="-41"/>
                <w:sz w:val="18"/>
                <w:szCs w:val="18"/>
              </w:rPr>
              <w:t> </w:t>
            </w:r>
            <w:r>
              <w:rPr>
                <w:rFonts w:ascii="Times New Roman" w:hAnsi="Times New Roman" w:cs="Times New Roman" w:eastAsia="Times New Roman" w:hint="default"/>
                <w:spacing w:val="-5"/>
                <w:sz w:val="18"/>
                <w:szCs w:val="18"/>
              </w:rPr>
              <w:t>2%</w:t>
            </w:r>
            <w:r>
              <w:rPr>
                <w:rFonts w:ascii="宋体" w:hAnsi="宋体" w:cs="宋体" w:eastAsia="宋体" w:hint="default"/>
                <w:spacing w:val="-5"/>
                <w:sz w:val="18"/>
                <w:szCs w:val="18"/>
              </w:rPr>
              <w:t>。②重要缺陷：该缺陷单独或连同</w:t>
            </w:r>
          </w:p>
        </w:tc>
        <w:tc>
          <w:tcPr>
            <w:tcW w:w="3051" w:type="dxa"/>
            <w:vMerge/>
            <w:tcBorders>
              <w:left w:val="single" w:sz="4" w:space="0" w:color="000000"/>
              <w:right w:val="single" w:sz="4" w:space="0" w:color="000000"/>
            </w:tcBorders>
          </w:tcPr>
          <w:p>
            <w:pPr/>
          </w:p>
        </w:tc>
      </w:tr>
      <w:tr>
        <w:trPr>
          <w:trHeight w:val="307" w:hRule="exact"/>
        </w:trPr>
        <w:tc>
          <w:tcPr>
            <w:tcW w:w="3194" w:type="dxa"/>
            <w:vMerge/>
            <w:tcBorders>
              <w:left w:val="single" w:sz="4" w:space="0" w:color="000000"/>
              <w:right w:val="single" w:sz="4" w:space="0" w:color="000000"/>
            </w:tcBorders>
            <w:shd w:val="clear" w:color="auto" w:fill="D2D2D2"/>
          </w:tcPr>
          <w:p>
            <w:pPr/>
          </w:p>
        </w:tc>
        <w:tc>
          <w:tcPr>
            <w:tcW w:w="332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其他缺陷可能导致的财务报告错误金额超</w:t>
            </w:r>
          </w:p>
        </w:tc>
        <w:tc>
          <w:tcPr>
            <w:tcW w:w="3051" w:type="dxa"/>
            <w:vMerge/>
            <w:tcBorders>
              <w:left w:val="single" w:sz="4" w:space="0" w:color="000000"/>
              <w:right w:val="single" w:sz="4" w:space="0" w:color="000000"/>
            </w:tcBorders>
          </w:tcPr>
          <w:p>
            <w:pPr/>
          </w:p>
        </w:tc>
      </w:tr>
      <w:tr>
        <w:trPr>
          <w:trHeight w:val="317" w:hRule="exact"/>
        </w:trPr>
        <w:tc>
          <w:tcPr>
            <w:tcW w:w="3194" w:type="dxa"/>
            <w:vMerge/>
            <w:tcBorders>
              <w:left w:val="single" w:sz="4" w:space="0" w:color="000000"/>
              <w:right w:val="single" w:sz="4" w:space="0" w:color="000000"/>
            </w:tcBorders>
            <w:shd w:val="clear" w:color="auto" w:fill="D2D2D2"/>
          </w:tcPr>
          <w:p>
            <w:pPr/>
          </w:p>
        </w:tc>
        <w:tc>
          <w:tcPr>
            <w:tcW w:w="332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过资产总额的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宋体" w:hAnsi="宋体" w:cs="宋体" w:eastAsia="宋体" w:hint="default"/>
                <w:spacing w:val="-78"/>
                <w:sz w:val="18"/>
                <w:szCs w:val="18"/>
              </w:rPr>
              <w:t>，</w:t>
            </w:r>
            <w:r>
              <w:rPr>
                <w:rFonts w:ascii="宋体" w:hAnsi="宋体" w:cs="宋体" w:eastAsia="宋体" w:hint="default"/>
                <w:sz w:val="18"/>
                <w:szCs w:val="18"/>
              </w:rPr>
              <w:t>但小于或等于资产总额</w:t>
            </w:r>
          </w:p>
        </w:tc>
        <w:tc>
          <w:tcPr>
            <w:tcW w:w="3051" w:type="dxa"/>
            <w:vMerge/>
            <w:tcBorders>
              <w:left w:val="single" w:sz="4" w:space="0" w:color="000000"/>
              <w:right w:val="single" w:sz="4" w:space="0" w:color="000000"/>
            </w:tcBorders>
          </w:tcPr>
          <w:p>
            <w:pPr/>
          </w:p>
        </w:tc>
      </w:tr>
      <w:tr>
        <w:trPr>
          <w:trHeight w:val="312" w:hRule="exact"/>
        </w:trPr>
        <w:tc>
          <w:tcPr>
            <w:tcW w:w="3194" w:type="dxa"/>
            <w:vMerge/>
            <w:tcBorders>
              <w:left w:val="single" w:sz="4" w:space="0" w:color="000000"/>
              <w:right w:val="single" w:sz="4" w:space="0" w:color="000000"/>
            </w:tcBorders>
            <w:shd w:val="clear" w:color="auto" w:fill="D2D2D2"/>
          </w:tcPr>
          <w:p>
            <w:pPr/>
          </w:p>
        </w:tc>
        <w:tc>
          <w:tcPr>
            <w:tcW w:w="332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的</w:t>
            </w:r>
            <w:r>
              <w:rPr>
                <w:rFonts w:ascii="宋体" w:hAnsi="宋体" w:cs="宋体" w:eastAsia="宋体" w:hint="default"/>
                <w:spacing w:val="-35"/>
                <w:sz w:val="18"/>
                <w:szCs w:val="18"/>
              </w:rPr>
              <w:t> </w:t>
            </w:r>
            <w:r>
              <w:rPr>
                <w:rFonts w:ascii="Times New Roman" w:hAnsi="Times New Roman" w:cs="Times New Roman" w:eastAsia="Times New Roman" w:hint="default"/>
                <w:spacing w:val="-5"/>
                <w:sz w:val="18"/>
                <w:szCs w:val="18"/>
              </w:rPr>
              <w:t>2%</w:t>
            </w:r>
            <w:r>
              <w:rPr>
                <w:rFonts w:ascii="宋体" w:hAnsi="宋体" w:cs="宋体" w:eastAsia="宋体" w:hint="default"/>
                <w:spacing w:val="-5"/>
                <w:sz w:val="18"/>
                <w:szCs w:val="18"/>
              </w:rPr>
              <w:t>。③一般缺陷：该缺陷单独或连同其</w:t>
            </w:r>
          </w:p>
        </w:tc>
        <w:tc>
          <w:tcPr>
            <w:tcW w:w="3051" w:type="dxa"/>
            <w:vMerge/>
            <w:tcBorders>
              <w:left w:val="single" w:sz="4" w:space="0" w:color="000000"/>
              <w:right w:val="single" w:sz="4" w:space="0" w:color="000000"/>
            </w:tcBorders>
          </w:tcPr>
          <w:p>
            <w:pPr/>
          </w:p>
        </w:tc>
      </w:tr>
      <w:tr>
        <w:trPr>
          <w:trHeight w:val="308" w:hRule="exact"/>
        </w:trPr>
        <w:tc>
          <w:tcPr>
            <w:tcW w:w="3194" w:type="dxa"/>
            <w:vMerge/>
            <w:tcBorders>
              <w:left w:val="single" w:sz="4" w:space="0" w:color="000000"/>
              <w:right w:val="single" w:sz="4" w:space="0" w:color="000000"/>
            </w:tcBorders>
            <w:shd w:val="clear" w:color="auto" w:fill="D2D2D2"/>
          </w:tcPr>
          <w:p>
            <w:pPr/>
          </w:p>
        </w:tc>
        <w:tc>
          <w:tcPr>
            <w:tcW w:w="332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他缺陷可能导致的财务报告错误金额小于</w:t>
            </w:r>
          </w:p>
        </w:tc>
        <w:tc>
          <w:tcPr>
            <w:tcW w:w="3051" w:type="dxa"/>
            <w:vMerge/>
            <w:tcBorders>
              <w:left w:val="single" w:sz="4" w:space="0" w:color="000000"/>
              <w:right w:val="single" w:sz="4" w:space="0" w:color="000000"/>
            </w:tcBorders>
          </w:tcPr>
          <w:p>
            <w:pPr/>
          </w:p>
        </w:tc>
      </w:tr>
      <w:tr>
        <w:trPr>
          <w:trHeight w:val="357" w:hRule="exact"/>
        </w:trPr>
        <w:tc>
          <w:tcPr>
            <w:tcW w:w="3194" w:type="dxa"/>
            <w:vMerge/>
            <w:tcBorders>
              <w:left w:val="single" w:sz="4" w:space="0" w:color="000000"/>
              <w:bottom w:val="single" w:sz="4" w:space="0" w:color="000000"/>
              <w:right w:val="single" w:sz="4" w:space="0" w:color="000000"/>
            </w:tcBorders>
            <w:shd w:val="clear" w:color="auto" w:fill="D2D2D2"/>
          </w:tcPr>
          <w:p>
            <w:pPr/>
          </w:p>
        </w:tc>
        <w:tc>
          <w:tcPr>
            <w:tcW w:w="332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或等于资产总额的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p>
        </w:tc>
        <w:tc>
          <w:tcPr>
            <w:tcW w:w="3051" w:type="dxa"/>
            <w:vMerge/>
            <w:tcBorders>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财务报告重大缺陷数量（个）</w:t>
            </w:r>
          </w:p>
        </w:tc>
        <w:tc>
          <w:tcPr>
            <w:tcW w:w="63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非财务报告重大缺陷数量（个）</w:t>
            </w:r>
          </w:p>
        </w:tc>
        <w:tc>
          <w:tcPr>
            <w:tcW w:w="63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财务报告重要缺陷数量（个）</w:t>
            </w:r>
          </w:p>
        </w:tc>
        <w:tc>
          <w:tcPr>
            <w:tcW w:w="63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非财务报告重要缺陷数量（个）</w:t>
            </w:r>
          </w:p>
        </w:tc>
        <w:tc>
          <w:tcPr>
            <w:tcW w:w="63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bl>
    <w:p>
      <w:pPr>
        <w:spacing w:line="240" w:lineRule="auto" w:before="7"/>
        <w:rPr>
          <w:rFonts w:ascii="Times New Roman" w:hAnsi="Times New Roman" w:cs="Times New Roman" w:eastAsia="Times New Roman" w:hint="default"/>
          <w:sz w:val="20"/>
          <w:szCs w:val="20"/>
        </w:rPr>
      </w:pPr>
    </w:p>
    <w:p>
      <w:pPr>
        <w:pStyle w:val="Heading2"/>
        <w:spacing w:line="240" w:lineRule="auto" w:before="26"/>
        <w:ind w:left="154" w:right="0"/>
        <w:jc w:val="left"/>
        <w:rPr>
          <w:b w:val="0"/>
          <w:bCs w:val="0"/>
        </w:rPr>
      </w:pPr>
      <w:r>
        <w:rPr/>
        <w:pict>
          <v:shape style="position:absolute;margin-left:277.634003pt;margin-top:-266.404388pt;width:257.3pt;height:173.7pt;mso-position-horizontal-relative:page;mso-position-vertical-relative:paragraph;z-index:-1253512" type="#_x0000_t202" filled="false" stroked="false">
            <v:textbox inset="0,0,0,0">
              <w:txbxContent>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12"/>
                      <w:szCs w:val="12"/>
                    </w:rPr>
                  </w:pPr>
                </w:p>
                <w:p>
                  <w:pPr>
                    <w:pStyle w:val="BodyText"/>
                    <w:spacing w:line="240" w:lineRule="auto"/>
                    <w:ind w:left="0" w:right="0"/>
                    <w:jc w:val="left"/>
                  </w:pPr>
                  <w:r>
                    <w:rPr/>
                    <w:t>额的一定比例作指标衡量。</w:t>
                  </w:r>
                </w:p>
              </w:txbxContent>
            </v:textbox>
            <w10:wrap type="none"/>
          </v:shape>
        </w:pict>
      </w:r>
      <w:bookmarkStart w:name="十、内部控制审计报告或鉴证报告" w:id="151"/>
      <w:bookmarkEnd w:id="151"/>
      <w:r>
        <w:rPr>
          <w:b w:val="0"/>
          <w:bCs w:val="0"/>
        </w:rPr>
      </w:r>
      <w:r>
        <w:rPr/>
        <w:t>十、内部控制审计报告或鉴证报告</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不适用</w:t>
      </w:r>
    </w:p>
    <w:p>
      <w:pPr>
        <w:spacing w:after="0" w:line="240" w:lineRule="auto"/>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left="3126" w:right="0"/>
        <w:jc w:val="left"/>
        <w:rPr>
          <w:b w:val="0"/>
          <w:bCs w:val="0"/>
        </w:rPr>
      </w:pPr>
      <w:bookmarkStart w:name="第十节 公司债券相关情况" w:id="152"/>
      <w:bookmarkEnd w:id="152"/>
      <w:r>
        <w:rPr>
          <w:b w:val="0"/>
          <w:bCs w:val="0"/>
        </w:rPr>
      </w:r>
      <w:bookmarkStart w:name="_bookmark8" w:id="153"/>
      <w:bookmarkEnd w:id="153"/>
      <w:r>
        <w:rPr>
          <w:b w:val="0"/>
          <w:bCs w:val="0"/>
        </w:rPr>
      </w:r>
      <w:r>
        <w:rPr/>
        <w:t>第十节</w:t>
      </w:r>
      <w:r>
        <w:rPr>
          <w:spacing w:val="-9"/>
        </w:rPr>
        <w:t> </w:t>
      </w:r>
      <w:r>
        <w:rPr/>
        <w:t>公司债券相关情况</w:t>
      </w:r>
      <w:r>
        <w:rPr>
          <w:b w:val="0"/>
          <w:bCs w:val="0"/>
        </w:rPr>
      </w:r>
    </w:p>
    <w:p>
      <w:pPr>
        <w:spacing w:line="240" w:lineRule="auto" w:before="8"/>
        <w:rPr>
          <w:rFonts w:ascii="宋体" w:hAnsi="宋体" w:cs="宋体" w:eastAsia="宋体" w:hint="default"/>
          <w:b/>
          <w:bCs/>
          <w:sz w:val="42"/>
          <w:szCs w:val="42"/>
        </w:rPr>
      </w:pPr>
    </w:p>
    <w:p>
      <w:pPr>
        <w:pStyle w:val="BodyText"/>
        <w:spacing w:line="357" w:lineRule="auto"/>
        <w:ind w:right="2113"/>
        <w:jc w:val="left"/>
      </w:pPr>
      <w:r>
        <w:rPr/>
        <w:t>公司是否存在公开发行并在证券交易所上市，且在年度报告批准报出日未到期或到期未能全额兑付的公司债券 否</w:t>
      </w:r>
    </w:p>
    <w:p>
      <w:pPr>
        <w:spacing w:after="0" w:line="357" w:lineRule="auto"/>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left="3607" w:right="0"/>
        <w:jc w:val="left"/>
        <w:rPr>
          <w:b w:val="0"/>
          <w:bCs w:val="0"/>
        </w:rPr>
      </w:pPr>
      <w:bookmarkStart w:name="第十一节 财务报告" w:id="154"/>
      <w:bookmarkEnd w:id="154"/>
      <w:r>
        <w:rPr>
          <w:b w:val="0"/>
          <w:bCs w:val="0"/>
        </w:rPr>
      </w:r>
      <w:bookmarkStart w:name="_bookmark9" w:id="155"/>
      <w:bookmarkEnd w:id="155"/>
      <w:r>
        <w:rPr>
          <w:b w:val="0"/>
          <w:bCs w:val="0"/>
        </w:rPr>
      </w:r>
      <w:r>
        <w:rPr/>
        <w:t>第十一节</w:t>
      </w:r>
      <w:r>
        <w:rPr>
          <w:spacing w:val="-6"/>
        </w:rPr>
        <w:t> </w:t>
      </w:r>
      <w:r>
        <w:rPr/>
        <w:t>财务报告</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before="26"/>
        <w:ind w:right="0"/>
        <w:jc w:val="left"/>
        <w:rPr>
          <w:b w:val="0"/>
          <w:bCs w:val="0"/>
        </w:rPr>
      </w:pPr>
      <w:bookmarkStart w:name="一、审计报告" w:id="156"/>
      <w:bookmarkEnd w:id="156"/>
      <w:r>
        <w:rPr>
          <w:b w:val="0"/>
          <w:bCs w:val="0"/>
        </w:rPr>
      </w:r>
      <w:r>
        <w:rPr/>
        <w:t>一、审计报告</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4784"/>
        <w:gridCol w:w="4785"/>
      </w:tblGrid>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审计意见类型</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标准的无保留意见</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审计报告签署日期</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审计机构名称</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瑞华会计师事务所（特殊普通合伙）</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审计报告文号</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瑞华审字</w:t>
            </w:r>
            <w:r>
              <w:rPr>
                <w:rFonts w:ascii="Times New Roman" w:hAnsi="Times New Roman" w:cs="Times New Roman" w:eastAsia="Times New Roman" w:hint="default"/>
                <w:sz w:val="18"/>
                <w:szCs w:val="18"/>
              </w:rPr>
              <w:t>[2018]48190017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号</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注册会计师姓名</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刘仁芝、张丽</w:t>
            </w:r>
          </w:p>
        </w:tc>
      </w:tr>
    </w:tbl>
    <w:p>
      <w:pPr>
        <w:pStyle w:val="BodyText"/>
        <w:spacing w:line="240" w:lineRule="auto" w:before="51"/>
        <w:ind w:left="3066" w:right="4042"/>
        <w:jc w:val="center"/>
      </w:pPr>
      <w:r>
        <w:rPr/>
        <w:t>审计报告正文</w:t>
      </w:r>
    </w:p>
    <w:p>
      <w:pPr>
        <w:spacing w:before="125"/>
        <w:ind w:left="3066" w:right="4042" w:firstLine="0"/>
        <w:jc w:val="center"/>
        <w:rPr>
          <w:rFonts w:ascii="宋体" w:hAnsi="宋体" w:cs="宋体" w:eastAsia="宋体" w:hint="default"/>
          <w:sz w:val="36"/>
          <w:szCs w:val="36"/>
        </w:rPr>
      </w:pPr>
      <w:r>
        <w:rPr>
          <w:rFonts w:ascii="宋体" w:hAnsi="宋体" w:cs="宋体" w:eastAsia="宋体" w:hint="default"/>
          <w:b/>
          <w:bCs/>
          <w:sz w:val="36"/>
          <w:szCs w:val="36"/>
        </w:rPr>
        <w:t>审计报告</w:t>
      </w:r>
      <w:r>
        <w:rPr>
          <w:rFonts w:ascii="宋体" w:hAnsi="宋体" w:cs="宋体" w:eastAsia="宋体" w:hint="default"/>
          <w:sz w:val="36"/>
          <w:szCs w:val="36"/>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4"/>
          <w:szCs w:val="14"/>
        </w:rPr>
      </w:pPr>
    </w:p>
    <w:p>
      <w:pPr>
        <w:pStyle w:val="BodyText"/>
        <w:spacing w:line="240" w:lineRule="auto"/>
        <w:ind w:left="0" w:right="1156"/>
        <w:jc w:val="right"/>
      </w:pPr>
      <w:r>
        <w:rPr>
          <w:spacing w:val="-1"/>
        </w:rPr>
        <w:t>瑞华审字</w:t>
      </w:r>
      <w:r>
        <w:rPr>
          <w:rFonts w:ascii="Times New Roman" w:hAnsi="Times New Roman" w:cs="Times New Roman" w:eastAsia="Times New Roman" w:hint="default"/>
          <w:spacing w:val="-1"/>
        </w:rPr>
        <w:t>[2018]48190017</w:t>
      </w:r>
      <w:r>
        <w:rPr>
          <w:spacing w:val="-1"/>
        </w:rPr>
        <w:t>号</w:t>
      </w:r>
    </w:p>
    <w:p>
      <w:pPr>
        <w:spacing w:line="240" w:lineRule="auto" w:before="3"/>
        <w:rPr>
          <w:rFonts w:ascii="宋体" w:hAnsi="宋体" w:cs="宋体" w:eastAsia="宋体" w:hint="default"/>
          <w:sz w:val="25"/>
          <w:szCs w:val="25"/>
        </w:rPr>
      </w:pPr>
    </w:p>
    <w:p>
      <w:pPr>
        <w:pStyle w:val="Heading4"/>
        <w:spacing w:line="240" w:lineRule="auto" w:before="44"/>
        <w:ind w:left="153" w:right="0"/>
        <w:jc w:val="left"/>
        <w:rPr>
          <w:b w:val="0"/>
          <w:bCs w:val="0"/>
        </w:rPr>
      </w:pPr>
      <w:r>
        <w:rPr/>
        <w:t>深圳市奥拓电子股份有限公司全体股东：</w:t>
      </w:r>
      <w:r>
        <w:rPr>
          <w:b w:val="0"/>
          <w:bCs w:val="0"/>
        </w:rPr>
      </w:r>
    </w:p>
    <w:p>
      <w:pPr>
        <w:spacing w:line="240" w:lineRule="auto" w:before="0"/>
        <w:rPr>
          <w:rFonts w:ascii="宋体" w:hAnsi="宋体" w:cs="宋体" w:eastAsia="宋体" w:hint="default"/>
          <w:b/>
          <w:bCs/>
          <w:sz w:val="18"/>
          <w:szCs w:val="18"/>
        </w:rPr>
      </w:pPr>
    </w:p>
    <w:p>
      <w:pPr>
        <w:pStyle w:val="Heading4"/>
        <w:spacing w:line="240" w:lineRule="auto" w:before="153"/>
        <w:ind w:right="0"/>
        <w:jc w:val="left"/>
        <w:rPr>
          <w:b w:val="0"/>
          <w:bCs w:val="0"/>
        </w:rPr>
      </w:pPr>
      <w:r>
        <w:rPr/>
        <w:t>一、审计意见</w:t>
      </w:r>
      <w:r>
        <w:rPr>
          <w:b w:val="0"/>
          <w:bCs w:val="0"/>
        </w:rPr>
      </w:r>
    </w:p>
    <w:p>
      <w:pPr>
        <w:pStyle w:val="BodyText"/>
        <w:spacing w:line="300" w:lineRule="auto" w:before="117"/>
        <w:ind w:right="1129" w:firstLine="360"/>
        <w:jc w:val="both"/>
      </w:pPr>
      <w:r>
        <w:rPr/>
        <w:t>我们审计了深圳市奥拓电子股份有限公司（以下简称</w:t>
      </w:r>
      <w:r>
        <w:rPr>
          <w:rFonts w:ascii="Times New Roman" w:hAnsi="Times New Roman" w:cs="Times New Roman" w:eastAsia="Times New Roman" w:hint="default"/>
        </w:rPr>
        <w:t>“</w:t>
      </w:r>
      <w:r>
        <w:rPr/>
        <w:t>奥拓电子公司</w:t>
      </w:r>
      <w:r>
        <w:rPr>
          <w:rFonts w:ascii="Times New Roman" w:hAnsi="Times New Roman" w:cs="Times New Roman" w:eastAsia="Times New Roman" w:hint="default"/>
        </w:rPr>
        <w:t>”</w:t>
      </w:r>
      <w:r>
        <w:rPr/>
        <w:t>）财务报表，包括</w:t>
      </w:r>
      <w:r>
        <w:rPr>
          <w:spacing w:val="-41"/>
        </w:rPr>
        <w:t> </w:t>
      </w:r>
      <w:r>
        <w:rPr>
          <w:rFonts w:ascii="Times New Roman" w:hAnsi="Times New Roman" w:cs="Times New Roman" w:eastAsia="Times New Roman" w:hint="default"/>
        </w:rPr>
        <w:t>2017</w:t>
      </w:r>
      <w:r>
        <w:rPr>
          <w:rFonts w:ascii="Times New Roman" w:hAnsi="Times New Roman" w:cs="Times New Roman" w:eastAsia="Times New Roman" w:hint="default"/>
          <w:spacing w:val="4"/>
        </w:rPr>
        <w:t> </w:t>
      </w:r>
      <w:r>
        <w:rPr/>
        <w:t>年</w:t>
      </w:r>
      <w:r>
        <w:rPr>
          <w:spacing w:val="-41"/>
        </w:rPr>
        <w:t> </w:t>
      </w:r>
      <w:r>
        <w:rPr>
          <w:rFonts w:ascii="Times New Roman" w:hAnsi="Times New Roman" w:cs="Times New Roman" w:eastAsia="Times New Roman" w:hint="default"/>
        </w:rPr>
        <w:t>12</w:t>
      </w:r>
      <w:r>
        <w:rPr>
          <w:rFonts w:ascii="Times New Roman" w:hAnsi="Times New Roman" w:cs="Times New Roman" w:eastAsia="Times New Roman" w:hint="default"/>
          <w:spacing w:val="5"/>
        </w:rPr>
        <w:t> </w:t>
      </w:r>
      <w:r>
        <w:rPr/>
        <w:t>月</w:t>
      </w:r>
      <w:r>
        <w:rPr>
          <w:spacing w:val="-41"/>
        </w:rPr>
        <w:t> </w:t>
      </w:r>
      <w:r>
        <w:rPr>
          <w:rFonts w:ascii="Times New Roman" w:hAnsi="Times New Roman" w:cs="Times New Roman" w:eastAsia="Times New Roman" w:hint="default"/>
        </w:rPr>
        <w:t>31</w:t>
      </w:r>
      <w:r>
        <w:rPr>
          <w:rFonts w:ascii="Times New Roman" w:hAnsi="Times New Roman" w:cs="Times New Roman" w:eastAsia="Times New Roman" w:hint="default"/>
          <w:spacing w:val="4"/>
        </w:rPr>
        <w:t> </w:t>
      </w:r>
      <w:r>
        <w:rPr/>
        <w:t>日的合并及公 司资产负债表，</w:t>
      </w:r>
      <w:r>
        <w:rPr>
          <w:rFonts w:ascii="Times New Roman" w:hAnsi="Times New Roman" w:cs="Times New Roman" w:eastAsia="Times New Roman" w:hint="default"/>
        </w:rPr>
        <w:t>2017</w:t>
      </w:r>
      <w:r>
        <w:rPr>
          <w:rFonts w:ascii="Times New Roman" w:hAnsi="Times New Roman" w:cs="Times New Roman" w:eastAsia="Times New Roman" w:hint="default"/>
          <w:spacing w:val="7"/>
        </w:rPr>
        <w:t> </w:t>
      </w:r>
      <w:r>
        <w:rPr/>
        <w:t>年度的合并及公司利润表、合并及公司现金流量表、合并及公司股东权益变动表以及相关财务报表附 注。</w:t>
      </w:r>
    </w:p>
    <w:p>
      <w:pPr>
        <w:pStyle w:val="BodyText"/>
        <w:spacing w:line="240" w:lineRule="auto" w:before="70"/>
        <w:ind w:left="514" w:right="0"/>
        <w:jc w:val="left"/>
        <w:rPr>
          <w:rFonts w:ascii="Times New Roman" w:hAnsi="Times New Roman" w:cs="Times New Roman" w:eastAsia="Times New Roman" w:hint="default"/>
        </w:rPr>
      </w:pPr>
      <w:r>
        <w:rPr/>
        <w:t>我们认为，后附的财务报表在所有重大方面按照企业会计准则的规定编制，公允反映了奥拓电子公司</w:t>
      </w:r>
      <w:r>
        <w:rPr>
          <w:spacing w:val="-34"/>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0"/>
        </w:rPr>
        <w:t> </w:t>
      </w:r>
      <w:r>
        <w:rPr/>
        <w:t>年</w:t>
      </w:r>
      <w:r>
        <w:rPr>
          <w:spacing w:val="-35"/>
        </w:rPr>
        <w:t> </w:t>
      </w:r>
      <w:r>
        <w:rPr>
          <w:rFonts w:ascii="Times New Roman" w:hAnsi="Times New Roman" w:cs="Times New Roman" w:eastAsia="Times New Roman" w:hint="default"/>
        </w:rPr>
        <w:t>12</w:t>
      </w:r>
      <w:r>
        <w:rPr>
          <w:rFonts w:ascii="Times New Roman" w:hAnsi="Times New Roman" w:cs="Times New Roman" w:eastAsia="Times New Roman" w:hint="default"/>
          <w:spacing w:val="10"/>
        </w:rPr>
        <w:t> </w:t>
      </w:r>
      <w:r>
        <w:rPr/>
        <w:t>月</w:t>
      </w:r>
      <w:r>
        <w:rPr>
          <w:spacing w:val="-35"/>
        </w:rPr>
        <w:t> </w:t>
      </w:r>
      <w:r>
        <w:rPr>
          <w:rFonts w:ascii="Times New Roman" w:hAnsi="Times New Roman" w:cs="Times New Roman" w:eastAsia="Times New Roman" w:hint="default"/>
        </w:rPr>
        <w:t>31</w:t>
      </w:r>
    </w:p>
    <w:p>
      <w:pPr>
        <w:spacing w:line="338" w:lineRule="auto" w:before="64"/>
        <w:ind w:left="515" w:right="4725" w:hanging="362"/>
        <w:jc w:val="left"/>
        <w:rPr>
          <w:rFonts w:ascii="宋体" w:hAnsi="宋体" w:cs="宋体" w:eastAsia="宋体" w:hint="default"/>
          <w:sz w:val="18"/>
          <w:szCs w:val="18"/>
        </w:rPr>
      </w:pPr>
      <w:r>
        <w:rPr>
          <w:rFonts w:ascii="宋体" w:hAnsi="宋体" w:cs="宋体" w:eastAsia="宋体" w:hint="default"/>
          <w:sz w:val="18"/>
          <w:szCs w:val="18"/>
        </w:rPr>
        <w:t>日合并及公司的财务状况以及</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年度合并及公司的经营成果和现金流量。 </w:t>
      </w:r>
      <w:r>
        <w:rPr>
          <w:rFonts w:ascii="宋体" w:hAnsi="宋体" w:cs="宋体" w:eastAsia="宋体" w:hint="default"/>
          <w:b/>
          <w:bCs/>
          <w:sz w:val="18"/>
          <w:szCs w:val="18"/>
        </w:rPr>
        <w:t>二、形成审计意见的基础</w:t>
      </w:r>
      <w:r>
        <w:rPr>
          <w:rFonts w:ascii="宋体" w:hAnsi="宋体" w:cs="宋体" w:eastAsia="宋体" w:hint="default"/>
          <w:sz w:val="18"/>
          <w:szCs w:val="18"/>
        </w:rPr>
      </w:r>
    </w:p>
    <w:p>
      <w:pPr>
        <w:pStyle w:val="BodyText"/>
        <w:spacing w:line="309" w:lineRule="auto" w:before="43"/>
        <w:ind w:right="1130" w:firstLine="360"/>
        <w:jc w:val="both"/>
      </w:pPr>
      <w:r>
        <w:rPr>
          <w:spacing w:val="-2"/>
        </w:rPr>
        <w:t>我们按照中国注册会计师审计准则的规定执行了审计工作。审计报告的</w:t>
      </w:r>
      <w:r>
        <w:rPr>
          <w:rFonts w:ascii="Times New Roman" w:hAnsi="Times New Roman" w:cs="Times New Roman" w:eastAsia="Times New Roman" w:hint="default"/>
          <w:spacing w:val="-2"/>
        </w:rPr>
        <w:t>“</w:t>
      </w:r>
      <w:r>
        <w:rPr>
          <w:spacing w:val="-2"/>
        </w:rPr>
        <w:t>注册会计师对财务报表审计的责任</w:t>
      </w:r>
      <w:r>
        <w:rPr>
          <w:rFonts w:ascii="Times New Roman" w:hAnsi="Times New Roman" w:cs="Times New Roman" w:eastAsia="Times New Roman" w:hint="default"/>
          <w:spacing w:val="-2"/>
        </w:rPr>
        <w:t>”</w:t>
      </w:r>
      <w:r>
        <w:rPr>
          <w:spacing w:val="-2"/>
        </w:rPr>
        <w:t>部分进一步</w:t>
      </w:r>
      <w:r>
        <w:rPr/>
        <w:t> </w:t>
      </w:r>
      <w:r>
        <w:rPr>
          <w:spacing w:val="-2"/>
        </w:rPr>
        <w:t>阐述了我们在这些准则下的责任。按照中国注册会计师职业道德守则，我们独立于奥拓电子公司，并履行了职业道德方面的</w:t>
      </w:r>
      <w:r>
        <w:rPr>
          <w:spacing w:val="-66"/>
        </w:rPr>
        <w:t> </w:t>
      </w:r>
      <w:r>
        <w:rPr>
          <w:spacing w:val="-66"/>
        </w:rPr>
      </w:r>
      <w:r>
        <w:rPr/>
        <w:t>其他责任。我们相信，我们获取的审计证据是充分、适当的，为发表审计意见提供了基础。</w:t>
      </w:r>
    </w:p>
    <w:p>
      <w:pPr>
        <w:pStyle w:val="BodyText"/>
        <w:spacing w:line="316" w:lineRule="auto" w:before="62"/>
        <w:ind w:left="513" w:right="0" w:firstLine="1"/>
        <w:jc w:val="left"/>
      </w:pPr>
      <w:r>
        <w:rPr>
          <w:rFonts w:ascii="宋体" w:hAnsi="宋体" w:cs="宋体" w:eastAsia="宋体" w:hint="default"/>
          <w:b/>
          <w:bCs/>
        </w:rPr>
        <w:t>三、关键审计事项</w:t>
      </w:r>
      <w:r>
        <w:rPr>
          <w:rFonts w:ascii="宋体" w:hAnsi="宋体" w:cs="宋体" w:eastAsia="宋体" w:hint="default"/>
          <w:b/>
          <w:bCs/>
          <w:w w:val="99"/>
        </w:rPr>
        <w:t> </w:t>
      </w:r>
      <w:r>
        <w:rPr>
          <w:spacing w:val="-2"/>
        </w:rPr>
        <w:t>关键审计事项是我们根据职业判断，认为对本期财务报表审计最为重要的事项。这些事项的应对以对财务报表整体进行</w:t>
      </w:r>
    </w:p>
    <w:p>
      <w:pPr>
        <w:pStyle w:val="BodyText"/>
        <w:spacing w:line="240" w:lineRule="auto" w:before="19"/>
        <w:ind w:right="0"/>
        <w:jc w:val="left"/>
      </w:pPr>
      <w:r>
        <w:rPr/>
        <w:pict>
          <v:group style="position:absolute;margin-left:297.459991pt;margin-top:18.48177pt;width:.5pt;height:17.3pt;mso-position-horizontal-relative:page;mso-position-vertical-relative:paragraph;z-index:-1253488" coordorigin="5949,370" coordsize="10,346">
            <v:group style="position:absolute;left:5949;top:370;width:10;height:20" coordorigin="5949,370" coordsize="10,20">
              <v:shape style="position:absolute;left:5949;top:370;width:10;height:20" coordorigin="5949,370" coordsize="10,20" path="m5949,389l5959,389,5959,370,5949,370,5949,389xe" filled="true" fillcolor="#000000" stroked="false">
                <v:path arrowok="t"/>
                <v:fill type="solid"/>
              </v:shape>
            </v:group>
            <v:group style="position:absolute;left:5949;top:389;width:10;height:20" coordorigin="5949,389" coordsize="10,20">
              <v:shape style="position:absolute;left:5949;top:389;width:10;height:20" coordorigin="5949,389" coordsize="10,20" path="m5949,408l5959,408,5959,389,5949,389,5949,408xe" filled="true" fillcolor="#000000" stroked="false">
                <v:path arrowok="t"/>
                <v:fill type="solid"/>
              </v:shape>
            </v:group>
            <v:group style="position:absolute;left:5949;top:408;width:10;height:20" coordorigin="5949,408" coordsize="10,20">
              <v:shape style="position:absolute;left:5949;top:408;width:10;height:20" coordorigin="5949,408" coordsize="10,20" path="m5949,427l5959,427,5959,408,5949,408,5949,427xe" filled="true" fillcolor="#000000" stroked="false">
                <v:path arrowok="t"/>
                <v:fill type="solid"/>
              </v:shape>
            </v:group>
            <v:group style="position:absolute;left:5949;top:427;width:10;height:20" coordorigin="5949,427" coordsize="10,20">
              <v:shape style="position:absolute;left:5949;top:427;width:10;height:20" coordorigin="5949,427" coordsize="10,20" path="m5949,446l5959,446,5959,427,5949,427,5949,446xe" filled="true" fillcolor="#000000" stroked="false">
                <v:path arrowok="t"/>
                <v:fill type="solid"/>
              </v:shape>
            </v:group>
            <v:group style="position:absolute;left:5949;top:446;width:10;height:20" coordorigin="5949,446" coordsize="10,20">
              <v:shape style="position:absolute;left:5949;top:446;width:10;height:20" coordorigin="5949,446" coordsize="10,20" path="m5949,466l5959,466,5959,446,5949,446,5949,466xe" filled="true" fillcolor="#000000" stroked="false">
                <v:path arrowok="t"/>
                <v:fill type="solid"/>
              </v:shape>
            </v:group>
            <v:group style="position:absolute;left:5949;top:466;width:10;height:20" coordorigin="5949,466" coordsize="10,20">
              <v:shape style="position:absolute;left:5949;top:466;width:10;height:20" coordorigin="5949,466" coordsize="10,20" path="m5949,485l5959,485,5959,466,5949,466,5949,485xe" filled="true" fillcolor="#000000" stroked="false">
                <v:path arrowok="t"/>
                <v:fill type="solid"/>
              </v:shape>
            </v:group>
            <v:group style="position:absolute;left:5949;top:485;width:10;height:20" coordorigin="5949,485" coordsize="10,20">
              <v:shape style="position:absolute;left:5949;top:485;width:10;height:20" coordorigin="5949,485" coordsize="10,20" path="m5949,504l5959,504,5959,485,5949,485,5949,504xe" filled="true" fillcolor="#000000" stroked="false">
                <v:path arrowok="t"/>
                <v:fill type="solid"/>
              </v:shape>
            </v:group>
            <v:group style="position:absolute;left:5949;top:504;width:10;height:20" coordorigin="5949,504" coordsize="10,20">
              <v:shape style="position:absolute;left:5949;top:504;width:10;height:20" coordorigin="5949,504" coordsize="10,20" path="m5949,523l5959,523,5959,504,5949,504,5949,523xe" filled="true" fillcolor="#000000" stroked="false">
                <v:path arrowok="t"/>
                <v:fill type="solid"/>
              </v:shape>
            </v:group>
            <v:group style="position:absolute;left:5949;top:523;width:10;height:20" coordorigin="5949,523" coordsize="10,20">
              <v:shape style="position:absolute;left:5949;top:523;width:10;height:20" coordorigin="5949,523" coordsize="10,20" path="m5949,542l5959,542,5959,523,5949,523,5949,542xe" filled="true" fillcolor="#000000" stroked="false">
                <v:path arrowok="t"/>
                <v:fill type="solid"/>
              </v:shape>
            </v:group>
            <v:group style="position:absolute;left:5949;top:542;width:10;height:20" coordorigin="5949,542" coordsize="10,20">
              <v:shape style="position:absolute;left:5949;top:542;width:10;height:20" coordorigin="5949,542" coordsize="10,20" path="m5949,562l5959,562,5959,542,5949,542,5949,562xe" filled="true" fillcolor="#000000" stroked="false">
                <v:path arrowok="t"/>
                <v:fill type="solid"/>
              </v:shape>
            </v:group>
            <v:group style="position:absolute;left:5949;top:562;width:10;height:20" coordorigin="5949,562" coordsize="10,20">
              <v:shape style="position:absolute;left:5949;top:562;width:10;height:20" coordorigin="5949,562" coordsize="10,20" path="m5949,581l5959,581,5959,562,5949,562,5949,581xe" filled="true" fillcolor="#000000" stroked="false">
                <v:path arrowok="t"/>
                <v:fill type="solid"/>
              </v:shape>
            </v:group>
            <v:group style="position:absolute;left:5949;top:581;width:10;height:20" coordorigin="5949,581" coordsize="10,20">
              <v:shape style="position:absolute;left:5949;top:581;width:10;height:20" coordorigin="5949,581" coordsize="10,20" path="m5949,600l5959,600,5959,581,5949,581,5949,600xe" filled="true" fillcolor="#000000" stroked="false">
                <v:path arrowok="t"/>
                <v:fill type="solid"/>
              </v:shape>
            </v:group>
            <v:group style="position:absolute;left:5949;top:600;width:10;height:20" coordorigin="5949,600" coordsize="10,20">
              <v:shape style="position:absolute;left:5949;top:600;width:10;height:20" coordorigin="5949,600" coordsize="10,20" path="m5949,619l5959,619,5959,600,5949,600,5949,619xe" filled="true" fillcolor="#000000" stroked="false">
                <v:path arrowok="t"/>
                <v:fill type="solid"/>
              </v:shape>
            </v:group>
            <v:group style="position:absolute;left:5949;top:619;width:10;height:20" coordorigin="5949,619" coordsize="10,20">
              <v:shape style="position:absolute;left:5949;top:619;width:10;height:20" coordorigin="5949,619" coordsize="10,20" path="m5949,638l5959,638,5959,619,5949,619,5949,638xe" filled="true" fillcolor="#000000" stroked="false">
                <v:path arrowok="t"/>
                <v:fill type="solid"/>
              </v:shape>
            </v:group>
            <v:group style="position:absolute;left:5949;top:638;width:10;height:20" coordorigin="5949,638" coordsize="10,20">
              <v:shape style="position:absolute;left:5949;top:638;width:10;height:20" coordorigin="5949,638" coordsize="10,20" path="m5949,658l5959,658,5959,638,5949,638,5949,658xe" filled="true" fillcolor="#000000" stroked="false">
                <v:path arrowok="t"/>
                <v:fill type="solid"/>
              </v:shape>
            </v:group>
            <v:group style="position:absolute;left:5949;top:658;width:10;height:20" coordorigin="5949,658" coordsize="10,20">
              <v:shape style="position:absolute;left:5949;top:658;width:10;height:20" coordorigin="5949,658" coordsize="10,20" path="m5949,677l5959,677,5959,658,5949,658,5949,677xe" filled="true" fillcolor="#000000" stroked="false">
                <v:path arrowok="t"/>
                <v:fill type="solid"/>
              </v:shape>
            </v:group>
            <v:group style="position:absolute;left:5949;top:677;width:10;height:20" coordorigin="5949,677" coordsize="10,20">
              <v:shape style="position:absolute;left:5949;top:677;width:10;height:20" coordorigin="5949,677" coordsize="10,20" path="m5949,696l5959,696,5959,677,5949,677,5949,696xe" filled="true" fillcolor="#000000" stroked="false">
                <v:path arrowok="t"/>
                <v:fill type="solid"/>
              </v:shape>
            </v:group>
            <v:group style="position:absolute;left:5949;top:696;width:10;height:20" coordorigin="5949,696" coordsize="10,20">
              <v:shape style="position:absolute;left:5949;top:696;width:10;height:20" coordorigin="5949,696" coordsize="10,20" path="m5949,715l5959,715,5959,696,5949,696,5949,715xe" filled="true" fillcolor="#000000" stroked="false">
                <v:path arrowok="t"/>
                <v:fill type="solid"/>
              </v:shape>
            </v:group>
            <w10:wrap type="none"/>
          </v:group>
        </w:pict>
      </w:r>
      <w:r>
        <w:rPr/>
        <w:t>审计并形成审计意见为背景，我们不对这些事项单独发表意见。</w:t>
      </w:r>
    </w:p>
    <w:p>
      <w:pPr>
        <w:spacing w:line="240" w:lineRule="auto" w:before="0"/>
        <w:rPr>
          <w:rFonts w:ascii="宋体" w:hAnsi="宋体" w:cs="宋体" w:eastAsia="宋体" w:hint="default"/>
          <w:sz w:val="5"/>
          <w:szCs w:val="5"/>
        </w:rPr>
      </w:pPr>
    </w:p>
    <w:tbl>
      <w:tblPr>
        <w:tblW w:w="0" w:type="auto"/>
        <w:jc w:val="left"/>
        <w:tblInd w:w="126" w:type="dxa"/>
        <w:tblLayout w:type="fixed"/>
        <w:tblCellMar>
          <w:top w:w="0" w:type="dxa"/>
          <w:left w:w="0" w:type="dxa"/>
          <w:bottom w:w="0" w:type="dxa"/>
          <w:right w:w="0" w:type="dxa"/>
        </w:tblCellMar>
        <w:tblLook w:val="01E0"/>
      </w:tblPr>
      <w:tblGrid>
        <w:gridCol w:w="4848"/>
        <w:gridCol w:w="4847"/>
      </w:tblGrid>
      <w:tr>
        <w:trPr>
          <w:trHeight w:val="412" w:hRule="exact"/>
        </w:trPr>
        <w:tc>
          <w:tcPr>
            <w:tcW w:w="4848" w:type="dxa"/>
            <w:tcBorders>
              <w:top w:val="single" w:sz="12" w:space="0" w:color="000000"/>
              <w:left w:val="nil" w:sz="6" w:space="0" w:color="auto"/>
              <w:bottom w:val="single" w:sz="4" w:space="0" w:color="000000"/>
              <w:right w:val="nil" w:sz="6" w:space="0" w:color="auto"/>
            </w:tcBorders>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关键审计事项</w:t>
            </w:r>
          </w:p>
        </w:tc>
        <w:tc>
          <w:tcPr>
            <w:tcW w:w="4847" w:type="dxa"/>
            <w:tcBorders>
              <w:top w:val="single" w:sz="12" w:space="0" w:color="000000"/>
              <w:left w:val="nil" w:sz="6" w:space="0" w:color="auto"/>
              <w:bottom w:val="single" w:sz="4" w:space="0" w:color="000000"/>
              <w:right w:val="nil" w:sz="6" w:space="0" w:color="auto"/>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审计应对</w:t>
            </w:r>
          </w:p>
        </w:tc>
      </w:tr>
      <w:tr>
        <w:trPr>
          <w:trHeight w:val="402" w:hRule="exact"/>
        </w:trPr>
        <w:tc>
          <w:tcPr>
            <w:tcW w:w="4848" w:type="dxa"/>
            <w:tcBorders>
              <w:top w:val="single" w:sz="4" w:space="0" w:color="000000"/>
              <w:left w:val="nil" w:sz="6" w:space="0" w:color="auto"/>
              <w:bottom w:val="single" w:sz="4" w:space="0" w:color="000000"/>
              <w:right w:val="nil" w:sz="6" w:space="0" w:color="auto"/>
            </w:tcBorders>
          </w:tcPr>
          <w:p>
            <w:pPr>
              <w:pStyle w:val="TableParagraph"/>
              <w:spacing w:line="240" w:lineRule="auto" w:before="51"/>
              <w:ind w:left="27" w:right="0"/>
              <w:jc w:val="left"/>
              <w:rPr>
                <w:rFonts w:ascii="宋体" w:hAnsi="宋体" w:cs="宋体" w:eastAsia="宋体" w:hint="default"/>
                <w:sz w:val="18"/>
                <w:szCs w:val="18"/>
              </w:rPr>
            </w:pPr>
            <w:r>
              <w:rPr>
                <w:rFonts w:ascii="宋体" w:hAnsi="宋体" w:cs="宋体" w:eastAsia="宋体" w:hint="default"/>
                <w:sz w:val="18"/>
                <w:szCs w:val="18"/>
              </w:rPr>
              <w:t>一、收入确认</w:t>
            </w:r>
          </w:p>
        </w:tc>
        <w:tc>
          <w:tcPr>
            <w:tcW w:w="4847" w:type="dxa"/>
            <w:tcBorders>
              <w:top w:val="single" w:sz="4" w:space="0" w:color="000000"/>
              <w:left w:val="nil" w:sz="6" w:space="0" w:color="auto"/>
              <w:bottom w:val="single" w:sz="4" w:space="0" w:color="000000"/>
              <w:right w:val="nil" w:sz="6" w:space="0" w:color="auto"/>
            </w:tcBorders>
          </w:tcPr>
          <w:p>
            <w:pPr/>
          </w:p>
        </w:tc>
      </w:tr>
      <w:tr>
        <w:trPr>
          <w:trHeight w:val="2037" w:hRule="exact"/>
        </w:trPr>
        <w:tc>
          <w:tcPr>
            <w:tcW w:w="4848" w:type="dxa"/>
            <w:tcBorders>
              <w:top w:val="single" w:sz="4" w:space="0" w:color="000000"/>
              <w:left w:val="nil" w:sz="6" w:space="0" w:color="auto"/>
              <w:bottom w:val="nil" w:sz="6" w:space="0" w:color="auto"/>
              <w:right w:val="single" w:sz="4" w:space="0" w:color="000000"/>
            </w:tcBorders>
          </w:tcPr>
          <w:p>
            <w:pPr>
              <w:pStyle w:val="TableParagraph"/>
              <w:spacing w:line="300" w:lineRule="auto" w:before="91"/>
              <w:ind w:left="27" w:right="21"/>
              <w:jc w:val="both"/>
              <w:rPr>
                <w:rFonts w:ascii="宋体" w:hAnsi="宋体" w:cs="宋体" w:eastAsia="宋体" w:hint="default"/>
                <w:sz w:val="18"/>
                <w:szCs w:val="18"/>
              </w:rPr>
            </w:pPr>
            <w:r>
              <w:rPr>
                <w:rFonts w:ascii="宋体" w:hAnsi="宋体" w:cs="宋体" w:eastAsia="宋体" w:hint="default"/>
                <w:sz w:val="18"/>
                <w:szCs w:val="18"/>
              </w:rPr>
              <w:t>如“第四节经营情况讨论与分析二、</w:t>
            </w:r>
            <w:r>
              <w:rPr>
                <w:rFonts w:ascii="Times New Roman" w:hAnsi="Times New Roman" w:cs="Times New Roman" w:eastAsia="Times New Roman" w:hint="default"/>
                <w:sz w:val="18"/>
                <w:szCs w:val="18"/>
              </w:rPr>
              <w:t>2</w:t>
            </w:r>
            <w:r>
              <w:rPr>
                <w:rFonts w:ascii="宋体" w:hAnsi="宋体" w:cs="宋体" w:eastAsia="宋体" w:hint="default"/>
                <w:sz w:val="18"/>
                <w:szCs w:val="18"/>
              </w:rPr>
              <w:t>”所述，奥拓电子公司</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Times New Roman" w:hAnsi="Times New Roman" w:cs="Times New Roman" w:eastAsia="Times New Roman" w:hint="default"/>
                <w:sz w:val="18"/>
                <w:szCs w:val="18"/>
              </w:rPr>
              <w:t>2017 </w:t>
            </w:r>
            <w:r>
              <w:rPr>
                <w:rFonts w:ascii="宋体" w:hAnsi="宋体" w:cs="宋体" w:eastAsia="宋体" w:hint="default"/>
                <w:sz w:val="18"/>
                <w:szCs w:val="18"/>
              </w:rPr>
              <w:t>年智能景观亮化工程项目实现营业收入 </w:t>
            </w:r>
            <w:r>
              <w:rPr>
                <w:rFonts w:ascii="Times New Roman" w:hAnsi="Times New Roman" w:cs="Times New Roman" w:eastAsia="Times New Roman" w:hint="default"/>
                <w:sz w:val="18"/>
                <w:szCs w:val="18"/>
              </w:rPr>
              <w:t>51,907</w:t>
            </w:r>
            <w:r>
              <w:rPr>
                <w:rFonts w:ascii="Times New Roman" w:hAnsi="Times New Roman" w:cs="Times New Roman" w:eastAsia="Times New Roman" w:hint="default"/>
                <w:spacing w:val="-25"/>
                <w:sz w:val="18"/>
                <w:szCs w:val="18"/>
              </w:rPr>
              <w:t> </w:t>
            </w:r>
            <w:r>
              <w:rPr>
                <w:rFonts w:ascii="宋体" w:hAnsi="宋体" w:cs="宋体" w:eastAsia="宋体" w:hint="default"/>
                <w:sz w:val="18"/>
                <w:szCs w:val="18"/>
              </w:rPr>
              <w:t>万元，占 全年营业收入的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49.86%</w:t>
            </w:r>
            <w:r>
              <w:rPr>
                <w:rFonts w:ascii="宋体" w:hAnsi="宋体" w:cs="宋体" w:eastAsia="宋体" w:hint="default"/>
                <w:sz w:val="18"/>
                <w:szCs w:val="18"/>
              </w:rPr>
              <w:t>。</w:t>
            </w:r>
          </w:p>
          <w:p>
            <w:pPr>
              <w:pStyle w:val="TableParagraph"/>
              <w:spacing w:line="316" w:lineRule="auto" w:before="52"/>
              <w:ind w:left="27" w:right="21"/>
              <w:jc w:val="both"/>
              <w:rPr>
                <w:rFonts w:ascii="宋体" w:hAnsi="宋体" w:cs="宋体" w:eastAsia="宋体" w:hint="default"/>
                <w:sz w:val="18"/>
                <w:szCs w:val="18"/>
              </w:rPr>
            </w:pPr>
            <w:r>
              <w:rPr>
                <w:rFonts w:ascii="宋体" w:hAnsi="宋体" w:cs="宋体" w:eastAsia="宋体" w:hint="default"/>
                <w:spacing w:val="-3"/>
                <w:sz w:val="18"/>
                <w:szCs w:val="18"/>
              </w:rPr>
              <w:t>智能景观亮化工程项目主要是对市政设施、旅游景区等进行景</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3"/>
                <w:sz w:val="18"/>
                <w:szCs w:val="18"/>
              </w:rPr>
              <w:t>观照明的设计、改造、施工、安装以及维护。按照《企业会计</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准则第</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21"/>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建造合同》的规定，于资产负债表日按完工百分</w:t>
            </w:r>
          </w:p>
        </w:tc>
        <w:tc>
          <w:tcPr>
            <w:tcW w:w="4847" w:type="dxa"/>
            <w:tcBorders>
              <w:top w:val="single" w:sz="4" w:space="0" w:color="000000"/>
              <w:left w:val="single" w:sz="4" w:space="0" w:color="000000"/>
              <w:bottom w:val="nil" w:sz="6" w:space="0" w:color="auto"/>
              <w:right w:val="nil" w:sz="6" w:space="0" w:color="auto"/>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我们针对智能景观亮化工程执行的主要审计程序包括：</w:t>
            </w:r>
          </w:p>
          <w:p>
            <w:pPr>
              <w:pStyle w:val="TableParagraph"/>
              <w:spacing w:line="300" w:lineRule="auto" w:before="116"/>
              <w:ind w:left="22" w:right="27"/>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）了解、评估并测试了与建造合同收入及成本确认相关的</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内部控制；</w:t>
            </w:r>
          </w:p>
          <w:p>
            <w:pPr>
              <w:pStyle w:val="TableParagraph"/>
              <w:spacing w:line="302" w:lineRule="auto" w:before="71"/>
              <w:ind w:left="22" w:right="27"/>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）检查建造合同收入确认的会计政策，检查并复核重大建</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造工程合同及关键合同条款；</w:t>
            </w:r>
          </w:p>
          <w:p>
            <w:pPr>
              <w:pStyle w:val="TableParagraph"/>
              <w:spacing w:line="240" w:lineRule="auto" w:before="68"/>
              <w:ind w:left="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）选取建造合同样本，检查管理层预计总收入和预计总成</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7"/>
        <w:rPr>
          <w:rFonts w:ascii="Times New Roman" w:hAnsi="Times New Roman" w:cs="Times New Roman" w:eastAsia="Times New Roman" w:hint="default"/>
          <w:sz w:val="2"/>
          <w:szCs w:val="2"/>
        </w:rPr>
      </w:pPr>
      <w:r>
        <w:rPr/>
        <w:pict>
          <v:group style="position:absolute;margin-left:55.200001pt;margin-top:55.619984pt;width:485pt;height:.1pt;mso-position-horizontal-relative:page;mso-position-vertical-relative:page;z-index:-1253464" coordorigin="1104,1112" coordsize="9700,2">
            <v:shape style="position:absolute;left:1104;top:1112;width:9700;height:2" coordorigin="1104,1112" coordsize="9700,0" path="m1104,1112l10804,1112e" filled="false" stroked="true" strokeweight=".72pt" strokecolor="#000000">
              <v:path arrowok="t"/>
            </v:shape>
            <w10:wrap type="none"/>
          </v:group>
        </w:pict>
      </w:r>
      <w:r>
        <w:rPr/>
        <w:pict>
          <v:group style="position:absolute;margin-left:297.459991pt;margin-top:74.460022pt;width:.5pt;height:17.3pt;mso-position-horizontal-relative:page;mso-position-vertical-relative:page;z-index:-1253440" coordorigin="5949,1489" coordsize="10,346">
            <v:group style="position:absolute;left:5949;top:1489;width:10;height:20" coordorigin="5949,1489" coordsize="10,20">
              <v:shape style="position:absolute;left:5949;top:1489;width:10;height:20" coordorigin="5949,1489" coordsize="10,20" path="m5949,1508l5959,1508,5959,1489,5949,1489,5949,1508xe" filled="true" fillcolor="#000000" stroked="false">
                <v:path arrowok="t"/>
                <v:fill type="solid"/>
              </v:shape>
            </v:group>
            <v:group style="position:absolute;left:5949;top:1508;width:10;height:20" coordorigin="5949,1508" coordsize="10,20">
              <v:shape style="position:absolute;left:5949;top:1508;width:10;height:20" coordorigin="5949,1508" coordsize="10,20" path="m5949,1528l5959,1528,5959,1508,5949,1508,5949,1528xe" filled="true" fillcolor="#000000" stroked="false">
                <v:path arrowok="t"/>
                <v:fill type="solid"/>
              </v:shape>
            </v:group>
            <v:group style="position:absolute;left:5949;top:1528;width:10;height:20" coordorigin="5949,1528" coordsize="10,20">
              <v:shape style="position:absolute;left:5949;top:1528;width:10;height:20" coordorigin="5949,1528" coordsize="10,20" path="m5949,1547l5959,1547,5959,1528,5949,1528,5949,1547xe" filled="true" fillcolor="#000000" stroked="false">
                <v:path arrowok="t"/>
                <v:fill type="solid"/>
              </v:shape>
            </v:group>
            <v:group style="position:absolute;left:5949;top:1547;width:10;height:20" coordorigin="5949,1547" coordsize="10,20">
              <v:shape style="position:absolute;left:5949;top:1547;width:10;height:20" coordorigin="5949,1547" coordsize="10,20" path="m5949,1566l5959,1566,5959,1547,5949,1547,5949,1566xe" filled="true" fillcolor="#000000" stroked="false">
                <v:path arrowok="t"/>
                <v:fill type="solid"/>
              </v:shape>
            </v:group>
            <v:group style="position:absolute;left:5949;top:1566;width:10;height:20" coordorigin="5949,1566" coordsize="10,20">
              <v:shape style="position:absolute;left:5949;top:1566;width:10;height:20" coordorigin="5949,1566" coordsize="10,20" path="m5949,1585l5959,1585,5959,1566,5949,1566,5949,1585xe" filled="true" fillcolor="#000000" stroked="false">
                <v:path arrowok="t"/>
                <v:fill type="solid"/>
              </v:shape>
            </v:group>
            <v:group style="position:absolute;left:5949;top:1585;width:10;height:20" coordorigin="5949,1585" coordsize="10,20">
              <v:shape style="position:absolute;left:5949;top:1585;width:10;height:20" coordorigin="5949,1585" coordsize="10,20" path="m5949,1604l5959,1604,5959,1585,5949,1585,5949,1604xe" filled="true" fillcolor="#000000" stroked="false">
                <v:path arrowok="t"/>
                <v:fill type="solid"/>
              </v:shape>
            </v:group>
            <v:group style="position:absolute;left:5949;top:1604;width:10;height:20" coordorigin="5949,1604" coordsize="10,20">
              <v:shape style="position:absolute;left:5949;top:1604;width:10;height:20" coordorigin="5949,1604" coordsize="10,20" path="m5949,1624l5959,1624,5959,1604,5949,1604,5949,1624xe" filled="true" fillcolor="#000000" stroked="false">
                <v:path arrowok="t"/>
                <v:fill type="solid"/>
              </v:shape>
            </v:group>
            <v:group style="position:absolute;left:5949;top:1624;width:10;height:20" coordorigin="5949,1624" coordsize="10,20">
              <v:shape style="position:absolute;left:5949;top:1624;width:10;height:20" coordorigin="5949,1624" coordsize="10,20" path="m5949,1643l5959,1643,5959,1624,5949,1624,5949,1643xe" filled="true" fillcolor="#000000" stroked="false">
                <v:path arrowok="t"/>
                <v:fill type="solid"/>
              </v:shape>
            </v:group>
            <v:group style="position:absolute;left:5949;top:1643;width:10;height:20" coordorigin="5949,1643" coordsize="10,20">
              <v:shape style="position:absolute;left:5949;top:1643;width:10;height:20" coordorigin="5949,1643" coordsize="10,20" path="m5949,1662l5959,1662,5959,1643,5949,1643,5949,1662xe" filled="true" fillcolor="#000000" stroked="false">
                <v:path arrowok="t"/>
                <v:fill type="solid"/>
              </v:shape>
            </v:group>
            <v:group style="position:absolute;left:5949;top:1662;width:10;height:20" coordorigin="5949,1662" coordsize="10,20">
              <v:shape style="position:absolute;left:5949;top:1662;width:10;height:20" coordorigin="5949,1662" coordsize="10,20" path="m5949,1681l5959,1681,5959,1662,5949,1662,5949,1681xe" filled="true" fillcolor="#000000" stroked="false">
                <v:path arrowok="t"/>
                <v:fill type="solid"/>
              </v:shape>
            </v:group>
            <v:group style="position:absolute;left:5949;top:1681;width:10;height:20" coordorigin="5949,1681" coordsize="10,20">
              <v:shape style="position:absolute;left:5949;top:1681;width:10;height:20" coordorigin="5949,1681" coordsize="10,20" path="m5949,1700l5959,1700,5959,1681,5949,1681,5949,1700xe" filled="true" fillcolor="#000000" stroked="false">
                <v:path arrowok="t"/>
                <v:fill type="solid"/>
              </v:shape>
            </v:group>
            <v:group style="position:absolute;left:5949;top:1700;width:10;height:20" coordorigin="5949,1700" coordsize="10,20">
              <v:shape style="position:absolute;left:5949;top:1700;width:10;height:20" coordorigin="5949,1700" coordsize="10,20" path="m5949,1720l5959,1720,5959,1700,5949,1700,5949,1720xe" filled="true" fillcolor="#000000" stroked="false">
                <v:path arrowok="t"/>
                <v:fill type="solid"/>
              </v:shape>
            </v:group>
            <v:group style="position:absolute;left:5949;top:1720;width:10;height:20" coordorigin="5949,1720" coordsize="10,20">
              <v:shape style="position:absolute;left:5949;top:1720;width:10;height:20" coordorigin="5949,1720" coordsize="10,20" path="m5949,1739l5959,1739,5959,1720,5949,1720,5949,1739xe" filled="true" fillcolor="#000000" stroked="false">
                <v:path arrowok="t"/>
                <v:fill type="solid"/>
              </v:shape>
            </v:group>
            <v:group style="position:absolute;left:5949;top:1739;width:10;height:20" coordorigin="5949,1739" coordsize="10,20">
              <v:shape style="position:absolute;left:5949;top:1739;width:10;height:20" coordorigin="5949,1739" coordsize="10,20" path="m5949,1758l5959,1758,5959,1739,5949,1739,5949,1758xe" filled="true" fillcolor="#000000" stroked="false">
                <v:path arrowok="t"/>
                <v:fill type="solid"/>
              </v:shape>
            </v:group>
            <v:group style="position:absolute;left:5949;top:1758;width:10;height:20" coordorigin="5949,1758" coordsize="10,20">
              <v:shape style="position:absolute;left:5949;top:1758;width:10;height:20" coordorigin="5949,1758" coordsize="10,20" path="m5949,1777l5959,1777,5959,1758,5949,1758,5949,1777xe" filled="true" fillcolor="#000000" stroked="false">
                <v:path arrowok="t"/>
                <v:fill type="solid"/>
              </v:shape>
            </v:group>
            <v:group style="position:absolute;left:5949;top:1777;width:10;height:20" coordorigin="5949,1777" coordsize="10,20">
              <v:shape style="position:absolute;left:5949;top:1777;width:10;height:20" coordorigin="5949,1777" coordsize="10,20" path="m5949,1796l5959,1796,5959,1777,5949,1777,5949,1796xe" filled="true" fillcolor="#000000" stroked="false">
                <v:path arrowok="t"/>
                <v:fill type="solid"/>
              </v:shape>
            </v:group>
            <v:group style="position:absolute;left:5949;top:1796;width:10;height:20" coordorigin="5949,1796" coordsize="10,20">
              <v:shape style="position:absolute;left:5949;top:1796;width:10;height:20" coordorigin="5949,1796" coordsize="10,20" path="m5949,1816l5959,1816,5959,1796,5949,1796,5949,1816xe" filled="true" fillcolor="#000000" stroked="false">
                <v:path arrowok="t"/>
                <v:fill type="solid"/>
              </v:shape>
            </v:group>
            <v:group style="position:absolute;left:5949;top:1816;width:10;height:20" coordorigin="5949,1816" coordsize="10,20">
              <v:shape style="position:absolute;left:5949;top:1816;width:10;height:20" coordorigin="5949,1816" coordsize="10,20" path="m5949,1835l5959,1835,5959,1816,5949,1816,5949,1835xe" filled="true" fillcolor="#000000" stroked="false">
                <v:path arrowok="t"/>
                <v:fill type="solid"/>
              </v:shape>
            </v:group>
            <w10:wrap type="none"/>
          </v:group>
        </w:pict>
      </w:r>
      <w:r>
        <w:rPr/>
        <w:pict>
          <v:shape style="position:absolute;margin-left:297.459991pt;margin-top:760.5pt;width:.48003pt;height:.18pt;mso-position-horizontal-relative:page;mso-position-vertical-relative:page;z-index:2200" type="#_x0000_t75" stroked="false">
            <v:imagedata r:id="rId55" o:title=""/>
          </v:shape>
        </w:pict>
      </w:r>
    </w:p>
    <w:tbl>
      <w:tblPr>
        <w:tblW w:w="0" w:type="auto"/>
        <w:jc w:val="left"/>
        <w:tblInd w:w="111" w:type="dxa"/>
        <w:tblLayout w:type="fixed"/>
        <w:tblCellMar>
          <w:top w:w="0" w:type="dxa"/>
          <w:left w:w="0" w:type="dxa"/>
          <w:bottom w:w="0" w:type="dxa"/>
          <w:right w:w="0" w:type="dxa"/>
        </w:tblCellMar>
        <w:tblLook w:val="01E0"/>
      </w:tblPr>
      <w:tblGrid>
        <w:gridCol w:w="4862"/>
        <w:gridCol w:w="4910"/>
      </w:tblGrid>
      <w:tr>
        <w:trPr>
          <w:trHeight w:val="755" w:hRule="exact"/>
        </w:trPr>
        <w:tc>
          <w:tcPr>
            <w:tcW w:w="4862" w:type="dxa"/>
            <w:tcBorders>
              <w:top w:val="single" w:sz="12" w:space="0" w:color="000000"/>
              <w:left w:val="nil" w:sz="6" w:space="0" w:color="auto"/>
              <w:bottom w:val="single" w:sz="4" w:space="0" w:color="000000"/>
              <w:right w:val="nil" w:sz="6" w:space="0" w:color="auto"/>
            </w:tcBorders>
          </w:tcPr>
          <w:p>
            <w:pPr>
              <w:pStyle w:val="TableParagraph"/>
              <w:spacing w:line="240" w:lineRule="auto" w:before="51"/>
              <w:ind w:left="13" w:right="0"/>
              <w:jc w:val="center"/>
              <w:rPr>
                <w:rFonts w:ascii="宋体" w:hAnsi="宋体" w:cs="宋体" w:eastAsia="宋体" w:hint="default"/>
                <w:sz w:val="18"/>
                <w:szCs w:val="18"/>
              </w:rPr>
            </w:pPr>
            <w:r>
              <w:rPr>
                <w:rFonts w:ascii="宋体" w:hAnsi="宋体" w:cs="宋体" w:eastAsia="宋体" w:hint="default"/>
                <w:sz w:val="18"/>
                <w:szCs w:val="18"/>
              </w:rPr>
              <w:t>关键审计事项</w:t>
            </w:r>
          </w:p>
        </w:tc>
        <w:tc>
          <w:tcPr>
            <w:tcW w:w="4910" w:type="dxa"/>
            <w:tcBorders>
              <w:top w:val="single" w:sz="12" w:space="0" w:color="000000"/>
              <w:left w:val="nil" w:sz="6" w:space="0" w:color="auto"/>
              <w:bottom w:val="single" w:sz="4" w:space="0" w:color="000000"/>
              <w:right w:val="nil" w:sz="6" w:space="0" w:color="auto"/>
            </w:tcBorders>
          </w:tcPr>
          <w:p>
            <w:pPr>
              <w:pStyle w:val="TableParagraph"/>
              <w:spacing w:line="240" w:lineRule="auto" w:before="51"/>
              <w:ind w:right="62"/>
              <w:jc w:val="center"/>
              <w:rPr>
                <w:rFonts w:ascii="宋体" w:hAnsi="宋体" w:cs="宋体" w:eastAsia="宋体" w:hint="default"/>
                <w:sz w:val="18"/>
                <w:szCs w:val="18"/>
              </w:rPr>
            </w:pPr>
            <w:r>
              <w:rPr>
                <w:rFonts w:ascii="宋体" w:hAnsi="宋体" w:cs="宋体" w:eastAsia="宋体" w:hint="default"/>
                <w:sz w:val="18"/>
                <w:szCs w:val="18"/>
              </w:rPr>
              <w:t>审计应对</w:t>
            </w:r>
          </w:p>
        </w:tc>
      </w:tr>
      <w:tr>
        <w:trPr>
          <w:trHeight w:val="3462" w:hRule="exact"/>
        </w:trPr>
        <w:tc>
          <w:tcPr>
            <w:tcW w:w="4862" w:type="dxa"/>
            <w:tcBorders>
              <w:top w:val="single" w:sz="4" w:space="0" w:color="000000"/>
              <w:left w:val="nil" w:sz="6" w:space="0" w:color="auto"/>
              <w:bottom w:val="nil" w:sz="6" w:space="0" w:color="auto"/>
              <w:right w:val="single" w:sz="4" w:space="0" w:color="000000"/>
            </w:tcBorders>
          </w:tcPr>
          <w:p>
            <w:pPr>
              <w:pStyle w:val="TableParagraph"/>
              <w:spacing w:line="20" w:lineRule="exact"/>
              <w:ind w:left="4853" w:right="-41"/>
              <w:jc w:val="left"/>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drawing>
                <wp:inline distT="0" distB="0" distL="0" distR="0">
                  <wp:extent cx="2286" cy="6096"/>
                  <wp:effectExtent l="0" t="0" r="0" b="0"/>
                  <wp:docPr id="65" name="image42.png" descr=""/>
                  <wp:cNvGraphicFramePr>
                    <a:graphicFrameLocks noChangeAspect="1"/>
                  </wp:cNvGraphicFramePr>
                  <a:graphic>
                    <a:graphicData uri="http://schemas.openxmlformats.org/drawingml/2006/picture">
                      <pic:pic>
                        <pic:nvPicPr>
                          <pic:cNvPr id="66" name="image42.png"/>
                          <pic:cNvPicPr/>
                        </pic:nvPicPr>
                        <pic:blipFill>
                          <a:blip r:embed="rId56" cstate="print"/>
                          <a:stretch>
                            <a:fillRect/>
                          </a:stretch>
                        </pic:blipFill>
                        <pic:spPr>
                          <a:xfrm>
                            <a:off x="0" y="0"/>
                            <a:ext cx="2286" cy="6096"/>
                          </a:xfrm>
                          <a:prstGeom prst="rect">
                            <a:avLst/>
                          </a:prstGeom>
                        </pic:spPr>
                      </pic:pic>
                    </a:graphicData>
                  </a:graphic>
                </wp:inline>
              </w:drawing>
            </w:r>
            <w:r>
              <w:rPr>
                <w:rFonts w:ascii="Times New Roman" w:hAnsi="Times New Roman" w:cs="Times New Roman" w:eastAsia="Times New Roman" w:hint="default"/>
                <w:sz w:val="2"/>
                <w:szCs w:val="2"/>
              </w:rPr>
            </w:r>
          </w:p>
          <w:p>
            <w:pPr>
              <w:pStyle w:val="TableParagraph"/>
              <w:spacing w:line="338" w:lineRule="auto" w:before="1"/>
              <w:ind w:left="42" w:right="21"/>
              <w:jc w:val="left"/>
              <w:rPr>
                <w:rFonts w:ascii="宋体" w:hAnsi="宋体" w:cs="宋体" w:eastAsia="宋体" w:hint="default"/>
                <w:sz w:val="18"/>
                <w:szCs w:val="18"/>
              </w:rPr>
            </w:pPr>
            <w:r>
              <w:rPr>
                <w:rFonts w:ascii="宋体" w:hAnsi="宋体" w:cs="宋体" w:eastAsia="宋体" w:hint="default"/>
                <w:sz w:val="18"/>
                <w:szCs w:val="18"/>
              </w:rPr>
              <w:t>比法确认工程项目收入和成本。 </w:t>
            </w:r>
            <w:r>
              <w:rPr>
                <w:rFonts w:ascii="宋体" w:hAnsi="宋体" w:cs="宋体" w:eastAsia="宋体" w:hint="default"/>
                <w:spacing w:val="3"/>
                <w:sz w:val="18"/>
                <w:szCs w:val="18"/>
              </w:rPr>
              <w:t>由于建造合同完工百分比的确定涉及管理层重要的判断和会</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pacing w:val="-3"/>
                <w:sz w:val="18"/>
                <w:szCs w:val="18"/>
              </w:rPr>
              <w:t>计估计，包含交付和服务范围、合同预计总收入、合同预计总</w:t>
            </w:r>
          </w:p>
          <w:p>
            <w:pPr>
              <w:pStyle w:val="TableParagraph"/>
              <w:spacing w:line="319" w:lineRule="auto" w:before="3"/>
              <w:ind w:left="42" w:right="22"/>
              <w:jc w:val="both"/>
              <w:rPr>
                <w:rFonts w:ascii="宋体" w:hAnsi="宋体" w:cs="宋体" w:eastAsia="宋体" w:hint="default"/>
                <w:sz w:val="18"/>
                <w:szCs w:val="18"/>
              </w:rPr>
            </w:pPr>
            <w:r>
              <w:rPr>
                <w:rFonts w:ascii="宋体" w:hAnsi="宋体" w:cs="宋体" w:eastAsia="宋体" w:hint="default"/>
                <w:spacing w:val="-3"/>
                <w:sz w:val="18"/>
                <w:szCs w:val="18"/>
              </w:rPr>
              <w:t>成本、剩余工程成本和合同风险，以及资产负债表日已完工未</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3"/>
                <w:sz w:val="18"/>
                <w:szCs w:val="18"/>
              </w:rPr>
              <w:t>结算的工程成本的可回收性。因此我们将建造合同收入确认的</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计价和分摊确定为关键审计事项。</w:t>
            </w:r>
          </w:p>
        </w:tc>
        <w:tc>
          <w:tcPr>
            <w:tcW w:w="4910" w:type="dxa"/>
            <w:tcBorders>
              <w:top w:val="single" w:sz="4" w:space="0" w:color="000000"/>
              <w:left w:val="single" w:sz="4" w:space="0" w:color="000000"/>
              <w:bottom w:val="nil" w:sz="6" w:space="0" w:color="auto"/>
              <w:right w:val="nil" w:sz="6" w:space="0" w:color="auto"/>
            </w:tcBorders>
          </w:tcPr>
          <w:p>
            <w:pPr>
              <w:pStyle w:val="TableParagraph"/>
              <w:spacing w:line="20" w:lineRule="exact"/>
              <w:ind w:left="4838" w:right="0"/>
              <w:jc w:val="left"/>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drawing>
                <wp:inline distT="0" distB="0" distL="0" distR="0">
                  <wp:extent cx="2286" cy="6096"/>
                  <wp:effectExtent l="0" t="0" r="0" b="0"/>
                  <wp:docPr id="67" name="image43.png" descr=""/>
                  <wp:cNvGraphicFramePr>
                    <a:graphicFrameLocks noChangeAspect="1"/>
                  </wp:cNvGraphicFramePr>
                  <a:graphic>
                    <a:graphicData uri="http://schemas.openxmlformats.org/drawingml/2006/picture">
                      <pic:pic>
                        <pic:nvPicPr>
                          <pic:cNvPr id="68" name="image43.png"/>
                          <pic:cNvPicPr/>
                        </pic:nvPicPr>
                        <pic:blipFill>
                          <a:blip r:embed="rId57" cstate="print"/>
                          <a:stretch>
                            <a:fillRect/>
                          </a:stretch>
                        </pic:blipFill>
                        <pic:spPr>
                          <a:xfrm>
                            <a:off x="0" y="0"/>
                            <a:ext cx="2286" cy="6096"/>
                          </a:xfrm>
                          <a:prstGeom prst="rect">
                            <a:avLst/>
                          </a:prstGeom>
                        </pic:spPr>
                      </pic:pic>
                    </a:graphicData>
                  </a:graphic>
                </wp:inline>
              </w:drawing>
            </w:r>
            <w:r>
              <w:rPr>
                <w:rFonts w:ascii="Times New Roman" w:hAnsi="Times New Roman" w:cs="Times New Roman" w:eastAsia="Times New Roman" w:hint="default"/>
                <w:sz w:val="2"/>
                <w:szCs w:val="2"/>
              </w:rPr>
            </w:r>
          </w:p>
          <w:p>
            <w:pPr>
              <w:pStyle w:val="TableParagraph"/>
              <w:spacing w:line="319" w:lineRule="auto"/>
              <w:ind w:left="22" w:right="89"/>
              <w:jc w:val="both"/>
              <w:rPr>
                <w:rFonts w:ascii="宋体" w:hAnsi="宋体" w:cs="宋体" w:eastAsia="宋体" w:hint="default"/>
                <w:sz w:val="18"/>
                <w:szCs w:val="18"/>
              </w:rPr>
            </w:pPr>
            <w:r>
              <w:rPr>
                <w:rFonts w:ascii="宋体" w:hAnsi="宋体" w:cs="宋体" w:eastAsia="宋体" w:hint="default"/>
                <w:spacing w:val="-3"/>
                <w:sz w:val="18"/>
                <w:szCs w:val="18"/>
              </w:rPr>
              <w:t>本所依据的建造合同和成本预算资料，评估管理层所作估计是</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3"/>
                <w:sz w:val="18"/>
                <w:szCs w:val="18"/>
              </w:rPr>
              <w:t>否合理、依据是否充分，评估已完工未结算的工程成本的可收</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回性；</w:t>
            </w:r>
          </w:p>
          <w:p>
            <w:pPr>
              <w:pStyle w:val="TableParagraph"/>
              <w:spacing w:line="309" w:lineRule="auto" w:before="56"/>
              <w:ind w:left="22" w:right="88"/>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）选取建造合同样本，检查实际发生工程成本的合同、发</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pacing w:val="-3"/>
                <w:sz w:val="18"/>
                <w:szCs w:val="18"/>
              </w:rPr>
              <w:t>票、材料收发单、结算单等支持性文件，以评估实际成本的认</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定；</w:t>
            </w:r>
          </w:p>
          <w:p>
            <w:pPr>
              <w:pStyle w:val="TableParagraph"/>
              <w:spacing w:line="302" w:lineRule="auto" w:before="64"/>
              <w:ind w:left="22" w:right="89"/>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z w:val="18"/>
                <w:szCs w:val="18"/>
              </w:rPr>
              <w:t>）选取建造合同样本，对工程形象进度进行现场查看，与</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工程管理部门讨论确认工程的完</w:t>
            </w:r>
          </w:p>
          <w:p>
            <w:pPr>
              <w:pStyle w:val="TableParagraph"/>
              <w:spacing w:line="319" w:lineRule="auto" w:before="68"/>
              <w:ind w:left="22" w:right="89"/>
              <w:jc w:val="both"/>
              <w:rPr>
                <w:rFonts w:ascii="宋体" w:hAnsi="宋体" w:cs="宋体" w:eastAsia="宋体" w:hint="default"/>
                <w:sz w:val="18"/>
                <w:szCs w:val="18"/>
              </w:rPr>
            </w:pPr>
            <w:r>
              <w:rPr>
                <w:rFonts w:ascii="宋体" w:hAnsi="宋体" w:cs="宋体" w:eastAsia="宋体" w:hint="default"/>
                <w:spacing w:val="-3"/>
                <w:sz w:val="18"/>
                <w:szCs w:val="18"/>
              </w:rPr>
              <w:t>工程度，并与账面记录进行比较，对异常偏差执行进一步的检</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查程序。</w:t>
            </w:r>
          </w:p>
        </w:tc>
      </w:tr>
      <w:tr>
        <w:trPr>
          <w:trHeight w:val="7093" w:hRule="exact"/>
        </w:trPr>
        <w:tc>
          <w:tcPr>
            <w:tcW w:w="4862" w:type="dxa"/>
            <w:tcBorders>
              <w:top w:val="nil" w:sz="6" w:space="0" w:color="auto"/>
              <w:left w:val="nil" w:sz="6" w:space="0" w:color="auto"/>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left="42" w:right="0"/>
              <w:jc w:val="both"/>
              <w:rPr>
                <w:rFonts w:ascii="宋体" w:hAnsi="宋体" w:cs="宋体" w:eastAsia="宋体" w:hint="default"/>
                <w:sz w:val="18"/>
                <w:szCs w:val="18"/>
              </w:rPr>
            </w:pPr>
            <w:r>
              <w:rPr>
                <w:rFonts w:ascii="宋体" w:hAnsi="宋体" w:cs="宋体" w:eastAsia="宋体" w:hint="default"/>
                <w:sz w:val="18"/>
                <w:szCs w:val="18"/>
              </w:rPr>
              <w:t>如“第四节经营情况讨论与分析二、</w:t>
            </w:r>
            <w:r>
              <w:rPr>
                <w:rFonts w:ascii="Times New Roman" w:hAnsi="Times New Roman" w:cs="Times New Roman" w:eastAsia="Times New Roman" w:hint="default"/>
                <w:sz w:val="18"/>
                <w:szCs w:val="18"/>
              </w:rPr>
              <w:t>2</w:t>
            </w:r>
            <w:r>
              <w:rPr>
                <w:rFonts w:ascii="宋体" w:hAnsi="宋体" w:cs="宋体" w:eastAsia="宋体" w:hint="default"/>
                <w:sz w:val="18"/>
                <w:szCs w:val="18"/>
              </w:rPr>
              <w:t>”所述，奥拓电子公司</w:t>
            </w:r>
          </w:p>
          <w:p>
            <w:pPr>
              <w:pStyle w:val="TableParagraph"/>
              <w:spacing w:line="240" w:lineRule="auto" w:before="61"/>
              <w:ind w:left="42" w:right="0"/>
              <w:jc w:val="both"/>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 </w:t>
            </w: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视频显示系统实现营业收入</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29,684 </w:t>
            </w:r>
            <w:r>
              <w:rPr>
                <w:rFonts w:ascii="宋体" w:hAnsi="宋体" w:cs="宋体" w:eastAsia="宋体" w:hint="default"/>
                <w:sz w:val="18"/>
                <w:szCs w:val="18"/>
              </w:rPr>
              <w:t>万元</w:t>
            </w:r>
            <w:r>
              <w:rPr>
                <w:rFonts w:ascii="宋体" w:hAnsi="宋体" w:cs="宋体" w:eastAsia="宋体" w:hint="default"/>
                <w:spacing w:val="-92"/>
                <w:sz w:val="18"/>
                <w:szCs w:val="18"/>
              </w:rPr>
              <w:t>、</w:t>
            </w:r>
            <w:r>
              <w:rPr>
                <w:rFonts w:ascii="Times New Roman" w:hAnsi="Times New Roman" w:cs="Times New Roman" w:eastAsia="Times New Roman" w:hint="default"/>
                <w:sz w:val="18"/>
                <w:szCs w:val="18"/>
              </w:rPr>
              <w:t>LED</w:t>
            </w:r>
          </w:p>
          <w:p>
            <w:pPr>
              <w:pStyle w:val="TableParagraph"/>
              <w:spacing w:line="240" w:lineRule="auto" w:before="63"/>
              <w:ind w:left="42" w:right="0"/>
              <w:jc w:val="both"/>
              <w:rPr>
                <w:rFonts w:ascii="宋体" w:hAnsi="宋体" w:cs="宋体" w:eastAsia="宋体" w:hint="default"/>
                <w:sz w:val="18"/>
                <w:szCs w:val="18"/>
              </w:rPr>
            </w:pPr>
            <w:r>
              <w:rPr>
                <w:rFonts w:ascii="宋体" w:hAnsi="宋体" w:cs="宋体" w:eastAsia="宋体" w:hint="default"/>
                <w:sz w:val="18"/>
                <w:szCs w:val="18"/>
              </w:rPr>
              <w:t>信息发布系统实现营业收入</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4,366</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万元、网点智能化集成与设</w:t>
            </w:r>
          </w:p>
          <w:p>
            <w:pPr>
              <w:pStyle w:val="TableParagraph"/>
              <w:spacing w:line="240" w:lineRule="auto" w:before="63"/>
              <w:ind w:left="42" w:right="0"/>
              <w:jc w:val="both"/>
              <w:rPr>
                <w:rFonts w:ascii="宋体" w:hAnsi="宋体" w:cs="宋体" w:eastAsia="宋体" w:hint="default"/>
                <w:sz w:val="18"/>
                <w:szCs w:val="18"/>
              </w:rPr>
            </w:pPr>
            <w:r>
              <w:rPr>
                <w:rFonts w:ascii="宋体" w:hAnsi="宋体" w:cs="宋体" w:eastAsia="宋体" w:hint="default"/>
                <w:spacing w:val="6"/>
                <w:sz w:val="18"/>
                <w:szCs w:val="18"/>
              </w:rPr>
              <w:t>备销售实现营业收入 </w:t>
            </w:r>
            <w:r>
              <w:rPr>
                <w:rFonts w:ascii="Times New Roman" w:hAnsi="Times New Roman" w:cs="Times New Roman" w:eastAsia="Times New Roman" w:hint="default"/>
                <w:sz w:val="18"/>
                <w:szCs w:val="18"/>
              </w:rPr>
              <w:t>11,022 </w:t>
            </w:r>
            <w:r>
              <w:rPr>
                <w:rFonts w:ascii="Times New Roman" w:hAnsi="Times New Roman" w:cs="Times New Roman" w:eastAsia="Times New Roman" w:hint="default"/>
                <w:spacing w:val="11"/>
                <w:sz w:val="18"/>
                <w:szCs w:val="18"/>
              </w:rPr>
              <w:t> </w:t>
            </w:r>
            <w:r>
              <w:rPr>
                <w:rFonts w:ascii="宋体" w:hAnsi="宋体" w:cs="宋体" w:eastAsia="宋体" w:hint="default"/>
                <w:spacing w:val="6"/>
                <w:sz w:val="18"/>
                <w:szCs w:val="18"/>
              </w:rPr>
              <w:t>万元，总计实现该等营业收入</w:t>
            </w:r>
          </w:p>
          <w:p>
            <w:pPr>
              <w:pStyle w:val="TableParagraph"/>
              <w:spacing w:line="316" w:lineRule="auto" w:before="63"/>
              <w:ind w:left="42" w:right="21"/>
              <w:jc w:val="both"/>
              <w:rPr>
                <w:rFonts w:ascii="宋体" w:hAnsi="宋体" w:cs="宋体" w:eastAsia="宋体" w:hint="default"/>
                <w:sz w:val="18"/>
                <w:szCs w:val="18"/>
              </w:rPr>
            </w:pPr>
            <w:r>
              <w:rPr>
                <w:rFonts w:ascii="Times New Roman" w:hAnsi="Times New Roman" w:cs="Times New Roman" w:eastAsia="Times New Roman" w:hint="default"/>
                <w:sz w:val="18"/>
                <w:szCs w:val="18"/>
              </w:rPr>
              <w:t>45,072 </w:t>
            </w:r>
            <w:r>
              <w:rPr>
                <w:rFonts w:ascii="宋体" w:hAnsi="宋体" w:cs="宋体" w:eastAsia="宋体" w:hint="default"/>
                <w:sz w:val="18"/>
                <w:szCs w:val="18"/>
              </w:rPr>
              <w:t>万元。如附注四、</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所述的会计政策，奥拓电子公司 </w:t>
            </w:r>
            <w:r>
              <w:rPr>
                <w:rFonts w:ascii="宋体" w:hAnsi="宋体" w:cs="宋体" w:eastAsia="宋体" w:hint="default"/>
                <w:spacing w:val="-3"/>
                <w:sz w:val="18"/>
                <w:szCs w:val="18"/>
              </w:rPr>
              <w:t>根据与客户签订的销售订单组织生产，委托物流公司运送。客</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3"/>
                <w:sz w:val="18"/>
                <w:szCs w:val="18"/>
              </w:rPr>
              <w:t>户在验收时点向奥拓电子公司出具验收单或验收报告。奥拓电</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3"/>
                <w:sz w:val="18"/>
                <w:szCs w:val="18"/>
              </w:rPr>
              <w:t>子公司在收到客户签署的验收单或验收报告时点确认营业收</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pacing w:val="-3"/>
                <w:sz w:val="18"/>
                <w:szCs w:val="18"/>
              </w:rPr>
              <w:t>入并开具发票。由于客户数量众多、交易频繁，客户签署的验</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3"/>
                <w:sz w:val="18"/>
                <w:szCs w:val="18"/>
              </w:rPr>
              <w:t>收单或验收报告存在不能及时送达的可能性，由此可能导致该</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3"/>
                <w:sz w:val="18"/>
                <w:szCs w:val="18"/>
              </w:rPr>
              <w:t>等营业收入存在未能计入恰当会计期间的潜在错报，我们着重</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3"/>
                <w:sz w:val="18"/>
                <w:szCs w:val="18"/>
              </w:rPr>
              <w:t>关注营业收入的完整性和截止性，并将其确定为关键审计事</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项。</w:t>
            </w:r>
          </w:p>
        </w:tc>
        <w:tc>
          <w:tcPr>
            <w:tcW w:w="4910" w:type="dxa"/>
            <w:tcBorders>
              <w:top w:val="nil" w:sz="6" w:space="0" w:color="auto"/>
              <w:left w:val="single" w:sz="4" w:space="0" w:color="000000"/>
              <w:bottom w:val="single" w:sz="4" w:space="0" w:color="000000"/>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302" w:lineRule="auto"/>
              <w:ind w:left="22" w:right="89"/>
              <w:jc w:val="left"/>
              <w:rPr>
                <w:rFonts w:ascii="宋体" w:hAnsi="宋体" w:cs="宋体" w:eastAsia="宋体" w:hint="default"/>
                <w:sz w:val="18"/>
                <w:szCs w:val="18"/>
              </w:rPr>
            </w:pPr>
            <w:r>
              <w:rPr>
                <w:rFonts w:ascii="宋体" w:hAnsi="宋体" w:cs="宋体" w:eastAsia="宋体" w:hint="default"/>
                <w:sz w:val="18"/>
                <w:szCs w:val="18"/>
              </w:rPr>
              <w:t>我们针对</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视频显示系统、</w:t>
            </w: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信息发布系统、网点智能 化集成与设备销售执行的主要审计程序包括：</w:t>
            </w:r>
          </w:p>
          <w:p>
            <w:pPr>
              <w:pStyle w:val="TableParagraph"/>
              <w:spacing w:line="302" w:lineRule="auto" w:before="68"/>
              <w:ind w:left="22" w:right="9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）了解与评价管理层与收入确认相关的关键内部控制的设</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计与运行的有效性；</w:t>
            </w:r>
          </w:p>
          <w:p>
            <w:pPr>
              <w:pStyle w:val="TableParagraph"/>
              <w:spacing w:line="302" w:lineRule="auto" w:before="69"/>
              <w:ind w:left="22" w:right="9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）选取样本了解销售合同或订单，评价收入确认时点是否</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符合会计准则的要求；</w:t>
            </w:r>
          </w:p>
          <w:p>
            <w:pPr>
              <w:pStyle w:val="TableParagraph"/>
              <w:spacing w:line="302" w:lineRule="auto" w:before="68"/>
              <w:ind w:left="22" w:right="9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）对收入及毛利情况执行分析程序，判断收入与毛利变动</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的合理性；</w:t>
            </w:r>
          </w:p>
          <w:p>
            <w:pPr>
              <w:pStyle w:val="TableParagraph"/>
              <w:spacing w:line="312" w:lineRule="auto" w:before="68"/>
              <w:ind w:left="22" w:right="0"/>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）抽取收入确认的会计记录，与相关的销售订单、出库单、</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3"/>
                <w:sz w:val="18"/>
                <w:szCs w:val="18"/>
              </w:rPr>
              <w:t>验收单或验收报告等进行检查核对；以及抽取与销售相关的订</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6"/>
                <w:sz w:val="18"/>
                <w:szCs w:val="18"/>
              </w:rPr>
              <w:t>单、出库单、验收单或验收报告等与账面确认的收入进行核对，</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从而检查收入确认的完整性；</w:t>
            </w:r>
          </w:p>
          <w:p>
            <w:pPr>
              <w:pStyle w:val="TableParagraph"/>
              <w:spacing w:line="314" w:lineRule="auto" w:before="62"/>
              <w:ind w:left="22" w:right="88"/>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z w:val="18"/>
                <w:szCs w:val="18"/>
              </w:rPr>
              <w:t>）抽取资产负债表日前后确认的销售收入进行测试，核对</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pacing w:val="-3"/>
                <w:sz w:val="18"/>
                <w:szCs w:val="18"/>
              </w:rPr>
              <w:t>至订单、出库单、验收单或验收报告；以及抽取资产负债表日</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3"/>
                <w:sz w:val="18"/>
                <w:szCs w:val="18"/>
              </w:rPr>
              <w:t>前后的出库单、验收单或验收报告，核对至资产负债表日前后</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3"/>
                <w:sz w:val="18"/>
                <w:szCs w:val="18"/>
              </w:rPr>
              <w:t>确认的销售收入，从而评估销售收入是否被确认在恰当的会计</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期间；</w:t>
            </w:r>
          </w:p>
          <w:p>
            <w:pPr>
              <w:pStyle w:val="TableParagraph"/>
              <w:spacing w:line="302" w:lineRule="auto" w:before="59"/>
              <w:ind w:left="22" w:right="88"/>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6</w:t>
            </w:r>
            <w:r>
              <w:rPr>
                <w:rFonts w:ascii="宋体" w:hAnsi="宋体" w:cs="宋体" w:eastAsia="宋体" w:hint="default"/>
                <w:sz w:val="18"/>
                <w:szCs w:val="18"/>
              </w:rPr>
              <w:t>）抽取重要客户实施函证程序，以确认相关的销售收入金</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额和应收账款余额；</w:t>
            </w:r>
          </w:p>
          <w:p>
            <w:pPr>
              <w:pStyle w:val="TableParagraph"/>
              <w:spacing w:line="302" w:lineRule="auto" w:before="68"/>
              <w:ind w:left="22" w:right="9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7</w:t>
            </w:r>
            <w:r>
              <w:rPr>
                <w:rFonts w:ascii="宋体" w:hAnsi="宋体" w:cs="宋体" w:eastAsia="宋体" w:hint="default"/>
                <w:sz w:val="18"/>
                <w:szCs w:val="18"/>
              </w:rPr>
              <w:t>）我们抽取资产负债表日后的退货记录，检查销售收入是</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否存在不被恰当计入的可能性。</w:t>
            </w:r>
          </w:p>
        </w:tc>
      </w:tr>
      <w:tr>
        <w:trPr>
          <w:trHeight w:val="402" w:hRule="exact"/>
        </w:trPr>
        <w:tc>
          <w:tcPr>
            <w:tcW w:w="4862" w:type="dxa"/>
            <w:tcBorders>
              <w:top w:val="single" w:sz="4" w:space="0" w:color="000000"/>
              <w:left w:val="nil" w:sz="6" w:space="0" w:color="auto"/>
              <w:bottom w:val="single" w:sz="4" w:space="0" w:color="000000"/>
              <w:right w:val="nil" w:sz="6" w:space="0" w:color="auto"/>
            </w:tcBorders>
          </w:tcPr>
          <w:p>
            <w:pPr>
              <w:pStyle w:val="TableParagraph"/>
              <w:spacing w:line="20" w:lineRule="exact"/>
              <w:ind w:left="4853" w:right="-36"/>
              <w:jc w:val="left"/>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drawing>
                <wp:inline distT="0" distB="0" distL="0" distR="0">
                  <wp:extent cx="2285" cy="6095"/>
                  <wp:effectExtent l="0" t="0" r="0" b="0"/>
                  <wp:docPr id="69" name="image44.png" descr=""/>
                  <wp:cNvGraphicFramePr>
                    <a:graphicFrameLocks noChangeAspect="1"/>
                  </wp:cNvGraphicFramePr>
                  <a:graphic>
                    <a:graphicData uri="http://schemas.openxmlformats.org/drawingml/2006/picture">
                      <pic:pic>
                        <pic:nvPicPr>
                          <pic:cNvPr id="70" name="image44.png"/>
                          <pic:cNvPicPr/>
                        </pic:nvPicPr>
                        <pic:blipFill>
                          <a:blip r:embed="rId58" cstate="print"/>
                          <a:stretch>
                            <a:fillRect/>
                          </a:stretch>
                        </pic:blipFill>
                        <pic:spPr>
                          <a:xfrm>
                            <a:off x="0" y="0"/>
                            <a:ext cx="2285" cy="6095"/>
                          </a:xfrm>
                          <a:prstGeom prst="rect">
                            <a:avLst/>
                          </a:prstGeom>
                        </pic:spPr>
                      </pic:pic>
                    </a:graphicData>
                  </a:graphic>
                </wp:inline>
              </w:drawing>
            </w:r>
            <w:r>
              <w:rPr>
                <w:rFonts w:ascii="Times New Roman" w:hAnsi="Times New Roman" w:cs="Times New Roman" w:eastAsia="Times New Roman" w:hint="default"/>
                <w:sz w:val="2"/>
                <w:szCs w:val="2"/>
              </w:rPr>
            </w:r>
          </w:p>
          <w:p>
            <w:pPr>
              <w:pStyle w:val="TableParagraph"/>
              <w:spacing w:line="240" w:lineRule="auto" w:before="41"/>
              <w:ind w:left="42" w:right="0"/>
              <w:jc w:val="left"/>
              <w:rPr>
                <w:rFonts w:ascii="宋体" w:hAnsi="宋体" w:cs="宋体" w:eastAsia="宋体" w:hint="default"/>
                <w:sz w:val="18"/>
                <w:szCs w:val="18"/>
              </w:rPr>
            </w:pPr>
            <w:r>
              <w:rPr>
                <w:rFonts w:ascii="宋体" w:hAnsi="宋体" w:cs="宋体" w:eastAsia="宋体" w:hint="default"/>
                <w:sz w:val="18"/>
                <w:szCs w:val="18"/>
              </w:rPr>
              <w:t>二、应收账款的计价与分摊</w:t>
            </w:r>
          </w:p>
        </w:tc>
        <w:tc>
          <w:tcPr>
            <w:tcW w:w="4910" w:type="dxa"/>
            <w:tcBorders>
              <w:top w:val="single" w:sz="4" w:space="0" w:color="000000"/>
              <w:left w:val="nil" w:sz="6" w:space="0" w:color="auto"/>
              <w:bottom w:val="single" w:sz="4" w:space="0" w:color="000000"/>
              <w:right w:val="nil" w:sz="6" w:space="0" w:color="auto"/>
            </w:tcBorders>
          </w:tcPr>
          <w:p>
            <w:pPr>
              <w:pStyle w:val="TableParagraph"/>
              <w:spacing w:line="20" w:lineRule="exact"/>
              <w:ind w:left="4843" w:right="0"/>
              <w:jc w:val="left"/>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drawing>
                <wp:inline distT="0" distB="0" distL="0" distR="0">
                  <wp:extent cx="2285" cy="6095"/>
                  <wp:effectExtent l="0" t="0" r="0" b="0"/>
                  <wp:docPr id="71" name="image45.png" descr=""/>
                  <wp:cNvGraphicFramePr>
                    <a:graphicFrameLocks noChangeAspect="1"/>
                  </wp:cNvGraphicFramePr>
                  <a:graphic>
                    <a:graphicData uri="http://schemas.openxmlformats.org/drawingml/2006/picture">
                      <pic:pic>
                        <pic:nvPicPr>
                          <pic:cNvPr id="72" name="image45.png"/>
                          <pic:cNvPicPr/>
                        </pic:nvPicPr>
                        <pic:blipFill>
                          <a:blip r:embed="rId59" cstate="print"/>
                          <a:stretch>
                            <a:fillRect/>
                          </a:stretch>
                        </pic:blipFill>
                        <pic:spPr>
                          <a:xfrm>
                            <a:off x="0" y="0"/>
                            <a:ext cx="2285" cy="6095"/>
                          </a:xfrm>
                          <a:prstGeom prst="rect">
                            <a:avLst/>
                          </a:prstGeom>
                        </pic:spPr>
                      </pic:pic>
                    </a:graphicData>
                  </a:graphic>
                </wp:inline>
              </w:drawing>
            </w:r>
            <w:r>
              <w:rPr>
                <w:rFonts w:ascii="Times New Roman" w:hAnsi="Times New Roman" w:cs="Times New Roman" w:eastAsia="Times New Roman" w:hint="default"/>
                <w:sz w:val="2"/>
                <w:szCs w:val="2"/>
              </w:rPr>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3"/>
              <w:ind w:right="0"/>
              <w:jc w:val="left"/>
              <w:rPr>
                <w:rFonts w:ascii="Times New Roman" w:hAnsi="Times New Roman" w:cs="Times New Roman" w:eastAsia="Times New Roman" w:hint="default"/>
                <w:sz w:val="13"/>
                <w:szCs w:val="13"/>
              </w:rPr>
            </w:pPr>
          </w:p>
          <w:p>
            <w:pPr>
              <w:pStyle w:val="TableParagraph"/>
              <w:spacing w:line="20" w:lineRule="exact"/>
              <w:ind w:left="4843" w:right="0"/>
              <w:jc w:val="left"/>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drawing>
                <wp:inline distT="0" distB="0" distL="0" distR="0">
                  <wp:extent cx="2250" cy="6000"/>
                  <wp:effectExtent l="0" t="0" r="0" b="0"/>
                  <wp:docPr id="73" name="image45.png" descr=""/>
                  <wp:cNvGraphicFramePr>
                    <a:graphicFrameLocks noChangeAspect="1"/>
                  </wp:cNvGraphicFramePr>
                  <a:graphic>
                    <a:graphicData uri="http://schemas.openxmlformats.org/drawingml/2006/picture">
                      <pic:pic>
                        <pic:nvPicPr>
                          <pic:cNvPr id="74" name="image45.png"/>
                          <pic:cNvPicPr/>
                        </pic:nvPicPr>
                        <pic:blipFill>
                          <a:blip r:embed="rId59" cstate="print"/>
                          <a:stretch>
                            <a:fillRect/>
                          </a:stretch>
                        </pic:blipFill>
                        <pic:spPr>
                          <a:xfrm>
                            <a:off x="0" y="0"/>
                            <a:ext cx="2250" cy="6000"/>
                          </a:xfrm>
                          <a:prstGeom prst="rect">
                            <a:avLst/>
                          </a:prstGeom>
                        </pic:spPr>
                      </pic:pic>
                    </a:graphicData>
                  </a:graphic>
                </wp:inline>
              </w:drawing>
            </w:r>
            <w:r>
              <w:rPr>
                <w:rFonts w:ascii="Times New Roman" w:hAnsi="Times New Roman" w:cs="Times New Roman" w:eastAsia="Times New Roman" w:hint="default"/>
                <w:sz w:val="2"/>
                <w:szCs w:val="2"/>
              </w:rPr>
            </w:r>
          </w:p>
        </w:tc>
      </w:tr>
      <w:tr>
        <w:trPr>
          <w:trHeight w:val="2405" w:hRule="exact"/>
        </w:trPr>
        <w:tc>
          <w:tcPr>
            <w:tcW w:w="4862" w:type="dxa"/>
            <w:tcBorders>
              <w:top w:val="single" w:sz="4" w:space="0" w:color="000000"/>
              <w:left w:val="nil" w:sz="6" w:space="0" w:color="auto"/>
              <w:bottom w:val="single" w:sz="12" w:space="0" w:color="000000"/>
              <w:right w:val="single" w:sz="4" w:space="0" w:color="000000"/>
            </w:tcBorders>
          </w:tcPr>
          <w:p>
            <w:pPr>
              <w:pStyle w:val="TableParagraph"/>
              <w:spacing w:line="20" w:lineRule="exact"/>
              <w:ind w:left="4853" w:right="-41"/>
              <w:jc w:val="left"/>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drawing>
                <wp:inline distT="0" distB="0" distL="0" distR="0">
                  <wp:extent cx="2286" cy="6095"/>
                  <wp:effectExtent l="0" t="0" r="0" b="0"/>
                  <wp:docPr id="75" name="image46.png" descr=""/>
                  <wp:cNvGraphicFramePr>
                    <a:graphicFrameLocks noChangeAspect="1"/>
                  </wp:cNvGraphicFramePr>
                  <a:graphic>
                    <a:graphicData uri="http://schemas.openxmlformats.org/drawingml/2006/picture">
                      <pic:pic>
                        <pic:nvPicPr>
                          <pic:cNvPr id="76" name="image46.png"/>
                          <pic:cNvPicPr/>
                        </pic:nvPicPr>
                        <pic:blipFill>
                          <a:blip r:embed="rId60" cstate="print"/>
                          <a:stretch>
                            <a:fillRect/>
                          </a:stretch>
                        </pic:blipFill>
                        <pic:spPr>
                          <a:xfrm>
                            <a:off x="0" y="0"/>
                            <a:ext cx="2286" cy="6095"/>
                          </a:xfrm>
                          <a:prstGeom prst="rect">
                            <a:avLst/>
                          </a:prstGeom>
                        </pic:spPr>
                      </pic:pic>
                    </a:graphicData>
                  </a:graphic>
                </wp:inline>
              </w:drawing>
            </w:r>
            <w:r>
              <w:rPr>
                <w:rFonts w:ascii="Times New Roman" w:hAnsi="Times New Roman" w:cs="Times New Roman" w:eastAsia="Times New Roman" w:hint="default"/>
                <w:sz w:val="2"/>
                <w:szCs w:val="2"/>
              </w:rPr>
            </w:r>
          </w:p>
          <w:p>
            <w:pPr>
              <w:pStyle w:val="TableParagraph"/>
              <w:spacing w:line="240" w:lineRule="auto" w:before="101"/>
              <w:ind w:left="42" w:right="0"/>
              <w:jc w:val="left"/>
              <w:rPr>
                <w:rFonts w:ascii="宋体" w:hAnsi="宋体" w:cs="宋体" w:eastAsia="宋体" w:hint="default"/>
                <w:sz w:val="18"/>
                <w:szCs w:val="18"/>
              </w:rPr>
            </w:pPr>
            <w:r>
              <w:rPr>
                <w:rFonts w:ascii="宋体" w:hAnsi="宋体" w:cs="宋体" w:eastAsia="宋体" w:hint="default"/>
                <w:spacing w:val="-4"/>
                <w:sz w:val="18"/>
                <w:szCs w:val="18"/>
              </w:rPr>
              <w:t>如“财务报表附注七、</w:t>
            </w:r>
            <w:r>
              <w:rPr>
                <w:rFonts w:ascii="Times New Roman" w:hAnsi="Times New Roman" w:cs="Times New Roman" w:eastAsia="Times New Roman" w:hint="default"/>
                <w:spacing w:val="-4"/>
                <w:sz w:val="18"/>
                <w:szCs w:val="18"/>
              </w:rPr>
              <w:t>5</w:t>
            </w:r>
            <w:r>
              <w:rPr>
                <w:rFonts w:ascii="宋体" w:hAnsi="宋体" w:cs="宋体" w:eastAsia="宋体" w:hint="default"/>
                <w:spacing w:val="-4"/>
                <w:sz w:val="18"/>
                <w:szCs w:val="18"/>
              </w:rPr>
              <w:t>”所述，截至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 </w:t>
            </w:r>
            <w:r>
              <w:rPr>
                <w:rFonts w:ascii="宋体" w:hAnsi="宋体" w:cs="宋体" w:eastAsia="宋体" w:hint="default"/>
                <w:spacing w:val="-4"/>
                <w:sz w:val="18"/>
                <w:szCs w:val="18"/>
              </w:rPr>
              <w:t>日，奥</w:t>
            </w:r>
          </w:p>
          <w:p>
            <w:pPr>
              <w:pStyle w:val="TableParagraph"/>
              <w:spacing w:line="240" w:lineRule="auto" w:before="61"/>
              <w:ind w:left="4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拓电子公司应收账款余额 </w:t>
            </w:r>
            <w:r>
              <w:rPr>
                <w:rFonts w:ascii="Times New Roman" w:hAnsi="Times New Roman" w:cs="Times New Roman" w:eastAsia="Times New Roman" w:hint="default"/>
                <w:sz w:val="18"/>
                <w:szCs w:val="18"/>
              </w:rPr>
              <w:t>55,088  </w:t>
            </w:r>
            <w:r>
              <w:rPr>
                <w:rFonts w:ascii="宋体" w:hAnsi="宋体" w:cs="宋体" w:eastAsia="宋体" w:hint="default"/>
                <w:sz w:val="18"/>
                <w:szCs w:val="18"/>
              </w:rPr>
              <w:t>万元，坏账准备金额</w:t>
            </w:r>
            <w:r>
              <w:rPr>
                <w:rFonts w:ascii="宋体" w:hAnsi="宋体" w:cs="宋体" w:eastAsia="宋体" w:hint="default"/>
                <w:spacing w:val="17"/>
                <w:sz w:val="18"/>
                <w:szCs w:val="18"/>
              </w:rPr>
              <w:t> </w:t>
            </w:r>
            <w:r>
              <w:rPr>
                <w:rFonts w:ascii="Times New Roman" w:hAnsi="Times New Roman" w:cs="Times New Roman" w:eastAsia="Times New Roman" w:hint="default"/>
                <w:sz w:val="18"/>
                <w:szCs w:val="18"/>
              </w:rPr>
              <w:t>4,460</w:t>
            </w:r>
          </w:p>
          <w:p>
            <w:pPr>
              <w:pStyle w:val="TableParagraph"/>
              <w:spacing w:line="338" w:lineRule="auto" w:before="64"/>
              <w:ind w:left="42" w:right="22"/>
              <w:jc w:val="left"/>
              <w:rPr>
                <w:rFonts w:ascii="宋体" w:hAnsi="宋体" w:cs="宋体" w:eastAsia="宋体" w:hint="default"/>
                <w:sz w:val="18"/>
                <w:szCs w:val="18"/>
              </w:rPr>
            </w:pPr>
            <w:r>
              <w:rPr>
                <w:rFonts w:ascii="宋体" w:hAnsi="宋体" w:cs="宋体" w:eastAsia="宋体" w:hint="default"/>
                <w:sz w:val="18"/>
                <w:szCs w:val="18"/>
              </w:rPr>
              <w:t>万元。 </w:t>
            </w:r>
            <w:r>
              <w:rPr>
                <w:rFonts w:ascii="宋体" w:hAnsi="宋体" w:cs="宋体" w:eastAsia="宋体" w:hint="default"/>
                <w:spacing w:val="3"/>
                <w:sz w:val="18"/>
                <w:szCs w:val="18"/>
              </w:rPr>
              <w:t>奥拓电子公司的应收账款主要包括应收智能景观亮化工程项</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3"/>
                <w:sz w:val="18"/>
                <w:szCs w:val="18"/>
              </w:rPr>
              <w:t>目的工程款，该等应收账款主要涉及市政工程项目。管理层每</w:t>
            </w:r>
          </w:p>
          <w:p>
            <w:pPr>
              <w:pStyle w:val="TableParagraph"/>
              <w:spacing w:line="316" w:lineRule="auto" w:before="2"/>
              <w:ind w:left="42" w:right="22"/>
              <w:jc w:val="left"/>
              <w:rPr>
                <w:rFonts w:ascii="宋体" w:hAnsi="宋体" w:cs="宋体" w:eastAsia="宋体" w:hint="default"/>
                <w:sz w:val="18"/>
                <w:szCs w:val="18"/>
              </w:rPr>
            </w:pPr>
            <w:r>
              <w:rPr>
                <w:rFonts w:ascii="宋体" w:hAnsi="宋体" w:cs="宋体" w:eastAsia="宋体" w:hint="default"/>
                <w:spacing w:val="-3"/>
                <w:sz w:val="18"/>
                <w:szCs w:val="18"/>
              </w:rPr>
              <w:t>年度对应收账款的可收回性进行评估，判断是否需要计提应收</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3"/>
                <w:sz w:val="18"/>
                <w:szCs w:val="18"/>
              </w:rPr>
              <w:t>账款坏账准备并估计计提金额。坏账准备的计提涉及管理层的</w:t>
            </w:r>
          </w:p>
        </w:tc>
        <w:tc>
          <w:tcPr>
            <w:tcW w:w="4910"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我们针对应收账款坏账准备执行的主要审计程序包括：</w:t>
            </w:r>
          </w:p>
          <w:p>
            <w:pPr>
              <w:pStyle w:val="TableParagraph"/>
              <w:spacing w:line="302" w:lineRule="auto" w:before="116"/>
              <w:ind w:left="22" w:right="9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）对奥拓电子公司信用政策及应收账款管理相关内部控制</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的设计和运行有效性进行了评估和测试；</w:t>
            </w:r>
          </w:p>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）分析奥拓电子公司应收账款坏账准备会计估计的合理性；</w:t>
            </w:r>
          </w:p>
          <w:p>
            <w:pPr>
              <w:pStyle w:val="TableParagraph"/>
              <w:spacing w:line="302" w:lineRule="auto" w:before="101"/>
              <w:ind w:left="22" w:right="9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）比较前期坏账准备计提数和实际发生数，分析应收账款</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坏账准备计提是否充分；</w:t>
            </w:r>
          </w:p>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）通过分析奥拓电子公司应收账款的账龄情况，并抽取大</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7"/>
        <w:rPr>
          <w:rFonts w:ascii="Times New Roman" w:hAnsi="Times New Roman" w:cs="Times New Roman" w:eastAsia="Times New Roman" w:hint="default"/>
          <w:sz w:val="2"/>
          <w:szCs w:val="2"/>
        </w:rPr>
      </w:pPr>
      <w:r>
        <w:rPr/>
        <w:pict>
          <v:group style="position:absolute;margin-left:55.200001pt;margin-top:55.619984pt;width:485pt;height:.1pt;mso-position-horizontal-relative:page;mso-position-vertical-relative:page;z-index:-1253392" coordorigin="1104,1112" coordsize="9700,2">
            <v:shape style="position:absolute;left:1104;top:1112;width:9700;height:2" coordorigin="1104,1112" coordsize="9700,0" path="m1104,1112l10804,1112e" filled="false" stroked="true" strokeweight=".72pt" strokecolor="#000000">
              <v:path arrowok="t"/>
            </v:shape>
            <w10:wrap type="none"/>
          </v:group>
        </w:pict>
      </w:r>
      <w:r>
        <w:rPr/>
        <w:pict>
          <v:group style="position:absolute;margin-left:297.459991pt;margin-top:74.460022pt;width:.5pt;height:17.3pt;mso-position-horizontal-relative:page;mso-position-vertical-relative:page;z-index:-1253368" coordorigin="5949,1489" coordsize="10,346">
            <v:group style="position:absolute;left:5949;top:1489;width:10;height:20" coordorigin="5949,1489" coordsize="10,20">
              <v:shape style="position:absolute;left:5949;top:1489;width:10;height:20" coordorigin="5949,1489" coordsize="10,20" path="m5949,1508l5959,1508,5959,1489,5949,1489,5949,1508xe" filled="true" fillcolor="#000000" stroked="false">
                <v:path arrowok="t"/>
                <v:fill type="solid"/>
              </v:shape>
            </v:group>
            <v:group style="position:absolute;left:5949;top:1508;width:10;height:20" coordorigin="5949,1508" coordsize="10,20">
              <v:shape style="position:absolute;left:5949;top:1508;width:10;height:20" coordorigin="5949,1508" coordsize="10,20" path="m5949,1528l5959,1528,5959,1508,5949,1508,5949,1528xe" filled="true" fillcolor="#000000" stroked="false">
                <v:path arrowok="t"/>
                <v:fill type="solid"/>
              </v:shape>
            </v:group>
            <v:group style="position:absolute;left:5949;top:1528;width:10;height:20" coordorigin="5949,1528" coordsize="10,20">
              <v:shape style="position:absolute;left:5949;top:1528;width:10;height:20" coordorigin="5949,1528" coordsize="10,20" path="m5949,1547l5959,1547,5959,1528,5949,1528,5949,1547xe" filled="true" fillcolor="#000000" stroked="false">
                <v:path arrowok="t"/>
                <v:fill type="solid"/>
              </v:shape>
            </v:group>
            <v:group style="position:absolute;left:5949;top:1547;width:10;height:20" coordorigin="5949,1547" coordsize="10,20">
              <v:shape style="position:absolute;left:5949;top:1547;width:10;height:20" coordorigin="5949,1547" coordsize="10,20" path="m5949,1566l5959,1566,5959,1547,5949,1547,5949,1566xe" filled="true" fillcolor="#000000" stroked="false">
                <v:path arrowok="t"/>
                <v:fill type="solid"/>
              </v:shape>
            </v:group>
            <v:group style="position:absolute;left:5949;top:1566;width:10;height:20" coordorigin="5949,1566" coordsize="10,20">
              <v:shape style="position:absolute;left:5949;top:1566;width:10;height:20" coordorigin="5949,1566" coordsize="10,20" path="m5949,1585l5959,1585,5959,1566,5949,1566,5949,1585xe" filled="true" fillcolor="#000000" stroked="false">
                <v:path arrowok="t"/>
                <v:fill type="solid"/>
              </v:shape>
            </v:group>
            <v:group style="position:absolute;left:5949;top:1585;width:10;height:20" coordorigin="5949,1585" coordsize="10,20">
              <v:shape style="position:absolute;left:5949;top:1585;width:10;height:20" coordorigin="5949,1585" coordsize="10,20" path="m5949,1604l5959,1604,5959,1585,5949,1585,5949,1604xe" filled="true" fillcolor="#000000" stroked="false">
                <v:path arrowok="t"/>
                <v:fill type="solid"/>
              </v:shape>
            </v:group>
            <v:group style="position:absolute;left:5949;top:1604;width:10;height:20" coordorigin="5949,1604" coordsize="10,20">
              <v:shape style="position:absolute;left:5949;top:1604;width:10;height:20" coordorigin="5949,1604" coordsize="10,20" path="m5949,1624l5959,1624,5959,1604,5949,1604,5949,1624xe" filled="true" fillcolor="#000000" stroked="false">
                <v:path arrowok="t"/>
                <v:fill type="solid"/>
              </v:shape>
            </v:group>
            <v:group style="position:absolute;left:5949;top:1624;width:10;height:20" coordorigin="5949,1624" coordsize="10,20">
              <v:shape style="position:absolute;left:5949;top:1624;width:10;height:20" coordorigin="5949,1624" coordsize="10,20" path="m5949,1643l5959,1643,5959,1624,5949,1624,5949,1643xe" filled="true" fillcolor="#000000" stroked="false">
                <v:path arrowok="t"/>
                <v:fill type="solid"/>
              </v:shape>
            </v:group>
            <v:group style="position:absolute;left:5949;top:1643;width:10;height:20" coordorigin="5949,1643" coordsize="10,20">
              <v:shape style="position:absolute;left:5949;top:1643;width:10;height:20" coordorigin="5949,1643" coordsize="10,20" path="m5949,1662l5959,1662,5959,1643,5949,1643,5949,1662xe" filled="true" fillcolor="#000000" stroked="false">
                <v:path arrowok="t"/>
                <v:fill type="solid"/>
              </v:shape>
            </v:group>
            <v:group style="position:absolute;left:5949;top:1662;width:10;height:20" coordorigin="5949,1662" coordsize="10,20">
              <v:shape style="position:absolute;left:5949;top:1662;width:10;height:20" coordorigin="5949,1662" coordsize="10,20" path="m5949,1681l5959,1681,5959,1662,5949,1662,5949,1681xe" filled="true" fillcolor="#000000" stroked="false">
                <v:path arrowok="t"/>
                <v:fill type="solid"/>
              </v:shape>
            </v:group>
            <v:group style="position:absolute;left:5949;top:1681;width:10;height:20" coordorigin="5949,1681" coordsize="10,20">
              <v:shape style="position:absolute;left:5949;top:1681;width:10;height:20" coordorigin="5949,1681" coordsize="10,20" path="m5949,1700l5959,1700,5959,1681,5949,1681,5949,1700xe" filled="true" fillcolor="#000000" stroked="false">
                <v:path arrowok="t"/>
                <v:fill type="solid"/>
              </v:shape>
            </v:group>
            <v:group style="position:absolute;left:5949;top:1700;width:10;height:20" coordorigin="5949,1700" coordsize="10,20">
              <v:shape style="position:absolute;left:5949;top:1700;width:10;height:20" coordorigin="5949,1700" coordsize="10,20" path="m5949,1720l5959,1720,5959,1700,5949,1700,5949,1720xe" filled="true" fillcolor="#000000" stroked="false">
                <v:path arrowok="t"/>
                <v:fill type="solid"/>
              </v:shape>
            </v:group>
            <v:group style="position:absolute;left:5949;top:1720;width:10;height:20" coordorigin="5949,1720" coordsize="10,20">
              <v:shape style="position:absolute;left:5949;top:1720;width:10;height:20" coordorigin="5949,1720" coordsize="10,20" path="m5949,1739l5959,1739,5959,1720,5949,1720,5949,1739xe" filled="true" fillcolor="#000000" stroked="false">
                <v:path arrowok="t"/>
                <v:fill type="solid"/>
              </v:shape>
            </v:group>
            <v:group style="position:absolute;left:5949;top:1739;width:10;height:20" coordorigin="5949,1739" coordsize="10,20">
              <v:shape style="position:absolute;left:5949;top:1739;width:10;height:20" coordorigin="5949,1739" coordsize="10,20" path="m5949,1758l5959,1758,5959,1739,5949,1739,5949,1758xe" filled="true" fillcolor="#000000" stroked="false">
                <v:path arrowok="t"/>
                <v:fill type="solid"/>
              </v:shape>
            </v:group>
            <v:group style="position:absolute;left:5949;top:1758;width:10;height:20" coordorigin="5949,1758" coordsize="10,20">
              <v:shape style="position:absolute;left:5949;top:1758;width:10;height:20" coordorigin="5949,1758" coordsize="10,20" path="m5949,1777l5959,1777,5959,1758,5949,1758,5949,1777xe" filled="true" fillcolor="#000000" stroked="false">
                <v:path arrowok="t"/>
                <v:fill type="solid"/>
              </v:shape>
            </v:group>
            <v:group style="position:absolute;left:5949;top:1777;width:10;height:20" coordorigin="5949,1777" coordsize="10,20">
              <v:shape style="position:absolute;left:5949;top:1777;width:10;height:20" coordorigin="5949,1777" coordsize="10,20" path="m5949,1796l5959,1796,5959,1777,5949,1777,5949,1796xe" filled="true" fillcolor="#000000" stroked="false">
                <v:path arrowok="t"/>
                <v:fill type="solid"/>
              </v:shape>
            </v:group>
            <v:group style="position:absolute;left:5949;top:1796;width:10;height:20" coordorigin="5949,1796" coordsize="10,20">
              <v:shape style="position:absolute;left:5949;top:1796;width:10;height:20" coordorigin="5949,1796" coordsize="10,20" path="m5949,1816l5959,1816,5959,1796,5949,1796,5949,1816xe" filled="true" fillcolor="#000000" stroked="false">
                <v:path arrowok="t"/>
                <v:fill type="solid"/>
              </v:shape>
            </v:group>
            <v:group style="position:absolute;left:5949;top:1816;width:10;height:20" coordorigin="5949,1816" coordsize="10,20">
              <v:shape style="position:absolute;left:5949;top:1816;width:10;height:20" coordorigin="5949,1816" coordsize="10,20" path="m5949,1835l5959,1835,5959,1816,5949,1816,5949,1835xe" filled="true" fillcolor="#000000" stroked="false">
                <v:path arrowok="t"/>
                <v:fill type="solid"/>
              </v:shape>
            </v:group>
            <w10:wrap type="none"/>
          </v:group>
        </w:pict>
      </w:r>
      <w:r>
        <w:rPr/>
        <w:pict>
          <v:shape style="position:absolute;margin-left:539.880005pt;margin-top:93.119995pt;width:.18pt;height:.48pt;mso-position-horizontal-relative:page;mso-position-vertical-relative:page;z-index:2272" type="#_x0000_t75" stroked="false">
            <v:imagedata r:id="rId61" o:title=""/>
          </v:shape>
        </w:pict>
      </w:r>
    </w:p>
    <w:tbl>
      <w:tblPr>
        <w:tblW w:w="0" w:type="auto"/>
        <w:jc w:val="left"/>
        <w:tblInd w:w="111" w:type="dxa"/>
        <w:tblLayout w:type="fixed"/>
        <w:tblCellMar>
          <w:top w:w="0" w:type="dxa"/>
          <w:left w:w="0" w:type="dxa"/>
          <w:bottom w:w="0" w:type="dxa"/>
          <w:right w:w="0" w:type="dxa"/>
        </w:tblCellMar>
        <w:tblLook w:val="01E0"/>
      </w:tblPr>
      <w:tblGrid>
        <w:gridCol w:w="4896"/>
        <w:gridCol w:w="4813"/>
      </w:tblGrid>
      <w:tr>
        <w:trPr>
          <w:trHeight w:val="755" w:hRule="exact"/>
        </w:trPr>
        <w:tc>
          <w:tcPr>
            <w:tcW w:w="4896" w:type="dxa"/>
            <w:tcBorders>
              <w:top w:val="single" w:sz="12" w:space="0" w:color="000000"/>
              <w:left w:val="nil" w:sz="6" w:space="0" w:color="auto"/>
              <w:bottom w:val="single" w:sz="4" w:space="0" w:color="000000"/>
              <w:right w:val="nil" w:sz="6" w:space="0" w:color="auto"/>
            </w:tcBorders>
          </w:tcPr>
          <w:p>
            <w:pPr>
              <w:pStyle w:val="TableParagraph"/>
              <w:spacing w:line="240" w:lineRule="auto" w:before="51"/>
              <w:ind w:left="-1" w:right="18"/>
              <w:jc w:val="center"/>
              <w:rPr>
                <w:rFonts w:ascii="宋体" w:hAnsi="宋体" w:cs="宋体" w:eastAsia="宋体" w:hint="default"/>
                <w:sz w:val="18"/>
                <w:szCs w:val="18"/>
              </w:rPr>
            </w:pPr>
            <w:r>
              <w:rPr>
                <w:rFonts w:ascii="宋体" w:hAnsi="宋体" w:cs="宋体" w:eastAsia="宋体" w:hint="default"/>
                <w:sz w:val="18"/>
                <w:szCs w:val="18"/>
              </w:rPr>
              <w:t>关键审计事项</w:t>
            </w:r>
          </w:p>
        </w:tc>
        <w:tc>
          <w:tcPr>
            <w:tcW w:w="4813" w:type="dxa"/>
            <w:tcBorders>
              <w:top w:val="single" w:sz="12" w:space="0" w:color="000000"/>
              <w:left w:val="nil" w:sz="6" w:space="0" w:color="auto"/>
              <w:bottom w:val="single" w:sz="4" w:space="0" w:color="000000"/>
              <w:right w:val="nil" w:sz="6" w:space="0" w:color="auto"/>
            </w:tcBorders>
          </w:tcPr>
          <w:p>
            <w:pPr>
              <w:pStyle w:val="TableParagraph"/>
              <w:spacing w:line="240" w:lineRule="auto" w:before="51"/>
              <w:ind w:right="33"/>
              <w:jc w:val="center"/>
              <w:rPr>
                <w:rFonts w:ascii="宋体" w:hAnsi="宋体" w:cs="宋体" w:eastAsia="宋体" w:hint="default"/>
                <w:sz w:val="18"/>
                <w:szCs w:val="18"/>
              </w:rPr>
            </w:pPr>
            <w:r>
              <w:rPr>
                <w:rFonts w:ascii="宋体" w:hAnsi="宋体" w:cs="宋体" w:eastAsia="宋体" w:hint="default"/>
                <w:sz w:val="18"/>
                <w:szCs w:val="18"/>
              </w:rPr>
              <w:t>审计应对</w:t>
            </w:r>
          </w:p>
        </w:tc>
      </w:tr>
      <w:tr>
        <w:trPr>
          <w:trHeight w:val="1338" w:hRule="exact"/>
        </w:trPr>
        <w:tc>
          <w:tcPr>
            <w:tcW w:w="4896" w:type="dxa"/>
            <w:tcBorders>
              <w:top w:val="single" w:sz="4" w:space="0" w:color="000000"/>
              <w:left w:val="nil" w:sz="6" w:space="0" w:color="auto"/>
              <w:bottom w:val="single" w:sz="4" w:space="0" w:color="000000"/>
              <w:right w:val="single" w:sz="4" w:space="0" w:color="000000"/>
            </w:tcBorders>
          </w:tcPr>
          <w:p>
            <w:pPr>
              <w:pStyle w:val="TableParagraph"/>
              <w:spacing w:line="20" w:lineRule="exact"/>
              <w:ind w:left="4853" w:right="-7"/>
              <w:jc w:val="left"/>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drawing>
                <wp:inline distT="0" distB="0" distL="0" distR="0">
                  <wp:extent cx="2286" cy="6096"/>
                  <wp:effectExtent l="0" t="0" r="0" b="0"/>
                  <wp:docPr id="77" name="image48.png" descr=""/>
                  <wp:cNvGraphicFramePr>
                    <a:graphicFrameLocks noChangeAspect="1"/>
                  </wp:cNvGraphicFramePr>
                  <a:graphic>
                    <a:graphicData uri="http://schemas.openxmlformats.org/drawingml/2006/picture">
                      <pic:pic>
                        <pic:nvPicPr>
                          <pic:cNvPr id="78" name="image48.png"/>
                          <pic:cNvPicPr/>
                        </pic:nvPicPr>
                        <pic:blipFill>
                          <a:blip r:embed="rId62" cstate="print"/>
                          <a:stretch>
                            <a:fillRect/>
                          </a:stretch>
                        </pic:blipFill>
                        <pic:spPr>
                          <a:xfrm>
                            <a:off x="0" y="0"/>
                            <a:ext cx="2286" cy="6096"/>
                          </a:xfrm>
                          <a:prstGeom prst="rect">
                            <a:avLst/>
                          </a:prstGeom>
                        </pic:spPr>
                      </pic:pic>
                    </a:graphicData>
                  </a:graphic>
                </wp:inline>
              </w:drawing>
            </w:r>
            <w:r>
              <w:rPr>
                <w:rFonts w:ascii="Times New Roman" w:hAnsi="Times New Roman" w:cs="Times New Roman" w:eastAsia="Times New Roman" w:hint="default"/>
                <w:sz w:val="2"/>
                <w:szCs w:val="2"/>
              </w:rPr>
            </w:r>
          </w:p>
          <w:p>
            <w:pPr>
              <w:pStyle w:val="TableParagraph"/>
              <w:spacing w:line="319" w:lineRule="auto"/>
              <w:ind w:left="42" w:right="56"/>
              <w:jc w:val="left"/>
              <w:rPr>
                <w:rFonts w:ascii="宋体" w:hAnsi="宋体" w:cs="宋体" w:eastAsia="宋体" w:hint="default"/>
                <w:sz w:val="18"/>
                <w:szCs w:val="18"/>
              </w:rPr>
            </w:pPr>
            <w:r>
              <w:rPr>
                <w:rFonts w:ascii="宋体" w:hAnsi="宋体" w:cs="宋体" w:eastAsia="宋体" w:hint="default"/>
                <w:spacing w:val="-3"/>
                <w:sz w:val="18"/>
                <w:szCs w:val="18"/>
              </w:rPr>
              <w:t>重大判断和估计。因此我们将应收账款坏账准备的计价与分摊</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确定为关键审计事项。</w:t>
            </w:r>
          </w:p>
        </w:tc>
        <w:tc>
          <w:tcPr>
            <w:tcW w:w="4813" w:type="dxa"/>
            <w:tcBorders>
              <w:top w:val="single" w:sz="4" w:space="0" w:color="000000"/>
              <w:left w:val="single" w:sz="4" w:space="0" w:color="000000"/>
              <w:bottom w:val="single" w:sz="4" w:space="0" w:color="000000"/>
              <w:right w:val="nil" w:sz="6" w:space="0" w:color="auto"/>
            </w:tcBorders>
          </w:tcPr>
          <w:p>
            <w:pPr>
              <w:pStyle w:val="TableParagraph"/>
              <w:spacing w:line="319" w:lineRule="auto" w:before="10"/>
              <w:ind w:left="22" w:right="-5"/>
              <w:jc w:val="left"/>
              <w:rPr>
                <w:rFonts w:ascii="宋体" w:hAnsi="宋体" w:cs="宋体" w:eastAsia="宋体" w:hint="default"/>
                <w:sz w:val="18"/>
                <w:szCs w:val="18"/>
              </w:rPr>
            </w:pPr>
            <w:r>
              <w:rPr>
                <w:rFonts w:ascii="宋体" w:hAnsi="宋体" w:cs="宋体" w:eastAsia="宋体" w:hint="default"/>
                <w:spacing w:val="-3"/>
                <w:sz w:val="18"/>
                <w:szCs w:val="18"/>
              </w:rPr>
              <w:t>额客户执行应收账款函证程序及检查期后回款情况，评价应收</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账款坏账准备计提的合理性；</w:t>
            </w:r>
          </w:p>
          <w:p>
            <w:pPr>
              <w:pStyle w:val="TableParagraph"/>
              <w:spacing w:line="302" w:lineRule="auto" w:before="55"/>
              <w:ind w:left="22" w:right="-4"/>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z w:val="18"/>
                <w:szCs w:val="18"/>
              </w:rPr>
              <w:t>）获取奥拓电子公司坏账准备计提表，检查计提方法是否</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按照坏账政策执行；重新计算坏账计提金额是否准确。</w:t>
            </w:r>
          </w:p>
        </w:tc>
      </w:tr>
      <w:tr>
        <w:trPr>
          <w:trHeight w:val="402" w:hRule="exact"/>
        </w:trPr>
        <w:tc>
          <w:tcPr>
            <w:tcW w:w="4896" w:type="dxa"/>
            <w:tcBorders>
              <w:top w:val="single" w:sz="4" w:space="0" w:color="000000"/>
              <w:left w:val="nil" w:sz="6" w:space="0" w:color="auto"/>
              <w:bottom w:val="single" w:sz="4" w:space="0" w:color="000000"/>
              <w:right w:val="nil" w:sz="6" w:space="0" w:color="auto"/>
            </w:tcBorders>
          </w:tcPr>
          <w:p>
            <w:pPr>
              <w:pStyle w:val="TableParagraph"/>
              <w:spacing w:line="20" w:lineRule="exact"/>
              <w:ind w:left="4853" w:right="-12"/>
              <w:jc w:val="left"/>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drawing>
                <wp:inline distT="0" distB="0" distL="0" distR="0">
                  <wp:extent cx="8382" cy="8381"/>
                  <wp:effectExtent l="0" t="0" r="0" b="0"/>
                  <wp:docPr id="79" name="image49.png" descr=""/>
                  <wp:cNvGraphicFramePr>
                    <a:graphicFrameLocks noChangeAspect="1"/>
                  </wp:cNvGraphicFramePr>
                  <a:graphic>
                    <a:graphicData uri="http://schemas.openxmlformats.org/drawingml/2006/picture">
                      <pic:pic>
                        <pic:nvPicPr>
                          <pic:cNvPr id="80" name="image49.png"/>
                          <pic:cNvPicPr/>
                        </pic:nvPicPr>
                        <pic:blipFill>
                          <a:blip r:embed="rId63" cstate="print"/>
                          <a:stretch>
                            <a:fillRect/>
                          </a:stretch>
                        </pic:blipFill>
                        <pic:spPr>
                          <a:xfrm>
                            <a:off x="0" y="0"/>
                            <a:ext cx="8382" cy="8381"/>
                          </a:xfrm>
                          <a:prstGeom prst="rect">
                            <a:avLst/>
                          </a:prstGeom>
                        </pic:spPr>
                      </pic:pic>
                    </a:graphicData>
                  </a:graphic>
                </wp:inline>
              </w:drawing>
            </w:r>
            <w:r>
              <w:rPr>
                <w:rFonts w:ascii="Times New Roman" w:hAnsi="Times New Roman" w:cs="Times New Roman" w:eastAsia="Times New Roman" w:hint="default"/>
                <w:sz w:val="2"/>
                <w:szCs w:val="2"/>
              </w:rPr>
            </w:r>
          </w:p>
          <w:p>
            <w:pPr>
              <w:pStyle w:val="TableParagraph"/>
              <w:spacing w:line="240" w:lineRule="auto" w:before="44"/>
              <w:ind w:left="42" w:right="0"/>
              <w:jc w:val="left"/>
              <w:rPr>
                <w:rFonts w:ascii="宋体" w:hAnsi="宋体" w:cs="宋体" w:eastAsia="宋体" w:hint="default"/>
                <w:sz w:val="18"/>
                <w:szCs w:val="18"/>
              </w:rPr>
            </w:pPr>
            <w:r>
              <w:rPr>
                <w:rFonts w:ascii="宋体" w:hAnsi="宋体" w:cs="宋体" w:eastAsia="宋体" w:hint="default"/>
                <w:sz w:val="18"/>
                <w:szCs w:val="18"/>
              </w:rPr>
              <w:t>三、商誉减值</w:t>
            </w:r>
          </w:p>
        </w:tc>
        <w:tc>
          <w:tcPr>
            <w:tcW w:w="4813" w:type="dxa"/>
            <w:tcBorders>
              <w:top w:val="single" w:sz="4" w:space="0" w:color="000000"/>
              <w:left w:val="nil" w:sz="6" w:space="0" w:color="auto"/>
              <w:bottom w:val="single" w:sz="4" w:space="0" w:color="000000"/>
              <w:right w:val="nil" w:sz="6" w:space="0" w:color="auto"/>
            </w:tcBorders>
          </w:tcPr>
          <w:p>
            <w:pPr>
              <w:pStyle w:val="TableParagraph"/>
              <w:spacing w:line="20" w:lineRule="exact"/>
              <w:ind w:left="4809" w:right="-41"/>
              <w:jc w:val="left"/>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drawing>
                <wp:inline distT="0" distB="0" distL="0" distR="0">
                  <wp:extent cx="2285" cy="6096"/>
                  <wp:effectExtent l="0" t="0" r="0" b="0"/>
                  <wp:docPr id="81" name="image50.png" descr=""/>
                  <wp:cNvGraphicFramePr>
                    <a:graphicFrameLocks noChangeAspect="1"/>
                  </wp:cNvGraphicFramePr>
                  <a:graphic>
                    <a:graphicData uri="http://schemas.openxmlformats.org/drawingml/2006/picture">
                      <pic:pic>
                        <pic:nvPicPr>
                          <pic:cNvPr id="82" name="image50.png"/>
                          <pic:cNvPicPr/>
                        </pic:nvPicPr>
                        <pic:blipFill>
                          <a:blip r:embed="rId64" cstate="print"/>
                          <a:stretch>
                            <a:fillRect/>
                          </a:stretch>
                        </pic:blipFill>
                        <pic:spPr>
                          <a:xfrm>
                            <a:off x="0" y="0"/>
                            <a:ext cx="2285" cy="6096"/>
                          </a:xfrm>
                          <a:prstGeom prst="rect">
                            <a:avLst/>
                          </a:prstGeom>
                        </pic:spPr>
                      </pic:pic>
                    </a:graphicData>
                  </a:graphic>
                </wp:inline>
              </w:drawing>
            </w:r>
            <w:r>
              <w:rPr>
                <w:rFonts w:ascii="Times New Roman" w:hAnsi="Times New Roman" w:cs="Times New Roman" w:eastAsia="Times New Roman" w:hint="default"/>
                <w:sz w:val="2"/>
                <w:szCs w:val="2"/>
              </w:rPr>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3"/>
              <w:ind w:right="0"/>
              <w:jc w:val="left"/>
              <w:rPr>
                <w:rFonts w:ascii="Times New Roman" w:hAnsi="Times New Roman" w:cs="Times New Roman" w:eastAsia="Times New Roman" w:hint="default"/>
                <w:sz w:val="13"/>
                <w:szCs w:val="13"/>
              </w:rPr>
            </w:pPr>
          </w:p>
          <w:p>
            <w:pPr>
              <w:pStyle w:val="TableParagraph"/>
              <w:spacing w:line="20" w:lineRule="exact"/>
              <w:ind w:left="4809" w:right="-41"/>
              <w:jc w:val="left"/>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drawing>
                <wp:inline distT="0" distB="0" distL="0" distR="0">
                  <wp:extent cx="2286" cy="6096"/>
                  <wp:effectExtent l="0" t="0" r="0" b="0"/>
                  <wp:docPr id="83" name="image50.png" descr=""/>
                  <wp:cNvGraphicFramePr>
                    <a:graphicFrameLocks noChangeAspect="1"/>
                  </wp:cNvGraphicFramePr>
                  <a:graphic>
                    <a:graphicData uri="http://schemas.openxmlformats.org/drawingml/2006/picture">
                      <pic:pic>
                        <pic:nvPicPr>
                          <pic:cNvPr id="84" name="image50.png"/>
                          <pic:cNvPicPr/>
                        </pic:nvPicPr>
                        <pic:blipFill>
                          <a:blip r:embed="rId64" cstate="print"/>
                          <a:stretch>
                            <a:fillRect/>
                          </a:stretch>
                        </pic:blipFill>
                        <pic:spPr>
                          <a:xfrm>
                            <a:off x="0" y="0"/>
                            <a:ext cx="2286" cy="6096"/>
                          </a:xfrm>
                          <a:prstGeom prst="rect">
                            <a:avLst/>
                          </a:prstGeom>
                        </pic:spPr>
                      </pic:pic>
                    </a:graphicData>
                  </a:graphic>
                </wp:inline>
              </w:drawing>
            </w:r>
            <w:r>
              <w:rPr>
                <w:rFonts w:ascii="Times New Roman" w:hAnsi="Times New Roman" w:cs="Times New Roman" w:eastAsia="Times New Roman" w:hint="default"/>
                <w:sz w:val="2"/>
                <w:szCs w:val="2"/>
              </w:rPr>
            </w:r>
          </w:p>
        </w:tc>
      </w:tr>
      <w:tr>
        <w:trPr>
          <w:trHeight w:val="3260" w:hRule="exact"/>
        </w:trPr>
        <w:tc>
          <w:tcPr>
            <w:tcW w:w="4896" w:type="dxa"/>
            <w:tcBorders>
              <w:top w:val="single" w:sz="4" w:space="0" w:color="000000"/>
              <w:left w:val="nil" w:sz="6" w:space="0" w:color="auto"/>
              <w:bottom w:val="single" w:sz="12" w:space="0" w:color="000000"/>
              <w:right w:val="single" w:sz="4" w:space="0" w:color="000000"/>
            </w:tcBorders>
          </w:tcPr>
          <w:p>
            <w:pPr>
              <w:pStyle w:val="TableParagraph"/>
              <w:spacing w:line="20" w:lineRule="exact"/>
              <w:ind w:left="4853" w:right="-7"/>
              <w:jc w:val="left"/>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drawing>
                <wp:inline distT="0" distB="0" distL="0" distR="0">
                  <wp:extent cx="2286" cy="6096"/>
                  <wp:effectExtent l="0" t="0" r="0" b="0"/>
                  <wp:docPr id="85" name="image51.png" descr=""/>
                  <wp:cNvGraphicFramePr>
                    <a:graphicFrameLocks noChangeAspect="1"/>
                  </wp:cNvGraphicFramePr>
                  <a:graphic>
                    <a:graphicData uri="http://schemas.openxmlformats.org/drawingml/2006/picture">
                      <pic:pic>
                        <pic:nvPicPr>
                          <pic:cNvPr id="86" name="image51.png"/>
                          <pic:cNvPicPr/>
                        </pic:nvPicPr>
                        <pic:blipFill>
                          <a:blip r:embed="rId65" cstate="print"/>
                          <a:stretch>
                            <a:fillRect/>
                          </a:stretch>
                        </pic:blipFill>
                        <pic:spPr>
                          <a:xfrm>
                            <a:off x="0" y="0"/>
                            <a:ext cx="2286" cy="6096"/>
                          </a:xfrm>
                          <a:prstGeom prst="rect">
                            <a:avLst/>
                          </a:prstGeom>
                        </pic:spPr>
                      </pic:pic>
                    </a:graphicData>
                  </a:graphic>
                </wp:inline>
              </w:drawing>
            </w:r>
            <w:r>
              <w:rPr>
                <w:rFonts w:ascii="Times New Roman" w:hAnsi="Times New Roman" w:cs="Times New Roman" w:eastAsia="Times New Roman" w:hint="default"/>
                <w:sz w:val="2"/>
                <w:szCs w:val="2"/>
              </w:rPr>
            </w:r>
          </w:p>
          <w:p>
            <w:pPr>
              <w:pStyle w:val="TableParagraph"/>
              <w:spacing w:line="319" w:lineRule="auto" w:before="41"/>
              <w:ind w:left="42" w:right="-12"/>
              <w:jc w:val="left"/>
              <w:rPr>
                <w:rFonts w:ascii="宋体" w:hAnsi="宋体" w:cs="宋体" w:eastAsia="宋体" w:hint="default"/>
                <w:sz w:val="18"/>
                <w:szCs w:val="18"/>
              </w:rPr>
            </w:pPr>
            <w:r>
              <w:rPr>
                <w:rFonts w:ascii="宋体" w:hAnsi="宋体" w:cs="宋体" w:eastAsia="宋体" w:hint="default"/>
                <w:sz w:val="18"/>
                <w:szCs w:val="18"/>
              </w:rPr>
              <w:t>如财务报表附注七、</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所述，奥拓电子公司于</w:t>
            </w:r>
            <w:r>
              <w:rPr>
                <w:rFonts w:ascii="宋体" w:hAnsi="宋体" w:cs="宋体" w:eastAsia="宋体" w:hint="default"/>
                <w:spacing w:val="-33"/>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年</w:t>
            </w:r>
            <w:r>
              <w:rPr>
                <w:rFonts w:ascii="宋体" w:hAnsi="宋体" w:cs="宋体" w:eastAsia="宋体" w:hint="default"/>
                <w:spacing w:val="-32"/>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月 </w:t>
            </w:r>
            <w:r>
              <w:rPr>
                <w:rFonts w:ascii="宋体" w:hAnsi="宋体" w:cs="宋体" w:eastAsia="宋体" w:hint="default"/>
                <w:spacing w:val="-3"/>
                <w:sz w:val="18"/>
                <w:szCs w:val="18"/>
              </w:rPr>
              <w:t>完成了对深圳市千百辉工程照明有限公司的并购，并因合并产</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生了</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18,137 </w:t>
            </w:r>
            <w:r>
              <w:rPr>
                <w:rFonts w:ascii="宋体" w:hAnsi="宋体" w:cs="宋体" w:eastAsia="宋体" w:hint="default"/>
                <w:sz w:val="18"/>
                <w:szCs w:val="18"/>
              </w:rPr>
              <w:t>万元的商誉。 </w:t>
            </w:r>
            <w:r>
              <w:rPr>
                <w:rFonts w:ascii="宋体" w:hAnsi="宋体" w:cs="宋体" w:eastAsia="宋体" w:hint="default"/>
                <w:spacing w:val="-3"/>
                <w:sz w:val="18"/>
                <w:szCs w:val="18"/>
              </w:rPr>
              <w:t>奥拓电子公司管理层在对该商誉实施减值测试时，将相关资产</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3"/>
                <w:sz w:val="18"/>
                <w:szCs w:val="18"/>
              </w:rPr>
              <w:t>组的账面价值与其可收回金额进行比较，以确定是否需要计提</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减值。可收回金额是采用预计未来现金流量的现值计算所得， </w:t>
            </w:r>
            <w:r>
              <w:rPr>
                <w:rFonts w:ascii="宋体" w:hAnsi="宋体" w:cs="宋体" w:eastAsia="宋体" w:hint="default"/>
                <w:spacing w:val="3"/>
                <w:sz w:val="18"/>
                <w:szCs w:val="18"/>
              </w:rPr>
              <w:t>需要恰当的预测相关资产组未来现金流的长期增长率和合理</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pacing w:val="3"/>
                <w:sz w:val="18"/>
                <w:szCs w:val="18"/>
              </w:rPr>
              <w:t>的确定计算相关资产组预计未来现金流量现值所釆用的折现</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pacing w:val="-3"/>
                <w:sz w:val="18"/>
                <w:szCs w:val="18"/>
              </w:rPr>
              <w:t>率，这涉及管理层的重大估计和判断。因此我们将商誉减值确</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定为关键审计事项。</w:t>
            </w:r>
          </w:p>
        </w:tc>
        <w:tc>
          <w:tcPr>
            <w:tcW w:w="4813"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24"/>
                <w:szCs w:val="24"/>
              </w:rPr>
            </w:pPr>
          </w:p>
          <w:p>
            <w:pPr>
              <w:pStyle w:val="TableParagraph"/>
              <w:spacing w:line="240" w:lineRule="auto"/>
              <w:ind w:left="22" w:right="0"/>
              <w:jc w:val="both"/>
              <w:rPr>
                <w:rFonts w:ascii="宋体" w:hAnsi="宋体" w:cs="宋体" w:eastAsia="宋体" w:hint="default"/>
                <w:sz w:val="18"/>
                <w:szCs w:val="18"/>
              </w:rPr>
            </w:pPr>
            <w:r>
              <w:rPr>
                <w:rFonts w:ascii="宋体" w:hAnsi="宋体" w:cs="宋体" w:eastAsia="宋体" w:hint="default"/>
                <w:sz w:val="18"/>
                <w:szCs w:val="18"/>
              </w:rPr>
              <w:t>我们针对商誉的减值执行的主要审计程序包括：</w:t>
            </w:r>
          </w:p>
          <w:p>
            <w:pPr>
              <w:pStyle w:val="TableParagraph"/>
              <w:spacing w:line="240" w:lineRule="auto" w:before="117"/>
              <w:ind w:left="22" w:right="0"/>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）评估管理层商誉减值测试方法的适当性；</w:t>
            </w:r>
          </w:p>
          <w:p>
            <w:pPr>
              <w:pStyle w:val="TableParagraph"/>
              <w:spacing w:line="309" w:lineRule="auto" w:before="101"/>
              <w:ind w:left="22" w:right="-4"/>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）复核测试管理层减值测试所依据的基础数据，利用内部</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pacing w:val="3"/>
                <w:sz w:val="18"/>
                <w:szCs w:val="18"/>
              </w:rPr>
              <w:t>评估专家评估管理层减值测试中所采用关键假设及判断的合</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理性，以及了解和评价管理层利用其估值专家的工作；</w:t>
            </w:r>
          </w:p>
          <w:p>
            <w:pPr>
              <w:pStyle w:val="TableParagraph"/>
              <w:spacing w:line="240" w:lineRule="auto" w:before="65"/>
              <w:ind w:left="22" w:right="0"/>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）验证商誉减值测试模型的计算准确性；</w:t>
            </w:r>
          </w:p>
          <w:p>
            <w:pPr>
              <w:pStyle w:val="TableParagraph"/>
              <w:spacing w:line="240" w:lineRule="auto" w:before="102"/>
              <w:ind w:left="22" w:right="0"/>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）复核与商誉减值相关的披露。</w:t>
            </w:r>
          </w:p>
        </w:tc>
      </w:tr>
    </w:tbl>
    <w:p>
      <w:pPr>
        <w:pStyle w:val="Heading4"/>
        <w:spacing w:line="240" w:lineRule="auto" w:before="10"/>
        <w:ind w:right="0"/>
        <w:jc w:val="left"/>
        <w:rPr>
          <w:b w:val="0"/>
          <w:bCs w:val="0"/>
        </w:rPr>
      </w:pPr>
      <w:r>
        <w:rPr/>
        <w:t>四、其他信息</w:t>
      </w:r>
      <w:r>
        <w:rPr>
          <w:b w:val="0"/>
          <w:bCs w:val="0"/>
        </w:rPr>
      </w:r>
    </w:p>
    <w:p>
      <w:pPr>
        <w:pStyle w:val="BodyText"/>
        <w:spacing w:line="300" w:lineRule="auto" w:before="117"/>
        <w:ind w:left="154" w:right="1131" w:firstLine="360"/>
        <w:jc w:val="both"/>
      </w:pPr>
      <w:r>
        <w:rPr/>
        <w:t>奥拓电子公司管理层对其他信息负责。其他信息包括</w:t>
      </w:r>
      <w:r>
        <w:rPr>
          <w:spacing w:val="-40"/>
        </w:rPr>
        <w:t> </w:t>
      </w:r>
      <w:r>
        <w:rPr>
          <w:rFonts w:ascii="Times New Roman" w:hAnsi="Times New Roman" w:cs="Times New Roman" w:eastAsia="Times New Roman" w:hint="default"/>
        </w:rPr>
        <w:t>2017</w:t>
      </w:r>
      <w:r>
        <w:rPr>
          <w:rFonts w:ascii="Times New Roman" w:hAnsi="Times New Roman" w:cs="Times New Roman" w:eastAsia="Times New Roman" w:hint="default"/>
          <w:spacing w:val="4"/>
        </w:rPr>
        <w:t> </w:t>
      </w:r>
      <w:r>
        <w:rPr/>
        <w:t>年年度报告中涵盖的信息，但不包括财务报表和我们的审计 报告。</w:t>
      </w:r>
    </w:p>
    <w:p>
      <w:pPr>
        <w:pStyle w:val="BodyText"/>
        <w:spacing w:line="357" w:lineRule="auto" w:before="72"/>
        <w:ind w:left="513" w:right="0"/>
        <w:jc w:val="left"/>
      </w:pPr>
      <w:r>
        <w:rPr/>
        <w:t>我们对财务报表发表的审计意见不涵盖其他信息，我们也不对其他信息发表任何形式的鉴证结论。 </w:t>
      </w:r>
      <w:r>
        <w:rPr>
          <w:spacing w:val="-2"/>
        </w:rPr>
        <w:t>结合我们对财务报表的审计，我们的责任是阅读其他信息，在此过程中，考虑其他信息是否与财务报表或我们在审计过</w:t>
      </w:r>
    </w:p>
    <w:p>
      <w:pPr>
        <w:pStyle w:val="BodyText"/>
        <w:spacing w:line="357" w:lineRule="auto"/>
        <w:ind w:left="514" w:right="0" w:hanging="360"/>
        <w:jc w:val="left"/>
      </w:pPr>
      <w:r>
        <w:rPr/>
        <w:t>程中了解到的情况存在重大不一致或者似乎存在重大错报。 </w:t>
      </w:r>
      <w:r>
        <w:rPr>
          <w:spacing w:val="-2"/>
        </w:rPr>
        <w:t>基于我们已执行的工作，如果我们确定其他信息存在重大错报，我们应当报告该事实。在这方面，我们无任何事项需要</w:t>
      </w:r>
    </w:p>
    <w:p>
      <w:pPr>
        <w:pStyle w:val="BodyText"/>
        <w:spacing w:line="224" w:lineRule="exact"/>
        <w:ind w:left="154" w:right="0"/>
        <w:jc w:val="left"/>
      </w:pPr>
      <w:r>
        <w:rPr/>
        <w:t>报告。</w:t>
      </w:r>
    </w:p>
    <w:p>
      <w:pPr>
        <w:spacing w:line="360" w:lineRule="auto" w:before="76"/>
        <w:ind w:left="514" w:right="0" w:firstLine="1"/>
        <w:jc w:val="left"/>
        <w:rPr>
          <w:rFonts w:ascii="宋体" w:hAnsi="宋体" w:cs="宋体" w:eastAsia="宋体" w:hint="default"/>
          <w:sz w:val="18"/>
          <w:szCs w:val="18"/>
        </w:rPr>
      </w:pPr>
      <w:r>
        <w:rPr>
          <w:rFonts w:ascii="宋体" w:hAnsi="宋体" w:cs="宋体" w:eastAsia="宋体" w:hint="default"/>
          <w:b/>
          <w:bCs/>
          <w:sz w:val="18"/>
          <w:szCs w:val="18"/>
        </w:rPr>
        <w:t>五、管理层和治理层对财务报表的责任</w:t>
      </w:r>
      <w:r>
        <w:rPr>
          <w:rFonts w:ascii="宋体" w:hAnsi="宋体" w:cs="宋体" w:eastAsia="宋体" w:hint="default"/>
          <w:b/>
          <w:bCs/>
          <w:w w:val="99"/>
          <w:sz w:val="18"/>
          <w:szCs w:val="18"/>
        </w:rPr>
        <w:t> </w:t>
      </w:r>
      <w:r>
        <w:rPr>
          <w:rFonts w:ascii="宋体" w:hAnsi="宋体" w:cs="宋体" w:eastAsia="宋体" w:hint="default"/>
          <w:spacing w:val="-2"/>
          <w:sz w:val="18"/>
          <w:szCs w:val="18"/>
        </w:rPr>
        <w:t>奥拓电子公司管理层（以下简称管理层）负责按照企业会计准则的规定编制财务报表，使其实现公允反映，并设计、执</w:t>
      </w:r>
    </w:p>
    <w:p>
      <w:pPr>
        <w:pStyle w:val="BodyText"/>
        <w:spacing w:line="223" w:lineRule="exact"/>
        <w:ind w:left="154" w:right="0"/>
        <w:jc w:val="left"/>
      </w:pPr>
      <w:r>
        <w:rPr/>
        <w:t>行和维护必要的内部控制，以使财务报表不存在由于舞弊或错误导致的重大错报。</w:t>
      </w:r>
    </w:p>
    <w:p>
      <w:pPr>
        <w:pStyle w:val="BodyText"/>
        <w:spacing w:line="319" w:lineRule="auto" w:before="115"/>
        <w:ind w:right="1131" w:firstLine="360"/>
        <w:jc w:val="both"/>
      </w:pPr>
      <w:r>
        <w:rPr>
          <w:spacing w:val="-2"/>
        </w:rPr>
        <w:t>在编制财务报表时，管理层负责评估奥拓电子公司的持续经营能力，披露与持续经营相关的事项（如适用），并运用持</w:t>
      </w:r>
      <w:r>
        <w:rPr/>
        <w:t> 续经营假设，除非管理层计划清算奥拓电子公司、终止运营或别无其他现实的选择。</w:t>
      </w:r>
    </w:p>
    <w:p>
      <w:pPr>
        <w:spacing w:line="316" w:lineRule="auto" w:before="55"/>
        <w:ind w:left="515" w:right="6613" w:hanging="2"/>
        <w:jc w:val="left"/>
        <w:rPr>
          <w:rFonts w:ascii="宋体" w:hAnsi="宋体" w:cs="宋体" w:eastAsia="宋体" w:hint="default"/>
          <w:sz w:val="18"/>
          <w:szCs w:val="18"/>
        </w:rPr>
      </w:pPr>
      <w:r>
        <w:rPr>
          <w:rFonts w:ascii="宋体" w:hAnsi="宋体" w:cs="宋体" w:eastAsia="宋体" w:hint="default"/>
          <w:sz w:val="18"/>
          <w:szCs w:val="18"/>
        </w:rPr>
        <w:t>治理层负责监督奥拓电子公司的财务报告过程。 </w:t>
      </w:r>
      <w:r>
        <w:rPr>
          <w:rFonts w:ascii="宋体" w:hAnsi="宋体" w:cs="宋体" w:eastAsia="宋体" w:hint="default"/>
          <w:b/>
          <w:bCs/>
          <w:sz w:val="18"/>
          <w:szCs w:val="18"/>
        </w:rPr>
        <w:t>六、注册会计师对财务报表审计的责任</w:t>
      </w:r>
      <w:r>
        <w:rPr>
          <w:rFonts w:ascii="宋体" w:hAnsi="宋体" w:cs="宋体" w:eastAsia="宋体" w:hint="default"/>
          <w:sz w:val="18"/>
          <w:szCs w:val="18"/>
        </w:rPr>
      </w:r>
    </w:p>
    <w:p>
      <w:pPr>
        <w:pStyle w:val="BodyText"/>
        <w:spacing w:line="319" w:lineRule="auto" w:before="59"/>
        <w:ind w:left="154" w:right="1131" w:firstLine="360"/>
        <w:jc w:val="both"/>
      </w:pPr>
      <w:r>
        <w:rPr>
          <w:spacing w:val="-2"/>
        </w:rPr>
        <w:t>我们的目标是对财务报表整体是否不存在由于舞弊或错误导致的重大错报获取合理保证，并出具包含审计意见的审计报</w:t>
      </w:r>
      <w:r>
        <w:rPr/>
        <w:t> </w:t>
      </w:r>
      <w:r>
        <w:rPr>
          <w:spacing w:val="-2"/>
        </w:rPr>
        <w:t>告。合理保证是高水平的保证，但并不能保证按照审计准则执行的审计在某一重大错报存在时总能发现。错报可能由于舞弊</w:t>
      </w:r>
      <w:r>
        <w:rPr>
          <w:spacing w:val="-66"/>
        </w:rPr>
        <w:t> </w:t>
      </w:r>
      <w:r>
        <w:rPr>
          <w:spacing w:val="-66"/>
        </w:rPr>
      </w:r>
      <w:r>
        <w:rPr>
          <w:spacing w:val="-2"/>
        </w:rPr>
        <w:t>或错误导致，如果合理预期错报单独或汇总起来可能影响财务报表使用者依据财务报表作出的经济决策，则通常认为错报是</w:t>
      </w:r>
      <w:r>
        <w:rPr>
          <w:spacing w:val="-64"/>
        </w:rPr>
        <w:t> </w:t>
      </w:r>
      <w:r>
        <w:rPr>
          <w:spacing w:val="-64"/>
        </w:rPr>
      </w:r>
      <w:r>
        <w:rPr/>
        <w:t>重大的。</w:t>
      </w:r>
    </w:p>
    <w:p>
      <w:pPr>
        <w:pStyle w:val="BodyText"/>
        <w:spacing w:line="240" w:lineRule="auto" w:before="56"/>
        <w:ind w:left="514" w:right="0"/>
        <w:jc w:val="left"/>
      </w:pPr>
      <w:r>
        <w:rPr/>
        <w:t>在按照审计准则执行审计工作的过程中，我们运用职业判断，并保持职业怀疑。同时，我们也执行以下工作：</w:t>
      </w:r>
    </w:p>
    <w:p>
      <w:pPr>
        <w:pStyle w:val="BodyText"/>
        <w:spacing w:line="319" w:lineRule="auto" w:before="115"/>
        <w:ind w:left="154" w:right="1041" w:firstLine="360"/>
        <w:jc w:val="both"/>
      </w:pPr>
      <w:r>
        <w:rPr/>
        <w:t>（一）识别和评估由于舞弊或错误导致的财务报表重大错报风险，设计和实施审计程序以应对这些风险，并获取充分、 适当的审计证据，作为发表审计意见的基础。由于舞弊可能涉及串通、伪造、故意遗漏、虚假陈述或凌驾于内部控制之上，</w:t>
      </w:r>
      <w:r>
        <w:rPr>
          <w:spacing w:val="-85"/>
        </w:rPr>
        <w:t> </w:t>
      </w:r>
      <w:r>
        <w:rPr>
          <w:spacing w:val="-85"/>
        </w:rPr>
      </w:r>
      <w:r>
        <w:rPr/>
        <w:t>未能发现由于舞弊导致的重大错报的风险高于未能发现由于错误导致的重大错报的风险。</w:t>
      </w:r>
    </w:p>
    <w:p>
      <w:pPr>
        <w:pStyle w:val="BodyText"/>
        <w:spacing w:line="240" w:lineRule="auto" w:before="58"/>
        <w:ind w:left="514" w:right="0"/>
        <w:jc w:val="left"/>
      </w:pPr>
      <w:r>
        <w:rPr/>
        <w:t>（二）了解与审计相关的内部控制，以设计恰当的审计程序，但目的并非对内部控制的有效性发表意见。</w:t>
      </w:r>
    </w:p>
    <w:p>
      <w:pPr>
        <w:pStyle w:val="BodyText"/>
        <w:spacing w:line="240" w:lineRule="auto" w:before="116"/>
        <w:ind w:left="514" w:right="0"/>
        <w:jc w:val="left"/>
      </w:pPr>
      <w:r>
        <w:rPr/>
        <w:t>（三）评价管理层选用会计政策的恰当性和作出会计估计及相关披露的合理性。</w:t>
      </w:r>
    </w:p>
    <w:p>
      <w:pPr>
        <w:spacing w:after="0" w:line="240" w:lineRule="auto"/>
        <w:jc w:val="left"/>
        <w:sectPr>
          <w:pgSz w:w="11910" w:h="16840"/>
          <w:pgMar w:header="747" w:footer="979" w:top="1060" w:bottom="1160" w:left="980" w:right="0"/>
        </w:sectPr>
      </w:pPr>
    </w:p>
    <w:p>
      <w:pPr>
        <w:spacing w:line="240" w:lineRule="auto" w:before="12"/>
        <w:rPr>
          <w:rFonts w:ascii="宋体" w:hAnsi="宋体" w:cs="宋体" w:eastAsia="宋体" w:hint="default"/>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6"/>
        <w:rPr>
          <w:rFonts w:ascii="宋体" w:hAnsi="宋体" w:cs="宋体" w:eastAsia="宋体" w:hint="default"/>
          <w:sz w:val="21"/>
          <w:szCs w:val="21"/>
        </w:rPr>
      </w:pPr>
    </w:p>
    <w:p>
      <w:pPr>
        <w:pStyle w:val="BodyText"/>
        <w:spacing w:line="319" w:lineRule="auto" w:before="44"/>
        <w:ind w:right="1130" w:firstLine="360"/>
        <w:jc w:val="both"/>
      </w:pPr>
      <w:r>
        <w:rPr>
          <w:spacing w:val="-2"/>
        </w:rPr>
        <w:t>（四）对管理层使用持续经营假设的恰当性得出结论。同时，根据获取的审计证据，就可能导致对奥拓电子公司持续经</w:t>
      </w:r>
      <w:r>
        <w:rPr/>
        <w:t> </w:t>
      </w:r>
      <w:r>
        <w:rPr>
          <w:spacing w:val="-2"/>
        </w:rPr>
        <w:t>营能力产生重大疑虑的事项或情况是否存在重大不确定性得出结论。如果我们得出结论认为存在重大不确定性，审计准则要</w:t>
      </w:r>
      <w:r>
        <w:rPr>
          <w:spacing w:val="-64"/>
        </w:rPr>
        <w:t> </w:t>
      </w:r>
      <w:r>
        <w:rPr>
          <w:spacing w:val="-64"/>
        </w:rPr>
      </w:r>
      <w:r>
        <w:rPr>
          <w:spacing w:val="-2"/>
        </w:rPr>
        <w:t>求我们在审计报告中提请报表使用者注意财务报表中的相关披露；如果披露不充分，我们应当发表非无保留意见。我们的结</w:t>
      </w:r>
      <w:r>
        <w:rPr>
          <w:spacing w:val="-66"/>
        </w:rPr>
        <w:t> </w:t>
      </w:r>
      <w:r>
        <w:rPr>
          <w:spacing w:val="-66"/>
        </w:rPr>
      </w:r>
      <w:r>
        <w:rPr/>
        <w:t>论基于截至审计报告日可获得的信息。然而，未来的事项或情况可能导致奥拓电子公司不能持续经营。</w:t>
      </w:r>
    </w:p>
    <w:p>
      <w:pPr>
        <w:pStyle w:val="BodyText"/>
        <w:spacing w:line="240" w:lineRule="auto" w:before="57"/>
        <w:ind w:left="513" w:right="0"/>
        <w:jc w:val="left"/>
      </w:pPr>
      <w:r>
        <w:rPr/>
        <w:t>（五）评价财务报表的总体列报、结构和内容（包括披露</w:t>
      </w:r>
      <w:r>
        <w:rPr>
          <w:spacing w:val="-90"/>
        </w:rPr>
        <w:t>）</w:t>
      </w:r>
      <w:r>
        <w:rPr/>
        <w:t>，并评价财务报表是否公允反映相关交易和事项。</w:t>
      </w:r>
    </w:p>
    <w:p>
      <w:pPr>
        <w:pStyle w:val="BodyText"/>
        <w:spacing w:line="319" w:lineRule="auto" w:before="116"/>
        <w:ind w:right="1131" w:firstLine="360"/>
        <w:jc w:val="both"/>
      </w:pPr>
      <w:r>
        <w:rPr>
          <w:spacing w:val="-2"/>
        </w:rPr>
        <w:t>（六）就奥拓电子公司中实体或业务活动的财务信息获取充分、适当的审计证据，以对财务报表发表意见。我们负责指</w:t>
      </w:r>
      <w:r>
        <w:rPr/>
        <w:t> 导、监督和执行集团审计。我们对审计意见承担全部责任。</w:t>
      </w:r>
    </w:p>
    <w:p>
      <w:pPr>
        <w:pStyle w:val="BodyText"/>
        <w:spacing w:line="319" w:lineRule="auto" w:before="55"/>
        <w:ind w:left="154" w:right="1131" w:firstLine="360"/>
        <w:jc w:val="both"/>
      </w:pPr>
      <w:r>
        <w:rPr>
          <w:spacing w:val="-2"/>
        </w:rPr>
        <w:t>我们与治理层就计划的审计范围、时间安排和重大审计发现等事项进行沟通，包括沟通我们在审计中识别出的值得关注</w:t>
      </w:r>
      <w:r>
        <w:rPr/>
        <w:t> 的内部控制缺陷。</w:t>
      </w:r>
    </w:p>
    <w:p>
      <w:pPr>
        <w:pStyle w:val="BodyText"/>
        <w:spacing w:line="319" w:lineRule="auto" w:before="55"/>
        <w:ind w:left="154" w:right="1131" w:firstLine="360"/>
        <w:jc w:val="both"/>
      </w:pPr>
      <w:r>
        <w:rPr/>
        <w:t>我们还就已遵守与独立性相关的职业道德要求向治理层提供声明</w:t>
      </w:r>
      <w:r>
        <w:rPr>
          <w:spacing w:val="-82"/>
        </w:rPr>
        <w:t>，</w:t>
      </w:r>
      <w:r>
        <w:rPr/>
        <w:t>并与治理层沟通可能被合理认为影响我们独立性的所</w:t>
      </w:r>
      <w:r>
        <w:rPr/>
        <w:t> 有关系和其他事项，以及相关的防范措施（如适用</w:t>
      </w:r>
      <w:r>
        <w:rPr>
          <w:spacing w:val="-90"/>
        </w:rPr>
        <w:t>）</w:t>
      </w:r>
      <w:r>
        <w:rPr/>
        <w:t>。</w:t>
      </w:r>
    </w:p>
    <w:p>
      <w:pPr>
        <w:pStyle w:val="BodyText"/>
        <w:spacing w:line="319" w:lineRule="auto" w:before="56"/>
        <w:ind w:left="154" w:right="1132" w:firstLine="360"/>
        <w:jc w:val="both"/>
      </w:pPr>
      <w:r>
        <w:rPr>
          <w:spacing w:val="-2"/>
        </w:rPr>
        <w:t>从与治理层沟通过的事项中，我们确定哪些事项对本期财务报表审计最为重要，因而构成关键审计事项。我们在审计报</w:t>
      </w:r>
      <w:r>
        <w:rPr/>
        <w:t> </w:t>
      </w:r>
      <w:r>
        <w:rPr>
          <w:spacing w:val="-2"/>
        </w:rPr>
        <w:t>告中描述这些事项，除非法律法规禁止公开披露这些事项，或在极少数情形下，如果合理预期在审计报告中沟通某事项造成</w:t>
      </w:r>
      <w:r>
        <w:rPr>
          <w:spacing w:val="-66"/>
        </w:rPr>
        <w:t> </w:t>
      </w:r>
      <w:r>
        <w:rPr>
          <w:spacing w:val="-66"/>
        </w:rPr>
      </w:r>
      <w:r>
        <w:rPr/>
        <w:t>的负面后果超过在公众利益方面产生的益处，我们确定不应在审计报告中沟通该事项。</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9"/>
          <w:szCs w:val="19"/>
        </w:rPr>
      </w:pPr>
    </w:p>
    <w:tbl>
      <w:tblPr>
        <w:tblW w:w="0" w:type="auto"/>
        <w:jc w:val="left"/>
        <w:tblInd w:w="313" w:type="dxa"/>
        <w:tblLayout w:type="fixed"/>
        <w:tblCellMar>
          <w:top w:w="0" w:type="dxa"/>
          <w:left w:w="0" w:type="dxa"/>
          <w:bottom w:w="0" w:type="dxa"/>
          <w:right w:w="0" w:type="dxa"/>
        </w:tblCellMar>
        <w:tblLook w:val="01E0"/>
      </w:tblPr>
      <w:tblGrid>
        <w:gridCol w:w="5937"/>
        <w:gridCol w:w="2410"/>
      </w:tblGrid>
      <w:tr>
        <w:trPr>
          <w:trHeight w:val="286" w:hRule="exact"/>
        </w:trPr>
        <w:tc>
          <w:tcPr>
            <w:tcW w:w="5937" w:type="dxa"/>
            <w:tcBorders>
              <w:top w:val="nil" w:sz="6" w:space="0" w:color="auto"/>
              <w:left w:val="nil" w:sz="6" w:space="0" w:color="auto"/>
              <w:bottom w:val="nil" w:sz="6" w:space="0" w:color="auto"/>
              <w:right w:val="nil" w:sz="6" w:space="0" w:color="auto"/>
            </w:tcBorders>
          </w:tcPr>
          <w:p>
            <w:pPr>
              <w:pStyle w:val="TableParagraph"/>
              <w:spacing w:line="180" w:lineRule="exact"/>
              <w:ind w:left="200" w:right="0"/>
              <w:jc w:val="left"/>
              <w:rPr>
                <w:rFonts w:ascii="宋体" w:hAnsi="宋体" w:cs="宋体" w:eastAsia="宋体" w:hint="default"/>
                <w:sz w:val="18"/>
                <w:szCs w:val="18"/>
              </w:rPr>
            </w:pPr>
            <w:r>
              <w:rPr>
                <w:rFonts w:ascii="宋体" w:hAnsi="宋体" w:cs="宋体" w:eastAsia="宋体" w:hint="default"/>
                <w:sz w:val="18"/>
                <w:szCs w:val="18"/>
              </w:rPr>
              <w:t>瑞华会计师事务所（特殊普通合伙）</w:t>
            </w:r>
          </w:p>
        </w:tc>
        <w:tc>
          <w:tcPr>
            <w:tcW w:w="2410" w:type="dxa"/>
            <w:tcBorders>
              <w:top w:val="nil" w:sz="6" w:space="0" w:color="auto"/>
              <w:left w:val="nil" w:sz="6" w:space="0" w:color="auto"/>
              <w:bottom w:val="nil" w:sz="6" w:space="0" w:color="auto"/>
              <w:right w:val="nil" w:sz="6" w:space="0" w:color="auto"/>
            </w:tcBorders>
          </w:tcPr>
          <w:p>
            <w:pPr>
              <w:pStyle w:val="TableParagraph"/>
              <w:spacing w:line="180" w:lineRule="exact"/>
              <w:ind w:left="467" w:right="0"/>
              <w:jc w:val="left"/>
              <w:rPr>
                <w:rFonts w:ascii="宋体" w:hAnsi="宋体" w:cs="宋体" w:eastAsia="宋体" w:hint="default"/>
                <w:sz w:val="18"/>
                <w:szCs w:val="18"/>
              </w:rPr>
            </w:pPr>
            <w:r>
              <w:rPr>
                <w:rFonts w:ascii="宋体" w:hAnsi="宋体" w:cs="宋体" w:eastAsia="宋体" w:hint="default"/>
                <w:sz w:val="18"/>
                <w:szCs w:val="18"/>
              </w:rPr>
              <w:t>中国注册会计师</w:t>
            </w:r>
          </w:p>
        </w:tc>
      </w:tr>
      <w:tr>
        <w:trPr>
          <w:trHeight w:val="397" w:hRule="exact"/>
        </w:trPr>
        <w:tc>
          <w:tcPr>
            <w:tcW w:w="5937" w:type="dxa"/>
            <w:tcBorders>
              <w:top w:val="nil" w:sz="6" w:space="0" w:color="auto"/>
              <w:left w:val="nil" w:sz="6" w:space="0" w:color="auto"/>
              <w:bottom w:val="nil" w:sz="6" w:space="0" w:color="auto"/>
              <w:right w:val="nil" w:sz="6" w:space="0" w:color="auto"/>
            </w:tcBorders>
          </w:tcPr>
          <w:p>
            <w:pPr/>
          </w:p>
        </w:tc>
        <w:tc>
          <w:tcPr>
            <w:tcW w:w="2410" w:type="dxa"/>
            <w:tcBorders>
              <w:top w:val="nil" w:sz="6" w:space="0" w:color="auto"/>
              <w:left w:val="nil" w:sz="6" w:space="0" w:color="auto"/>
              <w:bottom w:val="nil" w:sz="6" w:space="0" w:color="auto"/>
              <w:right w:val="nil" w:sz="6" w:space="0" w:color="auto"/>
            </w:tcBorders>
          </w:tcPr>
          <w:p>
            <w:pPr>
              <w:pStyle w:val="TableParagraph"/>
              <w:spacing w:line="240" w:lineRule="auto" w:before="50"/>
              <w:ind w:left="647"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项目合伙人</w:t>
            </w:r>
            <w:r>
              <w:rPr>
                <w:rFonts w:ascii="Times New Roman" w:hAnsi="Times New Roman" w:cs="Times New Roman" w:eastAsia="Times New Roman" w:hint="default"/>
                <w:sz w:val="18"/>
                <w:szCs w:val="18"/>
              </w:rPr>
              <w:t>)</w:t>
            </w:r>
          </w:p>
        </w:tc>
      </w:tr>
      <w:tr>
        <w:trPr>
          <w:trHeight w:val="392" w:hRule="exact"/>
        </w:trPr>
        <w:tc>
          <w:tcPr>
            <w:tcW w:w="5937" w:type="dxa"/>
            <w:tcBorders>
              <w:top w:val="nil" w:sz="6" w:space="0" w:color="auto"/>
              <w:left w:val="nil" w:sz="6" w:space="0" w:color="auto"/>
              <w:bottom w:val="nil" w:sz="6" w:space="0" w:color="auto"/>
              <w:right w:val="nil" w:sz="6" w:space="0" w:color="auto"/>
            </w:tcBorders>
          </w:tcPr>
          <w:p>
            <w:pPr>
              <w:pStyle w:val="TableParagraph"/>
              <w:spacing w:line="240" w:lineRule="auto" w:before="45"/>
              <w:ind w:left="200" w:right="0"/>
              <w:jc w:val="left"/>
              <w:rPr>
                <w:rFonts w:ascii="宋体" w:hAnsi="宋体" w:cs="宋体" w:eastAsia="宋体" w:hint="default"/>
                <w:sz w:val="18"/>
                <w:szCs w:val="18"/>
              </w:rPr>
            </w:pPr>
            <w:r>
              <w:rPr>
                <w:rFonts w:ascii="宋体" w:hAnsi="宋体" w:cs="宋体" w:eastAsia="宋体" w:hint="default"/>
                <w:sz w:val="18"/>
                <w:szCs w:val="18"/>
              </w:rPr>
              <w:t>中国</w:t>
            </w:r>
            <w:r>
              <w:rPr>
                <w:rFonts w:ascii="Times New Roman" w:hAnsi="Times New Roman" w:cs="Times New Roman" w:eastAsia="Times New Roman" w:hint="default"/>
                <w:sz w:val="18"/>
                <w:szCs w:val="18"/>
              </w:rPr>
              <w:t>·</w:t>
            </w:r>
            <w:r>
              <w:rPr>
                <w:rFonts w:ascii="宋体" w:hAnsi="宋体" w:cs="宋体" w:eastAsia="宋体" w:hint="default"/>
                <w:sz w:val="18"/>
                <w:szCs w:val="18"/>
              </w:rPr>
              <w:t>北京</w:t>
            </w:r>
          </w:p>
        </w:tc>
        <w:tc>
          <w:tcPr>
            <w:tcW w:w="2410" w:type="dxa"/>
            <w:tcBorders>
              <w:top w:val="nil" w:sz="6" w:space="0" w:color="auto"/>
              <w:left w:val="nil" w:sz="6" w:space="0" w:color="auto"/>
              <w:bottom w:val="nil" w:sz="6" w:space="0" w:color="auto"/>
              <w:right w:val="nil" w:sz="6" w:space="0" w:color="auto"/>
            </w:tcBorders>
          </w:tcPr>
          <w:p>
            <w:pPr/>
          </w:p>
        </w:tc>
      </w:tr>
      <w:tr>
        <w:trPr>
          <w:trHeight w:val="392" w:hRule="exact"/>
        </w:trPr>
        <w:tc>
          <w:tcPr>
            <w:tcW w:w="5937" w:type="dxa"/>
            <w:tcBorders>
              <w:top w:val="nil" w:sz="6" w:space="0" w:color="auto"/>
              <w:left w:val="nil" w:sz="6" w:space="0" w:color="auto"/>
              <w:bottom w:val="nil" w:sz="6" w:space="0" w:color="auto"/>
              <w:right w:val="nil" w:sz="6" w:space="0" w:color="auto"/>
            </w:tcBorders>
          </w:tcPr>
          <w:p>
            <w:pPr>
              <w:pStyle w:val="TableParagraph"/>
              <w:spacing w:line="240" w:lineRule="auto" w:before="45"/>
              <w:ind w:left="200" w:right="0"/>
              <w:jc w:val="left"/>
              <w:rPr>
                <w:rFonts w:ascii="宋体" w:hAnsi="宋体" w:cs="宋体" w:eastAsia="宋体" w:hint="default"/>
                <w:sz w:val="18"/>
                <w:szCs w:val="18"/>
              </w:rPr>
            </w:pPr>
            <w:r>
              <w:rPr>
                <w:rFonts w:ascii="宋体" w:hAnsi="宋体" w:cs="宋体" w:eastAsia="宋体" w:hint="default"/>
                <w:sz w:val="18"/>
                <w:szCs w:val="18"/>
              </w:rPr>
              <w:t>二〇一八年四月二日</w:t>
            </w:r>
          </w:p>
        </w:tc>
        <w:tc>
          <w:tcPr>
            <w:tcW w:w="2410" w:type="dxa"/>
            <w:tcBorders>
              <w:top w:val="nil" w:sz="6" w:space="0" w:color="auto"/>
              <w:left w:val="nil" w:sz="6" w:space="0" w:color="auto"/>
              <w:bottom w:val="single" w:sz="4" w:space="0" w:color="000000"/>
              <w:right w:val="nil" w:sz="6" w:space="0" w:color="auto"/>
            </w:tcBorders>
          </w:tcPr>
          <w:p>
            <w:pPr/>
          </w:p>
        </w:tc>
      </w:tr>
      <w:tr>
        <w:trPr>
          <w:trHeight w:val="594" w:hRule="exact"/>
        </w:trPr>
        <w:tc>
          <w:tcPr>
            <w:tcW w:w="5937" w:type="dxa"/>
            <w:tcBorders>
              <w:top w:val="nil" w:sz="6" w:space="0" w:color="auto"/>
              <w:left w:val="nil" w:sz="6" w:space="0" w:color="auto"/>
              <w:bottom w:val="nil" w:sz="6" w:space="0" w:color="auto"/>
              <w:right w:val="nil" w:sz="6" w:space="0" w:color="auto"/>
            </w:tcBorders>
          </w:tcPr>
          <w:p>
            <w:pPr/>
          </w:p>
        </w:tc>
        <w:tc>
          <w:tcPr>
            <w:tcW w:w="2410" w:type="dxa"/>
            <w:tcBorders>
              <w:top w:val="single" w:sz="4" w:space="0" w:color="000000"/>
              <w:left w:val="nil" w:sz="6" w:space="0" w:color="auto"/>
              <w:bottom w:val="nil" w:sz="6" w:space="0" w:color="auto"/>
              <w:right w:val="nil" w:sz="6" w:space="0" w:color="auto"/>
            </w:tcBorders>
          </w:tcPr>
          <w:p>
            <w:pPr>
              <w:pStyle w:val="TableParagraph"/>
              <w:spacing w:line="240" w:lineRule="auto" w:before="51"/>
              <w:ind w:right="31"/>
              <w:jc w:val="center"/>
              <w:rPr>
                <w:rFonts w:ascii="宋体" w:hAnsi="宋体" w:cs="宋体" w:eastAsia="宋体" w:hint="default"/>
                <w:sz w:val="18"/>
                <w:szCs w:val="18"/>
              </w:rPr>
            </w:pPr>
            <w:r>
              <w:rPr>
                <w:rFonts w:ascii="宋体" w:hAnsi="宋体" w:cs="宋体" w:eastAsia="宋体" w:hint="default"/>
                <w:sz w:val="18"/>
                <w:szCs w:val="18"/>
              </w:rPr>
              <w:t>刘仁芝</w:t>
            </w:r>
          </w:p>
        </w:tc>
      </w:tr>
      <w:tr>
        <w:trPr>
          <w:trHeight w:val="1376" w:hRule="exact"/>
        </w:trPr>
        <w:tc>
          <w:tcPr>
            <w:tcW w:w="5937" w:type="dxa"/>
            <w:tcBorders>
              <w:top w:val="nil" w:sz="6" w:space="0" w:color="auto"/>
              <w:left w:val="nil" w:sz="6" w:space="0" w:color="auto"/>
              <w:bottom w:val="nil" w:sz="6" w:space="0" w:color="auto"/>
              <w:right w:val="nil" w:sz="6" w:space="0" w:color="auto"/>
            </w:tcBorders>
          </w:tcPr>
          <w:p>
            <w:pPr/>
          </w:p>
        </w:tc>
        <w:tc>
          <w:tcPr>
            <w:tcW w:w="2410" w:type="dxa"/>
            <w:tcBorders>
              <w:top w:val="nil" w:sz="6" w:space="0" w:color="auto"/>
              <w:left w:val="nil" w:sz="6" w:space="0" w:color="auto"/>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557" w:right="0"/>
              <w:jc w:val="left"/>
              <w:rPr>
                <w:rFonts w:ascii="宋体" w:hAnsi="宋体" w:cs="宋体" w:eastAsia="宋体" w:hint="default"/>
                <w:sz w:val="18"/>
                <w:szCs w:val="18"/>
              </w:rPr>
            </w:pPr>
            <w:r>
              <w:rPr>
                <w:rFonts w:ascii="宋体" w:hAnsi="宋体" w:cs="宋体" w:eastAsia="宋体" w:hint="default"/>
                <w:sz w:val="18"/>
                <w:szCs w:val="18"/>
              </w:rPr>
              <w:t>中国注册会计师</w:t>
            </w:r>
          </w:p>
        </w:tc>
      </w:tr>
      <w:tr>
        <w:trPr>
          <w:trHeight w:val="293" w:hRule="exact"/>
        </w:trPr>
        <w:tc>
          <w:tcPr>
            <w:tcW w:w="5937" w:type="dxa"/>
            <w:tcBorders>
              <w:top w:val="nil" w:sz="6" w:space="0" w:color="auto"/>
              <w:left w:val="nil" w:sz="6" w:space="0" w:color="auto"/>
              <w:bottom w:val="nil" w:sz="6" w:space="0" w:color="auto"/>
              <w:right w:val="nil" w:sz="6" w:space="0" w:color="auto"/>
            </w:tcBorders>
          </w:tcPr>
          <w:p>
            <w:pPr/>
          </w:p>
        </w:tc>
        <w:tc>
          <w:tcPr>
            <w:tcW w:w="2410" w:type="dxa"/>
            <w:tcBorders>
              <w:top w:val="single" w:sz="4" w:space="0" w:color="000000"/>
              <w:left w:val="nil" w:sz="6" w:space="0" w:color="auto"/>
              <w:bottom w:val="nil" w:sz="6" w:space="0" w:color="auto"/>
              <w:right w:val="nil" w:sz="6" w:space="0" w:color="auto"/>
            </w:tcBorders>
          </w:tcPr>
          <w:p>
            <w:pPr>
              <w:pStyle w:val="TableParagraph"/>
              <w:spacing w:line="240" w:lineRule="auto" w:before="52"/>
              <w:ind w:right="31"/>
              <w:jc w:val="center"/>
              <w:rPr>
                <w:rFonts w:ascii="宋体" w:hAnsi="宋体" w:cs="宋体" w:eastAsia="宋体" w:hint="default"/>
                <w:sz w:val="18"/>
                <w:szCs w:val="18"/>
              </w:rPr>
            </w:pPr>
            <w:r>
              <w:rPr>
                <w:rFonts w:ascii="宋体" w:hAnsi="宋体" w:cs="宋体" w:eastAsia="宋体" w:hint="default"/>
                <w:sz w:val="18"/>
                <w:szCs w:val="18"/>
              </w:rPr>
              <w:t>张</w:t>
            </w:r>
            <w:r>
              <w:rPr>
                <w:rFonts w:ascii="宋体" w:hAnsi="宋体" w:cs="宋体" w:eastAsia="宋体" w:hint="default"/>
                <w:spacing w:val="90"/>
                <w:sz w:val="18"/>
                <w:szCs w:val="18"/>
              </w:rPr>
              <w:t> </w:t>
            </w:r>
            <w:r>
              <w:rPr>
                <w:rFonts w:ascii="宋体" w:hAnsi="宋体" w:cs="宋体" w:eastAsia="宋体" w:hint="default"/>
                <w:sz w:val="18"/>
                <w:szCs w:val="18"/>
              </w:rPr>
              <w:t>丽</w:t>
            </w:r>
          </w:p>
        </w:tc>
      </w:tr>
    </w:tbl>
    <w:p>
      <w:pPr>
        <w:spacing w:after="0" w:line="240" w:lineRule="auto"/>
        <w:jc w:val="center"/>
        <w:rPr>
          <w:rFonts w:ascii="宋体" w:hAnsi="宋体" w:cs="宋体" w:eastAsia="宋体" w:hint="default"/>
          <w:sz w:val="18"/>
          <w:szCs w:val="18"/>
        </w:rPr>
        <w:sectPr>
          <w:pgSz w:w="11910" w:h="16840"/>
          <w:pgMar w:header="747" w:footer="979" w:top="1060" w:bottom="1160" w:left="980" w:right="0"/>
        </w:sectPr>
      </w:pPr>
    </w:p>
    <w:p>
      <w:pPr>
        <w:spacing w:line="240" w:lineRule="auto" w:before="9"/>
        <w:rPr>
          <w:rFonts w:ascii="宋体" w:hAnsi="宋体" w:cs="宋体" w:eastAsia="宋体" w:hint="default"/>
          <w:sz w:val="23"/>
          <w:szCs w:val="23"/>
        </w:rPr>
      </w:pPr>
    </w:p>
    <w:p>
      <w:pPr>
        <w:pStyle w:val="Heading2"/>
        <w:spacing w:line="240" w:lineRule="auto" w:before="26"/>
        <w:ind w:right="0"/>
        <w:jc w:val="left"/>
        <w:rPr>
          <w:b w:val="0"/>
          <w:bCs w:val="0"/>
        </w:rPr>
      </w:pPr>
      <w:bookmarkStart w:name="二、财务报表" w:id="157"/>
      <w:bookmarkEnd w:id="157"/>
      <w:r>
        <w:rPr>
          <w:b w:val="0"/>
          <w:bCs w:val="0"/>
        </w:rPr>
      </w:r>
      <w:r>
        <w:rPr/>
        <w:t>二、财务报表</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财务附注中报表的单位为：人民币元</w:t>
      </w:r>
    </w:p>
    <w:p>
      <w:pPr>
        <w:spacing w:line="240" w:lineRule="auto" w:before="10"/>
        <w:rPr>
          <w:rFonts w:ascii="宋体" w:hAnsi="宋体" w:cs="宋体" w:eastAsia="宋体" w:hint="default"/>
          <w:sz w:val="26"/>
          <w:szCs w:val="26"/>
        </w:rPr>
      </w:pPr>
    </w:p>
    <w:p>
      <w:pPr>
        <w:pStyle w:val="Heading3"/>
        <w:spacing w:line="240" w:lineRule="auto"/>
        <w:ind w:left="153" w:right="0"/>
        <w:jc w:val="left"/>
        <w:rPr>
          <w:b w:val="0"/>
          <w:bCs w:val="0"/>
        </w:rPr>
      </w:pPr>
      <w:bookmarkStart w:name="1、合并资产负债表" w:id="158"/>
      <w:bookmarkEnd w:id="158"/>
      <w:r>
        <w:rPr>
          <w:b w:val="0"/>
          <w:bCs w:val="0"/>
        </w:rPr>
      </w:r>
      <w:r>
        <w:rPr>
          <w:rFonts w:ascii="Times New Roman" w:hAnsi="Times New Roman" w:cs="Times New Roman" w:eastAsia="Times New Roman" w:hint="default"/>
        </w:rPr>
        <w:t>1</w:t>
      </w:r>
      <w:r>
        <w:rPr/>
        <w:t>、合并资产负债表</w:t>
      </w:r>
      <w:r>
        <w:rPr>
          <w:b w:val="0"/>
          <w:bCs w:val="0"/>
        </w:rPr>
      </w:r>
    </w:p>
    <w:p>
      <w:pPr>
        <w:spacing w:line="240" w:lineRule="auto" w:before="4"/>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747" w:footer="979" w:top="1060" w:bottom="1160" w:left="980" w:right="0"/>
        </w:sectPr>
      </w:pPr>
    </w:p>
    <w:p>
      <w:pPr>
        <w:pStyle w:val="BodyText"/>
        <w:spacing w:line="240" w:lineRule="auto" w:before="44"/>
        <w:ind w:right="-19"/>
        <w:jc w:val="left"/>
      </w:pPr>
      <w:r>
        <w:rPr/>
        <w:t>编制单位：深圳市奥拓电子股份有限公司</w:t>
      </w:r>
    </w:p>
    <w:p>
      <w:pPr>
        <w:spacing w:line="240" w:lineRule="auto" w:before="0"/>
        <w:rPr>
          <w:rFonts w:ascii="宋体" w:hAnsi="宋体" w:cs="宋体" w:eastAsia="宋体" w:hint="default"/>
          <w:sz w:val="18"/>
          <w:szCs w:val="18"/>
        </w:rPr>
      </w:pPr>
      <w:r>
        <w:rPr/>
        <w:br w:type="column"/>
      </w:r>
      <w:r>
        <w:rPr>
          <w:rFonts w:ascii="宋体"/>
          <w:sz w:val="18"/>
        </w:rPr>
      </w:r>
    </w:p>
    <w:p>
      <w:pPr>
        <w:pStyle w:val="BodyText"/>
        <w:spacing w:line="240" w:lineRule="auto" w:before="160"/>
        <w:ind w:right="-16"/>
        <w:jc w:val="left"/>
      </w:pP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w:t>
      </w:r>
      <w:r>
        <w:rPr>
          <w:spacing w:val="-46"/>
        </w:rPr>
        <w:t> </w:t>
      </w:r>
      <w:r>
        <w:rPr>
          <w:rFonts w:ascii="Times New Roman" w:hAnsi="Times New Roman" w:cs="Times New Roman" w:eastAsia="Times New Roman" w:hint="default"/>
        </w:rPr>
        <w:t>12 </w:t>
      </w:r>
      <w:r>
        <w:rPr/>
        <w:t>月</w:t>
      </w:r>
      <w:r>
        <w:rPr>
          <w:spacing w:val="-46"/>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pStyle w:val="BodyText"/>
        <w:spacing w:line="240" w:lineRule="auto"/>
        <w:ind w:right="0"/>
        <w:jc w:val="left"/>
      </w:pPr>
      <w:r>
        <w:rPr/>
        <w:t>单位：元</w:t>
      </w:r>
    </w:p>
    <w:p>
      <w:pPr>
        <w:spacing w:after="0" w:line="240" w:lineRule="auto"/>
        <w:jc w:val="left"/>
        <w:sectPr>
          <w:type w:val="continuous"/>
          <w:pgSz w:w="11910" w:h="16840"/>
          <w:pgMar w:top="1060" w:bottom="1160" w:left="980" w:right="0"/>
          <w:cols w:num="3" w:equalWidth="0">
            <w:col w:w="3395" w:space="683"/>
            <w:col w:w="1639" w:space="3203"/>
            <w:col w:w="2010"/>
          </w:cols>
        </w:sectPr>
      </w:pP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2945"/>
        <w:gridCol w:w="3312"/>
        <w:gridCol w:w="3300"/>
      </w:tblGrid>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328,155,120.71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368,228,200.97</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1"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 期损益的金融资产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8,269,122.33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2,204,336.91</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506,285,252.32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231,370,765.29</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21,044,172.48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10,693,737.65</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应收分保合同准备金</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152,566.47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321,535.19</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41,017,667.16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22,477,299.10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231,557,258.67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140,154,661.19</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持有待售的资产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195,771,906.45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64,493,486.76</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1,332,253,066.59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839,944,023.06</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发放贷款及垫款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13,000,000.00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10,000,000.00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2945"/>
        <w:gridCol w:w="3312"/>
        <w:gridCol w:w="3300"/>
      </w:tblGrid>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1,177,449.00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26,528,401.90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164,002,912.81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156,966,468.04</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32,628,957.77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20,634,466.60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190,529,767.81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190,529,767.81</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3,482,989.10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24,497,290.87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17,335,613.54</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5,370,729.02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27,839,605.75</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461,218,498.28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423,305,921.74</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1,793,471,564.87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1,263,249,944.80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100,000,000.00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25,000,000.00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向中央银行借款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941"/>
              <w:jc w:val="right"/>
              <w:rPr>
                <w:rFonts w:ascii="宋体" w:hAnsi="宋体" w:cs="宋体" w:eastAsia="宋体" w:hint="default"/>
                <w:sz w:val="18"/>
                <w:szCs w:val="18"/>
              </w:rPr>
            </w:pPr>
            <w:r>
              <w:rPr>
                <w:rFonts w:ascii="宋体" w:hAnsi="宋体" w:cs="宋体" w:eastAsia="宋体" w:hint="default"/>
                <w:sz w:val="18"/>
                <w:szCs w:val="18"/>
              </w:rPr>
              <w:t>吸收存款及同业存放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1"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 期损益的金融负债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52,382,104.11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21,891,888.36</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267,469,542.19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94,460,853.66</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57,832,410.14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23,169,815.70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941"/>
              <w:jc w:val="right"/>
              <w:rPr>
                <w:rFonts w:ascii="宋体" w:hAnsi="宋体" w:cs="宋体" w:eastAsia="宋体" w:hint="default"/>
                <w:sz w:val="18"/>
                <w:szCs w:val="18"/>
              </w:rPr>
            </w:pPr>
            <w:r>
              <w:rPr>
                <w:rFonts w:ascii="宋体" w:hAnsi="宋体" w:cs="宋体" w:eastAsia="宋体" w:hint="default"/>
                <w:sz w:val="18"/>
                <w:szCs w:val="18"/>
              </w:rPr>
              <w:t>卖出回购金融资产款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31,135,578.58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31,262,422.79</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67,358,607.99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39,572,649.21</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140,995.89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38,095.89</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339,480.00</w:t>
            </w: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2945"/>
        <w:gridCol w:w="3312"/>
        <w:gridCol w:w="3300"/>
      </w:tblGrid>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44,402,533.33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119,373,570.13</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保险合同准备金</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代理买卖证券款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代理承销证券款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持有待售的负债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621,061,252.23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354,769,295.74</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09"/>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8,938,440.10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3,732,165.32</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2,133,710.12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5,133,965.00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11,072,150.22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8,866,130.32</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632,133,402.45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363,635,426.06</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611,385,834.00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396,783,995.00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09"/>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190,445,838.18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259,911,196.58</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17,642,220.00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28,377,600.00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-898,462.10</w:t>
            </w:r>
            <w:r>
              <w:rPr>
                <w:rFonts w:ascii="Times New Roman"/>
                <w:sz w:val="18"/>
              </w:rPr>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-797,988.43</w:t>
            </w:r>
            <w:r>
              <w:rPr>
                <w:rFonts w:ascii="Times New Roman"/>
                <w:sz w:val="18"/>
              </w:rPr>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44,300,266.13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41,131,637.24</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967"/>
        <w:gridCol w:w="3301"/>
        <w:gridCol w:w="3300"/>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314,661,234.52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226,574,804.79</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归属于母公司所有者权益合计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1,142,252,490.73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895,226,045.18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19,085,671.69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4,388,473.56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1,161,338,162.42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899,614,518.74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1,793,471,564.87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1,263,249,944.80</w:t>
            </w:r>
          </w:p>
        </w:tc>
      </w:tr>
    </w:tbl>
    <w:p>
      <w:pPr>
        <w:spacing w:line="240" w:lineRule="auto" w:before="3"/>
        <w:rPr>
          <w:rFonts w:ascii="Times New Roman" w:hAnsi="Times New Roman" w:cs="Times New Roman" w:eastAsia="Times New Roman" w:hint="default"/>
          <w:sz w:val="23"/>
          <w:szCs w:val="23"/>
        </w:rPr>
      </w:pPr>
    </w:p>
    <w:p>
      <w:pPr>
        <w:pStyle w:val="BodyText"/>
        <w:tabs>
          <w:tab w:pos="3420" w:val="left" w:leader="none"/>
          <w:tab w:pos="7561" w:val="left" w:leader="none"/>
        </w:tabs>
        <w:spacing w:line="240" w:lineRule="auto" w:before="44"/>
        <w:ind w:left="0" w:right="1229"/>
        <w:jc w:val="right"/>
      </w:pPr>
      <w:r>
        <w:rPr/>
        <w:t>法定代表人：吴涵渠</w:t>
        <w:tab/>
        <w:t>主管会计工作负责人：彭世新</w:t>
        <w:tab/>
        <w:t>会计机构负责人：马秦勇</w:t>
      </w:r>
    </w:p>
    <w:p>
      <w:pPr>
        <w:spacing w:line="240" w:lineRule="auto" w:before="11"/>
        <w:rPr>
          <w:rFonts w:ascii="宋体" w:hAnsi="宋体" w:cs="宋体" w:eastAsia="宋体" w:hint="default"/>
          <w:sz w:val="26"/>
          <w:szCs w:val="26"/>
        </w:rPr>
      </w:pPr>
    </w:p>
    <w:p>
      <w:pPr>
        <w:pStyle w:val="Heading3"/>
        <w:spacing w:line="240" w:lineRule="auto"/>
        <w:ind w:left="153" w:right="0"/>
        <w:jc w:val="left"/>
        <w:rPr>
          <w:b w:val="0"/>
          <w:bCs w:val="0"/>
        </w:rPr>
      </w:pPr>
      <w:bookmarkStart w:name="2、母公司资产负债表" w:id="159"/>
      <w:bookmarkEnd w:id="159"/>
      <w:r>
        <w:rPr>
          <w:b w:val="0"/>
          <w:bCs w:val="0"/>
        </w:rPr>
      </w:r>
      <w:r>
        <w:rPr>
          <w:rFonts w:ascii="Times New Roman" w:hAnsi="Times New Roman" w:cs="Times New Roman" w:eastAsia="Times New Roman" w:hint="default"/>
        </w:rPr>
        <w:t>2</w:t>
      </w:r>
      <w:r>
        <w:rPr/>
        <w:t>、母公司资产负债表</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945"/>
        <w:gridCol w:w="3312"/>
        <w:gridCol w:w="3300"/>
      </w:tblGrid>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212,774,086.24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292,312,333.31</w:t>
            </w: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41"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 期损益的金融资产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153,714,915.86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164,660,549.23</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30,371,356.46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2,923,814.59</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87,029.70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71,535.19</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8,941,312.64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3,975,968.64</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4,646,784.18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72,175,392.82</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持有待售的资产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80,753,389.67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44,642,206.34</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491,288,874.75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580,761,800.12</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10,000,000.00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684,805,643.00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568,981,583.00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2,217,389.90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33,807,678.33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29,236,207.89</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2945"/>
        <w:gridCol w:w="3312"/>
        <w:gridCol w:w="3300"/>
      </w:tblGrid>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2,338,320.66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1,695,268.53</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3,482,989.10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4,421,332.28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5,303,511.09</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2,350,057.22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2,475,694.47</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743,423,410.49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617,692,264.98</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1,234,712,285.24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1,198,454,065.10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10,000,000.00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1"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 期损益的金融负债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36,345,023.08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19,083,582.25</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56,698,123.17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113,088,082.51</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14,948,268.94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13,748,760.12</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7,310,429.83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12,296,238.25</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7,534,764.10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15,398,073.77</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339,480.00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71,618,923.11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139,649,540.46</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持有待售的负债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204,795,012.23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313,264,277.36</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09"/>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2945"/>
        <w:gridCol w:w="3312"/>
        <w:gridCol w:w="3300"/>
      </w:tblGrid>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1,633,466.85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705,075.51</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2,133,589.76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5,133,589.76</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3,767,056.61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5,838,665.27</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208,562,068.84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319,102,942.63</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611,385,834.00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396,783,995.00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09"/>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188,150,807.79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257,616,166.19</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17,642,220.00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28,377,600.00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44,300,266.13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41,131,637.24</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199,955,528.48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212,196,924.04</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1,026,150,216.40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879,351,122.47</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1,234,712,285.24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1,198,454,065.10</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pStyle w:val="Heading3"/>
        <w:spacing w:line="240" w:lineRule="auto" w:before="178"/>
        <w:ind w:left="153" w:right="0"/>
        <w:jc w:val="left"/>
        <w:rPr>
          <w:b w:val="0"/>
          <w:bCs w:val="0"/>
        </w:rPr>
      </w:pPr>
      <w:bookmarkStart w:name="3、合并利润表" w:id="160"/>
      <w:bookmarkEnd w:id="160"/>
      <w:r>
        <w:rPr>
          <w:b w:val="0"/>
          <w:bCs w:val="0"/>
        </w:rPr>
      </w:r>
      <w:r>
        <w:rPr>
          <w:rFonts w:ascii="Times New Roman" w:hAnsi="Times New Roman" w:cs="Times New Roman" w:eastAsia="Times New Roman" w:hint="default"/>
        </w:rPr>
        <w:t>3</w:t>
      </w:r>
      <w:r>
        <w:rPr/>
        <w:t>、合并利润表</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057"/>
        <w:gridCol w:w="3222"/>
        <w:gridCol w:w="3278"/>
      </w:tblGrid>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一、营业总收入</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1,041,124,027.40</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457,079,739.05</w:t>
            </w: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其中：营业收入</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1,041,124,027.40</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457,079,739.05</w:t>
            </w: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222"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已赚保费</w:t>
            </w:r>
          </w:p>
        </w:tc>
        <w:tc>
          <w:tcPr>
            <w:tcW w:w="3222"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手续费及佣金收入</w:t>
            </w:r>
          </w:p>
        </w:tc>
        <w:tc>
          <w:tcPr>
            <w:tcW w:w="3222"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二、营业总成本</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921,724,428.55</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375,252,993.15</w:t>
            </w: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其中：营业成本</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627,170,127.19</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204,004,890.01</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r>
        <w:rPr/>
        <w:pict>
          <v:group style="position:absolute;margin-left:212.119995pt;margin-top:420.819977pt;width:157.7pt;height:19.650pt;mso-position-horizontal-relative:page;mso-position-vertical-relative:page;z-index:-1253296" coordorigin="4242,8416" coordsize="3154,393">
            <v:shape style="position:absolute;left:4242;top:8416;width:3154;height:393" coordorigin="4242,8416" coordsize="3154,393" path="m4242,8809l7396,8809,7396,8416,4242,8416,4242,8809xe" filled="true" fillcolor="#ffffff" stroked="false">
              <v:path arrowok="t"/>
              <v:fill type="solid"/>
            </v:shape>
            <w10:wrap type="none"/>
          </v:group>
        </w:pict>
      </w:r>
      <w:r>
        <w:rPr/>
        <w:pict>
          <v:group style="position:absolute;margin-left:212.119995pt;margin-top:557.019958pt;width:157.7pt;height:19.650pt;mso-position-horizontal-relative:page;mso-position-vertical-relative:page;z-index:-1253272" coordorigin="4242,11140" coordsize="3154,393">
            <v:shape style="position:absolute;left:4242;top:11140;width:3154;height:393" coordorigin="4242,11140" coordsize="3154,393" path="m4242,11533l7396,11533,7396,11140,4242,11140,4242,11533xe" filled="true" fillcolor="#ffffff" stroked="false">
              <v:path arrowok="t"/>
              <v:fill type="solid"/>
            </v:shape>
            <w10:wrap type="none"/>
          </v:group>
        </w:pict>
      </w: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3080"/>
        <w:gridCol w:w="1060"/>
        <w:gridCol w:w="2151"/>
        <w:gridCol w:w="3278"/>
      </w:tblGrid>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3211" w:type="dxa"/>
            <w:gridSpan w:val="2"/>
            <w:tcBorders>
              <w:top w:val="single" w:sz="4" w:space="0" w:color="000000"/>
              <w:left w:val="single" w:sz="4" w:space="0" w:color="000000"/>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手续费及佣金支出</w:t>
            </w:r>
          </w:p>
        </w:tc>
        <w:tc>
          <w:tcPr>
            <w:tcW w:w="3211" w:type="dxa"/>
            <w:gridSpan w:val="2"/>
            <w:tcBorders>
              <w:top w:val="single" w:sz="4" w:space="0" w:color="000000"/>
              <w:left w:val="single" w:sz="4" w:space="0" w:color="000000"/>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退保金</w:t>
            </w:r>
          </w:p>
        </w:tc>
        <w:tc>
          <w:tcPr>
            <w:tcW w:w="3211" w:type="dxa"/>
            <w:gridSpan w:val="2"/>
            <w:tcBorders>
              <w:top w:val="single" w:sz="4" w:space="0" w:color="000000"/>
              <w:left w:val="single" w:sz="4" w:space="0" w:color="000000"/>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赔付支出净额</w:t>
            </w:r>
          </w:p>
        </w:tc>
        <w:tc>
          <w:tcPr>
            <w:tcW w:w="3211" w:type="dxa"/>
            <w:gridSpan w:val="2"/>
            <w:tcBorders>
              <w:top w:val="single" w:sz="4" w:space="0" w:color="000000"/>
              <w:left w:val="single" w:sz="4" w:space="0" w:color="000000"/>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65"/>
              <w:jc w:val="right"/>
              <w:rPr>
                <w:rFonts w:ascii="宋体" w:hAnsi="宋体" w:cs="宋体" w:eastAsia="宋体" w:hint="default"/>
                <w:sz w:val="18"/>
                <w:szCs w:val="18"/>
              </w:rPr>
            </w:pPr>
            <w:r>
              <w:rPr>
                <w:rFonts w:ascii="宋体" w:hAnsi="宋体" w:cs="宋体" w:eastAsia="宋体" w:hint="default"/>
                <w:sz w:val="18"/>
                <w:szCs w:val="18"/>
              </w:rPr>
              <w:t>提取保险合同准备金净额</w:t>
            </w:r>
          </w:p>
        </w:tc>
        <w:tc>
          <w:tcPr>
            <w:tcW w:w="3211" w:type="dxa"/>
            <w:gridSpan w:val="2"/>
            <w:tcBorders>
              <w:top w:val="single" w:sz="4" w:space="0" w:color="000000"/>
              <w:left w:val="single" w:sz="4" w:space="0" w:color="000000"/>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保单红利支出</w:t>
            </w:r>
          </w:p>
        </w:tc>
        <w:tc>
          <w:tcPr>
            <w:tcW w:w="3211" w:type="dxa"/>
            <w:gridSpan w:val="2"/>
            <w:tcBorders>
              <w:top w:val="single" w:sz="4" w:space="0" w:color="000000"/>
              <w:left w:val="single" w:sz="4" w:space="0" w:color="000000"/>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分保费用</w:t>
            </w:r>
          </w:p>
        </w:tc>
        <w:tc>
          <w:tcPr>
            <w:tcW w:w="3211" w:type="dxa"/>
            <w:gridSpan w:val="2"/>
            <w:tcBorders>
              <w:top w:val="single" w:sz="4" w:space="0" w:color="000000"/>
              <w:left w:val="single" w:sz="4" w:space="0" w:color="000000"/>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税金及附加</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12,916,048.74</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5,049,846.00</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66" w:right="0"/>
              <w:jc w:val="left"/>
              <w:rPr>
                <w:rFonts w:ascii="Times New Roman" w:hAnsi="Times New Roman" w:cs="Times New Roman" w:eastAsia="Times New Roman" w:hint="default"/>
                <w:sz w:val="18"/>
                <w:szCs w:val="18"/>
              </w:rPr>
            </w:pPr>
            <w:r>
              <w:rPr>
                <w:rFonts w:ascii="Times New Roman"/>
                <w:sz w:val="18"/>
              </w:rPr>
              <w:t>111,409,964.58</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78,979,088.57</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53" w:right="0"/>
              <w:jc w:val="left"/>
              <w:rPr>
                <w:rFonts w:ascii="Times New Roman" w:hAnsi="Times New Roman" w:cs="Times New Roman" w:eastAsia="Times New Roman" w:hint="default"/>
                <w:sz w:val="18"/>
                <w:szCs w:val="18"/>
              </w:rPr>
            </w:pPr>
            <w:r>
              <w:rPr>
                <w:rFonts w:ascii="Times New Roman"/>
                <w:sz w:val="18"/>
              </w:rPr>
              <w:t>129,100,009.14</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92,906,642.50</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14,338,023.29</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-15,228,789.03</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26,790,255.61</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9,541,315.10</w:t>
            </w: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加：公允价值变动收益（损失以</w:t>
            </w:r>
          </w:p>
          <w:p>
            <w:pPr>
              <w:pStyle w:val="TableParagraph"/>
              <w:spacing w:line="240" w:lineRule="auto" w:before="77"/>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211" w:type="dxa"/>
            <w:gridSpan w:val="2"/>
            <w:tcBorders>
              <w:top w:val="single" w:sz="4" w:space="0" w:color="000000"/>
              <w:left w:val="single" w:sz="4" w:space="0" w:color="000000"/>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2,296,333.02</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11,222,797.13</w:t>
            </w: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1" w:firstLine="720"/>
              <w:jc w:val="left"/>
              <w:rPr>
                <w:rFonts w:ascii="宋体" w:hAnsi="宋体" w:cs="宋体" w:eastAsia="宋体" w:hint="default"/>
                <w:sz w:val="18"/>
                <w:szCs w:val="18"/>
              </w:rPr>
            </w:pPr>
            <w:r>
              <w:rPr>
                <w:rFonts w:ascii="宋体" w:hAnsi="宋体" w:cs="宋体" w:eastAsia="宋体" w:hint="default"/>
                <w:spacing w:val="-3"/>
                <w:sz w:val="18"/>
                <w:szCs w:val="18"/>
              </w:rPr>
              <w:t>其中：对联营企业和合营企业</w:t>
            </w:r>
            <w:r>
              <w:rPr>
                <w:rFonts w:ascii="宋体" w:hAnsi="宋体" w:cs="宋体" w:eastAsia="宋体" w:hint="default"/>
                <w:sz w:val="18"/>
                <w:szCs w:val="18"/>
              </w:rPr>
              <w:t> 的投资收益</w:t>
            </w:r>
          </w:p>
        </w:tc>
        <w:tc>
          <w:tcPr>
            <w:tcW w:w="3211" w:type="dxa"/>
            <w:gridSpan w:val="2"/>
            <w:tcBorders>
              <w:top w:val="single" w:sz="4" w:space="0" w:color="000000"/>
              <w:left w:val="single" w:sz="4" w:space="0" w:color="000000"/>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9" w:space="0" w:color="FFFFFF"/>
            </w:tcBorders>
            <w:shd w:val="clear" w:color="auto" w:fill="D2D2D2"/>
          </w:tcPr>
          <w:p>
            <w:pPr>
              <w:pStyle w:val="TableParagraph"/>
              <w:spacing w:line="240" w:lineRule="auto" w:before="51"/>
              <w:ind w:right="119"/>
              <w:jc w:val="right"/>
              <w:rPr>
                <w:rFonts w:ascii="宋体" w:hAnsi="宋体" w:cs="宋体" w:eastAsia="宋体" w:hint="default"/>
                <w:sz w:val="18"/>
                <w:szCs w:val="18"/>
              </w:rPr>
            </w:pPr>
            <w:r>
              <w:rPr>
                <w:rFonts w:ascii="宋体" w:hAnsi="宋体" w:cs="宋体" w:eastAsia="宋体" w:hint="default"/>
                <w:spacing w:val="-1"/>
                <w:sz w:val="18"/>
                <w:szCs w:val="18"/>
              </w:rPr>
              <w:t>汇兑收益（损失以</w:t>
            </w:r>
            <w:r>
              <w:rPr>
                <w:rFonts w:ascii="Times New Roman" w:hAnsi="Times New Roman" w:cs="Times New Roman" w:eastAsia="Times New Roman" w:hint="default"/>
                <w:spacing w:val="-1"/>
                <w:sz w:val="18"/>
                <w:szCs w:val="18"/>
              </w:rPr>
              <w:t>“</w:t>
            </w:r>
            <w:r>
              <w:rPr>
                <w:rFonts w:ascii="Times New Roman" w:hAnsi="Times New Roman" w:cs="Times New Roman" w:eastAsia="Times New Roman" w:hint="default"/>
                <w:spacing w:val="-1"/>
                <w:sz w:val="18"/>
                <w:szCs w:val="18"/>
              </w:rPr>
              <w:t>-</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号填列</w:t>
            </w:r>
          </w:p>
        </w:tc>
        <w:tc>
          <w:tcPr>
            <w:tcW w:w="3211" w:type="dxa"/>
            <w:gridSpan w:val="2"/>
            <w:tcBorders>
              <w:top w:val="single" w:sz="4" w:space="0" w:color="000000"/>
              <w:left w:val="single" w:sz="9" w:space="0" w:color="FFFFFF"/>
              <w:bottom w:val="single" w:sz="4" w:space="0" w:color="000000"/>
              <w:right w:val="single" w:sz="4" w:space="0" w:color="000000"/>
            </w:tcBorders>
          </w:tcPr>
          <w:p>
            <w:pPr>
              <w:pStyle w:val="TableParagraph"/>
              <w:spacing w:line="240" w:lineRule="auto" w:before="51"/>
              <w:ind w:left="-144" w:right="0"/>
              <w:jc w:val="left"/>
              <w:rPr>
                <w:rFonts w:ascii="宋体" w:hAnsi="宋体" w:cs="宋体" w:eastAsia="宋体" w:hint="default"/>
                <w:sz w:val="18"/>
                <w:szCs w:val="18"/>
              </w:rPr>
            </w:pPr>
            <w:r>
              <w:rPr>
                <w:rFonts w:ascii="宋体" w:hAnsi="宋体" w:cs="宋体" w:eastAsia="宋体" w:hint="default"/>
                <w:sz w:val="18"/>
                <w:szCs w:val="18"/>
              </w:rPr>
              <w:t>）</w:t>
            </w: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资产处置收</w:t>
            </w:r>
            <w:r>
              <w:rPr>
                <w:rFonts w:ascii="宋体" w:hAnsi="宋体" w:cs="宋体" w:eastAsia="宋体" w:hint="default"/>
                <w:spacing w:val="-76"/>
                <w:sz w:val="18"/>
                <w:szCs w:val="18"/>
              </w:rPr>
              <w:t>益</w:t>
            </w:r>
            <w:r>
              <w:rPr>
                <w:rFonts w:ascii="宋体" w:hAnsi="宋体" w:cs="宋体" w:eastAsia="宋体" w:hint="default"/>
                <w:sz w:val="18"/>
                <w:szCs w:val="18"/>
              </w:rPr>
              <w:t>（损失以</w:t>
            </w:r>
            <w:r>
              <w:rPr>
                <w:rFonts w:ascii="Times New Roman" w:hAnsi="Times New Roman" w:cs="Times New Roman" w:eastAsia="Times New Roman" w:hint="default"/>
                <w:spacing w:val="-1"/>
                <w:w w:val="100"/>
                <w:sz w:val="18"/>
                <w:szCs w:val="18"/>
              </w:rPr>
              <w:t>“</w:t>
            </w:r>
            <w:r>
              <w:rPr>
                <w:rFonts w:ascii="Times New Roman" w:hAnsi="Times New Roman" w:cs="Times New Roman" w:eastAsia="Times New Roman" w:hint="default"/>
                <w:w w:val="99"/>
                <w:sz w:val="18"/>
                <w:szCs w:val="18"/>
              </w:rPr>
              <w:t>-</w:t>
            </w:r>
            <w:r>
              <w:rPr>
                <w:rFonts w:ascii="Times New Roman" w:hAnsi="Times New Roman" w:cs="Times New Roman" w:eastAsia="Times New Roman" w:hint="default"/>
                <w:w w:val="100"/>
                <w:sz w:val="18"/>
                <w:szCs w:val="18"/>
              </w:rPr>
              <w:t>”</w:t>
            </w:r>
            <w:r>
              <w:rPr>
                <w:rFonts w:ascii="宋体" w:hAnsi="宋体" w:cs="宋体" w:eastAsia="宋体" w:hint="default"/>
                <w:sz w:val="18"/>
                <w:szCs w:val="18"/>
              </w:rPr>
              <w:t>号填</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211" w:type="dxa"/>
            <w:gridSpan w:val="2"/>
            <w:tcBorders>
              <w:top w:val="single" w:sz="4" w:space="0" w:color="000000"/>
              <w:left w:val="single" w:sz="4" w:space="0" w:color="000000"/>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18,399,376.58</w:t>
            </w: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53" w:right="0"/>
              <w:jc w:val="left"/>
              <w:rPr>
                <w:rFonts w:ascii="Times New Roman" w:hAnsi="Times New Roman" w:cs="Times New Roman" w:eastAsia="Times New Roman" w:hint="default"/>
                <w:sz w:val="18"/>
                <w:szCs w:val="18"/>
              </w:rPr>
            </w:pPr>
            <w:r>
              <w:rPr>
                <w:rFonts w:ascii="Times New Roman"/>
                <w:sz w:val="18"/>
              </w:rPr>
              <w:t>140,095,308.45</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93,049,543.03</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1,492,221.40</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8,826,279.52</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440,379.91</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795,954.44</w:t>
            </w:r>
          </w:p>
        </w:tc>
      </w:tr>
      <w:tr>
        <w:trPr>
          <w:trHeight w:val="402" w:hRule="exact"/>
        </w:trPr>
        <w:tc>
          <w:tcPr>
            <w:tcW w:w="3080" w:type="dxa"/>
            <w:tcBorders>
              <w:top w:val="single" w:sz="4" w:space="0" w:color="000000"/>
              <w:left w:val="single" w:sz="4" w:space="0" w:color="000000"/>
              <w:bottom w:val="single" w:sz="4" w:space="0" w:color="000000"/>
              <w:right w:val="single" w:sz="9" w:space="0" w:color="FFFFFF"/>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6"/>
                <w:sz w:val="18"/>
                <w:szCs w:val="18"/>
              </w:rPr>
              <w:t>四、利润总额（亏损总额以</w:t>
            </w:r>
            <w:r>
              <w:rPr>
                <w:rFonts w:ascii="Times New Roman" w:hAnsi="Times New Roman" w:cs="Times New Roman" w:eastAsia="Times New Roman" w:hint="default"/>
                <w:spacing w:val="-6"/>
                <w:sz w:val="18"/>
                <w:szCs w:val="18"/>
              </w:rPr>
              <w:t>“</w:t>
            </w:r>
            <w:r>
              <w:rPr>
                <w:rFonts w:ascii="宋体" w:hAnsi="宋体" w:cs="宋体" w:eastAsia="宋体" w:hint="default"/>
                <w:spacing w:val="-6"/>
                <w:sz w:val="18"/>
                <w:szCs w:val="18"/>
              </w:rPr>
              <w:t>－</w:t>
            </w:r>
            <w:r>
              <w:rPr>
                <w:rFonts w:ascii="Times New Roman" w:hAnsi="Times New Roman" w:cs="Times New Roman" w:eastAsia="Times New Roman" w:hint="default"/>
                <w:spacing w:val="-6"/>
                <w:sz w:val="18"/>
                <w:szCs w:val="18"/>
              </w:rPr>
              <w:t>”</w:t>
            </w:r>
            <w:r>
              <w:rPr>
                <w:rFonts w:ascii="宋体" w:hAnsi="宋体" w:cs="宋体" w:eastAsia="宋体" w:hint="default"/>
                <w:spacing w:val="-6"/>
                <w:sz w:val="18"/>
                <w:szCs w:val="18"/>
              </w:rPr>
              <w:t>号填列</w:t>
            </w:r>
          </w:p>
        </w:tc>
        <w:tc>
          <w:tcPr>
            <w:tcW w:w="1060" w:type="dxa"/>
            <w:tcBorders>
              <w:top w:val="single" w:sz="4" w:space="0" w:color="000000"/>
              <w:left w:val="single" w:sz="9" w:space="0" w:color="FFFFFF"/>
              <w:bottom w:val="single" w:sz="4" w:space="0" w:color="000000"/>
              <w:right w:val="nil" w:sz="6" w:space="0" w:color="auto"/>
            </w:tcBorders>
          </w:tcPr>
          <w:p>
            <w:pPr>
              <w:pStyle w:val="TableParagraph"/>
              <w:spacing w:line="240" w:lineRule="auto" w:before="51"/>
              <w:ind w:left="-129" w:right="0"/>
              <w:jc w:val="left"/>
              <w:rPr>
                <w:rFonts w:ascii="宋体" w:hAnsi="宋体" w:cs="宋体" w:eastAsia="宋体" w:hint="default"/>
                <w:sz w:val="18"/>
                <w:szCs w:val="18"/>
              </w:rPr>
            </w:pPr>
            <w:r>
              <w:rPr>
                <w:rFonts w:ascii="宋体" w:hAnsi="宋体" w:cs="宋体" w:eastAsia="宋体" w:hint="default"/>
                <w:sz w:val="18"/>
                <w:szCs w:val="18"/>
              </w:rPr>
              <w:t>）</w:t>
            </w:r>
          </w:p>
        </w:tc>
        <w:tc>
          <w:tcPr>
            <w:tcW w:w="215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1"/>
              <w:ind w:left="997" w:right="0"/>
              <w:jc w:val="left"/>
              <w:rPr>
                <w:rFonts w:ascii="Times New Roman" w:hAnsi="Times New Roman" w:cs="Times New Roman" w:eastAsia="Times New Roman" w:hint="default"/>
                <w:sz w:val="18"/>
                <w:szCs w:val="18"/>
              </w:rPr>
            </w:pPr>
            <w:r>
              <w:rPr>
                <w:rFonts w:ascii="Times New Roman"/>
                <w:sz w:val="18"/>
              </w:rPr>
              <w:t>141,147,149.94</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101,079,868.11</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9,768,039.62</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13,820,477.89</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58" w:right="0"/>
              <w:jc w:val="left"/>
              <w:rPr>
                <w:rFonts w:ascii="Times New Roman" w:hAnsi="Times New Roman" w:cs="Times New Roman" w:eastAsia="Times New Roman" w:hint="default"/>
                <w:sz w:val="18"/>
                <w:szCs w:val="18"/>
              </w:rPr>
            </w:pPr>
            <w:r>
              <w:rPr>
                <w:rFonts w:ascii="Times New Roman"/>
                <w:sz w:val="18"/>
              </w:rPr>
              <w:t>131,379,110.32</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87,259,390.22</w:t>
            </w: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0" w:right="0"/>
              <w:jc w:val="left"/>
              <w:rPr>
                <w:rFonts w:ascii="宋体" w:hAnsi="宋体" w:cs="宋体" w:eastAsia="宋体" w:hint="default"/>
                <w:sz w:val="18"/>
                <w:szCs w:val="18"/>
              </w:rPr>
            </w:pPr>
            <w:r>
              <w:rPr>
                <w:rFonts w:ascii="宋体" w:hAnsi="宋体" w:cs="宋体" w:eastAsia="宋体" w:hint="default"/>
                <w:spacing w:val="-2"/>
                <w:sz w:val="18"/>
                <w:szCs w:val="18"/>
              </w:rPr>
              <w:t>（一）持续经营净利润（净亏损以</w:t>
            </w:r>
          </w:p>
          <w:p>
            <w:pPr>
              <w:pStyle w:val="TableParagraph"/>
              <w:spacing w:line="240" w:lineRule="auto" w:before="77"/>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058" w:right="0"/>
              <w:jc w:val="left"/>
              <w:rPr>
                <w:rFonts w:ascii="Times New Roman" w:hAnsi="Times New Roman" w:cs="Times New Roman" w:eastAsia="Times New Roman" w:hint="default"/>
                <w:sz w:val="18"/>
                <w:szCs w:val="18"/>
              </w:rPr>
            </w:pPr>
            <w:r>
              <w:rPr>
                <w:rFonts w:ascii="Times New Roman"/>
                <w:sz w:val="18"/>
              </w:rPr>
              <w:t>131,379,110.32</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87,259,390.22</w:t>
            </w: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0" w:right="0"/>
              <w:jc w:val="left"/>
              <w:rPr>
                <w:rFonts w:ascii="宋体" w:hAnsi="宋体" w:cs="宋体" w:eastAsia="宋体" w:hint="default"/>
                <w:sz w:val="18"/>
                <w:szCs w:val="18"/>
              </w:rPr>
            </w:pPr>
            <w:r>
              <w:rPr>
                <w:rFonts w:ascii="宋体" w:hAnsi="宋体" w:cs="宋体" w:eastAsia="宋体" w:hint="default"/>
                <w:spacing w:val="-2"/>
                <w:sz w:val="18"/>
                <w:szCs w:val="18"/>
              </w:rPr>
              <w:t>（二）终止经营净利润（净亏损以</w:t>
            </w:r>
          </w:p>
          <w:p>
            <w:pPr>
              <w:pStyle w:val="TableParagraph"/>
              <w:spacing w:line="240" w:lineRule="auto" w:before="77"/>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211" w:type="dxa"/>
            <w:gridSpan w:val="2"/>
            <w:tcBorders>
              <w:top w:val="single" w:sz="4" w:space="0" w:color="000000"/>
              <w:left w:val="single" w:sz="4" w:space="0" w:color="000000"/>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归属于母公司所有者的净利润</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58" w:right="0"/>
              <w:jc w:val="left"/>
              <w:rPr>
                <w:rFonts w:ascii="Times New Roman" w:hAnsi="Times New Roman" w:cs="Times New Roman" w:eastAsia="Times New Roman" w:hint="default"/>
                <w:sz w:val="18"/>
                <w:szCs w:val="18"/>
              </w:rPr>
            </w:pPr>
            <w:r>
              <w:rPr>
                <w:rFonts w:ascii="Times New Roman"/>
                <w:sz w:val="18"/>
              </w:rPr>
              <w:t>132,014,114.22</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86,282,371.38</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-635,003.90</w:t>
            </w:r>
            <w:r>
              <w:rPr>
                <w:rFonts w:ascii="Times New Roman"/>
                <w:sz w:val="18"/>
              </w:rPr>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977,018.84</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六、其他综合收益的税后净额</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-100,473.67</w:t>
            </w:r>
            <w:r>
              <w:rPr>
                <w:rFonts w:ascii="Times New Roman"/>
                <w:sz w:val="18"/>
              </w:rPr>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-1,060,043.34</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right="165"/>
              <w:jc w:val="right"/>
              <w:rPr>
                <w:rFonts w:ascii="宋体" w:hAnsi="宋体" w:cs="宋体" w:eastAsia="宋体" w:hint="default"/>
                <w:sz w:val="18"/>
                <w:szCs w:val="18"/>
              </w:rPr>
            </w:pPr>
            <w:r>
              <w:rPr>
                <w:rFonts w:ascii="宋体" w:hAnsi="宋体" w:cs="宋体" w:eastAsia="宋体" w:hint="default"/>
                <w:sz w:val="18"/>
                <w:szCs w:val="18"/>
              </w:rPr>
              <w:t>归属母公司所有者的其他综合收益</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-100,473.67</w:t>
            </w:r>
            <w:r>
              <w:rPr>
                <w:rFonts w:ascii="Times New Roman"/>
                <w:sz w:val="18"/>
              </w:rPr>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-1,060,043.34</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3057"/>
        <w:gridCol w:w="3222"/>
        <w:gridCol w:w="3278"/>
      </w:tblGrid>
      <w:tr>
        <w:trPr>
          <w:trHeight w:val="36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1" w:right="0"/>
              <w:jc w:val="left"/>
              <w:rPr>
                <w:rFonts w:ascii="宋体" w:hAnsi="宋体" w:cs="宋体" w:eastAsia="宋体" w:hint="default"/>
                <w:sz w:val="18"/>
                <w:szCs w:val="18"/>
              </w:rPr>
            </w:pPr>
            <w:r>
              <w:rPr>
                <w:rFonts w:ascii="宋体" w:hAnsi="宋体" w:cs="宋体" w:eastAsia="宋体" w:hint="default"/>
                <w:sz w:val="18"/>
                <w:szCs w:val="18"/>
              </w:rPr>
              <w:t>的税后净额</w:t>
            </w:r>
          </w:p>
        </w:tc>
        <w:tc>
          <w:tcPr>
            <w:tcW w:w="3222"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10" w:firstLine="342"/>
              <w:jc w:val="left"/>
              <w:rPr>
                <w:rFonts w:ascii="宋体" w:hAnsi="宋体" w:cs="宋体" w:eastAsia="宋体" w:hint="default"/>
                <w:sz w:val="18"/>
                <w:szCs w:val="18"/>
              </w:rPr>
            </w:pPr>
            <w:r>
              <w:rPr>
                <w:rFonts w:ascii="宋体" w:hAnsi="宋体" w:cs="宋体" w:eastAsia="宋体" w:hint="default"/>
                <w:spacing w:val="-2"/>
                <w:sz w:val="18"/>
                <w:szCs w:val="18"/>
              </w:rPr>
              <w:t>（一）以后不能重分类进损益的其</w:t>
            </w:r>
            <w:r>
              <w:rPr>
                <w:rFonts w:ascii="宋体" w:hAnsi="宋体" w:cs="宋体" w:eastAsia="宋体" w:hint="default"/>
                <w:sz w:val="18"/>
                <w:szCs w:val="18"/>
              </w:rPr>
              <w:t> 他综合收益</w:t>
            </w:r>
          </w:p>
        </w:tc>
        <w:tc>
          <w:tcPr>
            <w:tcW w:w="3222"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1" w:right="19"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重新计量设定受益计划净 负债或净资产的变动</w:t>
            </w:r>
          </w:p>
        </w:tc>
        <w:tc>
          <w:tcPr>
            <w:tcW w:w="3222"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1" w:right="19"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权益法下在被投资单位不 能重分类进损益的其他综合收益中享 有的份额</w:t>
            </w:r>
          </w:p>
        </w:tc>
        <w:tc>
          <w:tcPr>
            <w:tcW w:w="3222"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10" w:firstLine="342"/>
              <w:jc w:val="left"/>
              <w:rPr>
                <w:rFonts w:ascii="宋体" w:hAnsi="宋体" w:cs="宋体" w:eastAsia="宋体" w:hint="default"/>
                <w:sz w:val="18"/>
                <w:szCs w:val="18"/>
              </w:rPr>
            </w:pPr>
            <w:r>
              <w:rPr>
                <w:rFonts w:ascii="宋体" w:hAnsi="宋体" w:cs="宋体" w:eastAsia="宋体" w:hint="default"/>
                <w:spacing w:val="-2"/>
                <w:sz w:val="18"/>
                <w:szCs w:val="18"/>
              </w:rPr>
              <w:t>（二）以后将重分类进损益的其他</w:t>
            </w:r>
            <w:r>
              <w:rPr>
                <w:rFonts w:ascii="宋体" w:hAnsi="宋体" w:cs="宋体" w:eastAsia="宋体" w:hint="default"/>
                <w:sz w:val="18"/>
                <w:szCs w:val="18"/>
              </w:rPr>
              <w:t> 综合收益</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-100,473.67</w:t>
            </w:r>
            <w:r>
              <w:rPr>
                <w:rFonts w:ascii="Times New Roman"/>
                <w:sz w:val="18"/>
              </w:rPr>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-1,060,043.34</w:t>
            </w:r>
          </w:p>
        </w:tc>
      </w:tr>
      <w:tr>
        <w:trPr>
          <w:trHeight w:val="1026"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1" w:right="19"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权益法下在被投资单位以 后将重分类进损益的其他综合收益中 享有的份额</w:t>
            </w:r>
          </w:p>
        </w:tc>
        <w:tc>
          <w:tcPr>
            <w:tcW w:w="3222"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可供出售金融资产公允价</w:t>
            </w:r>
          </w:p>
          <w:p>
            <w:pPr>
              <w:pStyle w:val="TableParagraph"/>
              <w:spacing w:line="240" w:lineRule="auto" w:before="63"/>
              <w:ind w:left="11" w:right="0"/>
              <w:jc w:val="left"/>
              <w:rPr>
                <w:rFonts w:ascii="宋体" w:hAnsi="宋体" w:cs="宋体" w:eastAsia="宋体" w:hint="default"/>
                <w:sz w:val="18"/>
                <w:szCs w:val="18"/>
              </w:rPr>
            </w:pPr>
            <w:r>
              <w:rPr>
                <w:rFonts w:ascii="宋体" w:hAnsi="宋体" w:cs="宋体" w:eastAsia="宋体" w:hint="default"/>
                <w:sz w:val="18"/>
                <w:szCs w:val="18"/>
              </w:rPr>
              <w:t>值变动损益</w:t>
            </w:r>
          </w:p>
        </w:tc>
        <w:tc>
          <w:tcPr>
            <w:tcW w:w="3222"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1" w:right="19"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持有至到期投资重分类为 可供出售金融资产损益</w:t>
            </w:r>
          </w:p>
        </w:tc>
        <w:tc>
          <w:tcPr>
            <w:tcW w:w="3222"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现金流量套期损益的有效</w:t>
            </w:r>
          </w:p>
          <w:p>
            <w:pPr>
              <w:pStyle w:val="TableParagraph"/>
              <w:spacing w:line="240" w:lineRule="auto" w:before="63"/>
              <w:ind w:left="11" w:right="0"/>
              <w:jc w:val="left"/>
              <w:rPr>
                <w:rFonts w:ascii="宋体" w:hAnsi="宋体" w:cs="宋体" w:eastAsia="宋体" w:hint="default"/>
                <w:sz w:val="18"/>
                <w:szCs w:val="18"/>
              </w:rPr>
            </w:pPr>
            <w:r>
              <w:rPr>
                <w:rFonts w:ascii="宋体" w:hAnsi="宋体" w:cs="宋体" w:eastAsia="宋体" w:hint="default"/>
                <w:sz w:val="18"/>
                <w:szCs w:val="18"/>
              </w:rPr>
              <w:t>部分</w:t>
            </w:r>
          </w:p>
        </w:tc>
        <w:tc>
          <w:tcPr>
            <w:tcW w:w="3222"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99"/>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5.</w:t>
            </w:r>
            <w:r>
              <w:rPr>
                <w:rFonts w:ascii="宋体" w:hAnsi="宋体" w:cs="宋体" w:eastAsia="宋体" w:hint="default"/>
                <w:spacing w:val="-1"/>
                <w:sz w:val="18"/>
                <w:szCs w:val="18"/>
              </w:rPr>
              <w:t>外币财务报表折算差额</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-100,473.67</w:t>
            </w:r>
            <w:r>
              <w:rPr>
                <w:rFonts w:ascii="Times New Roman"/>
                <w:sz w:val="18"/>
              </w:rPr>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-1,060,043.34</w:t>
            </w: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3222"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154" w:firstLine="180"/>
              <w:jc w:val="left"/>
              <w:rPr>
                <w:rFonts w:ascii="宋体" w:hAnsi="宋体" w:cs="宋体" w:eastAsia="宋体" w:hint="default"/>
                <w:sz w:val="18"/>
                <w:szCs w:val="18"/>
              </w:rPr>
            </w:pPr>
            <w:r>
              <w:rPr>
                <w:rFonts w:ascii="宋体" w:hAnsi="宋体" w:cs="宋体" w:eastAsia="宋体" w:hint="default"/>
                <w:sz w:val="18"/>
                <w:szCs w:val="18"/>
              </w:rPr>
              <w:t>归属于少数股东的其他综合收益的 税后净额</w:t>
            </w:r>
          </w:p>
        </w:tc>
        <w:tc>
          <w:tcPr>
            <w:tcW w:w="3222"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七、综合收益总额</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131,278,636.65</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86,199,346.88</w:t>
            </w:r>
          </w:p>
        </w:tc>
      </w:tr>
      <w:tr>
        <w:trPr>
          <w:trHeight w:val="714"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154" w:firstLine="360"/>
              <w:jc w:val="left"/>
              <w:rPr>
                <w:rFonts w:ascii="宋体" w:hAnsi="宋体" w:cs="宋体" w:eastAsia="宋体" w:hint="default"/>
                <w:sz w:val="18"/>
                <w:szCs w:val="18"/>
              </w:rPr>
            </w:pPr>
            <w:r>
              <w:rPr>
                <w:rFonts w:ascii="宋体" w:hAnsi="宋体" w:cs="宋体" w:eastAsia="宋体" w:hint="default"/>
                <w:sz w:val="18"/>
                <w:szCs w:val="18"/>
              </w:rPr>
              <w:t>归属于母公司所有者的综合收益 总额</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131,913,640.55</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85,222,328.04</w:t>
            </w: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54"/>
              <w:jc w:val="right"/>
              <w:rPr>
                <w:rFonts w:ascii="宋体" w:hAnsi="宋体" w:cs="宋体" w:eastAsia="宋体" w:hint="default"/>
                <w:sz w:val="18"/>
                <w:szCs w:val="18"/>
              </w:rPr>
            </w:pPr>
            <w:r>
              <w:rPr>
                <w:rFonts w:ascii="宋体" w:hAnsi="宋体" w:cs="宋体" w:eastAsia="宋体" w:hint="default"/>
                <w:sz w:val="18"/>
                <w:szCs w:val="18"/>
              </w:rPr>
              <w:t>归属于少数股东的综合收益总额</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-635,003.90</w:t>
            </w:r>
            <w:r>
              <w:rPr>
                <w:rFonts w:ascii="Times New Roman"/>
                <w:sz w:val="18"/>
              </w:rPr>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977,018.84</w:t>
            </w: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八、每股收益：</w:t>
            </w:r>
          </w:p>
        </w:tc>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0.22</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0.15</w:t>
            </w: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0.22</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0.15</w:t>
            </w:r>
          </w:p>
        </w:tc>
      </w:tr>
    </w:tbl>
    <w:p>
      <w:pPr>
        <w:pStyle w:val="BodyText"/>
        <w:tabs>
          <w:tab w:pos="3574" w:val="left" w:leader="none"/>
          <w:tab w:pos="7715" w:val="left" w:leader="none"/>
        </w:tabs>
        <w:spacing w:line="592" w:lineRule="auto" w:before="51"/>
        <w:ind w:right="1229"/>
        <w:jc w:val="both"/>
        <w:rPr>
          <w:rFonts w:ascii="宋体" w:hAnsi="宋体" w:cs="宋体" w:eastAsia="宋体" w:hint="default"/>
          <w:sz w:val="21"/>
          <w:szCs w:val="21"/>
        </w:rPr>
      </w:pPr>
      <w:r>
        <w:rPr/>
        <w:t>本期发生同一控制下企业合并的，被合并方在合并前实现的净利润为：</w:t>
      </w:r>
      <w:r>
        <w:rPr>
          <w:rFonts w:ascii="Times New Roman" w:hAnsi="Times New Roman" w:cs="Times New Roman" w:eastAsia="Times New Roman" w:hint="default"/>
        </w:rPr>
        <w:t>0.00 </w:t>
      </w:r>
      <w:r>
        <w:rPr/>
        <w:t>元，上期被合并方实现的净利润为：</w:t>
      </w:r>
      <w:r>
        <w:rPr>
          <w:rFonts w:ascii="Times New Roman" w:hAnsi="Times New Roman" w:cs="Times New Roman" w:eastAsia="Times New Roman" w:hint="default"/>
        </w:rPr>
        <w:t>0.00</w:t>
      </w:r>
      <w:r>
        <w:rPr>
          <w:rFonts w:ascii="Times New Roman" w:hAnsi="Times New Roman" w:cs="Times New Roman" w:eastAsia="Times New Roman" w:hint="default"/>
          <w:spacing w:val="-2"/>
        </w:rPr>
        <w:t> </w:t>
      </w:r>
      <w:r>
        <w:rPr/>
        <w:t>元。 法定代表人：吴涵渠</w:t>
        <w:tab/>
        <w:t>主管会计工作负责人：彭世新</w:t>
        <w:tab/>
        <w:t>会计机构负责人：马秦勇 </w:t>
      </w:r>
      <w:bookmarkStart w:name="4、母公司利润表" w:id="161"/>
      <w:bookmarkEnd w:id="161"/>
      <w:r>
        <w:rPr/>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、母公司利润表</w:t>
      </w:r>
      <w:r>
        <w:rPr>
          <w:rFonts w:ascii="宋体" w:hAnsi="宋体" w:cs="宋体" w:eastAsia="宋体" w:hint="default"/>
          <w:sz w:val="21"/>
          <w:szCs w:val="21"/>
        </w:rPr>
      </w:r>
    </w:p>
    <w:p>
      <w:pPr>
        <w:pStyle w:val="BodyText"/>
        <w:spacing w:line="240" w:lineRule="auto" w:before="6"/>
        <w:ind w:left="0" w:right="1130"/>
        <w:jc w:val="right"/>
      </w:pPr>
      <w:r>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968"/>
        <w:gridCol w:w="3300"/>
        <w:gridCol w:w="3300"/>
      </w:tblGrid>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after="0" w:line="240" w:lineRule="auto"/>
        <w:jc w:val="center"/>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967"/>
        <w:gridCol w:w="3301"/>
        <w:gridCol w:w="3300"/>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一、营业收入</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445,039,481.42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408,170,820.44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减：营业成本</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330,186,466.90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239,609,716.30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税金及附加</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4,617,332.24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1,823,181.81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31,287,043.75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31,592,002.48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39,972,146.24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56,321,553.78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11,391,319.28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-13,891,869.45</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5,094,483.76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2,452,362.80</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加：公允价值变动收益（损失以</w:t>
            </w:r>
          </w:p>
          <w:p>
            <w:pPr>
              <w:pStyle w:val="TableParagraph"/>
              <w:spacing w:line="240" w:lineRule="auto" w:before="77"/>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1,251,885.85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10,747,330.56</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2" w:firstLine="720"/>
              <w:jc w:val="left"/>
              <w:rPr>
                <w:rFonts w:ascii="宋体" w:hAnsi="宋体" w:cs="宋体" w:eastAsia="宋体" w:hint="default"/>
                <w:sz w:val="18"/>
                <w:szCs w:val="18"/>
              </w:rPr>
            </w:pPr>
            <w:r>
              <w:rPr>
                <w:rFonts w:ascii="宋体" w:hAnsi="宋体" w:cs="宋体" w:eastAsia="宋体" w:hint="default"/>
                <w:sz w:val="18"/>
                <w:szCs w:val="18"/>
              </w:rPr>
              <w:t>其中：对联营企业和合营企 业的投资收益</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资产处置收益（损失以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填列）</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11,694,216.23</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二、营业利润（亏损以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35,436,791.33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101,011,203.28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472,424.49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5,476,135.61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155,221.61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541,790.34</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71"/>
              <w:jc w:val="left"/>
              <w:rPr>
                <w:rFonts w:ascii="宋体" w:hAnsi="宋体" w:cs="宋体" w:eastAsia="宋体" w:hint="default"/>
                <w:sz w:val="18"/>
                <w:szCs w:val="18"/>
              </w:rPr>
            </w:pPr>
            <w:r>
              <w:rPr>
                <w:rFonts w:ascii="宋体" w:hAnsi="宋体" w:cs="宋体" w:eastAsia="宋体" w:hint="default"/>
                <w:sz w:val="18"/>
                <w:szCs w:val="18"/>
              </w:rPr>
              <w:t>三、利润总额（亏损总额以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35,753,994.21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105,945,548.55</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4,067,705.28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14,212,317.65</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四、净利润（净亏损以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31,686,288.93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91,733,230.90</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4" w:firstLine="360"/>
              <w:jc w:val="left"/>
              <w:rPr>
                <w:rFonts w:ascii="宋体" w:hAnsi="宋体" w:cs="宋体" w:eastAsia="宋体" w:hint="default"/>
                <w:sz w:val="18"/>
                <w:szCs w:val="18"/>
              </w:rPr>
            </w:pPr>
            <w:r>
              <w:rPr>
                <w:rFonts w:ascii="宋体" w:hAnsi="宋体" w:cs="宋体" w:eastAsia="宋体" w:hint="default"/>
                <w:sz w:val="18"/>
                <w:szCs w:val="18"/>
              </w:rPr>
              <w:t>（一）持续经营净利润（净亏损 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31,686,288.93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91,733,230.90</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4" w:firstLine="360"/>
              <w:jc w:val="left"/>
              <w:rPr>
                <w:rFonts w:ascii="宋体" w:hAnsi="宋体" w:cs="宋体" w:eastAsia="宋体" w:hint="default"/>
                <w:sz w:val="18"/>
                <w:szCs w:val="18"/>
              </w:rPr>
            </w:pPr>
            <w:r>
              <w:rPr>
                <w:rFonts w:ascii="宋体" w:hAnsi="宋体" w:cs="宋体" w:eastAsia="宋体" w:hint="default"/>
                <w:sz w:val="18"/>
                <w:szCs w:val="18"/>
              </w:rPr>
              <w:t>（二）终止经营净利润（净亏损 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五、其他综合收益的税后净额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4" w:firstLine="360"/>
              <w:jc w:val="left"/>
              <w:rPr>
                <w:rFonts w:ascii="宋体" w:hAnsi="宋体" w:cs="宋体" w:eastAsia="宋体" w:hint="default"/>
                <w:sz w:val="18"/>
                <w:szCs w:val="18"/>
              </w:rPr>
            </w:pPr>
            <w:r>
              <w:rPr>
                <w:rFonts w:ascii="宋体" w:hAnsi="宋体" w:cs="宋体" w:eastAsia="宋体" w:hint="default"/>
                <w:sz w:val="18"/>
                <w:szCs w:val="18"/>
              </w:rPr>
              <w:t>（一）以后不能重分类进损益的 其他综合收益</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98"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重新计量设定受益计划 净负债或净资产的变动</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54" w:firstLine="900"/>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权益法下在被投资单位 不能重分类进损益的其他综合收益中 享有的份额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4" w:firstLine="360"/>
              <w:jc w:val="left"/>
              <w:rPr>
                <w:rFonts w:ascii="宋体" w:hAnsi="宋体" w:cs="宋体" w:eastAsia="宋体" w:hint="default"/>
                <w:sz w:val="18"/>
                <w:szCs w:val="18"/>
              </w:rPr>
            </w:pPr>
            <w:r>
              <w:rPr>
                <w:rFonts w:ascii="宋体" w:hAnsi="宋体" w:cs="宋体" w:eastAsia="宋体" w:hint="default"/>
                <w:sz w:val="18"/>
                <w:szCs w:val="18"/>
              </w:rPr>
              <w:t>（二）以后将重分类进损益的其 他综合收益</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2945"/>
        <w:gridCol w:w="3312"/>
        <w:gridCol w:w="3300"/>
      </w:tblGrid>
      <w:tr>
        <w:trPr>
          <w:trHeight w:val="1026"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1" w:right="41" w:firstLine="900"/>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权益法下在被投资单位 以后将重分类进损益的其他综合收益 中享有的份额</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1" w:right="86"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可供出售金融资产公允 价值变动损益</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1" w:right="86"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持有至到期投资重分类 为可供出售金融资产损益</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现金流量套期损益的有</w:t>
            </w:r>
          </w:p>
          <w:p>
            <w:pPr>
              <w:pStyle w:val="TableParagraph"/>
              <w:spacing w:line="240" w:lineRule="auto" w:before="64"/>
              <w:ind w:left="11" w:right="0"/>
              <w:jc w:val="left"/>
              <w:rPr>
                <w:rFonts w:ascii="宋体" w:hAnsi="宋体" w:cs="宋体" w:eastAsia="宋体" w:hint="default"/>
                <w:sz w:val="18"/>
                <w:szCs w:val="18"/>
              </w:rPr>
            </w:pPr>
            <w:r>
              <w:rPr>
                <w:rFonts w:ascii="宋体" w:hAnsi="宋体" w:cs="宋体" w:eastAsia="宋体" w:hint="default"/>
                <w:sz w:val="18"/>
                <w:szCs w:val="18"/>
              </w:rPr>
              <w:t>效部分</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外币财务报表折算差额</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六、综合收益总额</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31,686,288.93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91,733,230.90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七、每股收益：</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0.16</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0.16</w:t>
            </w:r>
          </w:p>
        </w:tc>
      </w:tr>
    </w:tbl>
    <w:p>
      <w:pPr>
        <w:spacing w:line="240" w:lineRule="auto" w:before="10"/>
        <w:rPr>
          <w:rFonts w:ascii="Times New Roman" w:hAnsi="Times New Roman" w:cs="Times New Roman" w:eastAsia="Times New Roman" w:hint="default"/>
          <w:sz w:val="21"/>
          <w:szCs w:val="21"/>
        </w:rPr>
      </w:pPr>
    </w:p>
    <w:p>
      <w:pPr>
        <w:pStyle w:val="Heading3"/>
        <w:spacing w:line="240" w:lineRule="auto" w:before="35"/>
        <w:ind w:right="0"/>
        <w:jc w:val="left"/>
        <w:rPr>
          <w:b w:val="0"/>
          <w:bCs w:val="0"/>
        </w:rPr>
      </w:pPr>
      <w:bookmarkStart w:name="5、合并现金流量表" w:id="162"/>
      <w:bookmarkEnd w:id="162"/>
      <w:r>
        <w:rPr>
          <w:b w:val="0"/>
          <w:bCs w:val="0"/>
        </w:rPr>
      </w:r>
      <w:r>
        <w:rPr>
          <w:rFonts w:ascii="Times New Roman" w:hAnsi="Times New Roman" w:cs="Times New Roman" w:eastAsia="Times New Roman" w:hint="default"/>
        </w:rPr>
        <w:t>5</w:t>
      </w:r>
      <w:r>
        <w:rPr/>
        <w:t>、合并现金流量表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943"/>
        <w:gridCol w:w="3314"/>
        <w:gridCol w:w="3300"/>
      </w:tblGrid>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888,861,295.39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499,441,134.75</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客户存款和同业存放款项净增加</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向中央银行借款净增加额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向其他金融机构拆入资金净增加</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收到原保险合同保费取得的现金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收到再保险业务现金净额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保户储金及投资款净增加额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处置以公允价值计量且其变动计 入当期损益的金融资产净增加额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收取利息、手续费及佣金的现金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拆入资金净增加额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回购业务资金净增加额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7,890,430.99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21,283,200.62</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22,378,241.54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9,496,513.40</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2943"/>
        <w:gridCol w:w="3314"/>
        <w:gridCol w:w="3300"/>
      </w:tblGrid>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919,129,967.92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530,220,848.77</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579,483,504.05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194,373,192.57</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客户贷款及垫款净增加额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存放中央银行和同业款项净增加</w:t>
            </w:r>
          </w:p>
          <w:p>
            <w:pPr>
              <w:pStyle w:val="TableParagraph"/>
              <w:spacing w:line="240" w:lineRule="auto" w:before="77"/>
              <w:ind w:left="11"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支付原保险合同赔付款项的现金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支付利息、手续费及佣金的现金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支付保单红利的现金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w:t>
            </w:r>
          </w:p>
          <w:p>
            <w:pPr>
              <w:pStyle w:val="TableParagraph"/>
              <w:spacing w:line="240" w:lineRule="auto" w:before="77"/>
              <w:ind w:left="11"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151,098,739.37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105,398,891.66</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52,856,382.34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24,242,397.51</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126,334,335.79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53,756,929.56</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909,772,961.55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377,771,411.30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9,357,006.37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152,449,437.47</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48,185,000.00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18,300,000.00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2,037,852.74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11,222,797.13</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处置固定资产、无形资产和其他 长期资产收回的现金净额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3,377.49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23,526.49</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 的现金净额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7,484,469.95</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50,226,230.23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37,030,793.57</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购建固定资产、无形资产和其他 长期资产支付的现金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22,731,064.53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8,174,540.00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168,400,000.00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11,524,500.00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质押贷款净增加额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 的现金净额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75,000,000.00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266,131,064.53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19,699,040.00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-215,904,834.30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17,331,753.57</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136,523,933.05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28,377,600.00</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其中：子公司吸收少数股东投资 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300,000.00</w:t>
            </w: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967"/>
        <w:gridCol w:w="3302"/>
        <w:gridCol w:w="3300"/>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100,000,000.00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2"/>
              <w:jc w:val="righ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6,016,366.33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52,157.34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242,540,299.38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28,429,757.34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25,000,000.00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2" w:firstLine="360"/>
              <w:jc w:val="left"/>
              <w:rPr>
                <w:rFonts w:ascii="宋体" w:hAnsi="宋体" w:cs="宋体" w:eastAsia="宋体" w:hint="default"/>
                <w:sz w:val="18"/>
                <w:szCs w:val="18"/>
              </w:rPr>
            </w:pPr>
            <w:r>
              <w:rPr>
                <w:rFonts w:ascii="宋体" w:hAnsi="宋体" w:cs="宋体" w:eastAsia="宋体" w:hint="default"/>
                <w:sz w:val="18"/>
                <w:szCs w:val="18"/>
              </w:rPr>
              <w:t>分配股利、利润或偿付利息支付 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42,857,546.14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11,374,231.25</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2" w:firstLine="360"/>
              <w:jc w:val="left"/>
              <w:rPr>
                <w:rFonts w:ascii="宋体" w:hAnsi="宋体" w:cs="宋体" w:eastAsia="宋体" w:hint="default"/>
                <w:sz w:val="18"/>
                <w:szCs w:val="18"/>
              </w:rPr>
            </w:pPr>
            <w:r>
              <w:rPr>
                <w:rFonts w:ascii="宋体" w:hAnsi="宋体" w:cs="宋体" w:eastAsia="宋体" w:hint="default"/>
                <w:sz w:val="18"/>
                <w:szCs w:val="18"/>
              </w:rPr>
              <w:t>其中：子公司支付给少数股东的 股利、利润</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2"/>
              <w:jc w:val="righ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630,740.00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9,825,592.67</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68,488,286.14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21,199,823.92</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174,052,013.24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7,229,933.42</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2"/>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 影响</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-11,718,572.93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7,371,493.94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-44,214,387.62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184,382,618.40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2"/>
              <w:jc w:val="righ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364,679,853.81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180,297,235.41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320,465,466.19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364,679,853.81</w:t>
            </w:r>
          </w:p>
        </w:tc>
      </w:tr>
    </w:tbl>
    <w:p>
      <w:pPr>
        <w:spacing w:line="240" w:lineRule="auto" w:before="10"/>
        <w:rPr>
          <w:rFonts w:ascii="Times New Roman" w:hAnsi="Times New Roman" w:cs="Times New Roman" w:eastAsia="Times New Roman" w:hint="default"/>
          <w:sz w:val="21"/>
          <w:szCs w:val="21"/>
        </w:rPr>
      </w:pPr>
    </w:p>
    <w:p>
      <w:pPr>
        <w:pStyle w:val="Heading3"/>
        <w:spacing w:line="240" w:lineRule="auto" w:before="35"/>
        <w:ind w:right="0"/>
        <w:jc w:val="left"/>
        <w:rPr>
          <w:b w:val="0"/>
          <w:bCs w:val="0"/>
        </w:rPr>
      </w:pPr>
      <w:bookmarkStart w:name="6、母公司现金流量表" w:id="163"/>
      <w:bookmarkEnd w:id="163"/>
      <w:r>
        <w:rPr>
          <w:b w:val="0"/>
          <w:bCs w:val="0"/>
        </w:rPr>
      </w:r>
      <w:r>
        <w:rPr>
          <w:rFonts w:ascii="Times New Roman" w:hAnsi="Times New Roman" w:cs="Times New Roman" w:eastAsia="Times New Roman" w:hint="default"/>
        </w:rPr>
        <w:t>6</w:t>
      </w:r>
      <w:r>
        <w:rPr/>
        <w:t>、母公司现金流量表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943"/>
        <w:gridCol w:w="3314"/>
        <w:gridCol w:w="3300"/>
      </w:tblGrid>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497,947,254.89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378,042,619.25</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3,954,657.81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16,778,787.97</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31,301,389.04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21,363,388.19</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533,203,301.74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416,184,795.41</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384,733,095.70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209,466,154.81</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38,588,352.38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28,878,007.84</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20,156,542.35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5,216,839.32</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36,749,820.00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35,014,315.90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480,227,810.43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278,575,317.87</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52,975,491.31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137,609,477.54</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34,685,000.00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10,000,000.00</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2943"/>
        <w:gridCol w:w="3314"/>
        <w:gridCol w:w="3300"/>
      </w:tblGrid>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1,236,391.34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10,747,330.56</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处置固定资产、无形资产和其他 长期资产收回的现金净额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1,760.00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1,526.49</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 的现金净额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35,923,151.34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20,748,857.05</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购建固定资产、无形资产和其他 长期资产支付的现金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12,700,620.02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4,857,184.57</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179,770,500.00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15,524,500.00</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 的现金净额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75,000,000.00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267,471,120.02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20,381,684.57</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-231,547,968.68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367,172.48</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136,223,933.05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28,377,600.00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10,000,000.00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5,470,259.75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39,554.50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151,694,192.80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28,417,154.50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分配股利、利润或偿付利息支付 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40,419,575.60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11,374,231.25</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630,740.00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9,825,592.67</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41,050,315.60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21,199,823.92</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110,643,877.20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7,217,330.58</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 影响</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-10,869,605.85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6,213,802.94</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-78,798,206.02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151,407,783.54</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291,572,292.26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140,164,508.72</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212,774,086.24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291,572,292.26</w:t>
            </w:r>
          </w:p>
        </w:tc>
      </w:tr>
    </w:tbl>
    <w:p>
      <w:pPr>
        <w:spacing w:line="240" w:lineRule="auto" w:before="3"/>
        <w:rPr>
          <w:rFonts w:ascii="宋体" w:hAnsi="宋体" w:cs="宋体" w:eastAsia="宋体" w:hint="default"/>
          <w:sz w:val="19"/>
          <w:szCs w:val="19"/>
        </w:rPr>
      </w:pPr>
    </w:p>
    <w:p>
      <w:pPr>
        <w:pStyle w:val="Heading3"/>
        <w:spacing w:line="240" w:lineRule="auto" w:before="35"/>
        <w:ind w:right="0"/>
        <w:jc w:val="left"/>
        <w:rPr>
          <w:b w:val="0"/>
          <w:bCs w:val="0"/>
        </w:rPr>
      </w:pPr>
      <w:bookmarkStart w:name="7、合并所有者权益变动表" w:id="164"/>
      <w:bookmarkEnd w:id="164"/>
      <w:r>
        <w:rPr>
          <w:b w:val="0"/>
          <w:bCs w:val="0"/>
        </w:rPr>
      </w:r>
      <w:r>
        <w:rPr>
          <w:rFonts w:ascii="Times New Roman" w:hAnsi="Times New Roman" w:cs="Times New Roman" w:eastAsia="Times New Roman" w:hint="default"/>
        </w:rPr>
        <w:t>7</w:t>
      </w:r>
      <w:r>
        <w:rPr/>
        <w:t>、合并所有者权益变动表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154" w:right="0"/>
        <w:jc w:val="left"/>
      </w:pPr>
      <w:r>
        <w:rPr/>
        <w:t>本期金额</w:t>
      </w:r>
    </w:p>
    <w:p>
      <w:pPr>
        <w:pStyle w:val="BodyText"/>
        <w:spacing w:line="240" w:lineRule="auto" w:before="117"/>
        <w:ind w:left="0" w:right="1130"/>
        <w:jc w:val="right"/>
      </w:pPr>
      <w:r>
        <w:rPr/>
        <w:t>单位：元</w:t>
      </w:r>
    </w:p>
    <w:p>
      <w:pPr>
        <w:spacing w:after="0" w:line="240" w:lineRule="auto"/>
        <w:jc w:val="right"/>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1415"/>
        <w:gridCol w:w="574"/>
        <w:gridCol w:w="530"/>
        <w:gridCol w:w="532"/>
        <w:gridCol w:w="530"/>
        <w:gridCol w:w="665"/>
        <w:gridCol w:w="665"/>
        <w:gridCol w:w="665"/>
        <w:gridCol w:w="665"/>
        <w:gridCol w:w="664"/>
        <w:gridCol w:w="666"/>
        <w:gridCol w:w="665"/>
        <w:gridCol w:w="665"/>
        <w:gridCol w:w="659"/>
      </w:tblGrid>
      <w:tr>
        <w:trPr>
          <w:trHeight w:val="402" w:hRule="exact"/>
        </w:trPr>
        <w:tc>
          <w:tcPr>
            <w:tcW w:w="1415" w:type="dxa"/>
            <w:vMerge w:val="restart"/>
            <w:tcBorders>
              <w:top w:val="single" w:sz="4" w:space="0" w:color="000000"/>
              <w:left w:val="single" w:sz="4" w:space="0" w:color="000000"/>
              <w:right w:val="single" w:sz="4" w:space="0" w:color="000000"/>
            </w:tcBorders>
            <w:shd w:val="clear" w:color="auto" w:fill="D2D2D2"/>
          </w:tcPr>
          <w:p>
            <w:pPr/>
          </w:p>
        </w:tc>
        <w:tc>
          <w:tcPr>
            <w:tcW w:w="8145" w:type="dxa"/>
            <w:gridSpan w:val="1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本期</w:t>
            </w:r>
          </w:p>
        </w:tc>
      </w:tr>
      <w:tr>
        <w:trPr>
          <w:trHeight w:val="251" w:hRule="exact"/>
        </w:trPr>
        <w:tc>
          <w:tcPr>
            <w:tcW w:w="1415" w:type="dxa"/>
            <w:vMerge/>
            <w:tcBorders>
              <w:left w:val="single" w:sz="4" w:space="0" w:color="000000"/>
              <w:right w:val="single" w:sz="4" w:space="0" w:color="000000"/>
            </w:tcBorders>
            <w:shd w:val="clear" w:color="auto" w:fill="D2D2D2"/>
          </w:tcPr>
          <w:p>
            <w:pPr/>
          </w:p>
        </w:tc>
        <w:tc>
          <w:tcPr>
            <w:tcW w:w="6821" w:type="dxa"/>
            <w:gridSpan w:val="11"/>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665" w:type="dxa"/>
            <w:vMerge w:val="restart"/>
            <w:tcBorders>
              <w:top w:val="single" w:sz="4" w:space="0" w:color="000000"/>
              <w:left w:val="single" w:sz="4" w:space="0" w:color="000000"/>
              <w:right w:val="single" w:sz="4" w:space="0" w:color="000000"/>
            </w:tcBorders>
            <w:shd w:val="clear" w:color="auto" w:fill="D2D2D2"/>
          </w:tcPr>
          <w:p>
            <w:pPr/>
          </w:p>
        </w:tc>
        <w:tc>
          <w:tcPr>
            <w:tcW w:w="659"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51" w:hRule="exact"/>
        </w:trPr>
        <w:tc>
          <w:tcPr>
            <w:tcW w:w="1415" w:type="dxa"/>
            <w:vMerge/>
            <w:tcBorders>
              <w:left w:val="single" w:sz="4" w:space="0" w:color="000000"/>
              <w:bottom w:val="nil" w:sz="6" w:space="0" w:color="auto"/>
              <w:right w:val="single" w:sz="4" w:space="0" w:color="000000"/>
            </w:tcBorders>
            <w:shd w:val="clear" w:color="auto" w:fill="D2D2D2"/>
          </w:tcPr>
          <w:p>
            <w:pPr/>
          </w:p>
        </w:tc>
        <w:tc>
          <w:tcPr>
            <w:tcW w:w="6821" w:type="dxa"/>
            <w:gridSpan w:val="11"/>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59"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53" w:right="53"/>
              <w:jc w:val="center"/>
              <w:rPr>
                <w:rFonts w:ascii="宋体" w:hAnsi="宋体" w:cs="宋体" w:eastAsia="宋体" w:hint="default"/>
                <w:sz w:val="18"/>
                <w:szCs w:val="18"/>
              </w:rPr>
            </w:pPr>
            <w:r>
              <w:rPr>
                <w:rFonts w:ascii="宋体" w:hAnsi="宋体" w:cs="宋体" w:eastAsia="宋体" w:hint="default"/>
                <w:sz w:val="18"/>
                <w:szCs w:val="18"/>
              </w:rPr>
              <w:t>所有者 权益合 计</w:t>
            </w:r>
          </w:p>
        </w:tc>
      </w:tr>
      <w:tr>
        <w:trPr>
          <w:trHeight w:val="206" w:hRule="exact"/>
        </w:trPr>
        <w:tc>
          <w:tcPr>
            <w:tcW w:w="141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574" w:type="dxa"/>
            <w:vMerge w:val="restart"/>
            <w:tcBorders>
              <w:top w:val="single" w:sz="4" w:space="0" w:color="000000"/>
              <w:left w:val="single" w:sz="4" w:space="0" w:color="000000"/>
              <w:right w:val="single" w:sz="4" w:space="0" w:color="000000"/>
            </w:tcBorders>
            <w:shd w:val="clear" w:color="auto" w:fill="D2D2D2"/>
          </w:tcPr>
          <w:p>
            <w:pPr/>
          </w:p>
        </w:tc>
        <w:tc>
          <w:tcPr>
            <w:tcW w:w="159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250"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4" w:type="dxa"/>
            <w:tcBorders>
              <w:top w:val="single" w:sz="4" w:space="0" w:color="000000"/>
              <w:left w:val="single" w:sz="4" w:space="0" w:color="000000"/>
              <w:bottom w:val="nil" w:sz="6" w:space="0" w:color="auto"/>
              <w:right w:val="single" w:sz="4" w:space="0" w:color="000000"/>
            </w:tcBorders>
            <w:shd w:val="clear" w:color="auto" w:fill="D2D2D2"/>
          </w:tcPr>
          <w:p>
            <w:pPr/>
          </w:p>
        </w:tc>
        <w:tc>
          <w:tcPr>
            <w:tcW w:w="666"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6"/>
              <w:ind w:left="56" w:right="56"/>
              <w:jc w:val="left"/>
              <w:rPr>
                <w:rFonts w:ascii="宋体" w:hAnsi="宋体" w:cs="宋体" w:eastAsia="宋体" w:hint="default"/>
                <w:sz w:val="18"/>
                <w:szCs w:val="18"/>
              </w:rPr>
            </w:pPr>
            <w:r>
              <w:rPr>
                <w:rFonts w:ascii="宋体" w:hAnsi="宋体" w:cs="宋体" w:eastAsia="宋体" w:hint="default"/>
                <w:sz w:val="18"/>
                <w:szCs w:val="18"/>
              </w:rPr>
              <w:t>少数股 东权益</w:t>
            </w:r>
          </w:p>
        </w:tc>
        <w:tc>
          <w:tcPr>
            <w:tcW w:w="659" w:type="dxa"/>
            <w:vMerge/>
            <w:tcBorders>
              <w:left w:val="single" w:sz="4" w:space="0" w:color="000000"/>
              <w:right w:val="single" w:sz="4" w:space="0" w:color="000000"/>
            </w:tcBorders>
            <w:shd w:val="clear" w:color="auto" w:fill="D2D2D2"/>
          </w:tcPr>
          <w:p>
            <w:pPr/>
          </w:p>
        </w:tc>
      </w:tr>
      <w:tr>
        <w:trPr>
          <w:trHeight w:val="173" w:hRule="exact"/>
        </w:trPr>
        <w:tc>
          <w:tcPr>
            <w:tcW w:w="1415" w:type="dxa"/>
            <w:vMerge/>
            <w:tcBorders>
              <w:left w:val="single" w:sz="4" w:space="0" w:color="000000"/>
              <w:bottom w:val="nil" w:sz="6" w:space="0" w:color="auto"/>
              <w:right w:val="single" w:sz="4" w:space="0" w:color="000000"/>
            </w:tcBorders>
            <w:shd w:val="clear" w:color="auto" w:fill="D2D2D2"/>
          </w:tcPr>
          <w:p>
            <w:pPr/>
          </w:p>
        </w:tc>
        <w:tc>
          <w:tcPr>
            <w:tcW w:w="574" w:type="dxa"/>
            <w:vMerge/>
            <w:tcBorders>
              <w:left w:val="single" w:sz="4" w:space="0" w:color="000000"/>
              <w:bottom w:val="nil" w:sz="6" w:space="0" w:color="auto"/>
              <w:right w:val="single" w:sz="4" w:space="0" w:color="000000"/>
            </w:tcBorders>
            <w:shd w:val="clear" w:color="auto" w:fill="D2D2D2"/>
          </w:tcPr>
          <w:p>
            <w:pPr/>
          </w:p>
        </w:tc>
        <w:tc>
          <w:tcPr>
            <w:tcW w:w="1592" w:type="dxa"/>
            <w:gridSpan w:val="3"/>
            <w:vMerge/>
            <w:tcBorders>
              <w:left w:val="single" w:sz="4" w:space="0" w:color="000000"/>
              <w:bottom w:val="single" w:sz="4" w:space="0" w:color="000000"/>
              <w:right w:val="single" w:sz="4" w:space="0" w:color="000000"/>
            </w:tcBorders>
            <w:shd w:val="clear" w:color="auto" w:fill="D2D2D2"/>
          </w:tcPr>
          <w:p>
            <w:pP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236" w:right="57" w:hanging="181"/>
              <w:jc w:val="left"/>
              <w:rPr>
                <w:rFonts w:ascii="宋体" w:hAnsi="宋体" w:cs="宋体" w:eastAsia="宋体" w:hint="default"/>
                <w:sz w:val="18"/>
                <w:szCs w:val="18"/>
              </w:rPr>
            </w:pPr>
            <w:r>
              <w:rPr>
                <w:rFonts w:ascii="宋体" w:hAnsi="宋体" w:cs="宋体" w:eastAsia="宋体" w:hint="default"/>
                <w:sz w:val="18"/>
                <w:szCs w:val="18"/>
              </w:rPr>
              <w:t>资本公 积</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146" w:right="56" w:hanging="90"/>
              <w:jc w:val="left"/>
              <w:rPr>
                <w:rFonts w:ascii="宋体" w:hAnsi="宋体" w:cs="宋体" w:eastAsia="宋体" w:hint="default"/>
                <w:sz w:val="18"/>
                <w:szCs w:val="18"/>
              </w:rPr>
            </w:pPr>
            <w:r>
              <w:rPr>
                <w:rFonts w:ascii="宋体" w:hAnsi="宋体" w:cs="宋体" w:eastAsia="宋体" w:hint="default"/>
                <w:sz w:val="18"/>
                <w:szCs w:val="18"/>
              </w:rPr>
              <w:t>减：库 存股</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56" w:right="56"/>
              <w:jc w:val="left"/>
              <w:rPr>
                <w:rFonts w:ascii="宋体" w:hAnsi="宋体" w:cs="宋体" w:eastAsia="宋体" w:hint="default"/>
                <w:sz w:val="18"/>
                <w:szCs w:val="18"/>
              </w:rPr>
            </w:pPr>
            <w:r>
              <w:rPr>
                <w:rFonts w:ascii="宋体" w:hAnsi="宋体" w:cs="宋体" w:eastAsia="宋体" w:hint="default"/>
                <w:sz w:val="18"/>
                <w:szCs w:val="18"/>
              </w:rPr>
              <w:t>其他综 合收益</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236" w:right="56" w:hanging="180"/>
              <w:jc w:val="left"/>
              <w:rPr>
                <w:rFonts w:ascii="宋体" w:hAnsi="宋体" w:cs="宋体" w:eastAsia="宋体" w:hint="default"/>
                <w:sz w:val="18"/>
                <w:szCs w:val="18"/>
              </w:rPr>
            </w:pPr>
            <w:r>
              <w:rPr>
                <w:rFonts w:ascii="宋体" w:hAnsi="宋体" w:cs="宋体" w:eastAsia="宋体" w:hint="default"/>
                <w:sz w:val="18"/>
                <w:szCs w:val="18"/>
              </w:rPr>
              <w:t>专项储 备</w:t>
            </w:r>
          </w:p>
        </w:tc>
        <w:tc>
          <w:tcPr>
            <w:tcW w:w="664"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236" w:right="55" w:hanging="180"/>
              <w:jc w:val="left"/>
              <w:rPr>
                <w:rFonts w:ascii="宋体" w:hAnsi="宋体" w:cs="宋体" w:eastAsia="宋体" w:hint="default"/>
                <w:sz w:val="18"/>
                <w:szCs w:val="18"/>
              </w:rPr>
            </w:pPr>
            <w:r>
              <w:rPr>
                <w:rFonts w:ascii="宋体" w:hAnsi="宋体" w:cs="宋体" w:eastAsia="宋体" w:hint="default"/>
                <w:sz w:val="18"/>
                <w:szCs w:val="18"/>
              </w:rPr>
              <w:t>盈余公 积</w:t>
            </w:r>
          </w:p>
        </w:tc>
        <w:tc>
          <w:tcPr>
            <w:tcW w:w="666"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57" w:right="57"/>
              <w:jc w:val="left"/>
              <w:rPr>
                <w:rFonts w:ascii="宋体" w:hAnsi="宋体" w:cs="宋体" w:eastAsia="宋体" w:hint="default"/>
                <w:sz w:val="18"/>
                <w:szCs w:val="18"/>
              </w:rPr>
            </w:pPr>
            <w:r>
              <w:rPr>
                <w:rFonts w:ascii="宋体" w:hAnsi="宋体" w:cs="宋体" w:eastAsia="宋体" w:hint="default"/>
                <w:sz w:val="18"/>
                <w:szCs w:val="18"/>
              </w:rPr>
              <w:t>一般风 险准备</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146" w:right="56" w:hanging="90"/>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665" w:type="dxa"/>
            <w:vMerge/>
            <w:tcBorders>
              <w:left w:val="single" w:sz="4" w:space="0" w:color="000000"/>
              <w:right w:val="single" w:sz="4" w:space="0" w:color="000000"/>
            </w:tcBorders>
            <w:shd w:val="clear" w:color="auto" w:fill="D2D2D2"/>
          </w:tcPr>
          <w:p>
            <w:pPr/>
          </w:p>
        </w:tc>
        <w:tc>
          <w:tcPr>
            <w:tcW w:w="659" w:type="dxa"/>
            <w:vMerge/>
            <w:tcBorders>
              <w:left w:val="single" w:sz="4" w:space="0" w:color="000000"/>
              <w:right w:val="single" w:sz="4" w:space="0" w:color="000000"/>
            </w:tcBorders>
            <w:shd w:val="clear" w:color="auto" w:fill="D2D2D2"/>
          </w:tcPr>
          <w:p>
            <w:pPr/>
          </w:p>
        </w:tc>
      </w:tr>
      <w:tr>
        <w:trPr>
          <w:trHeight w:val="184" w:hRule="exact"/>
        </w:trPr>
        <w:tc>
          <w:tcPr>
            <w:tcW w:w="1415" w:type="dxa"/>
            <w:vMerge w:val="restart"/>
            <w:tcBorders>
              <w:top w:val="nil" w:sz="6" w:space="0" w:color="auto"/>
              <w:left w:val="single" w:sz="4" w:space="0" w:color="000000"/>
              <w:right w:val="single" w:sz="4" w:space="0" w:color="000000"/>
            </w:tcBorders>
            <w:shd w:val="clear" w:color="auto" w:fill="D2D2D2"/>
          </w:tcPr>
          <w:p>
            <w:pPr/>
          </w:p>
        </w:tc>
        <w:tc>
          <w:tcPr>
            <w:tcW w:w="57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35"/>
              <w:ind w:left="108"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530"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74"/>
              <w:ind w:left="170" w:right="78" w:hanging="90"/>
              <w:jc w:val="left"/>
              <w:rPr>
                <w:rFonts w:ascii="宋体" w:hAnsi="宋体" w:cs="宋体" w:eastAsia="宋体" w:hint="default"/>
                <w:sz w:val="18"/>
                <w:szCs w:val="18"/>
              </w:rPr>
            </w:pPr>
            <w:r>
              <w:rPr>
                <w:rFonts w:ascii="宋体" w:hAnsi="宋体" w:cs="宋体" w:eastAsia="宋体" w:hint="default"/>
                <w:sz w:val="18"/>
                <w:szCs w:val="18"/>
              </w:rPr>
              <w:t>优先 股</w:t>
            </w:r>
          </w:p>
        </w:tc>
        <w:tc>
          <w:tcPr>
            <w:tcW w:w="532"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74"/>
              <w:ind w:left="170" w:right="79" w:hanging="90"/>
              <w:jc w:val="left"/>
              <w:rPr>
                <w:rFonts w:ascii="宋体" w:hAnsi="宋体" w:cs="宋体" w:eastAsia="宋体" w:hint="default"/>
                <w:sz w:val="18"/>
                <w:szCs w:val="18"/>
              </w:rPr>
            </w:pPr>
            <w:r>
              <w:rPr>
                <w:rFonts w:ascii="宋体" w:hAnsi="宋体" w:cs="宋体" w:eastAsia="宋体" w:hint="default"/>
                <w:sz w:val="18"/>
                <w:szCs w:val="18"/>
              </w:rPr>
              <w:t>永续 债</w:t>
            </w:r>
          </w:p>
        </w:tc>
        <w:tc>
          <w:tcPr>
            <w:tcW w:w="530"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4" w:type="dxa"/>
            <w:vMerge/>
            <w:tcBorders>
              <w:left w:val="single" w:sz="4" w:space="0" w:color="000000"/>
              <w:right w:val="single" w:sz="4" w:space="0" w:color="000000"/>
            </w:tcBorders>
            <w:shd w:val="clear" w:color="auto" w:fill="D2D2D2"/>
          </w:tcPr>
          <w:p>
            <w:pPr/>
          </w:p>
        </w:tc>
        <w:tc>
          <w:tcPr>
            <w:tcW w:w="666"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59" w:type="dxa"/>
            <w:vMerge/>
            <w:tcBorders>
              <w:left w:val="single" w:sz="4" w:space="0" w:color="000000"/>
              <w:right w:val="single" w:sz="4" w:space="0" w:color="000000"/>
            </w:tcBorders>
            <w:shd w:val="clear" w:color="auto" w:fill="D2D2D2"/>
          </w:tcPr>
          <w:p>
            <w:pPr/>
          </w:p>
        </w:tc>
      </w:tr>
      <w:tr>
        <w:trPr>
          <w:trHeight w:val="169" w:hRule="exact"/>
        </w:trPr>
        <w:tc>
          <w:tcPr>
            <w:tcW w:w="1415" w:type="dxa"/>
            <w:vMerge/>
            <w:tcBorders>
              <w:left w:val="single" w:sz="4" w:space="0" w:color="000000"/>
              <w:right w:val="single" w:sz="4" w:space="0" w:color="000000"/>
            </w:tcBorders>
            <w:shd w:val="clear" w:color="auto" w:fill="D2D2D2"/>
          </w:tcPr>
          <w:p>
            <w:pPr/>
          </w:p>
        </w:tc>
        <w:tc>
          <w:tcPr>
            <w:tcW w:w="574" w:type="dxa"/>
            <w:vMerge/>
            <w:tcBorders>
              <w:left w:val="single" w:sz="4" w:space="0" w:color="000000"/>
              <w:bottom w:val="nil" w:sz="6" w:space="0" w:color="auto"/>
              <w:right w:val="single" w:sz="4" w:space="0" w:color="000000"/>
            </w:tcBorders>
            <w:shd w:val="clear" w:color="auto" w:fill="D2D2D2"/>
          </w:tcPr>
          <w:p>
            <w:pPr/>
          </w:p>
        </w:tc>
        <w:tc>
          <w:tcPr>
            <w:tcW w:w="530" w:type="dxa"/>
            <w:vMerge/>
            <w:tcBorders>
              <w:left w:val="single" w:sz="4" w:space="0" w:color="000000"/>
              <w:right w:val="single" w:sz="4" w:space="0" w:color="000000"/>
            </w:tcBorders>
            <w:shd w:val="clear" w:color="auto" w:fill="D2D2D2"/>
          </w:tcPr>
          <w:p>
            <w:pPr/>
          </w:p>
        </w:tc>
        <w:tc>
          <w:tcPr>
            <w:tcW w:w="532" w:type="dxa"/>
            <w:vMerge/>
            <w:tcBorders>
              <w:left w:val="single" w:sz="4" w:space="0" w:color="000000"/>
              <w:right w:val="single" w:sz="4" w:space="0" w:color="000000"/>
            </w:tcBorders>
            <w:shd w:val="clear" w:color="auto" w:fill="D2D2D2"/>
          </w:tcPr>
          <w:p>
            <w:pPr/>
          </w:p>
        </w:tc>
        <w:tc>
          <w:tcPr>
            <w:tcW w:w="53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8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4" w:type="dxa"/>
            <w:vMerge/>
            <w:tcBorders>
              <w:left w:val="single" w:sz="4" w:space="0" w:color="000000"/>
              <w:right w:val="single" w:sz="4" w:space="0" w:color="000000"/>
            </w:tcBorders>
            <w:shd w:val="clear" w:color="auto" w:fill="D2D2D2"/>
          </w:tcPr>
          <w:p>
            <w:pPr/>
          </w:p>
        </w:tc>
        <w:tc>
          <w:tcPr>
            <w:tcW w:w="666"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59" w:type="dxa"/>
            <w:vMerge/>
            <w:tcBorders>
              <w:left w:val="single" w:sz="4" w:space="0" w:color="000000"/>
              <w:right w:val="single" w:sz="4" w:space="0" w:color="000000"/>
            </w:tcBorders>
            <w:shd w:val="clear" w:color="auto" w:fill="D2D2D2"/>
          </w:tcPr>
          <w:p>
            <w:pPr/>
          </w:p>
        </w:tc>
      </w:tr>
      <w:tr>
        <w:trPr>
          <w:trHeight w:val="156" w:hRule="exact"/>
        </w:trPr>
        <w:tc>
          <w:tcPr>
            <w:tcW w:w="1415" w:type="dxa"/>
            <w:vMerge/>
            <w:tcBorders>
              <w:left w:val="single" w:sz="4" w:space="0" w:color="000000"/>
              <w:right w:val="single" w:sz="4" w:space="0" w:color="000000"/>
            </w:tcBorders>
            <w:shd w:val="clear" w:color="auto" w:fill="D2D2D2"/>
          </w:tcPr>
          <w:p>
            <w:pPr/>
          </w:p>
        </w:tc>
        <w:tc>
          <w:tcPr>
            <w:tcW w:w="574" w:type="dxa"/>
            <w:vMerge w:val="restart"/>
            <w:tcBorders>
              <w:top w:val="nil" w:sz="6" w:space="0" w:color="auto"/>
              <w:left w:val="single" w:sz="4" w:space="0" w:color="000000"/>
              <w:right w:val="single" w:sz="4" w:space="0" w:color="000000"/>
            </w:tcBorders>
            <w:shd w:val="clear" w:color="auto" w:fill="D2D2D2"/>
          </w:tcPr>
          <w:p>
            <w:pPr/>
          </w:p>
        </w:tc>
        <w:tc>
          <w:tcPr>
            <w:tcW w:w="530" w:type="dxa"/>
            <w:vMerge/>
            <w:tcBorders>
              <w:left w:val="single" w:sz="4" w:space="0" w:color="000000"/>
              <w:right w:val="single" w:sz="4" w:space="0" w:color="000000"/>
            </w:tcBorders>
            <w:shd w:val="clear" w:color="auto" w:fill="D2D2D2"/>
          </w:tcPr>
          <w:p>
            <w:pPr/>
          </w:p>
        </w:tc>
        <w:tc>
          <w:tcPr>
            <w:tcW w:w="532" w:type="dxa"/>
            <w:vMerge/>
            <w:tcBorders>
              <w:left w:val="single" w:sz="4" w:space="0" w:color="000000"/>
              <w:right w:val="single" w:sz="4" w:space="0" w:color="000000"/>
            </w:tcBorders>
            <w:shd w:val="clear" w:color="auto" w:fill="D2D2D2"/>
          </w:tcPr>
          <w:p>
            <w:pPr/>
          </w:p>
        </w:tc>
        <w:tc>
          <w:tcPr>
            <w:tcW w:w="530"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4" w:type="dxa"/>
            <w:vMerge/>
            <w:tcBorders>
              <w:left w:val="single" w:sz="4" w:space="0" w:color="000000"/>
              <w:bottom w:val="nil" w:sz="6" w:space="0" w:color="auto"/>
              <w:right w:val="single" w:sz="4" w:space="0" w:color="000000"/>
            </w:tcBorders>
            <w:shd w:val="clear" w:color="auto" w:fill="D2D2D2"/>
          </w:tcPr>
          <w:p>
            <w:pPr/>
          </w:p>
        </w:tc>
        <w:tc>
          <w:tcPr>
            <w:tcW w:w="666"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val="restart"/>
            <w:tcBorders>
              <w:top w:val="nil" w:sz="6" w:space="0" w:color="auto"/>
              <w:left w:val="single" w:sz="4" w:space="0" w:color="000000"/>
              <w:right w:val="single" w:sz="4" w:space="0" w:color="000000"/>
            </w:tcBorders>
            <w:shd w:val="clear" w:color="auto" w:fill="D2D2D2"/>
          </w:tcPr>
          <w:p>
            <w:pPr/>
          </w:p>
        </w:tc>
        <w:tc>
          <w:tcPr>
            <w:tcW w:w="659" w:type="dxa"/>
            <w:vMerge/>
            <w:tcBorders>
              <w:left w:val="single" w:sz="4" w:space="0" w:color="000000"/>
              <w:bottom w:val="nil" w:sz="6" w:space="0" w:color="auto"/>
              <w:right w:val="single" w:sz="4" w:space="0" w:color="000000"/>
            </w:tcBorders>
            <w:shd w:val="clear" w:color="auto" w:fill="D2D2D2"/>
          </w:tcPr>
          <w:p>
            <w:pPr/>
          </w:p>
        </w:tc>
      </w:tr>
      <w:tr>
        <w:trPr>
          <w:trHeight w:val="229" w:hRule="exact"/>
        </w:trPr>
        <w:tc>
          <w:tcPr>
            <w:tcW w:w="1415" w:type="dxa"/>
            <w:vMerge/>
            <w:tcBorders>
              <w:left w:val="single" w:sz="4" w:space="0" w:color="000000"/>
              <w:bottom w:val="single" w:sz="4" w:space="0" w:color="000000"/>
              <w:right w:val="single" w:sz="4" w:space="0" w:color="000000"/>
            </w:tcBorders>
            <w:shd w:val="clear" w:color="auto" w:fill="D2D2D2"/>
          </w:tcPr>
          <w:p>
            <w:pPr/>
          </w:p>
        </w:tc>
        <w:tc>
          <w:tcPr>
            <w:tcW w:w="574" w:type="dxa"/>
            <w:vMerge/>
            <w:tcBorders>
              <w:left w:val="single" w:sz="4" w:space="0" w:color="000000"/>
              <w:bottom w:val="single" w:sz="4" w:space="0" w:color="000000"/>
              <w:right w:val="single" w:sz="4" w:space="0" w:color="000000"/>
            </w:tcBorders>
            <w:shd w:val="clear" w:color="auto" w:fill="D2D2D2"/>
          </w:tcPr>
          <w:p>
            <w:pPr/>
          </w:p>
        </w:tc>
        <w:tc>
          <w:tcPr>
            <w:tcW w:w="530" w:type="dxa"/>
            <w:vMerge/>
            <w:tcBorders>
              <w:left w:val="single" w:sz="4" w:space="0" w:color="000000"/>
              <w:bottom w:val="single" w:sz="4" w:space="0" w:color="000000"/>
              <w:right w:val="single" w:sz="4" w:space="0" w:color="000000"/>
            </w:tcBorders>
            <w:shd w:val="clear" w:color="auto" w:fill="D2D2D2"/>
          </w:tcPr>
          <w:p>
            <w:pPr/>
          </w:p>
        </w:tc>
        <w:tc>
          <w:tcPr>
            <w:tcW w:w="532" w:type="dxa"/>
            <w:vMerge/>
            <w:tcBorders>
              <w:left w:val="single" w:sz="4" w:space="0" w:color="000000"/>
              <w:bottom w:val="single" w:sz="4" w:space="0" w:color="000000"/>
              <w:right w:val="single" w:sz="4" w:space="0" w:color="000000"/>
            </w:tcBorders>
            <w:shd w:val="clear" w:color="auto" w:fill="D2D2D2"/>
          </w:tcPr>
          <w:p>
            <w:pPr/>
          </w:p>
        </w:tc>
        <w:tc>
          <w:tcPr>
            <w:tcW w:w="530"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4" w:type="dxa"/>
            <w:tcBorders>
              <w:top w:val="nil" w:sz="6" w:space="0" w:color="auto"/>
              <w:left w:val="single" w:sz="4" w:space="0" w:color="000000"/>
              <w:bottom w:val="single" w:sz="4" w:space="0" w:color="000000"/>
              <w:right w:val="single" w:sz="4" w:space="0" w:color="000000"/>
            </w:tcBorders>
            <w:shd w:val="clear" w:color="auto" w:fill="D2D2D2"/>
          </w:tcPr>
          <w:p>
            <w:pPr/>
          </w:p>
        </w:tc>
        <w:tc>
          <w:tcPr>
            <w:tcW w:w="666"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59"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317" w:hRule="exact"/>
        </w:trPr>
        <w:tc>
          <w:tcPr>
            <w:tcW w:w="1415" w:type="dxa"/>
            <w:tcBorders>
              <w:top w:val="single" w:sz="4" w:space="0" w:color="000000"/>
              <w:left w:val="single" w:sz="4" w:space="0" w:color="000000"/>
              <w:bottom w:val="nil" w:sz="6" w:space="0" w:color="auto"/>
              <w:right w:val="single" w:sz="4" w:space="0" w:color="000000"/>
            </w:tcBorders>
            <w:shd w:val="clear" w:color="auto" w:fill="D2D2D2"/>
          </w:tcPr>
          <w:p>
            <w:pPr/>
          </w:p>
        </w:tc>
        <w:tc>
          <w:tcPr>
            <w:tcW w:w="574" w:type="dxa"/>
            <w:vMerge w:val="restart"/>
            <w:tcBorders>
              <w:top w:val="single" w:sz="4" w:space="0" w:color="000000"/>
              <w:left w:val="single" w:sz="9" w:space="0" w:color="D2D2D2"/>
              <w:right w:val="single" w:sz="4" w:space="0" w:color="000000"/>
            </w:tcBorders>
          </w:tcPr>
          <w:p>
            <w:pPr>
              <w:pStyle w:val="TableParagraph"/>
              <w:spacing w:line="240" w:lineRule="auto" w:before="91"/>
              <w:ind w:left="40" w:right="0"/>
              <w:jc w:val="left"/>
              <w:rPr>
                <w:rFonts w:ascii="Times New Roman" w:hAnsi="Times New Roman" w:cs="Times New Roman" w:eastAsia="Times New Roman" w:hint="default"/>
                <w:sz w:val="18"/>
                <w:szCs w:val="18"/>
              </w:rPr>
            </w:pPr>
            <w:r>
              <w:rPr>
                <w:rFonts w:ascii="Times New Roman"/>
                <w:sz w:val="18"/>
              </w:rPr>
              <w:t>396,78</w:t>
            </w:r>
          </w:p>
          <w:p>
            <w:pPr>
              <w:pStyle w:val="TableParagraph"/>
              <w:spacing w:line="240" w:lineRule="auto" w:before="105"/>
              <w:ind w:left="85" w:right="0"/>
              <w:jc w:val="left"/>
              <w:rPr>
                <w:rFonts w:ascii="Times New Roman" w:hAnsi="Times New Roman" w:cs="Times New Roman" w:eastAsia="Times New Roman" w:hint="default"/>
                <w:sz w:val="18"/>
                <w:szCs w:val="18"/>
              </w:rPr>
            </w:pPr>
            <w:r>
              <w:rPr>
                <w:rFonts w:ascii="Times New Roman"/>
                <w:sz w:val="18"/>
              </w:rPr>
              <w:t>3,995.</w:t>
            </w:r>
          </w:p>
          <w:p>
            <w:pPr>
              <w:pStyle w:val="TableParagraph"/>
              <w:spacing w:line="240" w:lineRule="auto" w:before="106"/>
              <w:ind w:left="355" w:right="0"/>
              <w:jc w:val="left"/>
              <w:rPr>
                <w:rFonts w:ascii="Times New Roman" w:hAnsi="Times New Roman" w:cs="Times New Roman" w:eastAsia="Times New Roman" w:hint="default"/>
                <w:sz w:val="18"/>
                <w:szCs w:val="18"/>
              </w:rPr>
            </w:pPr>
            <w:r>
              <w:rPr>
                <w:rFonts w:ascii="Times New Roman"/>
                <w:sz w:val="18"/>
              </w:rPr>
              <w:t>00</w:t>
            </w:r>
          </w:p>
        </w:tc>
        <w:tc>
          <w:tcPr>
            <w:tcW w:w="530" w:type="dxa"/>
            <w:vMerge w:val="restart"/>
            <w:tcBorders>
              <w:top w:val="single" w:sz="4" w:space="0" w:color="000000"/>
              <w:left w:val="single" w:sz="4" w:space="0" w:color="000000"/>
              <w:right w:val="single" w:sz="4" w:space="0" w:color="000000"/>
            </w:tcBorders>
          </w:tcPr>
          <w:p>
            <w:pPr/>
          </w:p>
        </w:tc>
        <w:tc>
          <w:tcPr>
            <w:tcW w:w="532" w:type="dxa"/>
            <w:vMerge w:val="restart"/>
            <w:tcBorders>
              <w:top w:val="single" w:sz="4" w:space="0" w:color="000000"/>
              <w:left w:val="single" w:sz="4" w:space="0" w:color="000000"/>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2" w:right="0"/>
              <w:jc w:val="left"/>
              <w:rPr>
                <w:rFonts w:ascii="Times New Roman" w:hAnsi="Times New Roman" w:cs="Times New Roman" w:eastAsia="Times New Roman" w:hint="default"/>
                <w:sz w:val="18"/>
                <w:szCs w:val="18"/>
              </w:rPr>
            </w:pPr>
            <w:r>
              <w:rPr>
                <w:rFonts w:ascii="Times New Roman"/>
                <w:sz w:val="18"/>
              </w:rPr>
              <w:t>259,911</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,196.58</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28,377,</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600.00</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6" w:right="0"/>
              <w:jc w:val="left"/>
              <w:rPr>
                <w:rFonts w:ascii="Times New Roman" w:hAnsi="Times New Roman" w:cs="Times New Roman" w:eastAsia="Times New Roman" w:hint="default"/>
                <w:sz w:val="18"/>
                <w:szCs w:val="18"/>
              </w:rPr>
            </w:pPr>
            <w:r>
              <w:rPr>
                <w:rFonts w:ascii="Times New Roman"/>
                <w:sz w:val="18"/>
              </w:rPr>
              <w:t>-797,98</w:t>
            </w:r>
          </w:p>
          <w:p>
            <w:pPr>
              <w:pStyle w:val="TableParagraph"/>
              <w:spacing w:line="240" w:lineRule="auto" w:before="106"/>
              <w:ind w:left="316" w:right="0"/>
              <w:jc w:val="left"/>
              <w:rPr>
                <w:rFonts w:ascii="Times New Roman" w:hAnsi="Times New Roman" w:cs="Times New Roman" w:eastAsia="Times New Roman" w:hint="default"/>
                <w:sz w:val="18"/>
                <w:szCs w:val="18"/>
              </w:rPr>
            </w:pPr>
            <w:r>
              <w:rPr>
                <w:rFonts w:ascii="Times New Roman"/>
                <w:sz w:val="18"/>
              </w:rPr>
              <w:t>8.43</w:t>
            </w:r>
          </w:p>
        </w:tc>
        <w:tc>
          <w:tcPr>
            <w:tcW w:w="665" w:type="dxa"/>
            <w:vMerge w:val="restart"/>
            <w:tcBorders>
              <w:top w:val="single" w:sz="4" w:space="0" w:color="000000"/>
              <w:left w:val="single" w:sz="4" w:space="0" w:color="000000"/>
              <w:right w:val="single" w:sz="4" w:space="0" w:color="000000"/>
            </w:tcBorders>
          </w:tcPr>
          <w:p>
            <w:pPr/>
          </w:p>
        </w:tc>
        <w:tc>
          <w:tcPr>
            <w:tcW w:w="664"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41,131,</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637.24</w:t>
            </w:r>
          </w:p>
        </w:tc>
        <w:tc>
          <w:tcPr>
            <w:tcW w:w="666"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226,574</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,804.79</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7" w:right="0"/>
              <w:jc w:val="center"/>
              <w:rPr>
                <w:rFonts w:ascii="Times New Roman" w:hAnsi="Times New Roman" w:cs="Times New Roman" w:eastAsia="Times New Roman" w:hint="default"/>
                <w:sz w:val="18"/>
                <w:szCs w:val="18"/>
              </w:rPr>
            </w:pPr>
            <w:r>
              <w:rPr>
                <w:rFonts w:ascii="Times New Roman"/>
                <w:sz w:val="18"/>
              </w:rPr>
              <w:t>4,388,4</w:t>
            </w:r>
          </w:p>
          <w:p>
            <w:pPr>
              <w:pStyle w:val="TableParagraph"/>
              <w:spacing w:line="240" w:lineRule="auto" w:before="106"/>
              <w:ind w:left="203" w:right="0"/>
              <w:jc w:val="center"/>
              <w:rPr>
                <w:rFonts w:ascii="Times New Roman" w:hAnsi="Times New Roman" w:cs="Times New Roman" w:eastAsia="Times New Roman" w:hint="default"/>
                <w:sz w:val="18"/>
                <w:szCs w:val="18"/>
              </w:rPr>
            </w:pPr>
            <w:r>
              <w:rPr>
                <w:rFonts w:ascii="Times New Roman"/>
                <w:sz w:val="18"/>
              </w:rPr>
              <w:t>73.56</w:t>
            </w:r>
          </w:p>
        </w:tc>
        <w:tc>
          <w:tcPr>
            <w:tcW w:w="659"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899,614</w:t>
            </w:r>
          </w:p>
          <w:p>
            <w:pPr>
              <w:pStyle w:val="TableParagraph"/>
              <w:spacing w:line="240" w:lineRule="auto" w:before="106"/>
              <w:ind w:left="85" w:right="0"/>
              <w:jc w:val="left"/>
              <w:rPr>
                <w:rFonts w:ascii="Times New Roman" w:hAnsi="Times New Roman" w:cs="Times New Roman" w:eastAsia="Times New Roman" w:hint="default"/>
                <w:sz w:val="18"/>
                <w:szCs w:val="18"/>
              </w:rPr>
            </w:pPr>
            <w:r>
              <w:rPr>
                <w:rFonts w:ascii="Times New Roman"/>
                <w:sz w:val="18"/>
              </w:rPr>
              <w:t>,518.74</w:t>
            </w:r>
          </w:p>
        </w:tc>
      </w:tr>
      <w:tr>
        <w:trPr>
          <w:trHeight w:val="392" w:hRule="exact"/>
        </w:trPr>
        <w:tc>
          <w:tcPr>
            <w:tcW w:w="14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pacing w:val="-8"/>
                <w:sz w:val="18"/>
                <w:szCs w:val="18"/>
              </w:rPr>
              <w:t>一、上年期末余额</w:t>
            </w:r>
          </w:p>
        </w:tc>
        <w:tc>
          <w:tcPr>
            <w:tcW w:w="574" w:type="dxa"/>
            <w:vMerge/>
            <w:tcBorders>
              <w:left w:val="single" w:sz="9" w:space="0" w:color="D2D2D2"/>
              <w:right w:val="single" w:sz="4" w:space="0" w:color="000000"/>
            </w:tcBorders>
          </w:tcPr>
          <w:p>
            <w:pPr/>
          </w:p>
        </w:tc>
        <w:tc>
          <w:tcPr>
            <w:tcW w:w="530" w:type="dxa"/>
            <w:vMerge/>
            <w:tcBorders>
              <w:left w:val="single" w:sz="4" w:space="0" w:color="000000"/>
              <w:right w:val="single" w:sz="4" w:space="0" w:color="000000"/>
            </w:tcBorders>
          </w:tcPr>
          <w:p>
            <w:pPr/>
          </w:p>
        </w:tc>
        <w:tc>
          <w:tcPr>
            <w:tcW w:w="532"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4" w:type="dxa"/>
            <w:vMerge/>
            <w:tcBorders>
              <w:left w:val="single" w:sz="4" w:space="0" w:color="000000"/>
              <w:right w:val="single" w:sz="4" w:space="0" w:color="000000"/>
            </w:tcBorders>
          </w:tcPr>
          <w:p>
            <w:pPr/>
          </w:p>
        </w:tc>
        <w:tc>
          <w:tcPr>
            <w:tcW w:w="666"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59" w:type="dxa"/>
            <w:vMerge/>
            <w:tcBorders>
              <w:left w:val="single" w:sz="4" w:space="0" w:color="000000"/>
              <w:right w:val="single" w:sz="4" w:space="0" w:color="000000"/>
            </w:tcBorders>
          </w:tcPr>
          <w:p>
            <w:pPr/>
          </w:p>
        </w:tc>
      </w:tr>
      <w:tr>
        <w:trPr>
          <w:trHeight w:val="317" w:hRule="exact"/>
        </w:trPr>
        <w:tc>
          <w:tcPr>
            <w:tcW w:w="1415" w:type="dxa"/>
            <w:tcBorders>
              <w:top w:val="nil" w:sz="6" w:space="0" w:color="auto"/>
              <w:left w:val="single" w:sz="4" w:space="0" w:color="000000"/>
              <w:bottom w:val="single" w:sz="4" w:space="0" w:color="000000"/>
              <w:right w:val="single" w:sz="4" w:space="0" w:color="000000"/>
            </w:tcBorders>
            <w:shd w:val="clear" w:color="auto" w:fill="D2D2D2"/>
          </w:tcPr>
          <w:p>
            <w:pPr/>
          </w:p>
        </w:tc>
        <w:tc>
          <w:tcPr>
            <w:tcW w:w="574" w:type="dxa"/>
            <w:vMerge/>
            <w:tcBorders>
              <w:left w:val="single" w:sz="9" w:space="0" w:color="D2D2D2"/>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532"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4" w:type="dxa"/>
            <w:vMerge/>
            <w:tcBorders>
              <w:left w:val="single" w:sz="4" w:space="0" w:color="000000"/>
              <w:bottom w:val="single" w:sz="4" w:space="0" w:color="000000"/>
              <w:right w:val="single" w:sz="4" w:space="0" w:color="000000"/>
            </w:tcBorders>
          </w:tcPr>
          <w:p>
            <w:pPr/>
          </w:p>
        </w:tc>
        <w:tc>
          <w:tcPr>
            <w:tcW w:w="666"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59" w:type="dxa"/>
            <w:vMerge/>
            <w:tcBorders>
              <w:left w:val="single" w:sz="4" w:space="0" w:color="000000"/>
              <w:bottom w:val="single" w:sz="4" w:space="0" w:color="000000"/>
              <w:right w:val="single" w:sz="4" w:space="0" w:color="000000"/>
            </w:tcBorders>
          </w:tcPr>
          <w:p>
            <w:pPr/>
          </w:p>
        </w:tc>
      </w:tr>
      <w:tr>
        <w:trPr>
          <w:trHeight w:val="714"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9" w:firstLine="360"/>
              <w:jc w:val="left"/>
              <w:rPr>
                <w:rFonts w:ascii="宋体" w:hAnsi="宋体" w:cs="宋体" w:eastAsia="宋体" w:hint="default"/>
                <w:sz w:val="18"/>
                <w:szCs w:val="18"/>
              </w:rPr>
            </w:pPr>
            <w:r>
              <w:rPr>
                <w:rFonts w:ascii="宋体" w:hAnsi="宋体" w:cs="宋体" w:eastAsia="宋体" w:hint="default"/>
                <w:spacing w:val="-10"/>
                <w:sz w:val="18"/>
                <w:szCs w:val="18"/>
              </w:rPr>
              <w:t>加：会计政策</w:t>
            </w:r>
            <w:r>
              <w:rPr>
                <w:rFonts w:ascii="宋体" w:hAnsi="宋体" w:cs="宋体" w:eastAsia="宋体" w:hint="default"/>
                <w:sz w:val="18"/>
                <w:szCs w:val="18"/>
              </w:rPr>
              <w:t> 变更</w:t>
            </w:r>
          </w:p>
        </w:tc>
        <w:tc>
          <w:tcPr>
            <w:tcW w:w="574"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前期差</w:t>
            </w:r>
          </w:p>
          <w:p>
            <w:pPr>
              <w:pStyle w:val="TableParagraph"/>
              <w:spacing w:line="240" w:lineRule="auto" w:before="77"/>
              <w:ind w:left="11" w:right="0"/>
              <w:jc w:val="left"/>
              <w:rPr>
                <w:rFonts w:ascii="宋体" w:hAnsi="宋体" w:cs="宋体" w:eastAsia="宋体" w:hint="default"/>
                <w:sz w:val="18"/>
                <w:szCs w:val="18"/>
              </w:rPr>
            </w:pPr>
            <w:r>
              <w:rPr>
                <w:rFonts w:ascii="宋体" w:hAnsi="宋体" w:cs="宋体" w:eastAsia="宋体" w:hint="default"/>
                <w:sz w:val="18"/>
                <w:szCs w:val="18"/>
              </w:rPr>
              <w:t>错更正</w:t>
            </w:r>
          </w:p>
        </w:tc>
        <w:tc>
          <w:tcPr>
            <w:tcW w:w="574"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31" w:firstLine="720"/>
              <w:jc w:val="left"/>
              <w:rPr>
                <w:rFonts w:ascii="宋体" w:hAnsi="宋体" w:cs="宋体" w:eastAsia="宋体" w:hint="default"/>
                <w:sz w:val="18"/>
                <w:szCs w:val="18"/>
              </w:rPr>
            </w:pPr>
            <w:r>
              <w:rPr>
                <w:rFonts w:ascii="宋体" w:hAnsi="宋体" w:cs="宋体" w:eastAsia="宋体" w:hint="default"/>
                <w:sz w:val="18"/>
                <w:szCs w:val="18"/>
              </w:rPr>
              <w:t>同一控 制下企业合并</w:t>
            </w:r>
          </w:p>
        </w:tc>
        <w:tc>
          <w:tcPr>
            <w:tcW w:w="574"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74"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317" w:hRule="exact"/>
        </w:trPr>
        <w:tc>
          <w:tcPr>
            <w:tcW w:w="1415" w:type="dxa"/>
            <w:tcBorders>
              <w:top w:val="single" w:sz="4" w:space="0" w:color="000000"/>
              <w:left w:val="single" w:sz="4" w:space="0" w:color="000000"/>
              <w:bottom w:val="nil" w:sz="6" w:space="0" w:color="auto"/>
              <w:right w:val="single" w:sz="4" w:space="0" w:color="000000"/>
            </w:tcBorders>
            <w:shd w:val="clear" w:color="auto" w:fill="D2D2D2"/>
          </w:tcPr>
          <w:p>
            <w:pPr/>
          </w:p>
        </w:tc>
        <w:tc>
          <w:tcPr>
            <w:tcW w:w="574" w:type="dxa"/>
            <w:vMerge w:val="restart"/>
            <w:tcBorders>
              <w:top w:val="single" w:sz="4" w:space="0" w:color="000000"/>
              <w:left w:val="single" w:sz="9" w:space="0" w:color="D2D2D2"/>
              <w:right w:val="single" w:sz="4" w:space="0" w:color="000000"/>
            </w:tcBorders>
          </w:tcPr>
          <w:p>
            <w:pPr>
              <w:pStyle w:val="TableParagraph"/>
              <w:spacing w:line="240" w:lineRule="auto" w:before="91"/>
              <w:ind w:left="40" w:right="0"/>
              <w:jc w:val="left"/>
              <w:rPr>
                <w:rFonts w:ascii="Times New Roman" w:hAnsi="Times New Roman" w:cs="Times New Roman" w:eastAsia="Times New Roman" w:hint="default"/>
                <w:sz w:val="18"/>
                <w:szCs w:val="18"/>
              </w:rPr>
            </w:pPr>
            <w:r>
              <w:rPr>
                <w:rFonts w:ascii="Times New Roman"/>
                <w:sz w:val="18"/>
              </w:rPr>
              <w:t>396,78</w:t>
            </w:r>
          </w:p>
          <w:p>
            <w:pPr>
              <w:pStyle w:val="TableParagraph"/>
              <w:spacing w:line="240" w:lineRule="auto" w:before="105"/>
              <w:ind w:left="85" w:right="0"/>
              <w:jc w:val="left"/>
              <w:rPr>
                <w:rFonts w:ascii="Times New Roman" w:hAnsi="Times New Roman" w:cs="Times New Roman" w:eastAsia="Times New Roman" w:hint="default"/>
                <w:sz w:val="18"/>
                <w:szCs w:val="18"/>
              </w:rPr>
            </w:pPr>
            <w:r>
              <w:rPr>
                <w:rFonts w:ascii="Times New Roman"/>
                <w:sz w:val="18"/>
              </w:rPr>
              <w:t>3,995.</w:t>
            </w:r>
          </w:p>
          <w:p>
            <w:pPr>
              <w:pStyle w:val="TableParagraph"/>
              <w:spacing w:line="240" w:lineRule="auto" w:before="106"/>
              <w:ind w:left="355" w:right="0"/>
              <w:jc w:val="left"/>
              <w:rPr>
                <w:rFonts w:ascii="Times New Roman" w:hAnsi="Times New Roman" w:cs="Times New Roman" w:eastAsia="Times New Roman" w:hint="default"/>
                <w:sz w:val="18"/>
                <w:szCs w:val="18"/>
              </w:rPr>
            </w:pPr>
            <w:r>
              <w:rPr>
                <w:rFonts w:ascii="Times New Roman"/>
                <w:sz w:val="18"/>
              </w:rPr>
              <w:t>00</w:t>
            </w:r>
          </w:p>
        </w:tc>
        <w:tc>
          <w:tcPr>
            <w:tcW w:w="530" w:type="dxa"/>
            <w:vMerge w:val="restart"/>
            <w:tcBorders>
              <w:top w:val="single" w:sz="4" w:space="0" w:color="000000"/>
              <w:left w:val="single" w:sz="4" w:space="0" w:color="000000"/>
              <w:right w:val="single" w:sz="4" w:space="0" w:color="000000"/>
            </w:tcBorders>
          </w:tcPr>
          <w:p>
            <w:pPr/>
          </w:p>
        </w:tc>
        <w:tc>
          <w:tcPr>
            <w:tcW w:w="532" w:type="dxa"/>
            <w:vMerge w:val="restart"/>
            <w:tcBorders>
              <w:top w:val="single" w:sz="4" w:space="0" w:color="000000"/>
              <w:left w:val="single" w:sz="4" w:space="0" w:color="000000"/>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2" w:right="0"/>
              <w:jc w:val="left"/>
              <w:rPr>
                <w:rFonts w:ascii="Times New Roman" w:hAnsi="Times New Roman" w:cs="Times New Roman" w:eastAsia="Times New Roman" w:hint="default"/>
                <w:sz w:val="18"/>
                <w:szCs w:val="18"/>
              </w:rPr>
            </w:pPr>
            <w:r>
              <w:rPr>
                <w:rFonts w:ascii="Times New Roman"/>
                <w:sz w:val="18"/>
              </w:rPr>
              <w:t>259,911</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,196.58</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28,377,</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600.00</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6" w:right="0"/>
              <w:jc w:val="left"/>
              <w:rPr>
                <w:rFonts w:ascii="Times New Roman" w:hAnsi="Times New Roman" w:cs="Times New Roman" w:eastAsia="Times New Roman" w:hint="default"/>
                <w:sz w:val="18"/>
                <w:szCs w:val="18"/>
              </w:rPr>
            </w:pPr>
            <w:r>
              <w:rPr>
                <w:rFonts w:ascii="Times New Roman"/>
                <w:sz w:val="18"/>
              </w:rPr>
              <w:t>-797,98</w:t>
            </w:r>
          </w:p>
          <w:p>
            <w:pPr>
              <w:pStyle w:val="TableParagraph"/>
              <w:spacing w:line="240" w:lineRule="auto" w:before="106"/>
              <w:ind w:left="316" w:right="0"/>
              <w:jc w:val="left"/>
              <w:rPr>
                <w:rFonts w:ascii="Times New Roman" w:hAnsi="Times New Roman" w:cs="Times New Roman" w:eastAsia="Times New Roman" w:hint="default"/>
                <w:sz w:val="18"/>
                <w:szCs w:val="18"/>
              </w:rPr>
            </w:pPr>
            <w:r>
              <w:rPr>
                <w:rFonts w:ascii="Times New Roman"/>
                <w:sz w:val="18"/>
              </w:rPr>
              <w:t>8.43</w:t>
            </w:r>
          </w:p>
        </w:tc>
        <w:tc>
          <w:tcPr>
            <w:tcW w:w="665" w:type="dxa"/>
            <w:vMerge w:val="restart"/>
            <w:tcBorders>
              <w:top w:val="single" w:sz="4" w:space="0" w:color="000000"/>
              <w:left w:val="single" w:sz="4" w:space="0" w:color="000000"/>
              <w:right w:val="single" w:sz="4" w:space="0" w:color="000000"/>
            </w:tcBorders>
          </w:tcPr>
          <w:p>
            <w:pPr/>
          </w:p>
        </w:tc>
        <w:tc>
          <w:tcPr>
            <w:tcW w:w="664"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41,131,</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637.24</w:t>
            </w:r>
          </w:p>
        </w:tc>
        <w:tc>
          <w:tcPr>
            <w:tcW w:w="666"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226,574</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,804.79</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7" w:right="0"/>
              <w:jc w:val="center"/>
              <w:rPr>
                <w:rFonts w:ascii="Times New Roman" w:hAnsi="Times New Roman" w:cs="Times New Roman" w:eastAsia="Times New Roman" w:hint="default"/>
                <w:sz w:val="18"/>
                <w:szCs w:val="18"/>
              </w:rPr>
            </w:pPr>
            <w:r>
              <w:rPr>
                <w:rFonts w:ascii="Times New Roman"/>
                <w:sz w:val="18"/>
              </w:rPr>
              <w:t>4,388,4</w:t>
            </w:r>
          </w:p>
          <w:p>
            <w:pPr>
              <w:pStyle w:val="TableParagraph"/>
              <w:spacing w:line="240" w:lineRule="auto" w:before="106"/>
              <w:ind w:left="203" w:right="0"/>
              <w:jc w:val="center"/>
              <w:rPr>
                <w:rFonts w:ascii="Times New Roman" w:hAnsi="Times New Roman" w:cs="Times New Roman" w:eastAsia="Times New Roman" w:hint="default"/>
                <w:sz w:val="18"/>
                <w:szCs w:val="18"/>
              </w:rPr>
            </w:pPr>
            <w:r>
              <w:rPr>
                <w:rFonts w:ascii="Times New Roman"/>
                <w:sz w:val="18"/>
              </w:rPr>
              <w:t>73.56</w:t>
            </w:r>
          </w:p>
        </w:tc>
        <w:tc>
          <w:tcPr>
            <w:tcW w:w="659"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899,614</w:t>
            </w:r>
          </w:p>
          <w:p>
            <w:pPr>
              <w:pStyle w:val="TableParagraph"/>
              <w:spacing w:line="240" w:lineRule="auto" w:before="106"/>
              <w:ind w:left="85" w:right="0"/>
              <w:jc w:val="left"/>
              <w:rPr>
                <w:rFonts w:ascii="Times New Roman" w:hAnsi="Times New Roman" w:cs="Times New Roman" w:eastAsia="Times New Roman" w:hint="default"/>
                <w:sz w:val="18"/>
                <w:szCs w:val="18"/>
              </w:rPr>
            </w:pPr>
            <w:r>
              <w:rPr>
                <w:rFonts w:ascii="Times New Roman"/>
                <w:sz w:val="18"/>
              </w:rPr>
              <w:t>,518.74</w:t>
            </w:r>
          </w:p>
        </w:tc>
      </w:tr>
      <w:tr>
        <w:trPr>
          <w:trHeight w:val="392" w:hRule="exact"/>
        </w:trPr>
        <w:tc>
          <w:tcPr>
            <w:tcW w:w="14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pacing w:val="-8"/>
                <w:sz w:val="18"/>
                <w:szCs w:val="18"/>
              </w:rPr>
              <w:t>二、本年期初余额</w:t>
            </w:r>
          </w:p>
        </w:tc>
        <w:tc>
          <w:tcPr>
            <w:tcW w:w="574" w:type="dxa"/>
            <w:vMerge/>
            <w:tcBorders>
              <w:left w:val="single" w:sz="9" w:space="0" w:color="D2D2D2"/>
              <w:right w:val="single" w:sz="4" w:space="0" w:color="000000"/>
            </w:tcBorders>
          </w:tcPr>
          <w:p>
            <w:pPr/>
          </w:p>
        </w:tc>
        <w:tc>
          <w:tcPr>
            <w:tcW w:w="530" w:type="dxa"/>
            <w:vMerge/>
            <w:tcBorders>
              <w:left w:val="single" w:sz="4" w:space="0" w:color="000000"/>
              <w:right w:val="single" w:sz="4" w:space="0" w:color="000000"/>
            </w:tcBorders>
          </w:tcPr>
          <w:p>
            <w:pPr/>
          </w:p>
        </w:tc>
        <w:tc>
          <w:tcPr>
            <w:tcW w:w="532"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4" w:type="dxa"/>
            <w:vMerge/>
            <w:tcBorders>
              <w:left w:val="single" w:sz="4" w:space="0" w:color="000000"/>
              <w:right w:val="single" w:sz="4" w:space="0" w:color="000000"/>
            </w:tcBorders>
          </w:tcPr>
          <w:p>
            <w:pPr/>
          </w:p>
        </w:tc>
        <w:tc>
          <w:tcPr>
            <w:tcW w:w="666"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59" w:type="dxa"/>
            <w:vMerge/>
            <w:tcBorders>
              <w:left w:val="single" w:sz="4" w:space="0" w:color="000000"/>
              <w:right w:val="single" w:sz="4" w:space="0" w:color="000000"/>
            </w:tcBorders>
          </w:tcPr>
          <w:p>
            <w:pPr/>
          </w:p>
        </w:tc>
      </w:tr>
      <w:tr>
        <w:trPr>
          <w:trHeight w:val="317" w:hRule="exact"/>
        </w:trPr>
        <w:tc>
          <w:tcPr>
            <w:tcW w:w="1415" w:type="dxa"/>
            <w:tcBorders>
              <w:top w:val="nil" w:sz="6" w:space="0" w:color="auto"/>
              <w:left w:val="single" w:sz="4" w:space="0" w:color="000000"/>
              <w:bottom w:val="single" w:sz="4" w:space="0" w:color="000000"/>
              <w:right w:val="single" w:sz="4" w:space="0" w:color="000000"/>
            </w:tcBorders>
            <w:shd w:val="clear" w:color="auto" w:fill="D2D2D2"/>
          </w:tcPr>
          <w:p>
            <w:pPr/>
          </w:p>
        </w:tc>
        <w:tc>
          <w:tcPr>
            <w:tcW w:w="574" w:type="dxa"/>
            <w:vMerge/>
            <w:tcBorders>
              <w:left w:val="single" w:sz="9" w:space="0" w:color="D2D2D2"/>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532"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4" w:type="dxa"/>
            <w:vMerge/>
            <w:tcBorders>
              <w:left w:val="single" w:sz="4" w:space="0" w:color="000000"/>
              <w:bottom w:val="single" w:sz="4" w:space="0" w:color="000000"/>
              <w:right w:val="single" w:sz="4" w:space="0" w:color="000000"/>
            </w:tcBorders>
          </w:tcPr>
          <w:p>
            <w:pPr/>
          </w:p>
        </w:tc>
        <w:tc>
          <w:tcPr>
            <w:tcW w:w="666"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59" w:type="dxa"/>
            <w:vMerge/>
            <w:tcBorders>
              <w:left w:val="single" w:sz="4" w:space="0" w:color="000000"/>
              <w:bottom w:val="single" w:sz="4" w:space="0" w:color="000000"/>
              <w:right w:val="single" w:sz="4" w:space="0" w:color="000000"/>
            </w:tcBorders>
          </w:tcPr>
          <w:p>
            <w:pPr/>
          </w:p>
        </w:tc>
      </w:tr>
      <w:tr>
        <w:trPr>
          <w:trHeight w:val="1026"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1" w:right="9"/>
              <w:jc w:val="both"/>
              <w:rPr>
                <w:rFonts w:ascii="宋体" w:hAnsi="宋体" w:cs="宋体" w:eastAsia="宋体" w:hint="default"/>
                <w:sz w:val="18"/>
                <w:szCs w:val="18"/>
              </w:rPr>
            </w:pPr>
            <w:r>
              <w:rPr>
                <w:rFonts w:ascii="宋体" w:hAnsi="宋体" w:cs="宋体" w:eastAsia="宋体" w:hint="default"/>
                <w:spacing w:val="-8"/>
                <w:sz w:val="18"/>
                <w:szCs w:val="18"/>
              </w:rPr>
              <w:t>三、本期增减变动</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5"/>
                <w:sz w:val="18"/>
                <w:szCs w:val="18"/>
              </w:rPr>
              <w:t>金额（减少以</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w:t>
            </w:r>
            <w:r>
              <w:rPr>
                <w:rFonts w:ascii="Times New Roman" w:hAnsi="Times New Roman" w:cs="Times New Roman" w:eastAsia="Times New Roman" w:hint="default"/>
                <w:spacing w:val="-39"/>
                <w:sz w:val="18"/>
                <w:szCs w:val="18"/>
              </w:rPr>
              <w:t> </w:t>
            </w:r>
            <w:r>
              <w:rPr>
                <w:rFonts w:ascii="宋体" w:hAnsi="宋体" w:cs="宋体" w:eastAsia="宋体" w:hint="default"/>
                <w:sz w:val="18"/>
                <w:szCs w:val="18"/>
              </w:rPr>
              <w:t>号填列）</w:t>
            </w:r>
          </w:p>
        </w:tc>
        <w:tc>
          <w:tcPr>
            <w:tcW w:w="57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214,60</w:t>
            </w:r>
          </w:p>
          <w:p>
            <w:pPr>
              <w:pStyle w:val="TableParagraph"/>
              <w:spacing w:line="240" w:lineRule="auto" w:before="105"/>
              <w:ind w:left="80" w:right="0"/>
              <w:jc w:val="left"/>
              <w:rPr>
                <w:rFonts w:ascii="Times New Roman" w:hAnsi="Times New Roman" w:cs="Times New Roman" w:eastAsia="Times New Roman" w:hint="default"/>
                <w:sz w:val="18"/>
                <w:szCs w:val="18"/>
              </w:rPr>
            </w:pPr>
            <w:r>
              <w:rPr>
                <w:rFonts w:ascii="Times New Roman"/>
                <w:sz w:val="18"/>
              </w:rPr>
              <w:t>1,839.</w:t>
            </w:r>
          </w:p>
          <w:p>
            <w:pPr>
              <w:pStyle w:val="TableParagraph"/>
              <w:spacing w:line="240" w:lineRule="auto" w:before="106"/>
              <w:ind w:left="350" w:right="0"/>
              <w:jc w:val="left"/>
              <w:rPr>
                <w:rFonts w:ascii="Times New Roman" w:hAnsi="Times New Roman" w:cs="Times New Roman" w:eastAsia="Times New Roman" w:hint="default"/>
                <w:sz w:val="18"/>
                <w:szCs w:val="18"/>
              </w:rPr>
            </w:pPr>
            <w:r>
              <w:rPr>
                <w:rFonts w:ascii="Times New Roman"/>
                <w:sz w:val="18"/>
              </w:rPr>
              <w:t>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-69,465,</w:t>
            </w:r>
          </w:p>
          <w:p>
            <w:pPr>
              <w:pStyle w:val="TableParagraph"/>
              <w:spacing w:line="240" w:lineRule="auto" w:before="106"/>
              <w:ind w:left="113" w:right="0"/>
              <w:jc w:val="center"/>
              <w:rPr>
                <w:rFonts w:ascii="Times New Roman" w:hAnsi="Times New Roman" w:cs="Times New Roman" w:eastAsia="Times New Roman" w:hint="default"/>
                <w:sz w:val="18"/>
                <w:szCs w:val="18"/>
              </w:rPr>
            </w:pPr>
            <w:r>
              <w:rPr>
                <w:rFonts w:ascii="Times New Roman"/>
                <w:sz w:val="18"/>
              </w:rPr>
              <w:t>358.40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-10,735,</w:t>
            </w:r>
          </w:p>
          <w:p>
            <w:pPr>
              <w:pStyle w:val="TableParagraph"/>
              <w:spacing w:line="240" w:lineRule="auto" w:before="106"/>
              <w:ind w:left="113" w:right="0"/>
              <w:jc w:val="center"/>
              <w:rPr>
                <w:rFonts w:ascii="Times New Roman" w:hAnsi="Times New Roman" w:cs="Times New Roman" w:eastAsia="Times New Roman" w:hint="default"/>
                <w:sz w:val="18"/>
                <w:szCs w:val="18"/>
              </w:rPr>
            </w:pPr>
            <w:r>
              <w:rPr>
                <w:rFonts w:ascii="Times New Roman"/>
                <w:sz w:val="18"/>
              </w:rPr>
              <w:t>380.00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6" w:right="0"/>
              <w:jc w:val="left"/>
              <w:rPr>
                <w:rFonts w:ascii="Times New Roman" w:hAnsi="Times New Roman" w:cs="Times New Roman" w:eastAsia="Times New Roman" w:hint="default"/>
                <w:sz w:val="18"/>
                <w:szCs w:val="18"/>
              </w:rPr>
            </w:pPr>
            <w:r>
              <w:rPr>
                <w:rFonts w:ascii="Times New Roman"/>
                <w:sz w:val="18"/>
              </w:rPr>
              <w:t>-100,47</w:t>
            </w:r>
          </w:p>
          <w:p>
            <w:pPr>
              <w:pStyle w:val="TableParagraph"/>
              <w:spacing w:line="240" w:lineRule="auto" w:before="106"/>
              <w:ind w:left="316" w:right="0"/>
              <w:jc w:val="left"/>
              <w:rPr>
                <w:rFonts w:ascii="Times New Roman" w:hAnsi="Times New Roman" w:cs="Times New Roman" w:eastAsia="Times New Roman" w:hint="default"/>
                <w:sz w:val="18"/>
                <w:szCs w:val="18"/>
              </w:rPr>
            </w:pPr>
            <w:r>
              <w:rPr>
                <w:rFonts w:ascii="Times New Roman"/>
                <w:sz w:val="18"/>
              </w:rPr>
              <w:t>3.67</w:t>
            </w: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9" w:right="0"/>
              <w:jc w:val="center"/>
              <w:rPr>
                <w:rFonts w:ascii="Times New Roman" w:hAnsi="Times New Roman" w:cs="Times New Roman" w:eastAsia="Times New Roman" w:hint="default"/>
                <w:sz w:val="18"/>
                <w:szCs w:val="18"/>
              </w:rPr>
            </w:pPr>
            <w:r>
              <w:rPr>
                <w:rFonts w:ascii="Times New Roman"/>
                <w:sz w:val="18"/>
              </w:rPr>
              <w:t>3,168,6</w:t>
            </w:r>
          </w:p>
          <w:p>
            <w:pPr>
              <w:pStyle w:val="TableParagraph"/>
              <w:spacing w:line="240" w:lineRule="auto" w:before="106"/>
              <w:ind w:left="204" w:right="0"/>
              <w:jc w:val="center"/>
              <w:rPr>
                <w:rFonts w:ascii="Times New Roman" w:hAnsi="Times New Roman" w:cs="Times New Roman" w:eastAsia="Times New Roman" w:hint="default"/>
                <w:sz w:val="18"/>
                <w:szCs w:val="18"/>
              </w:rPr>
            </w:pPr>
            <w:r>
              <w:rPr>
                <w:rFonts w:ascii="Times New Roman"/>
                <w:sz w:val="18"/>
              </w:rPr>
              <w:t>28.89</w:t>
            </w: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88,086,</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429.73</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14,697,</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198.13</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261,723</w:t>
            </w:r>
          </w:p>
          <w:p>
            <w:pPr>
              <w:pStyle w:val="TableParagraph"/>
              <w:spacing w:line="240" w:lineRule="auto" w:before="106"/>
              <w:ind w:left="85" w:right="0"/>
              <w:jc w:val="left"/>
              <w:rPr>
                <w:rFonts w:ascii="Times New Roman" w:hAnsi="Times New Roman" w:cs="Times New Roman" w:eastAsia="Times New Roman" w:hint="default"/>
                <w:sz w:val="18"/>
                <w:szCs w:val="18"/>
              </w:rPr>
            </w:pPr>
            <w:r>
              <w:rPr>
                <w:rFonts w:ascii="Times New Roman"/>
                <w:sz w:val="18"/>
              </w:rPr>
              <w:t>,643.68</w:t>
            </w:r>
          </w:p>
        </w:tc>
      </w:tr>
      <w:tr>
        <w:trPr>
          <w:trHeight w:val="714"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9"/>
              <w:jc w:val="left"/>
              <w:rPr>
                <w:rFonts w:ascii="宋体" w:hAnsi="宋体" w:cs="宋体" w:eastAsia="宋体" w:hint="default"/>
                <w:sz w:val="18"/>
                <w:szCs w:val="18"/>
              </w:rPr>
            </w:pPr>
            <w:r>
              <w:rPr>
                <w:rFonts w:ascii="宋体" w:hAnsi="宋体" w:cs="宋体" w:eastAsia="宋体" w:hint="default"/>
                <w:spacing w:val="-8"/>
                <w:sz w:val="18"/>
                <w:szCs w:val="18"/>
              </w:rPr>
              <w:t>（一）综合收益总</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额</w:t>
            </w:r>
          </w:p>
        </w:tc>
        <w:tc>
          <w:tcPr>
            <w:tcW w:w="574"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6" w:right="0"/>
              <w:jc w:val="left"/>
              <w:rPr>
                <w:rFonts w:ascii="Times New Roman" w:hAnsi="Times New Roman" w:cs="Times New Roman" w:eastAsia="Times New Roman" w:hint="default"/>
                <w:sz w:val="18"/>
                <w:szCs w:val="18"/>
              </w:rPr>
            </w:pPr>
            <w:r>
              <w:rPr>
                <w:rFonts w:ascii="Times New Roman"/>
                <w:sz w:val="18"/>
              </w:rPr>
              <w:t>-100,47</w:t>
            </w:r>
          </w:p>
          <w:p>
            <w:pPr>
              <w:pStyle w:val="TableParagraph"/>
              <w:spacing w:line="240" w:lineRule="auto" w:before="106"/>
              <w:ind w:left="316" w:right="0"/>
              <w:jc w:val="left"/>
              <w:rPr>
                <w:rFonts w:ascii="Times New Roman" w:hAnsi="Times New Roman" w:cs="Times New Roman" w:eastAsia="Times New Roman" w:hint="default"/>
                <w:sz w:val="18"/>
                <w:szCs w:val="18"/>
              </w:rPr>
            </w:pPr>
            <w:r>
              <w:rPr>
                <w:rFonts w:ascii="Times New Roman"/>
                <w:sz w:val="18"/>
              </w:rPr>
              <w:t>3.67</w:t>
            </w: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6" w:right="0"/>
              <w:jc w:val="left"/>
              <w:rPr>
                <w:rFonts w:ascii="Times New Roman" w:hAnsi="Times New Roman" w:cs="Times New Roman" w:eastAsia="Times New Roman" w:hint="default"/>
                <w:sz w:val="18"/>
                <w:szCs w:val="18"/>
              </w:rPr>
            </w:pPr>
            <w:r>
              <w:rPr>
                <w:rFonts w:ascii="Times New Roman"/>
                <w:sz w:val="18"/>
              </w:rPr>
              <w:t>132,014</w:t>
            </w:r>
          </w:p>
          <w:p>
            <w:pPr>
              <w:pStyle w:val="TableParagraph"/>
              <w:spacing w:line="240" w:lineRule="auto" w:before="106"/>
              <w:ind w:left="98" w:right="0"/>
              <w:jc w:val="left"/>
              <w:rPr>
                <w:rFonts w:ascii="Times New Roman" w:hAnsi="Times New Roman" w:cs="Times New Roman" w:eastAsia="Times New Roman" w:hint="default"/>
                <w:sz w:val="18"/>
                <w:szCs w:val="18"/>
              </w:rPr>
            </w:pPr>
            <w:r>
              <w:rPr>
                <w:rFonts w:ascii="Times New Roman"/>
                <w:sz w:val="18"/>
              </w:rPr>
              <w:t>,114.22</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6" w:right="0"/>
              <w:jc w:val="left"/>
              <w:rPr>
                <w:rFonts w:ascii="Times New Roman" w:hAnsi="Times New Roman" w:cs="Times New Roman" w:eastAsia="Times New Roman" w:hint="default"/>
                <w:sz w:val="18"/>
                <w:szCs w:val="18"/>
              </w:rPr>
            </w:pPr>
            <w:r>
              <w:rPr>
                <w:rFonts w:ascii="Times New Roman"/>
                <w:sz w:val="18"/>
              </w:rPr>
              <w:t>-635,00</w:t>
            </w:r>
          </w:p>
          <w:p>
            <w:pPr>
              <w:pStyle w:val="TableParagraph"/>
              <w:spacing w:line="240" w:lineRule="auto" w:before="106"/>
              <w:ind w:left="316" w:right="0"/>
              <w:jc w:val="left"/>
              <w:rPr>
                <w:rFonts w:ascii="Times New Roman" w:hAnsi="Times New Roman" w:cs="Times New Roman" w:eastAsia="Times New Roman" w:hint="default"/>
                <w:sz w:val="18"/>
                <w:szCs w:val="18"/>
              </w:rPr>
            </w:pPr>
            <w:r>
              <w:rPr>
                <w:rFonts w:ascii="Times New Roman"/>
                <w:sz w:val="18"/>
              </w:rPr>
              <w:t>3.90</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0" w:right="0"/>
              <w:jc w:val="left"/>
              <w:rPr>
                <w:rFonts w:ascii="Times New Roman" w:hAnsi="Times New Roman" w:cs="Times New Roman" w:eastAsia="Times New Roman" w:hint="default"/>
                <w:sz w:val="18"/>
                <w:szCs w:val="18"/>
              </w:rPr>
            </w:pPr>
            <w:r>
              <w:rPr>
                <w:rFonts w:ascii="Times New Roman"/>
                <w:sz w:val="18"/>
              </w:rPr>
              <w:t>131,278</w:t>
            </w:r>
          </w:p>
          <w:p>
            <w:pPr>
              <w:pStyle w:val="TableParagraph"/>
              <w:spacing w:line="240" w:lineRule="auto" w:before="106"/>
              <w:ind w:left="85" w:right="0"/>
              <w:jc w:val="left"/>
              <w:rPr>
                <w:rFonts w:ascii="Times New Roman" w:hAnsi="Times New Roman" w:cs="Times New Roman" w:eastAsia="Times New Roman" w:hint="default"/>
                <w:sz w:val="18"/>
                <w:szCs w:val="18"/>
              </w:rPr>
            </w:pPr>
            <w:r>
              <w:rPr>
                <w:rFonts w:ascii="Times New Roman"/>
                <w:sz w:val="18"/>
              </w:rPr>
              <w:t>,636.65</w:t>
            </w:r>
          </w:p>
        </w:tc>
      </w:tr>
      <w:tr>
        <w:trPr>
          <w:trHeight w:val="161" w:hRule="exact"/>
        </w:trPr>
        <w:tc>
          <w:tcPr>
            <w:tcW w:w="1415" w:type="dxa"/>
            <w:tcBorders>
              <w:top w:val="single" w:sz="4" w:space="0" w:color="000000"/>
              <w:left w:val="single" w:sz="4" w:space="0" w:color="000000"/>
              <w:bottom w:val="nil" w:sz="6" w:space="0" w:color="auto"/>
              <w:right w:val="single" w:sz="4" w:space="0" w:color="000000"/>
            </w:tcBorders>
            <w:shd w:val="clear" w:color="auto" w:fill="D2D2D2"/>
          </w:tcPr>
          <w:p>
            <w:pPr/>
          </w:p>
        </w:tc>
        <w:tc>
          <w:tcPr>
            <w:tcW w:w="574" w:type="dxa"/>
            <w:vMerge w:val="restart"/>
            <w:tcBorders>
              <w:top w:val="single" w:sz="4" w:space="0" w:color="000000"/>
              <w:left w:val="single" w:sz="9" w:space="0" w:color="D2D2D2"/>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10,928</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,561.0</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w:t>
            </w:r>
          </w:p>
        </w:tc>
        <w:tc>
          <w:tcPr>
            <w:tcW w:w="530" w:type="dxa"/>
            <w:vMerge w:val="restart"/>
            <w:tcBorders>
              <w:top w:val="single" w:sz="4" w:space="0" w:color="000000"/>
              <w:left w:val="single" w:sz="4" w:space="0" w:color="000000"/>
              <w:right w:val="single" w:sz="4" w:space="0" w:color="000000"/>
            </w:tcBorders>
          </w:tcPr>
          <w:p>
            <w:pPr/>
          </w:p>
        </w:tc>
        <w:tc>
          <w:tcPr>
            <w:tcW w:w="532" w:type="dxa"/>
            <w:vMerge w:val="restart"/>
            <w:tcBorders>
              <w:top w:val="single" w:sz="4" w:space="0" w:color="000000"/>
              <w:left w:val="single" w:sz="4" w:space="0" w:color="000000"/>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134,838</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,659.60</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-10,735,</w:t>
            </w:r>
          </w:p>
          <w:p>
            <w:pPr>
              <w:pStyle w:val="TableParagraph"/>
              <w:spacing w:line="240" w:lineRule="auto" w:before="106"/>
              <w:ind w:left="113" w:right="0"/>
              <w:jc w:val="center"/>
              <w:rPr>
                <w:rFonts w:ascii="Times New Roman" w:hAnsi="Times New Roman" w:cs="Times New Roman" w:eastAsia="Times New Roman" w:hint="default"/>
                <w:sz w:val="18"/>
                <w:szCs w:val="18"/>
              </w:rPr>
            </w:pPr>
            <w:r>
              <w:rPr>
                <w:rFonts w:ascii="Times New Roman"/>
                <w:sz w:val="18"/>
              </w:rPr>
              <w:t>380.00</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4" w:type="dxa"/>
            <w:vMerge w:val="restart"/>
            <w:tcBorders>
              <w:top w:val="single" w:sz="4" w:space="0" w:color="000000"/>
              <w:left w:val="single" w:sz="4" w:space="0" w:color="000000"/>
              <w:right w:val="single" w:sz="4" w:space="0" w:color="000000"/>
            </w:tcBorders>
          </w:tcPr>
          <w:p>
            <w:pPr/>
          </w:p>
        </w:tc>
        <w:tc>
          <w:tcPr>
            <w:tcW w:w="666"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15,332,</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202.03</w:t>
            </w:r>
          </w:p>
        </w:tc>
        <w:tc>
          <w:tcPr>
            <w:tcW w:w="659"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171,834</w:t>
            </w:r>
          </w:p>
          <w:p>
            <w:pPr>
              <w:pStyle w:val="TableParagraph"/>
              <w:spacing w:line="240" w:lineRule="auto" w:before="106"/>
              <w:ind w:left="85" w:right="0"/>
              <w:jc w:val="left"/>
              <w:rPr>
                <w:rFonts w:ascii="Times New Roman" w:hAnsi="Times New Roman" w:cs="Times New Roman" w:eastAsia="Times New Roman" w:hint="default"/>
                <w:sz w:val="18"/>
                <w:szCs w:val="18"/>
              </w:rPr>
            </w:pPr>
            <w:r>
              <w:rPr>
                <w:rFonts w:ascii="Times New Roman"/>
                <w:sz w:val="18"/>
              </w:rPr>
              <w:t>,802.63</w:t>
            </w:r>
          </w:p>
        </w:tc>
      </w:tr>
      <w:tr>
        <w:trPr>
          <w:trHeight w:val="704" w:hRule="exact"/>
        </w:trPr>
        <w:tc>
          <w:tcPr>
            <w:tcW w:w="14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9" w:lineRule="auto" w:before="51"/>
              <w:ind w:left="11" w:right="9"/>
              <w:jc w:val="left"/>
              <w:rPr>
                <w:rFonts w:ascii="宋体" w:hAnsi="宋体" w:cs="宋体" w:eastAsia="宋体" w:hint="default"/>
                <w:sz w:val="18"/>
                <w:szCs w:val="18"/>
              </w:rPr>
            </w:pPr>
            <w:r>
              <w:rPr>
                <w:rFonts w:ascii="宋体" w:hAnsi="宋体" w:cs="宋体" w:eastAsia="宋体" w:hint="default"/>
                <w:spacing w:val="-8"/>
                <w:sz w:val="18"/>
                <w:szCs w:val="18"/>
              </w:rPr>
              <w:t>（二）所有者投入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和减少资本</w:t>
            </w:r>
          </w:p>
        </w:tc>
        <w:tc>
          <w:tcPr>
            <w:tcW w:w="574" w:type="dxa"/>
            <w:vMerge/>
            <w:tcBorders>
              <w:left w:val="single" w:sz="9" w:space="0" w:color="D2D2D2"/>
              <w:right w:val="single" w:sz="4" w:space="0" w:color="000000"/>
            </w:tcBorders>
          </w:tcPr>
          <w:p>
            <w:pPr/>
          </w:p>
        </w:tc>
        <w:tc>
          <w:tcPr>
            <w:tcW w:w="530" w:type="dxa"/>
            <w:vMerge/>
            <w:tcBorders>
              <w:left w:val="single" w:sz="4" w:space="0" w:color="000000"/>
              <w:right w:val="single" w:sz="4" w:space="0" w:color="000000"/>
            </w:tcBorders>
          </w:tcPr>
          <w:p>
            <w:pPr/>
          </w:p>
        </w:tc>
        <w:tc>
          <w:tcPr>
            <w:tcW w:w="532"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4" w:type="dxa"/>
            <w:vMerge/>
            <w:tcBorders>
              <w:left w:val="single" w:sz="4" w:space="0" w:color="000000"/>
              <w:right w:val="single" w:sz="4" w:space="0" w:color="000000"/>
            </w:tcBorders>
          </w:tcPr>
          <w:p>
            <w:pPr/>
          </w:p>
        </w:tc>
        <w:tc>
          <w:tcPr>
            <w:tcW w:w="666"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59" w:type="dxa"/>
            <w:vMerge/>
            <w:tcBorders>
              <w:left w:val="single" w:sz="4" w:space="0" w:color="000000"/>
              <w:right w:val="single" w:sz="4" w:space="0" w:color="000000"/>
            </w:tcBorders>
          </w:tcPr>
          <w:p>
            <w:pPr/>
          </w:p>
        </w:tc>
      </w:tr>
      <w:tr>
        <w:trPr>
          <w:trHeight w:val="161" w:hRule="exact"/>
        </w:trPr>
        <w:tc>
          <w:tcPr>
            <w:tcW w:w="1415" w:type="dxa"/>
            <w:tcBorders>
              <w:top w:val="nil" w:sz="6" w:space="0" w:color="auto"/>
              <w:left w:val="single" w:sz="4" w:space="0" w:color="000000"/>
              <w:bottom w:val="single" w:sz="4" w:space="0" w:color="000000"/>
              <w:right w:val="single" w:sz="4" w:space="0" w:color="000000"/>
            </w:tcBorders>
            <w:shd w:val="clear" w:color="auto" w:fill="D2D2D2"/>
          </w:tcPr>
          <w:p>
            <w:pPr/>
          </w:p>
        </w:tc>
        <w:tc>
          <w:tcPr>
            <w:tcW w:w="574" w:type="dxa"/>
            <w:vMerge/>
            <w:tcBorders>
              <w:left w:val="single" w:sz="9" w:space="0" w:color="D2D2D2"/>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532"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4" w:type="dxa"/>
            <w:vMerge/>
            <w:tcBorders>
              <w:left w:val="single" w:sz="4" w:space="0" w:color="000000"/>
              <w:bottom w:val="single" w:sz="4" w:space="0" w:color="000000"/>
              <w:right w:val="single" w:sz="4" w:space="0" w:color="000000"/>
            </w:tcBorders>
          </w:tcPr>
          <w:p>
            <w:pPr/>
          </w:p>
        </w:tc>
        <w:tc>
          <w:tcPr>
            <w:tcW w:w="666"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59" w:type="dxa"/>
            <w:vMerge/>
            <w:tcBorders>
              <w:left w:val="single" w:sz="4" w:space="0" w:color="000000"/>
              <w:bottom w:val="single" w:sz="4" w:space="0" w:color="000000"/>
              <w:right w:val="single" w:sz="4" w:space="0" w:color="000000"/>
            </w:tcBorders>
          </w:tcPr>
          <w:p>
            <w:pPr/>
          </w:p>
        </w:tc>
      </w:tr>
      <w:tr>
        <w:trPr>
          <w:trHeight w:val="161" w:hRule="exact"/>
        </w:trPr>
        <w:tc>
          <w:tcPr>
            <w:tcW w:w="1415" w:type="dxa"/>
            <w:tcBorders>
              <w:top w:val="single" w:sz="4" w:space="0" w:color="000000"/>
              <w:left w:val="single" w:sz="4" w:space="0" w:color="000000"/>
              <w:bottom w:val="nil" w:sz="6" w:space="0" w:color="auto"/>
              <w:right w:val="single" w:sz="4" w:space="0" w:color="000000"/>
            </w:tcBorders>
            <w:shd w:val="clear" w:color="auto" w:fill="D2D2D2"/>
          </w:tcPr>
          <w:p>
            <w:pPr/>
          </w:p>
        </w:tc>
        <w:tc>
          <w:tcPr>
            <w:tcW w:w="574" w:type="dxa"/>
            <w:vMerge w:val="restart"/>
            <w:tcBorders>
              <w:top w:val="single" w:sz="4" w:space="0" w:color="000000"/>
              <w:left w:val="single" w:sz="9" w:space="0" w:color="D2D2D2"/>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10,928</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,561.0</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w:t>
            </w:r>
          </w:p>
        </w:tc>
        <w:tc>
          <w:tcPr>
            <w:tcW w:w="530" w:type="dxa"/>
            <w:vMerge w:val="restart"/>
            <w:tcBorders>
              <w:top w:val="single" w:sz="4" w:space="0" w:color="000000"/>
              <w:left w:val="single" w:sz="4" w:space="0" w:color="000000"/>
              <w:right w:val="single" w:sz="4" w:space="0" w:color="000000"/>
            </w:tcBorders>
          </w:tcPr>
          <w:p>
            <w:pPr/>
          </w:p>
        </w:tc>
        <w:tc>
          <w:tcPr>
            <w:tcW w:w="532" w:type="dxa"/>
            <w:vMerge w:val="restart"/>
            <w:tcBorders>
              <w:top w:val="single" w:sz="4" w:space="0" w:color="000000"/>
              <w:left w:val="single" w:sz="4" w:space="0" w:color="000000"/>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125,408</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,579.60</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4" w:type="dxa"/>
            <w:vMerge w:val="restart"/>
            <w:tcBorders>
              <w:top w:val="single" w:sz="4" w:space="0" w:color="000000"/>
              <w:left w:val="single" w:sz="4" w:space="0" w:color="000000"/>
              <w:right w:val="single" w:sz="4" w:space="0" w:color="000000"/>
            </w:tcBorders>
          </w:tcPr>
          <w:p>
            <w:pPr/>
          </w:p>
        </w:tc>
        <w:tc>
          <w:tcPr>
            <w:tcW w:w="666"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15,332,</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202.03</w:t>
            </w:r>
          </w:p>
        </w:tc>
        <w:tc>
          <w:tcPr>
            <w:tcW w:w="659"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151,669</w:t>
            </w:r>
          </w:p>
          <w:p>
            <w:pPr>
              <w:pStyle w:val="TableParagraph"/>
              <w:spacing w:line="240" w:lineRule="auto" w:before="106"/>
              <w:ind w:left="85" w:right="0"/>
              <w:jc w:val="left"/>
              <w:rPr>
                <w:rFonts w:ascii="Times New Roman" w:hAnsi="Times New Roman" w:cs="Times New Roman" w:eastAsia="Times New Roman" w:hint="default"/>
                <w:sz w:val="18"/>
                <w:szCs w:val="18"/>
              </w:rPr>
            </w:pPr>
            <w:r>
              <w:rPr>
                <w:rFonts w:ascii="Times New Roman"/>
                <w:sz w:val="18"/>
              </w:rPr>
              <w:t>,342.63</w:t>
            </w:r>
          </w:p>
        </w:tc>
      </w:tr>
      <w:tr>
        <w:trPr>
          <w:trHeight w:val="704" w:hRule="exact"/>
        </w:trPr>
        <w:tc>
          <w:tcPr>
            <w:tcW w:w="14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02" w:lineRule="auto" w:before="51"/>
              <w:ind w:left="11" w:right="42"/>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．股东投入的普 通股</w:t>
            </w:r>
          </w:p>
        </w:tc>
        <w:tc>
          <w:tcPr>
            <w:tcW w:w="574" w:type="dxa"/>
            <w:vMerge/>
            <w:tcBorders>
              <w:left w:val="single" w:sz="9" w:space="0" w:color="D2D2D2"/>
              <w:right w:val="single" w:sz="4" w:space="0" w:color="000000"/>
            </w:tcBorders>
          </w:tcPr>
          <w:p>
            <w:pPr/>
          </w:p>
        </w:tc>
        <w:tc>
          <w:tcPr>
            <w:tcW w:w="530" w:type="dxa"/>
            <w:vMerge/>
            <w:tcBorders>
              <w:left w:val="single" w:sz="4" w:space="0" w:color="000000"/>
              <w:right w:val="single" w:sz="4" w:space="0" w:color="000000"/>
            </w:tcBorders>
          </w:tcPr>
          <w:p>
            <w:pPr/>
          </w:p>
        </w:tc>
        <w:tc>
          <w:tcPr>
            <w:tcW w:w="532"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4" w:type="dxa"/>
            <w:vMerge/>
            <w:tcBorders>
              <w:left w:val="single" w:sz="4" w:space="0" w:color="000000"/>
              <w:right w:val="single" w:sz="4" w:space="0" w:color="000000"/>
            </w:tcBorders>
          </w:tcPr>
          <w:p>
            <w:pPr/>
          </w:p>
        </w:tc>
        <w:tc>
          <w:tcPr>
            <w:tcW w:w="666"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59" w:type="dxa"/>
            <w:vMerge/>
            <w:tcBorders>
              <w:left w:val="single" w:sz="4" w:space="0" w:color="000000"/>
              <w:right w:val="single" w:sz="4" w:space="0" w:color="000000"/>
            </w:tcBorders>
          </w:tcPr>
          <w:p>
            <w:pPr/>
          </w:p>
        </w:tc>
      </w:tr>
      <w:tr>
        <w:trPr>
          <w:trHeight w:val="161" w:hRule="exact"/>
        </w:trPr>
        <w:tc>
          <w:tcPr>
            <w:tcW w:w="1415" w:type="dxa"/>
            <w:tcBorders>
              <w:top w:val="nil" w:sz="6" w:space="0" w:color="auto"/>
              <w:left w:val="single" w:sz="4" w:space="0" w:color="000000"/>
              <w:bottom w:val="single" w:sz="4" w:space="0" w:color="000000"/>
              <w:right w:val="single" w:sz="4" w:space="0" w:color="000000"/>
            </w:tcBorders>
            <w:shd w:val="clear" w:color="auto" w:fill="D2D2D2"/>
          </w:tcPr>
          <w:p>
            <w:pPr/>
          </w:p>
        </w:tc>
        <w:tc>
          <w:tcPr>
            <w:tcW w:w="574" w:type="dxa"/>
            <w:vMerge/>
            <w:tcBorders>
              <w:left w:val="single" w:sz="9" w:space="0" w:color="D2D2D2"/>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532"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4" w:type="dxa"/>
            <w:vMerge/>
            <w:tcBorders>
              <w:left w:val="single" w:sz="4" w:space="0" w:color="000000"/>
              <w:bottom w:val="single" w:sz="4" w:space="0" w:color="000000"/>
              <w:right w:val="single" w:sz="4" w:space="0" w:color="000000"/>
            </w:tcBorders>
          </w:tcPr>
          <w:p>
            <w:pPr/>
          </w:p>
        </w:tc>
        <w:tc>
          <w:tcPr>
            <w:tcW w:w="666"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59" w:type="dxa"/>
            <w:vMerge/>
            <w:tcBorders>
              <w:left w:val="single" w:sz="4" w:space="0" w:color="000000"/>
              <w:bottom w:val="single" w:sz="4" w:space="0" w:color="000000"/>
              <w:right w:val="single" w:sz="4" w:space="0" w:color="000000"/>
            </w:tcBorders>
          </w:tcPr>
          <w:p>
            <w:pPr/>
          </w:p>
        </w:tc>
      </w:tr>
      <w:tr>
        <w:trPr>
          <w:trHeight w:val="714"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1" w:right="42"/>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574"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1" w:right="42"/>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 额</w:t>
            </w:r>
          </w:p>
        </w:tc>
        <w:tc>
          <w:tcPr>
            <w:tcW w:w="574"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7" w:right="0"/>
              <w:jc w:val="center"/>
              <w:rPr>
                <w:rFonts w:ascii="Times New Roman" w:hAnsi="Times New Roman" w:cs="Times New Roman" w:eastAsia="Times New Roman" w:hint="default"/>
                <w:sz w:val="18"/>
                <w:szCs w:val="18"/>
              </w:rPr>
            </w:pPr>
            <w:r>
              <w:rPr>
                <w:rFonts w:ascii="Times New Roman"/>
                <w:sz w:val="18"/>
              </w:rPr>
              <w:t>9,430,0</w:t>
            </w:r>
          </w:p>
          <w:p>
            <w:pPr>
              <w:pStyle w:val="TableParagraph"/>
              <w:spacing w:line="240" w:lineRule="auto" w:before="106"/>
              <w:ind w:left="204" w:right="0"/>
              <w:jc w:val="center"/>
              <w:rPr>
                <w:rFonts w:ascii="Times New Roman" w:hAnsi="Times New Roman" w:cs="Times New Roman" w:eastAsia="Times New Roman" w:hint="default"/>
                <w:sz w:val="18"/>
                <w:szCs w:val="18"/>
              </w:rPr>
            </w:pPr>
            <w:r>
              <w:rPr>
                <w:rFonts w:ascii="Times New Roman"/>
                <w:sz w:val="18"/>
              </w:rPr>
              <w:t>80.00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-10,735,</w:t>
            </w:r>
          </w:p>
          <w:p>
            <w:pPr>
              <w:pStyle w:val="TableParagraph"/>
              <w:spacing w:line="240" w:lineRule="auto" w:before="106"/>
              <w:ind w:left="113" w:right="0"/>
              <w:jc w:val="center"/>
              <w:rPr>
                <w:rFonts w:ascii="Times New Roman" w:hAnsi="Times New Roman" w:cs="Times New Roman" w:eastAsia="Times New Roman" w:hint="default"/>
                <w:sz w:val="18"/>
                <w:szCs w:val="18"/>
              </w:rPr>
            </w:pPr>
            <w:r>
              <w:rPr>
                <w:rFonts w:ascii="Times New Roman"/>
                <w:sz w:val="18"/>
              </w:rPr>
              <w:t>380.00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85" w:right="0"/>
              <w:jc w:val="left"/>
              <w:rPr>
                <w:rFonts w:ascii="Times New Roman" w:hAnsi="Times New Roman" w:cs="Times New Roman" w:eastAsia="Times New Roman" w:hint="default"/>
                <w:sz w:val="18"/>
                <w:szCs w:val="18"/>
              </w:rPr>
            </w:pPr>
            <w:r>
              <w:rPr>
                <w:rFonts w:ascii="Times New Roman"/>
                <w:sz w:val="18"/>
              </w:rPr>
              <w:t>20,165,</w:t>
            </w:r>
          </w:p>
          <w:p>
            <w:pPr>
              <w:pStyle w:val="TableParagraph"/>
              <w:spacing w:line="240" w:lineRule="auto" w:before="106"/>
              <w:ind w:left="130" w:right="0"/>
              <w:jc w:val="left"/>
              <w:rPr>
                <w:rFonts w:ascii="Times New Roman" w:hAnsi="Times New Roman" w:cs="Times New Roman" w:eastAsia="Times New Roman" w:hint="default"/>
                <w:sz w:val="18"/>
                <w:szCs w:val="18"/>
              </w:rPr>
            </w:pPr>
            <w:r>
              <w:rPr>
                <w:rFonts w:ascii="Times New Roman"/>
                <w:sz w:val="18"/>
              </w:rPr>
              <w:t>460.00</w:t>
            </w:r>
          </w:p>
        </w:tc>
      </w:tr>
      <w:tr>
        <w:trPr>
          <w:trHeight w:val="402"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74"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61" w:hRule="exact"/>
        </w:trPr>
        <w:tc>
          <w:tcPr>
            <w:tcW w:w="1415" w:type="dxa"/>
            <w:tcBorders>
              <w:top w:val="single" w:sz="4" w:space="0" w:color="000000"/>
              <w:left w:val="single" w:sz="4" w:space="0" w:color="000000"/>
              <w:bottom w:val="nil" w:sz="6" w:space="0" w:color="auto"/>
              <w:right w:val="single" w:sz="4" w:space="0" w:color="000000"/>
            </w:tcBorders>
            <w:shd w:val="clear" w:color="auto" w:fill="D2D2D2"/>
          </w:tcPr>
          <w:p>
            <w:pPr/>
          </w:p>
        </w:tc>
        <w:tc>
          <w:tcPr>
            <w:tcW w:w="574" w:type="dxa"/>
            <w:vMerge w:val="restart"/>
            <w:tcBorders>
              <w:top w:val="single" w:sz="4" w:space="0" w:color="000000"/>
              <w:left w:val="single" w:sz="9" w:space="0" w:color="D2D2D2"/>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532" w:type="dxa"/>
            <w:vMerge w:val="restart"/>
            <w:tcBorders>
              <w:top w:val="single" w:sz="4" w:space="0" w:color="000000"/>
              <w:left w:val="single" w:sz="4" w:space="0" w:color="000000"/>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4" w:type="dxa"/>
            <w:vMerge w:val="restart"/>
            <w:tcBorders>
              <w:top w:val="single" w:sz="4" w:space="0" w:color="000000"/>
              <w:left w:val="single" w:sz="4" w:space="0" w:color="000000"/>
              <w:right w:val="single" w:sz="4" w:space="0" w:color="000000"/>
            </w:tcBorders>
          </w:tcPr>
          <w:p>
            <w:pPr>
              <w:pStyle w:val="TableParagraph"/>
              <w:spacing w:line="240" w:lineRule="auto" w:before="91"/>
              <w:ind w:left="69" w:right="0"/>
              <w:jc w:val="center"/>
              <w:rPr>
                <w:rFonts w:ascii="Times New Roman" w:hAnsi="Times New Roman" w:cs="Times New Roman" w:eastAsia="Times New Roman" w:hint="default"/>
                <w:sz w:val="18"/>
                <w:szCs w:val="18"/>
              </w:rPr>
            </w:pPr>
            <w:r>
              <w:rPr>
                <w:rFonts w:ascii="Times New Roman"/>
                <w:sz w:val="18"/>
              </w:rPr>
              <w:t>3,168,6</w:t>
            </w:r>
          </w:p>
          <w:p>
            <w:pPr>
              <w:pStyle w:val="TableParagraph"/>
              <w:spacing w:line="240" w:lineRule="auto" w:before="106"/>
              <w:ind w:left="204" w:right="0"/>
              <w:jc w:val="center"/>
              <w:rPr>
                <w:rFonts w:ascii="Times New Roman" w:hAnsi="Times New Roman" w:cs="Times New Roman" w:eastAsia="Times New Roman" w:hint="default"/>
                <w:sz w:val="18"/>
                <w:szCs w:val="18"/>
              </w:rPr>
            </w:pPr>
            <w:r>
              <w:rPr>
                <w:rFonts w:ascii="Times New Roman"/>
                <w:sz w:val="18"/>
              </w:rPr>
              <w:t>28.89</w:t>
            </w:r>
          </w:p>
        </w:tc>
        <w:tc>
          <w:tcPr>
            <w:tcW w:w="666"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-43,927,</w:t>
            </w:r>
          </w:p>
          <w:p>
            <w:pPr>
              <w:pStyle w:val="TableParagraph"/>
              <w:spacing w:line="240" w:lineRule="auto" w:before="106"/>
              <w:ind w:left="113" w:right="0"/>
              <w:jc w:val="center"/>
              <w:rPr>
                <w:rFonts w:ascii="Times New Roman" w:hAnsi="Times New Roman" w:cs="Times New Roman" w:eastAsia="Times New Roman" w:hint="default"/>
                <w:sz w:val="18"/>
                <w:szCs w:val="18"/>
              </w:rPr>
            </w:pPr>
            <w:r>
              <w:rPr>
                <w:rFonts w:ascii="Times New Roman"/>
                <w:sz w:val="18"/>
              </w:rPr>
              <w:t>684.49</w:t>
            </w:r>
          </w:p>
        </w:tc>
        <w:tc>
          <w:tcPr>
            <w:tcW w:w="665" w:type="dxa"/>
            <w:vMerge w:val="restart"/>
            <w:tcBorders>
              <w:top w:val="single" w:sz="4" w:space="0" w:color="000000"/>
              <w:left w:val="single" w:sz="4" w:space="0" w:color="000000"/>
              <w:right w:val="single" w:sz="4" w:space="0" w:color="000000"/>
            </w:tcBorders>
          </w:tcPr>
          <w:p>
            <w:pPr/>
          </w:p>
        </w:tc>
        <w:tc>
          <w:tcPr>
            <w:tcW w:w="659" w:type="dxa"/>
            <w:vMerge w:val="restart"/>
            <w:tcBorders>
              <w:top w:val="single" w:sz="4" w:space="0" w:color="000000"/>
              <w:left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-40,759,</w:t>
            </w:r>
          </w:p>
          <w:p>
            <w:pPr>
              <w:pStyle w:val="TableParagraph"/>
              <w:spacing w:line="240" w:lineRule="auto" w:before="106"/>
              <w:ind w:left="107" w:right="0"/>
              <w:jc w:val="center"/>
              <w:rPr>
                <w:rFonts w:ascii="Times New Roman" w:hAnsi="Times New Roman" w:cs="Times New Roman" w:eastAsia="Times New Roman" w:hint="default"/>
                <w:sz w:val="18"/>
                <w:szCs w:val="18"/>
              </w:rPr>
            </w:pPr>
            <w:r>
              <w:rPr>
                <w:rFonts w:ascii="Times New Roman"/>
                <w:sz w:val="18"/>
              </w:rPr>
              <w:t>055.60</w:t>
            </w:r>
          </w:p>
        </w:tc>
      </w:tr>
      <w:tr>
        <w:trPr>
          <w:trHeight w:val="392" w:hRule="exact"/>
        </w:trPr>
        <w:tc>
          <w:tcPr>
            <w:tcW w:w="14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574" w:type="dxa"/>
            <w:vMerge/>
            <w:tcBorders>
              <w:left w:val="single" w:sz="9" w:space="0" w:color="D2D2D2"/>
              <w:right w:val="single" w:sz="4" w:space="0" w:color="000000"/>
            </w:tcBorders>
          </w:tcPr>
          <w:p>
            <w:pPr/>
          </w:p>
        </w:tc>
        <w:tc>
          <w:tcPr>
            <w:tcW w:w="530" w:type="dxa"/>
            <w:vMerge/>
            <w:tcBorders>
              <w:left w:val="single" w:sz="4" w:space="0" w:color="000000"/>
              <w:right w:val="single" w:sz="4" w:space="0" w:color="000000"/>
            </w:tcBorders>
          </w:tcPr>
          <w:p>
            <w:pPr/>
          </w:p>
        </w:tc>
        <w:tc>
          <w:tcPr>
            <w:tcW w:w="532"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4" w:type="dxa"/>
            <w:vMerge/>
            <w:tcBorders>
              <w:left w:val="single" w:sz="4" w:space="0" w:color="000000"/>
              <w:right w:val="single" w:sz="4" w:space="0" w:color="000000"/>
            </w:tcBorders>
          </w:tcPr>
          <w:p>
            <w:pPr/>
          </w:p>
        </w:tc>
        <w:tc>
          <w:tcPr>
            <w:tcW w:w="666"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59" w:type="dxa"/>
            <w:vMerge/>
            <w:tcBorders>
              <w:left w:val="single" w:sz="4" w:space="0" w:color="000000"/>
              <w:right w:val="single" w:sz="4" w:space="0" w:color="000000"/>
            </w:tcBorders>
          </w:tcPr>
          <w:p>
            <w:pPr/>
          </w:p>
        </w:tc>
      </w:tr>
      <w:tr>
        <w:trPr>
          <w:trHeight w:val="161" w:hRule="exact"/>
        </w:trPr>
        <w:tc>
          <w:tcPr>
            <w:tcW w:w="1415" w:type="dxa"/>
            <w:tcBorders>
              <w:top w:val="nil" w:sz="6" w:space="0" w:color="auto"/>
              <w:left w:val="single" w:sz="4" w:space="0" w:color="000000"/>
              <w:bottom w:val="single" w:sz="4" w:space="0" w:color="000000"/>
              <w:right w:val="single" w:sz="4" w:space="0" w:color="000000"/>
            </w:tcBorders>
            <w:shd w:val="clear" w:color="auto" w:fill="D2D2D2"/>
          </w:tcPr>
          <w:p>
            <w:pPr/>
          </w:p>
        </w:tc>
        <w:tc>
          <w:tcPr>
            <w:tcW w:w="574" w:type="dxa"/>
            <w:vMerge/>
            <w:tcBorders>
              <w:left w:val="single" w:sz="9" w:space="0" w:color="D2D2D2"/>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532"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4" w:type="dxa"/>
            <w:vMerge/>
            <w:tcBorders>
              <w:left w:val="single" w:sz="4" w:space="0" w:color="000000"/>
              <w:bottom w:val="single" w:sz="4" w:space="0" w:color="000000"/>
              <w:right w:val="single" w:sz="4" w:space="0" w:color="000000"/>
            </w:tcBorders>
          </w:tcPr>
          <w:p>
            <w:pPr/>
          </w:p>
        </w:tc>
        <w:tc>
          <w:tcPr>
            <w:tcW w:w="666"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59" w:type="dxa"/>
            <w:vMerge/>
            <w:tcBorders>
              <w:left w:val="single" w:sz="4" w:space="0" w:color="000000"/>
              <w:bottom w:val="single" w:sz="4" w:space="0" w:color="000000"/>
              <w:right w:val="single" w:sz="4" w:space="0" w:color="000000"/>
            </w:tcBorders>
          </w:tcPr>
          <w:p>
            <w:pPr/>
          </w:p>
        </w:tc>
      </w:tr>
      <w:tr>
        <w:trPr>
          <w:trHeight w:val="161" w:hRule="exact"/>
        </w:trPr>
        <w:tc>
          <w:tcPr>
            <w:tcW w:w="1415" w:type="dxa"/>
            <w:tcBorders>
              <w:top w:val="single" w:sz="4" w:space="0" w:color="000000"/>
              <w:left w:val="single" w:sz="4" w:space="0" w:color="000000"/>
              <w:bottom w:val="nil" w:sz="6" w:space="0" w:color="auto"/>
              <w:right w:val="single" w:sz="4" w:space="0" w:color="000000"/>
            </w:tcBorders>
            <w:shd w:val="clear" w:color="auto" w:fill="D2D2D2"/>
          </w:tcPr>
          <w:p>
            <w:pPr/>
          </w:p>
        </w:tc>
        <w:tc>
          <w:tcPr>
            <w:tcW w:w="574" w:type="dxa"/>
            <w:vMerge w:val="restart"/>
            <w:tcBorders>
              <w:top w:val="single" w:sz="4" w:space="0" w:color="000000"/>
              <w:left w:val="single" w:sz="9" w:space="0" w:color="D2D2D2"/>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532" w:type="dxa"/>
            <w:vMerge w:val="restart"/>
            <w:tcBorders>
              <w:top w:val="single" w:sz="4" w:space="0" w:color="000000"/>
              <w:left w:val="single" w:sz="4" w:space="0" w:color="000000"/>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4" w:type="dxa"/>
            <w:vMerge w:val="restart"/>
            <w:tcBorders>
              <w:top w:val="single" w:sz="4" w:space="0" w:color="000000"/>
              <w:left w:val="single" w:sz="4" w:space="0" w:color="000000"/>
              <w:right w:val="single" w:sz="4" w:space="0" w:color="000000"/>
            </w:tcBorders>
          </w:tcPr>
          <w:p>
            <w:pPr>
              <w:pStyle w:val="TableParagraph"/>
              <w:spacing w:line="240" w:lineRule="auto" w:before="91"/>
              <w:ind w:left="69" w:right="0"/>
              <w:jc w:val="center"/>
              <w:rPr>
                <w:rFonts w:ascii="Times New Roman" w:hAnsi="Times New Roman" w:cs="Times New Roman" w:eastAsia="Times New Roman" w:hint="default"/>
                <w:sz w:val="18"/>
                <w:szCs w:val="18"/>
              </w:rPr>
            </w:pPr>
            <w:r>
              <w:rPr>
                <w:rFonts w:ascii="Times New Roman"/>
                <w:sz w:val="18"/>
              </w:rPr>
              <w:t>3,168,6</w:t>
            </w:r>
          </w:p>
          <w:p>
            <w:pPr>
              <w:pStyle w:val="TableParagraph"/>
              <w:spacing w:line="240" w:lineRule="auto" w:before="106"/>
              <w:ind w:left="204" w:right="0"/>
              <w:jc w:val="center"/>
              <w:rPr>
                <w:rFonts w:ascii="Times New Roman" w:hAnsi="Times New Roman" w:cs="Times New Roman" w:eastAsia="Times New Roman" w:hint="default"/>
                <w:sz w:val="18"/>
                <w:szCs w:val="18"/>
              </w:rPr>
            </w:pPr>
            <w:r>
              <w:rPr>
                <w:rFonts w:ascii="Times New Roman"/>
                <w:sz w:val="18"/>
              </w:rPr>
              <w:t>28.89</w:t>
            </w:r>
          </w:p>
        </w:tc>
        <w:tc>
          <w:tcPr>
            <w:tcW w:w="666"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-3,168,6</w:t>
            </w:r>
          </w:p>
          <w:p>
            <w:pPr>
              <w:pStyle w:val="TableParagraph"/>
              <w:spacing w:line="240" w:lineRule="auto" w:before="106"/>
              <w:ind w:left="203" w:right="0"/>
              <w:jc w:val="center"/>
              <w:rPr>
                <w:rFonts w:ascii="Times New Roman" w:hAnsi="Times New Roman" w:cs="Times New Roman" w:eastAsia="Times New Roman" w:hint="default"/>
                <w:sz w:val="18"/>
                <w:szCs w:val="18"/>
              </w:rPr>
            </w:pPr>
            <w:r>
              <w:rPr>
                <w:rFonts w:ascii="Times New Roman"/>
                <w:sz w:val="18"/>
              </w:rPr>
              <w:t>28.89</w:t>
            </w:r>
          </w:p>
        </w:tc>
        <w:tc>
          <w:tcPr>
            <w:tcW w:w="665" w:type="dxa"/>
            <w:vMerge w:val="restart"/>
            <w:tcBorders>
              <w:top w:val="single" w:sz="4" w:space="0" w:color="000000"/>
              <w:left w:val="single" w:sz="4" w:space="0" w:color="000000"/>
              <w:right w:val="single" w:sz="4" w:space="0" w:color="000000"/>
            </w:tcBorders>
          </w:tcPr>
          <w:p>
            <w:pPr/>
          </w:p>
        </w:tc>
        <w:tc>
          <w:tcPr>
            <w:tcW w:w="659" w:type="dxa"/>
            <w:vMerge w:val="restart"/>
            <w:tcBorders>
              <w:top w:val="single" w:sz="4" w:space="0" w:color="000000"/>
              <w:left w:val="single" w:sz="4" w:space="0" w:color="000000"/>
              <w:right w:val="single" w:sz="4" w:space="0" w:color="000000"/>
            </w:tcBorders>
          </w:tcPr>
          <w:p>
            <w:pPr/>
          </w:p>
        </w:tc>
      </w:tr>
      <w:tr>
        <w:trPr>
          <w:trHeight w:val="392" w:hRule="exact"/>
        </w:trPr>
        <w:tc>
          <w:tcPr>
            <w:tcW w:w="14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574" w:type="dxa"/>
            <w:vMerge/>
            <w:tcBorders>
              <w:left w:val="single" w:sz="9" w:space="0" w:color="D2D2D2"/>
              <w:right w:val="single" w:sz="4" w:space="0" w:color="000000"/>
            </w:tcBorders>
          </w:tcPr>
          <w:p>
            <w:pPr/>
          </w:p>
        </w:tc>
        <w:tc>
          <w:tcPr>
            <w:tcW w:w="530" w:type="dxa"/>
            <w:vMerge/>
            <w:tcBorders>
              <w:left w:val="single" w:sz="4" w:space="0" w:color="000000"/>
              <w:right w:val="single" w:sz="4" w:space="0" w:color="000000"/>
            </w:tcBorders>
          </w:tcPr>
          <w:p>
            <w:pPr/>
          </w:p>
        </w:tc>
        <w:tc>
          <w:tcPr>
            <w:tcW w:w="532"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4" w:type="dxa"/>
            <w:vMerge/>
            <w:tcBorders>
              <w:left w:val="single" w:sz="4" w:space="0" w:color="000000"/>
              <w:right w:val="single" w:sz="4" w:space="0" w:color="000000"/>
            </w:tcBorders>
          </w:tcPr>
          <w:p>
            <w:pPr/>
          </w:p>
        </w:tc>
        <w:tc>
          <w:tcPr>
            <w:tcW w:w="666"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59" w:type="dxa"/>
            <w:vMerge/>
            <w:tcBorders>
              <w:left w:val="single" w:sz="4" w:space="0" w:color="000000"/>
              <w:right w:val="single" w:sz="4" w:space="0" w:color="000000"/>
            </w:tcBorders>
          </w:tcPr>
          <w:p>
            <w:pPr/>
          </w:p>
        </w:tc>
      </w:tr>
      <w:tr>
        <w:trPr>
          <w:trHeight w:val="161" w:hRule="exact"/>
        </w:trPr>
        <w:tc>
          <w:tcPr>
            <w:tcW w:w="1415" w:type="dxa"/>
            <w:tcBorders>
              <w:top w:val="nil" w:sz="6" w:space="0" w:color="auto"/>
              <w:left w:val="single" w:sz="4" w:space="0" w:color="000000"/>
              <w:bottom w:val="single" w:sz="4" w:space="0" w:color="000000"/>
              <w:right w:val="single" w:sz="4" w:space="0" w:color="000000"/>
            </w:tcBorders>
            <w:shd w:val="clear" w:color="auto" w:fill="D2D2D2"/>
          </w:tcPr>
          <w:p>
            <w:pPr/>
          </w:p>
        </w:tc>
        <w:tc>
          <w:tcPr>
            <w:tcW w:w="574" w:type="dxa"/>
            <w:vMerge/>
            <w:tcBorders>
              <w:left w:val="single" w:sz="9" w:space="0" w:color="D2D2D2"/>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532"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4" w:type="dxa"/>
            <w:vMerge/>
            <w:tcBorders>
              <w:left w:val="single" w:sz="4" w:space="0" w:color="000000"/>
              <w:bottom w:val="single" w:sz="4" w:space="0" w:color="000000"/>
              <w:right w:val="single" w:sz="4" w:space="0" w:color="000000"/>
            </w:tcBorders>
          </w:tcPr>
          <w:p>
            <w:pPr/>
          </w:p>
        </w:tc>
        <w:tc>
          <w:tcPr>
            <w:tcW w:w="666"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59" w:type="dxa"/>
            <w:vMerge/>
            <w:tcBorders>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438"/>
        <w:gridCol w:w="563"/>
        <w:gridCol w:w="530"/>
        <w:gridCol w:w="532"/>
        <w:gridCol w:w="530"/>
        <w:gridCol w:w="665"/>
        <w:gridCol w:w="665"/>
        <w:gridCol w:w="665"/>
        <w:gridCol w:w="665"/>
        <w:gridCol w:w="664"/>
        <w:gridCol w:w="666"/>
        <w:gridCol w:w="665"/>
        <w:gridCol w:w="665"/>
        <w:gridCol w:w="659"/>
      </w:tblGrid>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 准备</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．对所有者（或 股东）的分配</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-40,759,</w:t>
            </w:r>
          </w:p>
          <w:p>
            <w:pPr>
              <w:pStyle w:val="TableParagraph"/>
              <w:spacing w:line="240" w:lineRule="auto" w:before="106"/>
              <w:ind w:left="113" w:right="0"/>
              <w:jc w:val="center"/>
              <w:rPr>
                <w:rFonts w:ascii="Times New Roman" w:hAnsi="Times New Roman" w:cs="Times New Roman" w:eastAsia="Times New Roman" w:hint="default"/>
                <w:sz w:val="18"/>
                <w:szCs w:val="18"/>
              </w:rPr>
            </w:pPr>
            <w:r>
              <w:rPr>
                <w:rFonts w:ascii="Times New Roman"/>
                <w:sz w:val="18"/>
              </w:rPr>
              <w:t>055.60</w:t>
            </w: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-40,759,</w:t>
            </w:r>
          </w:p>
          <w:p>
            <w:pPr>
              <w:pStyle w:val="TableParagraph"/>
              <w:spacing w:line="240" w:lineRule="auto" w:before="106"/>
              <w:ind w:left="107" w:right="0"/>
              <w:jc w:val="center"/>
              <w:rPr>
                <w:rFonts w:ascii="Times New Roman" w:hAnsi="Times New Roman" w:cs="Times New Roman" w:eastAsia="Times New Roman" w:hint="default"/>
                <w:sz w:val="18"/>
                <w:szCs w:val="18"/>
              </w:rPr>
            </w:pPr>
            <w:r>
              <w:rPr>
                <w:rFonts w:ascii="Times New Roman"/>
                <w:sz w:val="18"/>
              </w:rPr>
              <w:t>055.60</w:t>
            </w: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22" w:right="21"/>
              <w:jc w:val="left"/>
              <w:rPr>
                <w:rFonts w:ascii="宋体" w:hAnsi="宋体" w:cs="宋体" w:eastAsia="宋体" w:hint="default"/>
                <w:sz w:val="18"/>
                <w:szCs w:val="18"/>
              </w:rPr>
            </w:pPr>
            <w:r>
              <w:rPr>
                <w:rFonts w:ascii="宋体" w:hAnsi="宋体" w:cs="宋体" w:eastAsia="宋体" w:hint="default"/>
                <w:spacing w:val="-8"/>
                <w:sz w:val="18"/>
                <w:szCs w:val="18"/>
              </w:rPr>
              <w:t>（四）所有者权益</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内部结转</w:t>
            </w:r>
          </w:p>
        </w:tc>
        <w:tc>
          <w:tcPr>
            <w:tcW w:w="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203,79</w:t>
            </w:r>
          </w:p>
          <w:p>
            <w:pPr>
              <w:pStyle w:val="TableParagraph"/>
              <w:spacing w:line="240" w:lineRule="auto" w:before="105"/>
              <w:ind w:left="80" w:right="0"/>
              <w:jc w:val="left"/>
              <w:rPr>
                <w:rFonts w:ascii="Times New Roman" w:hAnsi="Times New Roman" w:cs="Times New Roman" w:eastAsia="Times New Roman" w:hint="default"/>
                <w:sz w:val="18"/>
                <w:szCs w:val="18"/>
              </w:rPr>
            </w:pPr>
            <w:r>
              <w:rPr>
                <w:rFonts w:ascii="Times New Roman"/>
                <w:sz w:val="18"/>
              </w:rPr>
              <w:t>5,278.</w:t>
            </w:r>
          </w:p>
          <w:p>
            <w:pPr>
              <w:pStyle w:val="TableParagraph"/>
              <w:spacing w:line="240" w:lineRule="auto" w:before="106"/>
              <w:ind w:left="350" w:right="0"/>
              <w:jc w:val="left"/>
              <w:rPr>
                <w:rFonts w:ascii="Times New Roman" w:hAnsi="Times New Roman" w:cs="Times New Roman" w:eastAsia="Times New Roman" w:hint="default"/>
                <w:sz w:val="18"/>
                <w:szCs w:val="18"/>
              </w:rPr>
            </w:pPr>
            <w:r>
              <w:rPr>
                <w:rFonts w:ascii="Times New Roman"/>
                <w:sz w:val="18"/>
              </w:rPr>
              <w:t>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-203,79</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5,278.0</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02" w:lineRule="auto"/>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203,79</w:t>
            </w:r>
          </w:p>
          <w:p>
            <w:pPr>
              <w:pStyle w:val="TableParagraph"/>
              <w:spacing w:line="240" w:lineRule="auto" w:before="105"/>
              <w:ind w:left="80" w:right="0"/>
              <w:jc w:val="left"/>
              <w:rPr>
                <w:rFonts w:ascii="Times New Roman" w:hAnsi="Times New Roman" w:cs="Times New Roman" w:eastAsia="Times New Roman" w:hint="default"/>
                <w:sz w:val="18"/>
                <w:szCs w:val="18"/>
              </w:rPr>
            </w:pPr>
            <w:r>
              <w:rPr>
                <w:rFonts w:ascii="Times New Roman"/>
                <w:sz w:val="18"/>
              </w:rPr>
              <w:t>5,278.</w:t>
            </w:r>
          </w:p>
          <w:p>
            <w:pPr>
              <w:pStyle w:val="TableParagraph"/>
              <w:spacing w:line="240" w:lineRule="auto" w:before="106"/>
              <w:ind w:left="350" w:right="0"/>
              <w:jc w:val="left"/>
              <w:rPr>
                <w:rFonts w:ascii="Times New Roman" w:hAnsi="Times New Roman" w:cs="Times New Roman" w:eastAsia="Times New Roman" w:hint="default"/>
                <w:sz w:val="18"/>
                <w:szCs w:val="18"/>
              </w:rPr>
            </w:pPr>
            <w:r>
              <w:rPr>
                <w:rFonts w:ascii="Times New Roman"/>
                <w:sz w:val="18"/>
              </w:rPr>
              <w:t>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-203,79</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5,278.0</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 资本（或股本）</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5" w:right="0"/>
              <w:jc w:val="left"/>
              <w:rPr>
                <w:rFonts w:ascii="Times New Roman" w:hAnsi="Times New Roman" w:cs="Times New Roman" w:eastAsia="Times New Roman" w:hint="default"/>
                <w:sz w:val="18"/>
                <w:szCs w:val="18"/>
              </w:rPr>
            </w:pPr>
            <w:r>
              <w:rPr>
                <w:rFonts w:ascii="Times New Roman"/>
                <w:sz w:val="18"/>
              </w:rPr>
              <w:t>-122,0</w:t>
            </w:r>
          </w:p>
          <w:p>
            <w:pPr>
              <w:pStyle w:val="TableParagraph"/>
              <w:spacing w:line="240" w:lineRule="auto" w:before="106"/>
              <w:ind w:left="125" w:right="0"/>
              <w:jc w:val="left"/>
              <w:rPr>
                <w:rFonts w:ascii="Times New Roman" w:hAnsi="Times New Roman" w:cs="Times New Roman" w:eastAsia="Times New Roman" w:hint="default"/>
                <w:sz w:val="18"/>
                <w:szCs w:val="18"/>
              </w:rPr>
            </w:pPr>
            <w:r>
              <w:rPr>
                <w:rFonts w:ascii="Times New Roman"/>
                <w:sz w:val="18"/>
              </w:rPr>
              <w:t>00.00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6" w:right="0"/>
              <w:jc w:val="left"/>
              <w:rPr>
                <w:rFonts w:ascii="Times New Roman" w:hAnsi="Times New Roman" w:cs="Times New Roman" w:eastAsia="Times New Roman" w:hint="default"/>
                <w:sz w:val="18"/>
                <w:szCs w:val="18"/>
              </w:rPr>
            </w:pPr>
            <w:r>
              <w:rPr>
                <w:rFonts w:ascii="Times New Roman"/>
                <w:sz w:val="18"/>
              </w:rPr>
              <w:t>-508,74</w:t>
            </w:r>
          </w:p>
          <w:p>
            <w:pPr>
              <w:pStyle w:val="TableParagraph"/>
              <w:spacing w:line="240" w:lineRule="auto" w:before="106"/>
              <w:ind w:left="317" w:right="0"/>
              <w:jc w:val="left"/>
              <w:rPr>
                <w:rFonts w:ascii="Times New Roman" w:hAnsi="Times New Roman" w:cs="Times New Roman" w:eastAsia="Times New Roman" w:hint="default"/>
                <w:sz w:val="18"/>
                <w:szCs w:val="18"/>
              </w:rPr>
            </w:pPr>
            <w:r>
              <w:rPr>
                <w:rFonts w:ascii="Times New Roman"/>
                <w:sz w:val="18"/>
              </w:rPr>
              <w:t>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0" w:right="0"/>
              <w:jc w:val="left"/>
              <w:rPr>
                <w:rFonts w:ascii="Times New Roman" w:hAnsi="Times New Roman" w:cs="Times New Roman" w:eastAsia="Times New Roman" w:hint="default"/>
                <w:sz w:val="18"/>
                <w:szCs w:val="18"/>
              </w:rPr>
            </w:pPr>
            <w:r>
              <w:rPr>
                <w:rFonts w:ascii="Times New Roman"/>
                <w:sz w:val="18"/>
              </w:rPr>
              <w:t>-630,74</w:t>
            </w:r>
          </w:p>
          <w:p>
            <w:pPr>
              <w:pStyle w:val="TableParagraph"/>
              <w:spacing w:line="240" w:lineRule="auto" w:before="106"/>
              <w:ind w:left="310" w:right="0"/>
              <w:jc w:val="left"/>
              <w:rPr>
                <w:rFonts w:ascii="Times New Roman" w:hAnsi="Times New Roman" w:cs="Times New Roman" w:eastAsia="Times New Roman" w:hint="default"/>
                <w:sz w:val="18"/>
                <w:szCs w:val="18"/>
              </w:rPr>
            </w:pPr>
            <w:r>
              <w:rPr>
                <w:rFonts w:ascii="Times New Roman"/>
                <w:sz w:val="18"/>
              </w:rPr>
              <w:t>0.00</w:t>
            </w: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pacing w:val="-8"/>
                <w:sz w:val="18"/>
                <w:szCs w:val="18"/>
              </w:rPr>
              <w:t>四、本期期末余额</w:t>
            </w:r>
          </w:p>
        </w:tc>
        <w:tc>
          <w:tcPr>
            <w:tcW w:w="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1" w:right="0"/>
              <w:jc w:val="left"/>
              <w:rPr>
                <w:rFonts w:ascii="Times New Roman" w:hAnsi="Times New Roman" w:cs="Times New Roman" w:eastAsia="Times New Roman" w:hint="default"/>
                <w:sz w:val="18"/>
                <w:szCs w:val="18"/>
              </w:rPr>
            </w:pPr>
            <w:r>
              <w:rPr>
                <w:rFonts w:ascii="Times New Roman"/>
                <w:sz w:val="18"/>
              </w:rPr>
              <w:t>611,38</w:t>
            </w:r>
          </w:p>
          <w:p>
            <w:pPr>
              <w:pStyle w:val="TableParagraph"/>
              <w:spacing w:line="240" w:lineRule="auto" w:before="105"/>
              <w:ind w:left="80" w:right="0"/>
              <w:jc w:val="left"/>
              <w:rPr>
                <w:rFonts w:ascii="Times New Roman" w:hAnsi="Times New Roman" w:cs="Times New Roman" w:eastAsia="Times New Roman" w:hint="default"/>
                <w:sz w:val="18"/>
                <w:szCs w:val="18"/>
              </w:rPr>
            </w:pPr>
            <w:r>
              <w:rPr>
                <w:rFonts w:ascii="Times New Roman"/>
                <w:sz w:val="18"/>
              </w:rPr>
              <w:t>5,834.</w:t>
            </w:r>
          </w:p>
          <w:p>
            <w:pPr>
              <w:pStyle w:val="TableParagraph"/>
              <w:spacing w:line="240" w:lineRule="auto" w:before="106"/>
              <w:ind w:left="350" w:right="0"/>
              <w:jc w:val="left"/>
              <w:rPr>
                <w:rFonts w:ascii="Times New Roman" w:hAnsi="Times New Roman" w:cs="Times New Roman" w:eastAsia="Times New Roman" w:hint="default"/>
                <w:sz w:val="18"/>
                <w:szCs w:val="18"/>
              </w:rPr>
            </w:pPr>
            <w:r>
              <w:rPr>
                <w:rFonts w:ascii="Times New Roman"/>
                <w:sz w:val="18"/>
              </w:rPr>
              <w:t>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190,445</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,838.18</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17,642,</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220.00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6" w:right="0"/>
              <w:jc w:val="left"/>
              <w:rPr>
                <w:rFonts w:ascii="Times New Roman" w:hAnsi="Times New Roman" w:cs="Times New Roman" w:eastAsia="Times New Roman" w:hint="default"/>
                <w:sz w:val="18"/>
                <w:szCs w:val="18"/>
              </w:rPr>
            </w:pPr>
            <w:r>
              <w:rPr>
                <w:rFonts w:ascii="Times New Roman"/>
                <w:sz w:val="18"/>
              </w:rPr>
              <w:t>-898,46</w:t>
            </w:r>
          </w:p>
          <w:p>
            <w:pPr>
              <w:pStyle w:val="TableParagraph"/>
              <w:spacing w:line="240" w:lineRule="auto" w:before="106"/>
              <w:ind w:left="316" w:right="0"/>
              <w:jc w:val="left"/>
              <w:rPr>
                <w:rFonts w:ascii="Times New Roman" w:hAnsi="Times New Roman" w:cs="Times New Roman" w:eastAsia="Times New Roman" w:hint="default"/>
                <w:sz w:val="18"/>
                <w:szCs w:val="18"/>
              </w:rPr>
            </w:pPr>
            <w:r>
              <w:rPr>
                <w:rFonts w:ascii="Times New Roman"/>
                <w:sz w:val="18"/>
              </w:rPr>
              <w:t>2.10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44,300,</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266.13</w:t>
            </w: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314,661</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,234.52</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19,085,</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671.69</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1,161,3</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38,162.</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42</w:t>
            </w:r>
          </w:p>
        </w:tc>
      </w:tr>
    </w:tbl>
    <w:p>
      <w:pPr>
        <w:pStyle w:val="BodyText"/>
        <w:spacing w:line="240" w:lineRule="auto" w:before="51"/>
        <w:ind w:left="154" w:right="0"/>
        <w:jc w:val="left"/>
      </w:pPr>
      <w:r>
        <w:rPr/>
        <w:t>上期金额</w:t>
      </w:r>
    </w:p>
    <w:p>
      <w:pPr>
        <w:pStyle w:val="BodyText"/>
        <w:spacing w:line="240" w:lineRule="auto" w:before="117"/>
        <w:ind w:left="0" w:right="1130"/>
        <w:jc w:val="right"/>
      </w:pPr>
      <w:r>
        <w:rPr/>
        <w:t>单位：元</w:t>
      </w:r>
    </w:p>
    <w:p>
      <w:pPr>
        <w:spacing w:line="240" w:lineRule="auto" w:before="0"/>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427"/>
        <w:gridCol w:w="562"/>
        <w:gridCol w:w="530"/>
        <w:gridCol w:w="532"/>
        <w:gridCol w:w="530"/>
        <w:gridCol w:w="665"/>
        <w:gridCol w:w="665"/>
        <w:gridCol w:w="665"/>
        <w:gridCol w:w="665"/>
        <w:gridCol w:w="665"/>
        <w:gridCol w:w="665"/>
        <w:gridCol w:w="678"/>
        <w:gridCol w:w="652"/>
        <w:gridCol w:w="659"/>
      </w:tblGrid>
      <w:tr>
        <w:trPr>
          <w:trHeight w:val="402" w:hRule="exact"/>
        </w:trPr>
        <w:tc>
          <w:tcPr>
            <w:tcW w:w="1427" w:type="dxa"/>
            <w:vMerge w:val="restart"/>
            <w:tcBorders>
              <w:top w:val="single" w:sz="4" w:space="0" w:color="000000"/>
              <w:left w:val="single" w:sz="4" w:space="0" w:color="000000"/>
              <w:right w:val="single" w:sz="4" w:space="0" w:color="000000"/>
            </w:tcBorders>
            <w:shd w:val="clear" w:color="auto" w:fill="D2D2D2"/>
          </w:tcPr>
          <w:p>
            <w:pPr/>
          </w:p>
        </w:tc>
        <w:tc>
          <w:tcPr>
            <w:tcW w:w="8132" w:type="dxa"/>
            <w:gridSpan w:val="1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251" w:hRule="exact"/>
        </w:trPr>
        <w:tc>
          <w:tcPr>
            <w:tcW w:w="1427" w:type="dxa"/>
            <w:vMerge/>
            <w:tcBorders>
              <w:left w:val="single" w:sz="4" w:space="0" w:color="000000"/>
              <w:right w:val="single" w:sz="4" w:space="0" w:color="000000"/>
            </w:tcBorders>
            <w:shd w:val="clear" w:color="auto" w:fill="D2D2D2"/>
          </w:tcPr>
          <w:p>
            <w:pPr/>
          </w:p>
        </w:tc>
        <w:tc>
          <w:tcPr>
            <w:tcW w:w="6822" w:type="dxa"/>
            <w:gridSpan w:val="11"/>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652" w:type="dxa"/>
            <w:vMerge w:val="restart"/>
            <w:tcBorders>
              <w:top w:val="single" w:sz="4" w:space="0" w:color="000000"/>
              <w:left w:val="single" w:sz="4" w:space="0" w:color="000000"/>
              <w:right w:val="single" w:sz="4" w:space="0" w:color="000000"/>
            </w:tcBorders>
            <w:shd w:val="clear" w:color="auto" w:fill="D2D2D2"/>
          </w:tcPr>
          <w:p>
            <w:pPr/>
          </w:p>
        </w:tc>
        <w:tc>
          <w:tcPr>
            <w:tcW w:w="659"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51" w:hRule="exact"/>
        </w:trPr>
        <w:tc>
          <w:tcPr>
            <w:tcW w:w="1427" w:type="dxa"/>
            <w:vMerge/>
            <w:tcBorders>
              <w:left w:val="single" w:sz="4" w:space="0" w:color="000000"/>
              <w:bottom w:val="nil" w:sz="6" w:space="0" w:color="auto"/>
              <w:right w:val="single" w:sz="4" w:space="0" w:color="000000"/>
            </w:tcBorders>
            <w:shd w:val="clear" w:color="auto" w:fill="D2D2D2"/>
          </w:tcPr>
          <w:p>
            <w:pPr/>
          </w:p>
        </w:tc>
        <w:tc>
          <w:tcPr>
            <w:tcW w:w="6822" w:type="dxa"/>
            <w:gridSpan w:val="11"/>
            <w:vMerge/>
            <w:tcBorders>
              <w:left w:val="single" w:sz="4" w:space="0" w:color="000000"/>
              <w:bottom w:val="single" w:sz="4" w:space="0" w:color="000000"/>
              <w:right w:val="single" w:sz="4" w:space="0" w:color="000000"/>
            </w:tcBorders>
            <w:shd w:val="clear" w:color="auto" w:fill="D2D2D2"/>
          </w:tcPr>
          <w:p>
            <w:pPr/>
          </w:p>
        </w:tc>
        <w:tc>
          <w:tcPr>
            <w:tcW w:w="652" w:type="dxa"/>
            <w:vMerge/>
            <w:tcBorders>
              <w:left w:val="single" w:sz="4" w:space="0" w:color="000000"/>
              <w:bottom w:val="nil" w:sz="6" w:space="0" w:color="auto"/>
              <w:right w:val="single" w:sz="4" w:space="0" w:color="000000"/>
            </w:tcBorders>
            <w:shd w:val="clear" w:color="auto" w:fill="D2D2D2"/>
          </w:tcPr>
          <w:p>
            <w:pPr/>
          </w:p>
        </w:tc>
        <w:tc>
          <w:tcPr>
            <w:tcW w:w="659"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54" w:right="53"/>
              <w:jc w:val="center"/>
              <w:rPr>
                <w:rFonts w:ascii="宋体" w:hAnsi="宋体" w:cs="宋体" w:eastAsia="宋体" w:hint="default"/>
                <w:sz w:val="18"/>
                <w:szCs w:val="18"/>
              </w:rPr>
            </w:pPr>
            <w:r>
              <w:rPr>
                <w:rFonts w:ascii="宋体" w:hAnsi="宋体" w:cs="宋体" w:eastAsia="宋体" w:hint="default"/>
                <w:sz w:val="18"/>
                <w:szCs w:val="18"/>
              </w:rPr>
              <w:t>所有者 权益合 计</w:t>
            </w:r>
          </w:p>
        </w:tc>
      </w:tr>
      <w:tr>
        <w:trPr>
          <w:trHeight w:val="206" w:hRule="exact"/>
        </w:trPr>
        <w:tc>
          <w:tcPr>
            <w:tcW w:w="142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right="11"/>
              <w:jc w:val="center"/>
              <w:rPr>
                <w:rFonts w:ascii="宋体" w:hAnsi="宋体" w:cs="宋体" w:eastAsia="宋体" w:hint="default"/>
                <w:sz w:val="18"/>
                <w:szCs w:val="18"/>
              </w:rPr>
            </w:pPr>
            <w:r>
              <w:rPr>
                <w:rFonts w:ascii="宋体" w:hAnsi="宋体" w:cs="宋体" w:eastAsia="宋体" w:hint="default"/>
                <w:sz w:val="18"/>
                <w:szCs w:val="18"/>
              </w:rPr>
              <w:t>项目</w:t>
            </w:r>
          </w:p>
        </w:tc>
        <w:tc>
          <w:tcPr>
            <w:tcW w:w="562" w:type="dxa"/>
            <w:vMerge w:val="restart"/>
            <w:tcBorders>
              <w:top w:val="single" w:sz="4" w:space="0" w:color="000000"/>
              <w:left w:val="single" w:sz="4" w:space="0" w:color="000000"/>
              <w:right w:val="single" w:sz="4" w:space="0" w:color="000000"/>
            </w:tcBorders>
            <w:shd w:val="clear" w:color="auto" w:fill="D2D2D2"/>
          </w:tcPr>
          <w:p>
            <w:pPr/>
          </w:p>
        </w:tc>
        <w:tc>
          <w:tcPr>
            <w:tcW w:w="159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250"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78" w:type="dxa"/>
            <w:tcBorders>
              <w:top w:val="single" w:sz="4" w:space="0" w:color="000000"/>
              <w:left w:val="single" w:sz="4" w:space="0" w:color="000000"/>
              <w:bottom w:val="nil" w:sz="6" w:space="0" w:color="auto"/>
              <w:right w:val="single" w:sz="4" w:space="0" w:color="000000"/>
            </w:tcBorders>
            <w:shd w:val="clear" w:color="auto" w:fill="D2D2D2"/>
          </w:tcPr>
          <w:p>
            <w:pPr/>
          </w:p>
        </w:tc>
        <w:tc>
          <w:tcPr>
            <w:tcW w:w="652"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6"/>
              <w:ind w:left="50" w:right="49"/>
              <w:jc w:val="left"/>
              <w:rPr>
                <w:rFonts w:ascii="宋体" w:hAnsi="宋体" w:cs="宋体" w:eastAsia="宋体" w:hint="default"/>
                <w:sz w:val="18"/>
                <w:szCs w:val="18"/>
              </w:rPr>
            </w:pPr>
            <w:r>
              <w:rPr>
                <w:rFonts w:ascii="宋体" w:hAnsi="宋体" w:cs="宋体" w:eastAsia="宋体" w:hint="default"/>
                <w:sz w:val="18"/>
                <w:szCs w:val="18"/>
              </w:rPr>
              <w:t>少数股 东权益</w:t>
            </w:r>
          </w:p>
        </w:tc>
        <w:tc>
          <w:tcPr>
            <w:tcW w:w="659" w:type="dxa"/>
            <w:vMerge/>
            <w:tcBorders>
              <w:left w:val="single" w:sz="4" w:space="0" w:color="000000"/>
              <w:right w:val="single" w:sz="4" w:space="0" w:color="000000"/>
            </w:tcBorders>
            <w:shd w:val="clear" w:color="auto" w:fill="D2D2D2"/>
          </w:tcPr>
          <w:p>
            <w:pPr/>
          </w:p>
        </w:tc>
      </w:tr>
      <w:tr>
        <w:trPr>
          <w:trHeight w:val="174" w:hRule="exact"/>
        </w:trPr>
        <w:tc>
          <w:tcPr>
            <w:tcW w:w="1427" w:type="dxa"/>
            <w:vMerge/>
            <w:tcBorders>
              <w:left w:val="single" w:sz="4" w:space="0" w:color="000000"/>
              <w:bottom w:val="nil" w:sz="6" w:space="0" w:color="auto"/>
              <w:right w:val="single" w:sz="4" w:space="0" w:color="000000"/>
            </w:tcBorders>
            <w:shd w:val="clear" w:color="auto" w:fill="D2D2D2"/>
          </w:tcPr>
          <w:p>
            <w:pPr/>
          </w:p>
        </w:tc>
        <w:tc>
          <w:tcPr>
            <w:tcW w:w="562" w:type="dxa"/>
            <w:vMerge/>
            <w:tcBorders>
              <w:left w:val="single" w:sz="4" w:space="0" w:color="000000"/>
              <w:bottom w:val="nil" w:sz="6" w:space="0" w:color="auto"/>
              <w:right w:val="single" w:sz="4" w:space="0" w:color="000000"/>
            </w:tcBorders>
            <w:shd w:val="clear" w:color="auto" w:fill="D2D2D2"/>
          </w:tcPr>
          <w:p>
            <w:pPr/>
          </w:p>
        </w:tc>
        <w:tc>
          <w:tcPr>
            <w:tcW w:w="1592" w:type="dxa"/>
            <w:gridSpan w:val="3"/>
            <w:vMerge/>
            <w:tcBorders>
              <w:left w:val="single" w:sz="4" w:space="0" w:color="000000"/>
              <w:bottom w:val="single" w:sz="4" w:space="0" w:color="000000"/>
              <w:right w:val="single" w:sz="4" w:space="0" w:color="000000"/>
            </w:tcBorders>
            <w:shd w:val="clear" w:color="auto" w:fill="D2D2D2"/>
          </w:tcPr>
          <w:p>
            <w:pP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237" w:right="57" w:hanging="181"/>
              <w:jc w:val="left"/>
              <w:rPr>
                <w:rFonts w:ascii="宋体" w:hAnsi="宋体" w:cs="宋体" w:eastAsia="宋体" w:hint="default"/>
                <w:sz w:val="18"/>
                <w:szCs w:val="18"/>
              </w:rPr>
            </w:pPr>
            <w:r>
              <w:rPr>
                <w:rFonts w:ascii="宋体" w:hAnsi="宋体" w:cs="宋体" w:eastAsia="宋体" w:hint="default"/>
                <w:sz w:val="18"/>
                <w:szCs w:val="18"/>
              </w:rPr>
              <w:t>资本公 积</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146" w:right="56" w:hanging="90"/>
              <w:jc w:val="left"/>
              <w:rPr>
                <w:rFonts w:ascii="宋体" w:hAnsi="宋体" w:cs="宋体" w:eastAsia="宋体" w:hint="default"/>
                <w:sz w:val="18"/>
                <w:szCs w:val="18"/>
              </w:rPr>
            </w:pPr>
            <w:r>
              <w:rPr>
                <w:rFonts w:ascii="宋体" w:hAnsi="宋体" w:cs="宋体" w:eastAsia="宋体" w:hint="default"/>
                <w:sz w:val="18"/>
                <w:szCs w:val="18"/>
              </w:rPr>
              <w:t>减：库 存股</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56" w:right="56"/>
              <w:jc w:val="left"/>
              <w:rPr>
                <w:rFonts w:ascii="宋体" w:hAnsi="宋体" w:cs="宋体" w:eastAsia="宋体" w:hint="default"/>
                <w:sz w:val="18"/>
                <w:szCs w:val="18"/>
              </w:rPr>
            </w:pPr>
            <w:r>
              <w:rPr>
                <w:rFonts w:ascii="宋体" w:hAnsi="宋体" w:cs="宋体" w:eastAsia="宋体" w:hint="default"/>
                <w:sz w:val="18"/>
                <w:szCs w:val="18"/>
              </w:rPr>
              <w:t>其他综 合收益</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236" w:right="56" w:hanging="180"/>
              <w:jc w:val="left"/>
              <w:rPr>
                <w:rFonts w:ascii="宋体" w:hAnsi="宋体" w:cs="宋体" w:eastAsia="宋体" w:hint="default"/>
                <w:sz w:val="18"/>
                <w:szCs w:val="18"/>
              </w:rPr>
            </w:pPr>
            <w:r>
              <w:rPr>
                <w:rFonts w:ascii="宋体" w:hAnsi="宋体" w:cs="宋体" w:eastAsia="宋体" w:hint="default"/>
                <w:sz w:val="18"/>
                <w:szCs w:val="18"/>
              </w:rPr>
              <w:t>专项储 备</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236" w:right="56" w:hanging="180"/>
              <w:jc w:val="left"/>
              <w:rPr>
                <w:rFonts w:ascii="宋体" w:hAnsi="宋体" w:cs="宋体" w:eastAsia="宋体" w:hint="default"/>
                <w:sz w:val="18"/>
                <w:szCs w:val="18"/>
              </w:rPr>
            </w:pPr>
            <w:r>
              <w:rPr>
                <w:rFonts w:ascii="宋体" w:hAnsi="宋体" w:cs="宋体" w:eastAsia="宋体" w:hint="default"/>
                <w:sz w:val="18"/>
                <w:szCs w:val="18"/>
              </w:rPr>
              <w:t>盈余公 积</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56" w:right="57"/>
              <w:jc w:val="left"/>
              <w:rPr>
                <w:rFonts w:ascii="宋体" w:hAnsi="宋体" w:cs="宋体" w:eastAsia="宋体" w:hint="default"/>
                <w:sz w:val="18"/>
                <w:szCs w:val="18"/>
              </w:rPr>
            </w:pPr>
            <w:r>
              <w:rPr>
                <w:rFonts w:ascii="宋体" w:hAnsi="宋体" w:cs="宋体" w:eastAsia="宋体" w:hint="default"/>
                <w:sz w:val="18"/>
                <w:szCs w:val="18"/>
              </w:rPr>
              <w:t>一般风 险准备</w:t>
            </w:r>
          </w:p>
        </w:tc>
        <w:tc>
          <w:tcPr>
            <w:tcW w:w="678"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153" w:right="62" w:hanging="90"/>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652" w:type="dxa"/>
            <w:vMerge/>
            <w:tcBorders>
              <w:left w:val="single" w:sz="4" w:space="0" w:color="000000"/>
              <w:right w:val="single" w:sz="4" w:space="0" w:color="000000"/>
            </w:tcBorders>
            <w:shd w:val="clear" w:color="auto" w:fill="D2D2D2"/>
          </w:tcPr>
          <w:p>
            <w:pPr/>
          </w:p>
        </w:tc>
        <w:tc>
          <w:tcPr>
            <w:tcW w:w="659" w:type="dxa"/>
            <w:vMerge/>
            <w:tcBorders>
              <w:left w:val="single" w:sz="4" w:space="0" w:color="000000"/>
              <w:right w:val="single" w:sz="4" w:space="0" w:color="000000"/>
            </w:tcBorders>
            <w:shd w:val="clear" w:color="auto" w:fill="D2D2D2"/>
          </w:tcPr>
          <w:p>
            <w:pPr/>
          </w:p>
        </w:tc>
      </w:tr>
      <w:tr>
        <w:trPr>
          <w:trHeight w:val="184" w:hRule="exact"/>
        </w:trPr>
        <w:tc>
          <w:tcPr>
            <w:tcW w:w="1427" w:type="dxa"/>
            <w:vMerge w:val="restart"/>
            <w:tcBorders>
              <w:top w:val="nil" w:sz="6" w:space="0" w:color="auto"/>
              <w:left w:val="single" w:sz="4" w:space="0" w:color="000000"/>
              <w:right w:val="single" w:sz="4" w:space="0" w:color="000000"/>
            </w:tcBorders>
            <w:shd w:val="clear" w:color="auto" w:fill="D2D2D2"/>
          </w:tcPr>
          <w:p>
            <w:pPr/>
          </w:p>
        </w:tc>
        <w:tc>
          <w:tcPr>
            <w:tcW w:w="56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33"/>
              <w:ind w:left="95"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530"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74"/>
              <w:ind w:left="170" w:right="78" w:hanging="90"/>
              <w:jc w:val="left"/>
              <w:rPr>
                <w:rFonts w:ascii="宋体" w:hAnsi="宋体" w:cs="宋体" w:eastAsia="宋体" w:hint="default"/>
                <w:sz w:val="18"/>
                <w:szCs w:val="18"/>
              </w:rPr>
            </w:pPr>
            <w:r>
              <w:rPr>
                <w:rFonts w:ascii="宋体" w:hAnsi="宋体" w:cs="宋体" w:eastAsia="宋体" w:hint="default"/>
                <w:sz w:val="18"/>
                <w:szCs w:val="18"/>
              </w:rPr>
              <w:t>优先 股</w:t>
            </w:r>
          </w:p>
        </w:tc>
        <w:tc>
          <w:tcPr>
            <w:tcW w:w="53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74"/>
              <w:ind w:left="171" w:right="78" w:hanging="90"/>
              <w:jc w:val="left"/>
              <w:rPr>
                <w:rFonts w:ascii="宋体" w:hAnsi="宋体" w:cs="宋体" w:eastAsia="宋体" w:hint="default"/>
                <w:sz w:val="18"/>
                <w:szCs w:val="18"/>
              </w:rPr>
            </w:pPr>
            <w:r>
              <w:rPr>
                <w:rFonts w:ascii="宋体" w:hAnsi="宋体" w:cs="宋体" w:eastAsia="宋体" w:hint="default"/>
                <w:sz w:val="18"/>
                <w:szCs w:val="18"/>
              </w:rPr>
              <w:t>永续 债</w:t>
            </w:r>
          </w:p>
        </w:tc>
        <w:tc>
          <w:tcPr>
            <w:tcW w:w="530"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78" w:type="dxa"/>
            <w:vMerge/>
            <w:tcBorders>
              <w:left w:val="single" w:sz="4" w:space="0" w:color="000000"/>
              <w:right w:val="single" w:sz="4" w:space="0" w:color="000000"/>
            </w:tcBorders>
            <w:shd w:val="clear" w:color="auto" w:fill="D2D2D2"/>
          </w:tcPr>
          <w:p>
            <w:pPr/>
          </w:p>
        </w:tc>
        <w:tc>
          <w:tcPr>
            <w:tcW w:w="652" w:type="dxa"/>
            <w:vMerge/>
            <w:tcBorders>
              <w:left w:val="single" w:sz="4" w:space="0" w:color="000000"/>
              <w:right w:val="single" w:sz="4" w:space="0" w:color="000000"/>
            </w:tcBorders>
            <w:shd w:val="clear" w:color="auto" w:fill="D2D2D2"/>
          </w:tcPr>
          <w:p>
            <w:pPr/>
          </w:p>
        </w:tc>
        <w:tc>
          <w:tcPr>
            <w:tcW w:w="659" w:type="dxa"/>
            <w:vMerge/>
            <w:tcBorders>
              <w:left w:val="single" w:sz="4" w:space="0" w:color="000000"/>
              <w:right w:val="single" w:sz="4" w:space="0" w:color="000000"/>
            </w:tcBorders>
            <w:shd w:val="clear" w:color="auto" w:fill="D2D2D2"/>
          </w:tcPr>
          <w:p>
            <w:pPr/>
          </w:p>
        </w:tc>
      </w:tr>
      <w:tr>
        <w:trPr>
          <w:trHeight w:val="168" w:hRule="exact"/>
        </w:trPr>
        <w:tc>
          <w:tcPr>
            <w:tcW w:w="1427" w:type="dxa"/>
            <w:vMerge/>
            <w:tcBorders>
              <w:left w:val="single" w:sz="4" w:space="0" w:color="000000"/>
              <w:right w:val="single" w:sz="4" w:space="0" w:color="000000"/>
            </w:tcBorders>
            <w:shd w:val="clear" w:color="auto" w:fill="D2D2D2"/>
          </w:tcPr>
          <w:p>
            <w:pPr/>
          </w:p>
        </w:tc>
        <w:tc>
          <w:tcPr>
            <w:tcW w:w="562" w:type="dxa"/>
            <w:vMerge/>
            <w:tcBorders>
              <w:left w:val="single" w:sz="4" w:space="0" w:color="000000"/>
              <w:bottom w:val="nil" w:sz="6" w:space="0" w:color="auto"/>
              <w:right w:val="single" w:sz="4" w:space="0" w:color="000000"/>
            </w:tcBorders>
            <w:shd w:val="clear" w:color="auto" w:fill="D2D2D2"/>
          </w:tcPr>
          <w:p>
            <w:pPr/>
          </w:p>
        </w:tc>
        <w:tc>
          <w:tcPr>
            <w:tcW w:w="530" w:type="dxa"/>
            <w:vMerge/>
            <w:tcBorders>
              <w:left w:val="single" w:sz="4" w:space="0" w:color="000000"/>
              <w:right w:val="single" w:sz="4" w:space="0" w:color="000000"/>
            </w:tcBorders>
            <w:shd w:val="clear" w:color="auto" w:fill="D2D2D2"/>
          </w:tcPr>
          <w:p>
            <w:pPr/>
          </w:p>
        </w:tc>
        <w:tc>
          <w:tcPr>
            <w:tcW w:w="532" w:type="dxa"/>
            <w:vMerge/>
            <w:tcBorders>
              <w:left w:val="single" w:sz="4" w:space="0" w:color="000000"/>
              <w:right w:val="single" w:sz="4" w:space="0" w:color="000000"/>
            </w:tcBorders>
            <w:shd w:val="clear" w:color="auto" w:fill="D2D2D2"/>
          </w:tcPr>
          <w:p>
            <w:pPr/>
          </w:p>
        </w:tc>
        <w:tc>
          <w:tcPr>
            <w:tcW w:w="53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8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78" w:type="dxa"/>
            <w:vMerge/>
            <w:tcBorders>
              <w:left w:val="single" w:sz="4" w:space="0" w:color="000000"/>
              <w:right w:val="single" w:sz="4" w:space="0" w:color="000000"/>
            </w:tcBorders>
            <w:shd w:val="clear" w:color="auto" w:fill="D2D2D2"/>
          </w:tcPr>
          <w:p>
            <w:pPr/>
          </w:p>
        </w:tc>
        <w:tc>
          <w:tcPr>
            <w:tcW w:w="652" w:type="dxa"/>
            <w:vMerge/>
            <w:tcBorders>
              <w:left w:val="single" w:sz="4" w:space="0" w:color="000000"/>
              <w:bottom w:val="nil" w:sz="6" w:space="0" w:color="auto"/>
              <w:right w:val="single" w:sz="4" w:space="0" w:color="000000"/>
            </w:tcBorders>
            <w:shd w:val="clear" w:color="auto" w:fill="D2D2D2"/>
          </w:tcPr>
          <w:p>
            <w:pPr/>
          </w:p>
        </w:tc>
        <w:tc>
          <w:tcPr>
            <w:tcW w:w="659" w:type="dxa"/>
            <w:vMerge/>
            <w:tcBorders>
              <w:left w:val="single" w:sz="4" w:space="0" w:color="000000"/>
              <w:right w:val="single" w:sz="4" w:space="0" w:color="000000"/>
            </w:tcBorders>
            <w:shd w:val="clear" w:color="auto" w:fill="D2D2D2"/>
          </w:tcPr>
          <w:p>
            <w:pPr/>
          </w:p>
        </w:tc>
      </w:tr>
      <w:tr>
        <w:trPr>
          <w:trHeight w:val="156" w:hRule="exact"/>
        </w:trPr>
        <w:tc>
          <w:tcPr>
            <w:tcW w:w="1427" w:type="dxa"/>
            <w:vMerge/>
            <w:tcBorders>
              <w:left w:val="single" w:sz="4" w:space="0" w:color="000000"/>
              <w:right w:val="single" w:sz="4" w:space="0" w:color="000000"/>
            </w:tcBorders>
            <w:shd w:val="clear" w:color="auto" w:fill="D2D2D2"/>
          </w:tcPr>
          <w:p>
            <w:pPr/>
          </w:p>
        </w:tc>
        <w:tc>
          <w:tcPr>
            <w:tcW w:w="562" w:type="dxa"/>
            <w:vMerge w:val="restart"/>
            <w:tcBorders>
              <w:top w:val="nil" w:sz="6" w:space="0" w:color="auto"/>
              <w:left w:val="single" w:sz="4" w:space="0" w:color="000000"/>
              <w:right w:val="single" w:sz="4" w:space="0" w:color="000000"/>
            </w:tcBorders>
            <w:shd w:val="clear" w:color="auto" w:fill="D2D2D2"/>
          </w:tcPr>
          <w:p>
            <w:pPr/>
          </w:p>
        </w:tc>
        <w:tc>
          <w:tcPr>
            <w:tcW w:w="530" w:type="dxa"/>
            <w:vMerge/>
            <w:tcBorders>
              <w:left w:val="single" w:sz="4" w:space="0" w:color="000000"/>
              <w:right w:val="single" w:sz="4" w:space="0" w:color="000000"/>
            </w:tcBorders>
            <w:shd w:val="clear" w:color="auto" w:fill="D2D2D2"/>
          </w:tcPr>
          <w:p>
            <w:pPr/>
          </w:p>
        </w:tc>
        <w:tc>
          <w:tcPr>
            <w:tcW w:w="532" w:type="dxa"/>
            <w:vMerge/>
            <w:tcBorders>
              <w:left w:val="single" w:sz="4" w:space="0" w:color="000000"/>
              <w:right w:val="single" w:sz="4" w:space="0" w:color="000000"/>
            </w:tcBorders>
            <w:shd w:val="clear" w:color="auto" w:fill="D2D2D2"/>
          </w:tcPr>
          <w:p>
            <w:pPr/>
          </w:p>
        </w:tc>
        <w:tc>
          <w:tcPr>
            <w:tcW w:w="530"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78" w:type="dxa"/>
            <w:vMerge/>
            <w:tcBorders>
              <w:left w:val="single" w:sz="4" w:space="0" w:color="000000"/>
              <w:bottom w:val="nil" w:sz="6" w:space="0" w:color="auto"/>
              <w:right w:val="single" w:sz="4" w:space="0" w:color="000000"/>
            </w:tcBorders>
            <w:shd w:val="clear" w:color="auto" w:fill="D2D2D2"/>
          </w:tcPr>
          <w:p>
            <w:pPr/>
          </w:p>
        </w:tc>
        <w:tc>
          <w:tcPr>
            <w:tcW w:w="652" w:type="dxa"/>
            <w:vMerge w:val="restart"/>
            <w:tcBorders>
              <w:top w:val="nil" w:sz="6" w:space="0" w:color="auto"/>
              <w:left w:val="single" w:sz="4" w:space="0" w:color="000000"/>
              <w:right w:val="single" w:sz="4" w:space="0" w:color="000000"/>
            </w:tcBorders>
            <w:shd w:val="clear" w:color="auto" w:fill="D2D2D2"/>
          </w:tcPr>
          <w:p>
            <w:pPr/>
          </w:p>
        </w:tc>
        <w:tc>
          <w:tcPr>
            <w:tcW w:w="659" w:type="dxa"/>
            <w:vMerge/>
            <w:tcBorders>
              <w:left w:val="single" w:sz="4" w:space="0" w:color="000000"/>
              <w:bottom w:val="nil" w:sz="6" w:space="0" w:color="auto"/>
              <w:right w:val="single" w:sz="4" w:space="0" w:color="000000"/>
            </w:tcBorders>
            <w:shd w:val="clear" w:color="auto" w:fill="D2D2D2"/>
          </w:tcPr>
          <w:p>
            <w:pPr/>
          </w:p>
        </w:tc>
      </w:tr>
      <w:tr>
        <w:trPr>
          <w:trHeight w:val="228" w:hRule="exact"/>
        </w:trPr>
        <w:tc>
          <w:tcPr>
            <w:tcW w:w="1427" w:type="dxa"/>
            <w:vMerge/>
            <w:tcBorders>
              <w:left w:val="single" w:sz="4" w:space="0" w:color="000000"/>
              <w:bottom w:val="single" w:sz="4" w:space="0" w:color="000000"/>
              <w:right w:val="single" w:sz="4" w:space="0" w:color="000000"/>
            </w:tcBorders>
            <w:shd w:val="clear" w:color="auto" w:fill="D2D2D2"/>
          </w:tcPr>
          <w:p>
            <w:pPr/>
          </w:p>
        </w:tc>
        <w:tc>
          <w:tcPr>
            <w:tcW w:w="562" w:type="dxa"/>
            <w:vMerge/>
            <w:tcBorders>
              <w:left w:val="single" w:sz="4" w:space="0" w:color="000000"/>
              <w:bottom w:val="single" w:sz="4" w:space="0" w:color="000000"/>
              <w:right w:val="single" w:sz="4" w:space="0" w:color="000000"/>
            </w:tcBorders>
            <w:shd w:val="clear" w:color="auto" w:fill="D2D2D2"/>
          </w:tcPr>
          <w:p>
            <w:pPr/>
          </w:p>
        </w:tc>
        <w:tc>
          <w:tcPr>
            <w:tcW w:w="530" w:type="dxa"/>
            <w:vMerge/>
            <w:tcBorders>
              <w:left w:val="single" w:sz="4" w:space="0" w:color="000000"/>
              <w:bottom w:val="single" w:sz="4" w:space="0" w:color="000000"/>
              <w:right w:val="single" w:sz="4" w:space="0" w:color="000000"/>
            </w:tcBorders>
            <w:shd w:val="clear" w:color="auto" w:fill="D2D2D2"/>
          </w:tcPr>
          <w:p>
            <w:pPr/>
          </w:p>
        </w:tc>
        <w:tc>
          <w:tcPr>
            <w:tcW w:w="532" w:type="dxa"/>
            <w:vMerge/>
            <w:tcBorders>
              <w:left w:val="single" w:sz="4" w:space="0" w:color="000000"/>
              <w:bottom w:val="single" w:sz="4" w:space="0" w:color="000000"/>
              <w:right w:val="single" w:sz="4" w:space="0" w:color="000000"/>
            </w:tcBorders>
            <w:shd w:val="clear" w:color="auto" w:fill="D2D2D2"/>
          </w:tcPr>
          <w:p>
            <w:pPr/>
          </w:p>
        </w:tc>
        <w:tc>
          <w:tcPr>
            <w:tcW w:w="530"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78" w:type="dxa"/>
            <w:tcBorders>
              <w:top w:val="nil" w:sz="6" w:space="0" w:color="auto"/>
              <w:left w:val="single" w:sz="4" w:space="0" w:color="000000"/>
              <w:bottom w:val="single" w:sz="4" w:space="0" w:color="000000"/>
              <w:right w:val="single" w:sz="4" w:space="0" w:color="000000"/>
            </w:tcBorders>
            <w:shd w:val="clear" w:color="auto" w:fill="D2D2D2"/>
          </w:tcPr>
          <w:p>
            <w:pPr/>
          </w:p>
        </w:tc>
        <w:tc>
          <w:tcPr>
            <w:tcW w:w="652" w:type="dxa"/>
            <w:vMerge/>
            <w:tcBorders>
              <w:left w:val="single" w:sz="4" w:space="0" w:color="000000"/>
              <w:bottom w:val="single" w:sz="4" w:space="0" w:color="000000"/>
              <w:right w:val="single" w:sz="4" w:space="0" w:color="000000"/>
            </w:tcBorders>
            <w:shd w:val="clear" w:color="auto" w:fill="D2D2D2"/>
          </w:tcPr>
          <w:p>
            <w:pPr/>
          </w:p>
        </w:tc>
        <w:tc>
          <w:tcPr>
            <w:tcW w:w="659"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318" w:hRule="exact"/>
        </w:trPr>
        <w:tc>
          <w:tcPr>
            <w:tcW w:w="1427" w:type="dxa"/>
            <w:tcBorders>
              <w:top w:val="single" w:sz="4" w:space="0" w:color="000000"/>
              <w:left w:val="single" w:sz="4" w:space="0" w:color="000000"/>
              <w:bottom w:val="nil" w:sz="6" w:space="0" w:color="auto"/>
              <w:right w:val="single" w:sz="4" w:space="0" w:color="000000"/>
            </w:tcBorders>
            <w:shd w:val="clear" w:color="auto" w:fill="D2D2D2"/>
          </w:tcPr>
          <w:p>
            <w:pPr/>
          </w:p>
        </w:tc>
        <w:tc>
          <w:tcPr>
            <w:tcW w:w="562" w:type="dxa"/>
            <w:vMerge w:val="restart"/>
            <w:tcBorders>
              <w:top w:val="single" w:sz="4" w:space="0" w:color="000000"/>
              <w:left w:val="single" w:sz="9" w:space="0" w:color="D2D2D2"/>
              <w:right w:val="single" w:sz="4" w:space="0" w:color="000000"/>
            </w:tcBorders>
          </w:tcPr>
          <w:p>
            <w:pPr>
              <w:pStyle w:val="TableParagraph"/>
              <w:spacing w:line="240" w:lineRule="auto" w:before="92"/>
              <w:ind w:left="28" w:right="0"/>
              <w:jc w:val="left"/>
              <w:rPr>
                <w:rFonts w:ascii="Times New Roman" w:hAnsi="Times New Roman" w:cs="Times New Roman" w:eastAsia="Times New Roman" w:hint="default"/>
                <w:sz w:val="18"/>
                <w:szCs w:val="18"/>
              </w:rPr>
            </w:pPr>
            <w:r>
              <w:rPr>
                <w:rFonts w:ascii="Times New Roman"/>
                <w:sz w:val="18"/>
              </w:rPr>
              <w:t>373,45</w:t>
            </w:r>
          </w:p>
          <w:p>
            <w:pPr>
              <w:pStyle w:val="TableParagraph"/>
              <w:spacing w:line="240" w:lineRule="auto" w:before="104"/>
              <w:ind w:left="72" w:right="0"/>
              <w:jc w:val="left"/>
              <w:rPr>
                <w:rFonts w:ascii="Times New Roman" w:hAnsi="Times New Roman" w:cs="Times New Roman" w:eastAsia="Times New Roman" w:hint="default"/>
                <w:sz w:val="18"/>
                <w:szCs w:val="18"/>
              </w:rPr>
            </w:pPr>
            <w:r>
              <w:rPr>
                <w:rFonts w:ascii="Times New Roman"/>
                <w:sz w:val="18"/>
              </w:rPr>
              <w:t>0,947.</w:t>
            </w:r>
          </w:p>
          <w:p>
            <w:pPr>
              <w:pStyle w:val="TableParagraph"/>
              <w:spacing w:line="240" w:lineRule="auto" w:before="106"/>
              <w:ind w:left="342" w:right="0"/>
              <w:jc w:val="left"/>
              <w:rPr>
                <w:rFonts w:ascii="Times New Roman" w:hAnsi="Times New Roman" w:cs="Times New Roman" w:eastAsia="Times New Roman" w:hint="default"/>
                <w:sz w:val="18"/>
                <w:szCs w:val="18"/>
              </w:rPr>
            </w:pPr>
            <w:r>
              <w:rPr>
                <w:rFonts w:ascii="Times New Roman"/>
                <w:sz w:val="18"/>
              </w:rPr>
              <w:t>00</w:t>
            </w:r>
          </w:p>
        </w:tc>
        <w:tc>
          <w:tcPr>
            <w:tcW w:w="530" w:type="dxa"/>
            <w:vMerge w:val="restart"/>
            <w:tcBorders>
              <w:top w:val="single" w:sz="4" w:space="0" w:color="000000"/>
              <w:left w:val="single" w:sz="4" w:space="0" w:color="000000"/>
              <w:right w:val="single" w:sz="4" w:space="0" w:color="000000"/>
            </w:tcBorders>
          </w:tcPr>
          <w:p>
            <w:pPr/>
          </w:p>
        </w:tc>
        <w:tc>
          <w:tcPr>
            <w:tcW w:w="532" w:type="dxa"/>
            <w:vMerge w:val="restart"/>
            <w:tcBorders>
              <w:top w:val="single" w:sz="4" w:space="0" w:color="000000"/>
              <w:left w:val="single" w:sz="4" w:space="0" w:color="000000"/>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92" w:right="0"/>
              <w:jc w:val="left"/>
              <w:rPr>
                <w:rFonts w:ascii="Times New Roman" w:hAnsi="Times New Roman" w:cs="Times New Roman" w:eastAsia="Times New Roman" w:hint="default"/>
                <w:sz w:val="18"/>
                <w:szCs w:val="18"/>
              </w:rPr>
            </w:pPr>
            <w:r>
              <w:rPr>
                <w:rFonts w:ascii="Times New Roman"/>
                <w:sz w:val="18"/>
              </w:rPr>
              <w:t>21,603,</w:t>
            </w:r>
          </w:p>
          <w:p>
            <w:pPr>
              <w:pStyle w:val="TableParagraph"/>
              <w:spacing w:line="240" w:lineRule="auto" w:before="105"/>
              <w:ind w:left="137" w:right="0"/>
              <w:jc w:val="left"/>
              <w:rPr>
                <w:rFonts w:ascii="Times New Roman" w:hAnsi="Times New Roman" w:cs="Times New Roman" w:eastAsia="Times New Roman" w:hint="default"/>
                <w:sz w:val="18"/>
                <w:szCs w:val="18"/>
              </w:rPr>
            </w:pPr>
            <w:r>
              <w:rPr>
                <w:rFonts w:ascii="Times New Roman"/>
                <w:sz w:val="18"/>
              </w:rPr>
              <w:t>885.40</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262,054</w:t>
            </w:r>
          </w:p>
          <w:p>
            <w:pPr>
              <w:pStyle w:val="TableParagraph"/>
              <w:spacing w:line="240" w:lineRule="auto" w:before="105"/>
              <w:ind w:left="406" w:right="0"/>
              <w:jc w:val="left"/>
              <w:rPr>
                <w:rFonts w:ascii="Times New Roman" w:hAnsi="Times New Roman" w:cs="Times New Roman" w:eastAsia="Times New Roman" w:hint="default"/>
                <w:sz w:val="18"/>
                <w:szCs w:val="18"/>
              </w:rPr>
            </w:pPr>
            <w:r>
              <w:rPr>
                <w:rFonts w:ascii="Times New Roman"/>
                <w:sz w:val="18"/>
              </w:rPr>
              <w:t>.91</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31,958,</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314.15</w:t>
            </w:r>
          </w:p>
        </w:tc>
        <w:tc>
          <w:tcPr>
            <w:tcW w:w="665" w:type="dxa"/>
            <w:vMerge w:val="restart"/>
            <w:tcBorders>
              <w:top w:val="single" w:sz="4" w:space="0" w:color="000000"/>
              <w:left w:val="single" w:sz="4" w:space="0" w:color="000000"/>
              <w:right w:val="single" w:sz="4" w:space="0" w:color="000000"/>
            </w:tcBorders>
          </w:tcPr>
          <w:p>
            <w:pPr/>
          </w:p>
        </w:tc>
        <w:tc>
          <w:tcPr>
            <w:tcW w:w="678"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59" w:right="0"/>
              <w:jc w:val="left"/>
              <w:rPr>
                <w:rFonts w:ascii="Times New Roman" w:hAnsi="Times New Roman" w:cs="Times New Roman" w:eastAsia="Times New Roman" w:hint="default"/>
                <w:sz w:val="18"/>
                <w:szCs w:val="18"/>
              </w:rPr>
            </w:pPr>
            <w:r>
              <w:rPr>
                <w:rFonts w:ascii="Times New Roman"/>
                <w:sz w:val="18"/>
              </w:rPr>
              <w:t>160,754</w:t>
            </w:r>
          </w:p>
          <w:p>
            <w:pPr>
              <w:pStyle w:val="TableParagraph"/>
              <w:spacing w:line="240" w:lineRule="auto" w:before="105"/>
              <w:ind w:left="104" w:right="0"/>
              <w:jc w:val="left"/>
              <w:rPr>
                <w:rFonts w:ascii="Times New Roman" w:hAnsi="Times New Roman" w:cs="Times New Roman" w:eastAsia="Times New Roman" w:hint="default"/>
                <w:sz w:val="18"/>
                <w:szCs w:val="18"/>
              </w:rPr>
            </w:pPr>
            <w:r>
              <w:rPr>
                <w:rFonts w:ascii="Times New Roman"/>
                <w:sz w:val="18"/>
              </w:rPr>
              <w:t>,876.38</w:t>
            </w:r>
          </w:p>
        </w:tc>
        <w:tc>
          <w:tcPr>
            <w:tcW w:w="652"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64" w:right="0"/>
              <w:jc w:val="center"/>
              <w:rPr>
                <w:rFonts w:ascii="Times New Roman" w:hAnsi="Times New Roman" w:cs="Times New Roman" w:eastAsia="Times New Roman" w:hint="default"/>
                <w:sz w:val="18"/>
                <w:szCs w:val="18"/>
              </w:rPr>
            </w:pPr>
            <w:r>
              <w:rPr>
                <w:rFonts w:ascii="Times New Roman"/>
                <w:sz w:val="18"/>
              </w:rPr>
              <w:t>3,411,4</w:t>
            </w:r>
          </w:p>
          <w:p>
            <w:pPr>
              <w:pStyle w:val="TableParagraph"/>
              <w:spacing w:line="240" w:lineRule="auto" w:before="105"/>
              <w:ind w:left="192" w:right="0"/>
              <w:jc w:val="center"/>
              <w:rPr>
                <w:rFonts w:ascii="Times New Roman" w:hAnsi="Times New Roman" w:cs="Times New Roman" w:eastAsia="Times New Roman" w:hint="default"/>
                <w:sz w:val="18"/>
                <w:szCs w:val="18"/>
              </w:rPr>
            </w:pPr>
            <w:r>
              <w:rPr>
                <w:rFonts w:ascii="Times New Roman"/>
                <w:sz w:val="18"/>
              </w:rPr>
              <w:t>54.72</w:t>
            </w:r>
          </w:p>
        </w:tc>
        <w:tc>
          <w:tcPr>
            <w:tcW w:w="659"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591,441</w:t>
            </w:r>
          </w:p>
          <w:p>
            <w:pPr>
              <w:pStyle w:val="TableParagraph"/>
              <w:spacing w:line="240" w:lineRule="auto" w:before="105"/>
              <w:ind w:left="85" w:right="0"/>
              <w:jc w:val="left"/>
              <w:rPr>
                <w:rFonts w:ascii="Times New Roman" w:hAnsi="Times New Roman" w:cs="Times New Roman" w:eastAsia="Times New Roman" w:hint="default"/>
                <w:sz w:val="18"/>
                <w:szCs w:val="18"/>
              </w:rPr>
            </w:pPr>
            <w:r>
              <w:rPr>
                <w:rFonts w:ascii="Times New Roman"/>
                <w:sz w:val="18"/>
              </w:rPr>
              <w:t>,532.56</w:t>
            </w:r>
          </w:p>
        </w:tc>
      </w:tr>
      <w:tr>
        <w:trPr>
          <w:trHeight w:val="391" w:hRule="exact"/>
        </w:trPr>
        <w:tc>
          <w:tcPr>
            <w:tcW w:w="142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pacing w:val="-8"/>
                <w:sz w:val="18"/>
                <w:szCs w:val="18"/>
              </w:rPr>
              <w:t>一、上年期末余额</w:t>
            </w:r>
          </w:p>
        </w:tc>
        <w:tc>
          <w:tcPr>
            <w:tcW w:w="562" w:type="dxa"/>
            <w:vMerge/>
            <w:tcBorders>
              <w:left w:val="single" w:sz="9" w:space="0" w:color="D2D2D2"/>
              <w:right w:val="single" w:sz="4" w:space="0" w:color="000000"/>
            </w:tcBorders>
          </w:tcPr>
          <w:p>
            <w:pPr/>
          </w:p>
        </w:tc>
        <w:tc>
          <w:tcPr>
            <w:tcW w:w="530" w:type="dxa"/>
            <w:vMerge/>
            <w:tcBorders>
              <w:left w:val="single" w:sz="4" w:space="0" w:color="000000"/>
              <w:right w:val="single" w:sz="4" w:space="0" w:color="000000"/>
            </w:tcBorders>
          </w:tcPr>
          <w:p>
            <w:pPr/>
          </w:p>
        </w:tc>
        <w:tc>
          <w:tcPr>
            <w:tcW w:w="532"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78" w:type="dxa"/>
            <w:vMerge/>
            <w:tcBorders>
              <w:left w:val="single" w:sz="4" w:space="0" w:color="000000"/>
              <w:right w:val="single" w:sz="4" w:space="0" w:color="000000"/>
            </w:tcBorders>
          </w:tcPr>
          <w:p>
            <w:pPr/>
          </w:p>
        </w:tc>
        <w:tc>
          <w:tcPr>
            <w:tcW w:w="652" w:type="dxa"/>
            <w:vMerge/>
            <w:tcBorders>
              <w:left w:val="single" w:sz="4" w:space="0" w:color="000000"/>
              <w:right w:val="single" w:sz="4" w:space="0" w:color="000000"/>
            </w:tcBorders>
          </w:tcPr>
          <w:p>
            <w:pPr/>
          </w:p>
        </w:tc>
        <w:tc>
          <w:tcPr>
            <w:tcW w:w="659" w:type="dxa"/>
            <w:vMerge/>
            <w:tcBorders>
              <w:left w:val="single" w:sz="4" w:space="0" w:color="000000"/>
              <w:right w:val="single" w:sz="4" w:space="0" w:color="000000"/>
            </w:tcBorders>
          </w:tcPr>
          <w:p>
            <w:pPr/>
          </w:p>
        </w:tc>
      </w:tr>
      <w:tr>
        <w:trPr>
          <w:trHeight w:val="317" w:hRule="exact"/>
        </w:trPr>
        <w:tc>
          <w:tcPr>
            <w:tcW w:w="1427" w:type="dxa"/>
            <w:tcBorders>
              <w:top w:val="nil" w:sz="6" w:space="0" w:color="auto"/>
              <w:left w:val="single" w:sz="4" w:space="0" w:color="000000"/>
              <w:bottom w:val="single" w:sz="4" w:space="0" w:color="000000"/>
              <w:right w:val="single" w:sz="4" w:space="0" w:color="000000"/>
            </w:tcBorders>
            <w:shd w:val="clear" w:color="auto" w:fill="D2D2D2"/>
          </w:tcPr>
          <w:p>
            <w:pPr/>
          </w:p>
        </w:tc>
        <w:tc>
          <w:tcPr>
            <w:tcW w:w="562" w:type="dxa"/>
            <w:vMerge/>
            <w:tcBorders>
              <w:left w:val="single" w:sz="9" w:space="0" w:color="D2D2D2"/>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532"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78" w:type="dxa"/>
            <w:vMerge/>
            <w:tcBorders>
              <w:left w:val="single" w:sz="4" w:space="0" w:color="000000"/>
              <w:bottom w:val="single" w:sz="4" w:space="0" w:color="000000"/>
              <w:right w:val="single" w:sz="4" w:space="0" w:color="000000"/>
            </w:tcBorders>
          </w:tcPr>
          <w:p>
            <w:pPr/>
          </w:p>
        </w:tc>
        <w:tc>
          <w:tcPr>
            <w:tcW w:w="652" w:type="dxa"/>
            <w:vMerge/>
            <w:tcBorders>
              <w:left w:val="single" w:sz="4" w:space="0" w:color="000000"/>
              <w:bottom w:val="single" w:sz="4" w:space="0" w:color="000000"/>
              <w:right w:val="single" w:sz="4" w:space="0" w:color="000000"/>
            </w:tcBorders>
          </w:tcPr>
          <w:p>
            <w:pPr/>
          </w:p>
        </w:tc>
        <w:tc>
          <w:tcPr>
            <w:tcW w:w="659" w:type="dxa"/>
            <w:vMerge/>
            <w:tcBorders>
              <w:left w:val="single" w:sz="4" w:space="0" w:color="000000"/>
              <w:bottom w:val="single" w:sz="4" w:space="0" w:color="000000"/>
              <w:right w:val="single" w:sz="4" w:space="0" w:color="000000"/>
            </w:tcBorders>
          </w:tcPr>
          <w:p>
            <w:pPr/>
          </w:p>
        </w:tc>
      </w:tr>
      <w:tr>
        <w:trPr>
          <w:trHeight w:val="714"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1" w:right="22" w:firstLine="360"/>
              <w:jc w:val="left"/>
              <w:rPr>
                <w:rFonts w:ascii="宋体" w:hAnsi="宋体" w:cs="宋体" w:eastAsia="宋体" w:hint="default"/>
                <w:sz w:val="18"/>
                <w:szCs w:val="18"/>
              </w:rPr>
            </w:pPr>
            <w:r>
              <w:rPr>
                <w:rFonts w:ascii="宋体" w:hAnsi="宋体" w:cs="宋体" w:eastAsia="宋体" w:hint="default"/>
                <w:spacing w:val="-10"/>
                <w:sz w:val="18"/>
                <w:szCs w:val="18"/>
              </w:rPr>
              <w:t>加：会计政策</w:t>
            </w:r>
            <w:r>
              <w:rPr>
                <w:rFonts w:ascii="宋体" w:hAnsi="宋体" w:cs="宋体" w:eastAsia="宋体" w:hint="default"/>
                <w:sz w:val="18"/>
                <w:szCs w:val="18"/>
              </w:rPr>
              <w:t> 变更</w:t>
            </w:r>
          </w:p>
        </w:tc>
        <w:tc>
          <w:tcPr>
            <w:tcW w:w="562"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31" w:right="0"/>
              <w:jc w:val="left"/>
              <w:rPr>
                <w:rFonts w:ascii="宋体" w:hAnsi="宋体" w:cs="宋体" w:eastAsia="宋体" w:hint="default"/>
                <w:sz w:val="18"/>
                <w:szCs w:val="18"/>
              </w:rPr>
            </w:pPr>
            <w:r>
              <w:rPr>
                <w:rFonts w:ascii="宋体" w:hAnsi="宋体" w:cs="宋体" w:eastAsia="宋体" w:hint="default"/>
                <w:sz w:val="18"/>
                <w:szCs w:val="18"/>
              </w:rPr>
              <w:t>前期差</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错更正</w:t>
            </w:r>
          </w:p>
        </w:tc>
        <w:tc>
          <w:tcPr>
            <w:tcW w:w="562"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437"/>
        <w:gridCol w:w="562"/>
        <w:gridCol w:w="530"/>
        <w:gridCol w:w="532"/>
        <w:gridCol w:w="530"/>
        <w:gridCol w:w="665"/>
        <w:gridCol w:w="665"/>
        <w:gridCol w:w="665"/>
        <w:gridCol w:w="665"/>
        <w:gridCol w:w="665"/>
        <w:gridCol w:w="665"/>
        <w:gridCol w:w="678"/>
        <w:gridCol w:w="652"/>
        <w:gridCol w:w="659"/>
      </w:tblGrid>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42" w:firstLine="720"/>
              <w:jc w:val="left"/>
              <w:rPr>
                <w:rFonts w:ascii="宋体" w:hAnsi="宋体" w:cs="宋体" w:eastAsia="宋体" w:hint="default"/>
                <w:sz w:val="18"/>
                <w:szCs w:val="18"/>
              </w:rPr>
            </w:pPr>
            <w:r>
              <w:rPr>
                <w:rFonts w:ascii="宋体" w:hAnsi="宋体" w:cs="宋体" w:eastAsia="宋体" w:hint="default"/>
                <w:sz w:val="18"/>
                <w:szCs w:val="18"/>
              </w:rPr>
              <w:t>同一控 制下企业合并</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pacing w:val="-8"/>
                <w:sz w:val="18"/>
                <w:szCs w:val="18"/>
              </w:rPr>
              <w:t>二、本年期初余额</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373,45</w:t>
            </w:r>
          </w:p>
          <w:p>
            <w:pPr>
              <w:pStyle w:val="TableParagraph"/>
              <w:spacing w:line="240" w:lineRule="auto" w:before="105"/>
              <w:ind w:left="79" w:right="0"/>
              <w:jc w:val="left"/>
              <w:rPr>
                <w:rFonts w:ascii="Times New Roman" w:hAnsi="Times New Roman" w:cs="Times New Roman" w:eastAsia="Times New Roman" w:hint="default"/>
                <w:sz w:val="18"/>
                <w:szCs w:val="18"/>
              </w:rPr>
            </w:pPr>
            <w:r>
              <w:rPr>
                <w:rFonts w:ascii="Times New Roman"/>
                <w:sz w:val="18"/>
              </w:rPr>
              <w:t>0,947.</w:t>
            </w:r>
          </w:p>
          <w:p>
            <w:pPr>
              <w:pStyle w:val="TableParagraph"/>
              <w:spacing w:line="240" w:lineRule="auto" w:before="106"/>
              <w:ind w:left="349" w:right="0"/>
              <w:jc w:val="left"/>
              <w:rPr>
                <w:rFonts w:ascii="Times New Roman" w:hAnsi="Times New Roman" w:cs="Times New Roman" w:eastAsia="Times New Roman" w:hint="default"/>
                <w:sz w:val="18"/>
                <w:szCs w:val="18"/>
              </w:rPr>
            </w:pPr>
            <w:r>
              <w:rPr>
                <w:rFonts w:ascii="Times New Roman"/>
                <w:sz w:val="18"/>
              </w:rPr>
              <w:t>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2" w:right="0"/>
              <w:jc w:val="left"/>
              <w:rPr>
                <w:rFonts w:ascii="Times New Roman" w:hAnsi="Times New Roman" w:cs="Times New Roman" w:eastAsia="Times New Roman" w:hint="default"/>
                <w:sz w:val="18"/>
                <w:szCs w:val="18"/>
              </w:rPr>
            </w:pPr>
            <w:r>
              <w:rPr>
                <w:rFonts w:ascii="Times New Roman"/>
                <w:sz w:val="18"/>
              </w:rPr>
              <w:t>21,603,</w:t>
            </w:r>
          </w:p>
          <w:p>
            <w:pPr>
              <w:pStyle w:val="TableParagraph"/>
              <w:spacing w:line="240" w:lineRule="auto" w:before="106"/>
              <w:ind w:left="137" w:right="0"/>
              <w:jc w:val="left"/>
              <w:rPr>
                <w:rFonts w:ascii="Times New Roman" w:hAnsi="Times New Roman" w:cs="Times New Roman" w:eastAsia="Times New Roman" w:hint="default"/>
                <w:sz w:val="18"/>
                <w:szCs w:val="18"/>
              </w:rPr>
            </w:pPr>
            <w:r>
              <w:rPr>
                <w:rFonts w:ascii="Times New Roman"/>
                <w:sz w:val="18"/>
              </w:rPr>
              <w:t>885.40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262,054</w:t>
            </w:r>
          </w:p>
          <w:p>
            <w:pPr>
              <w:pStyle w:val="TableParagraph"/>
              <w:spacing w:line="240" w:lineRule="auto" w:before="106"/>
              <w:ind w:left="406" w:right="0"/>
              <w:jc w:val="left"/>
              <w:rPr>
                <w:rFonts w:ascii="Times New Roman" w:hAnsi="Times New Roman" w:cs="Times New Roman" w:eastAsia="Times New Roman" w:hint="default"/>
                <w:sz w:val="18"/>
                <w:szCs w:val="18"/>
              </w:rPr>
            </w:pPr>
            <w:r>
              <w:rPr>
                <w:rFonts w:ascii="Times New Roman"/>
                <w:sz w:val="18"/>
              </w:rPr>
              <w:t>.91</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31,958,</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314.15</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9" w:right="0"/>
              <w:jc w:val="left"/>
              <w:rPr>
                <w:rFonts w:ascii="Times New Roman" w:hAnsi="Times New Roman" w:cs="Times New Roman" w:eastAsia="Times New Roman" w:hint="default"/>
                <w:sz w:val="18"/>
                <w:szCs w:val="18"/>
              </w:rPr>
            </w:pPr>
            <w:r>
              <w:rPr>
                <w:rFonts w:ascii="Times New Roman"/>
                <w:sz w:val="18"/>
              </w:rPr>
              <w:t>160,754</w:t>
            </w:r>
          </w:p>
          <w:p>
            <w:pPr>
              <w:pStyle w:val="TableParagraph"/>
              <w:spacing w:line="240" w:lineRule="auto" w:before="106"/>
              <w:ind w:left="104" w:right="0"/>
              <w:jc w:val="left"/>
              <w:rPr>
                <w:rFonts w:ascii="Times New Roman" w:hAnsi="Times New Roman" w:cs="Times New Roman" w:eastAsia="Times New Roman" w:hint="default"/>
                <w:sz w:val="18"/>
                <w:szCs w:val="18"/>
              </w:rPr>
            </w:pPr>
            <w:r>
              <w:rPr>
                <w:rFonts w:ascii="Times New Roman"/>
                <w:sz w:val="18"/>
              </w:rPr>
              <w:t>,876.38</w:t>
            </w: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4" w:right="0"/>
              <w:jc w:val="center"/>
              <w:rPr>
                <w:rFonts w:ascii="Times New Roman" w:hAnsi="Times New Roman" w:cs="Times New Roman" w:eastAsia="Times New Roman" w:hint="default"/>
                <w:sz w:val="18"/>
                <w:szCs w:val="18"/>
              </w:rPr>
            </w:pPr>
            <w:r>
              <w:rPr>
                <w:rFonts w:ascii="Times New Roman"/>
                <w:sz w:val="18"/>
              </w:rPr>
              <w:t>3,411,4</w:t>
            </w:r>
          </w:p>
          <w:p>
            <w:pPr>
              <w:pStyle w:val="TableParagraph"/>
              <w:spacing w:line="240" w:lineRule="auto" w:before="106"/>
              <w:ind w:left="192" w:right="0"/>
              <w:jc w:val="center"/>
              <w:rPr>
                <w:rFonts w:ascii="Times New Roman" w:hAnsi="Times New Roman" w:cs="Times New Roman" w:eastAsia="Times New Roman" w:hint="default"/>
                <w:sz w:val="18"/>
                <w:szCs w:val="18"/>
              </w:rPr>
            </w:pPr>
            <w:r>
              <w:rPr>
                <w:rFonts w:ascii="Times New Roman"/>
                <w:sz w:val="18"/>
              </w:rPr>
              <w:t>54.72</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591,441</w:t>
            </w:r>
          </w:p>
          <w:p>
            <w:pPr>
              <w:pStyle w:val="TableParagraph"/>
              <w:spacing w:line="240" w:lineRule="auto" w:before="106"/>
              <w:ind w:left="85" w:right="0"/>
              <w:jc w:val="left"/>
              <w:rPr>
                <w:rFonts w:ascii="Times New Roman" w:hAnsi="Times New Roman" w:cs="Times New Roman" w:eastAsia="Times New Roman" w:hint="default"/>
                <w:sz w:val="18"/>
                <w:szCs w:val="18"/>
              </w:rPr>
            </w:pPr>
            <w:r>
              <w:rPr>
                <w:rFonts w:ascii="Times New Roman"/>
                <w:sz w:val="18"/>
              </w:rPr>
              <w:t>,532.56</w:t>
            </w: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21"/>
              <w:jc w:val="both"/>
              <w:rPr>
                <w:rFonts w:ascii="宋体" w:hAnsi="宋体" w:cs="宋体" w:eastAsia="宋体" w:hint="default"/>
                <w:sz w:val="18"/>
                <w:szCs w:val="18"/>
              </w:rPr>
            </w:pPr>
            <w:r>
              <w:rPr>
                <w:rFonts w:ascii="宋体" w:hAnsi="宋体" w:cs="宋体" w:eastAsia="宋体" w:hint="default"/>
                <w:spacing w:val="-8"/>
                <w:sz w:val="18"/>
                <w:szCs w:val="18"/>
              </w:rPr>
              <w:t>三、本期增减变动</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5"/>
                <w:sz w:val="18"/>
                <w:szCs w:val="18"/>
              </w:rPr>
              <w:t>金额（减少以</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w:t>
            </w:r>
            <w:r>
              <w:rPr>
                <w:rFonts w:ascii="Times New Roman" w:hAnsi="Times New Roman" w:cs="Times New Roman" w:eastAsia="Times New Roman" w:hint="default"/>
                <w:spacing w:val="-40"/>
                <w:sz w:val="18"/>
                <w:szCs w:val="18"/>
              </w:rPr>
              <w:t> </w:t>
            </w:r>
            <w:r>
              <w:rPr>
                <w:rFonts w:ascii="宋体" w:hAnsi="宋体" w:cs="宋体" w:eastAsia="宋体" w:hint="default"/>
                <w:sz w:val="18"/>
                <w:szCs w:val="18"/>
              </w:rPr>
              <w:t>号填列）</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23,333</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,048.0</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238,307</w:t>
            </w:r>
          </w:p>
          <w:p>
            <w:pPr>
              <w:pStyle w:val="TableParagraph"/>
              <w:spacing w:line="240" w:lineRule="auto" w:before="106"/>
              <w:ind w:left="99" w:right="0"/>
              <w:jc w:val="left"/>
              <w:rPr>
                <w:rFonts w:ascii="Times New Roman" w:hAnsi="Times New Roman" w:cs="Times New Roman" w:eastAsia="Times New Roman" w:hint="default"/>
                <w:sz w:val="18"/>
                <w:szCs w:val="18"/>
              </w:rPr>
            </w:pPr>
            <w:r>
              <w:rPr>
                <w:rFonts w:ascii="Times New Roman"/>
                <w:sz w:val="18"/>
              </w:rPr>
              <w:t>,311.18</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28,377,</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600.00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-1,060,0</w:t>
            </w:r>
          </w:p>
          <w:p>
            <w:pPr>
              <w:pStyle w:val="TableParagraph"/>
              <w:spacing w:line="240" w:lineRule="auto" w:before="106"/>
              <w:ind w:left="203" w:right="0"/>
              <w:jc w:val="center"/>
              <w:rPr>
                <w:rFonts w:ascii="Times New Roman" w:hAnsi="Times New Roman" w:cs="Times New Roman" w:eastAsia="Times New Roman" w:hint="default"/>
                <w:sz w:val="18"/>
                <w:szCs w:val="18"/>
              </w:rPr>
            </w:pPr>
            <w:r>
              <w:rPr>
                <w:rFonts w:ascii="Times New Roman"/>
                <w:sz w:val="18"/>
              </w:rPr>
              <w:t>43.34</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7" w:right="0"/>
              <w:jc w:val="center"/>
              <w:rPr>
                <w:rFonts w:ascii="Times New Roman" w:hAnsi="Times New Roman" w:cs="Times New Roman" w:eastAsia="Times New Roman" w:hint="default"/>
                <w:sz w:val="18"/>
                <w:szCs w:val="18"/>
              </w:rPr>
            </w:pPr>
            <w:r>
              <w:rPr>
                <w:rFonts w:ascii="Times New Roman"/>
                <w:sz w:val="18"/>
              </w:rPr>
              <w:t>9,173,3</w:t>
            </w:r>
          </w:p>
          <w:p>
            <w:pPr>
              <w:pStyle w:val="TableParagraph"/>
              <w:spacing w:line="240" w:lineRule="auto" w:before="106"/>
              <w:ind w:left="203" w:right="0"/>
              <w:jc w:val="center"/>
              <w:rPr>
                <w:rFonts w:ascii="Times New Roman" w:hAnsi="Times New Roman" w:cs="Times New Roman" w:eastAsia="Times New Roman" w:hint="default"/>
                <w:sz w:val="18"/>
                <w:szCs w:val="18"/>
              </w:rPr>
            </w:pPr>
            <w:r>
              <w:rPr>
                <w:rFonts w:ascii="Times New Roman"/>
                <w:sz w:val="18"/>
              </w:rPr>
              <w:t>23.09</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04" w:right="0"/>
              <w:jc w:val="left"/>
              <w:rPr>
                <w:rFonts w:ascii="Times New Roman" w:hAnsi="Times New Roman" w:cs="Times New Roman" w:eastAsia="Times New Roman" w:hint="default"/>
                <w:sz w:val="18"/>
                <w:szCs w:val="18"/>
              </w:rPr>
            </w:pPr>
            <w:r>
              <w:rPr>
                <w:rFonts w:ascii="Times New Roman"/>
                <w:sz w:val="18"/>
              </w:rPr>
              <w:t>65,819,</w:t>
            </w:r>
          </w:p>
          <w:p>
            <w:pPr>
              <w:pStyle w:val="TableParagraph"/>
              <w:spacing w:line="240" w:lineRule="auto" w:before="106"/>
              <w:ind w:left="149" w:right="0"/>
              <w:jc w:val="left"/>
              <w:rPr>
                <w:rFonts w:ascii="Times New Roman" w:hAnsi="Times New Roman" w:cs="Times New Roman" w:eastAsia="Times New Roman" w:hint="default"/>
                <w:sz w:val="18"/>
                <w:szCs w:val="18"/>
              </w:rPr>
            </w:pPr>
            <w:r>
              <w:rPr>
                <w:rFonts w:ascii="Times New Roman"/>
                <w:sz w:val="18"/>
              </w:rPr>
              <w:t>928.41</w:t>
            </w: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34" w:right="0"/>
              <w:jc w:val="left"/>
              <w:rPr>
                <w:rFonts w:ascii="Times New Roman" w:hAnsi="Times New Roman" w:cs="Times New Roman" w:eastAsia="Times New Roman" w:hint="default"/>
                <w:sz w:val="18"/>
                <w:szCs w:val="18"/>
              </w:rPr>
            </w:pPr>
            <w:r>
              <w:rPr>
                <w:rFonts w:ascii="Times New Roman"/>
                <w:sz w:val="18"/>
              </w:rPr>
              <w:t>977,018</w:t>
            </w:r>
          </w:p>
          <w:p>
            <w:pPr>
              <w:pStyle w:val="TableParagraph"/>
              <w:spacing w:line="240" w:lineRule="auto" w:before="106"/>
              <w:ind w:left="394" w:right="0"/>
              <w:jc w:val="left"/>
              <w:rPr>
                <w:rFonts w:ascii="Times New Roman" w:hAnsi="Times New Roman" w:cs="Times New Roman" w:eastAsia="Times New Roman" w:hint="default"/>
                <w:sz w:val="18"/>
                <w:szCs w:val="18"/>
              </w:rPr>
            </w:pPr>
            <w:r>
              <w:rPr>
                <w:rFonts w:ascii="Times New Roman"/>
                <w:sz w:val="18"/>
              </w:rPr>
              <w:t>.84</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308,172</w:t>
            </w:r>
          </w:p>
          <w:p>
            <w:pPr>
              <w:pStyle w:val="TableParagraph"/>
              <w:spacing w:line="240" w:lineRule="auto" w:before="106"/>
              <w:ind w:left="85" w:right="0"/>
              <w:jc w:val="left"/>
              <w:rPr>
                <w:rFonts w:ascii="Times New Roman" w:hAnsi="Times New Roman" w:cs="Times New Roman" w:eastAsia="Times New Roman" w:hint="default"/>
                <w:sz w:val="18"/>
                <w:szCs w:val="18"/>
              </w:rPr>
            </w:pPr>
            <w:r>
              <w:rPr>
                <w:rFonts w:ascii="Times New Roman"/>
                <w:sz w:val="18"/>
              </w:rPr>
              <w:t>,986.18</w:t>
            </w: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1"/>
              <w:jc w:val="left"/>
              <w:rPr>
                <w:rFonts w:ascii="宋体" w:hAnsi="宋体" w:cs="宋体" w:eastAsia="宋体" w:hint="default"/>
                <w:sz w:val="18"/>
                <w:szCs w:val="18"/>
              </w:rPr>
            </w:pPr>
            <w:r>
              <w:rPr>
                <w:rFonts w:ascii="宋体" w:hAnsi="宋体" w:cs="宋体" w:eastAsia="宋体" w:hint="default"/>
                <w:spacing w:val="-8"/>
                <w:sz w:val="18"/>
                <w:szCs w:val="18"/>
              </w:rPr>
              <w:t>（一）综合收益总</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额</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-1,060,0</w:t>
            </w:r>
          </w:p>
          <w:p>
            <w:pPr>
              <w:pStyle w:val="TableParagraph"/>
              <w:spacing w:line="240" w:lineRule="auto" w:before="106"/>
              <w:ind w:left="203" w:right="0"/>
              <w:jc w:val="center"/>
              <w:rPr>
                <w:rFonts w:ascii="Times New Roman" w:hAnsi="Times New Roman" w:cs="Times New Roman" w:eastAsia="Times New Roman" w:hint="default"/>
                <w:sz w:val="18"/>
                <w:szCs w:val="18"/>
              </w:rPr>
            </w:pPr>
            <w:r>
              <w:rPr>
                <w:rFonts w:ascii="Times New Roman"/>
                <w:sz w:val="18"/>
              </w:rPr>
              <w:t>43.34</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4" w:right="0"/>
              <w:jc w:val="left"/>
              <w:rPr>
                <w:rFonts w:ascii="Times New Roman" w:hAnsi="Times New Roman" w:cs="Times New Roman" w:eastAsia="Times New Roman" w:hint="default"/>
                <w:sz w:val="18"/>
                <w:szCs w:val="18"/>
              </w:rPr>
            </w:pPr>
            <w:r>
              <w:rPr>
                <w:rFonts w:ascii="Times New Roman"/>
                <w:sz w:val="18"/>
              </w:rPr>
              <w:t>86,282,</w:t>
            </w:r>
          </w:p>
          <w:p>
            <w:pPr>
              <w:pStyle w:val="TableParagraph"/>
              <w:spacing w:line="240" w:lineRule="auto" w:before="106"/>
              <w:ind w:left="149" w:right="0"/>
              <w:jc w:val="left"/>
              <w:rPr>
                <w:rFonts w:ascii="Times New Roman" w:hAnsi="Times New Roman" w:cs="Times New Roman" w:eastAsia="Times New Roman" w:hint="default"/>
                <w:sz w:val="18"/>
                <w:szCs w:val="18"/>
              </w:rPr>
            </w:pPr>
            <w:r>
              <w:rPr>
                <w:rFonts w:ascii="Times New Roman"/>
                <w:sz w:val="18"/>
              </w:rPr>
              <w:t>371.38</w:t>
            </w: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4" w:right="0"/>
              <w:jc w:val="left"/>
              <w:rPr>
                <w:rFonts w:ascii="Times New Roman" w:hAnsi="Times New Roman" w:cs="Times New Roman" w:eastAsia="Times New Roman" w:hint="default"/>
                <w:sz w:val="18"/>
                <w:szCs w:val="18"/>
              </w:rPr>
            </w:pPr>
            <w:r>
              <w:rPr>
                <w:rFonts w:ascii="Times New Roman"/>
                <w:sz w:val="18"/>
              </w:rPr>
              <w:t>977,018</w:t>
            </w:r>
          </w:p>
          <w:p>
            <w:pPr>
              <w:pStyle w:val="TableParagraph"/>
              <w:spacing w:line="240" w:lineRule="auto" w:before="106"/>
              <w:ind w:left="394" w:right="0"/>
              <w:jc w:val="left"/>
              <w:rPr>
                <w:rFonts w:ascii="Times New Roman" w:hAnsi="Times New Roman" w:cs="Times New Roman" w:eastAsia="Times New Roman" w:hint="default"/>
                <w:sz w:val="18"/>
                <w:szCs w:val="18"/>
              </w:rPr>
            </w:pPr>
            <w:r>
              <w:rPr>
                <w:rFonts w:ascii="Times New Roman"/>
                <w:sz w:val="18"/>
              </w:rPr>
              <w:t>.84</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5" w:right="0"/>
              <w:jc w:val="left"/>
              <w:rPr>
                <w:rFonts w:ascii="Times New Roman" w:hAnsi="Times New Roman" w:cs="Times New Roman" w:eastAsia="Times New Roman" w:hint="default"/>
                <w:sz w:val="18"/>
                <w:szCs w:val="18"/>
              </w:rPr>
            </w:pPr>
            <w:r>
              <w:rPr>
                <w:rFonts w:ascii="Times New Roman"/>
                <w:sz w:val="18"/>
              </w:rPr>
              <w:t>86,199,</w:t>
            </w:r>
          </w:p>
          <w:p>
            <w:pPr>
              <w:pStyle w:val="TableParagraph"/>
              <w:spacing w:line="240" w:lineRule="auto" w:before="106"/>
              <w:ind w:left="130" w:right="0"/>
              <w:jc w:val="left"/>
              <w:rPr>
                <w:rFonts w:ascii="Times New Roman" w:hAnsi="Times New Roman" w:cs="Times New Roman" w:eastAsia="Times New Roman" w:hint="default"/>
                <w:sz w:val="18"/>
                <w:szCs w:val="18"/>
              </w:rPr>
            </w:pPr>
            <w:r>
              <w:rPr>
                <w:rFonts w:ascii="Times New Roman"/>
                <w:sz w:val="18"/>
              </w:rPr>
              <w:t>346.88</w:t>
            </w: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22" w:right="21"/>
              <w:jc w:val="left"/>
              <w:rPr>
                <w:rFonts w:ascii="宋体" w:hAnsi="宋体" w:cs="宋体" w:eastAsia="宋体" w:hint="default"/>
                <w:sz w:val="18"/>
                <w:szCs w:val="18"/>
              </w:rPr>
            </w:pPr>
            <w:r>
              <w:rPr>
                <w:rFonts w:ascii="宋体" w:hAnsi="宋体" w:cs="宋体" w:eastAsia="宋体" w:hint="default"/>
                <w:spacing w:val="-8"/>
                <w:sz w:val="18"/>
                <w:szCs w:val="18"/>
              </w:rPr>
              <w:t>（二）所有者投入</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和减少资本</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23,333</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,048.0</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238,307</w:t>
            </w:r>
          </w:p>
          <w:p>
            <w:pPr>
              <w:pStyle w:val="TableParagraph"/>
              <w:spacing w:line="240" w:lineRule="auto" w:before="106"/>
              <w:ind w:left="99" w:right="0"/>
              <w:jc w:val="left"/>
              <w:rPr>
                <w:rFonts w:ascii="Times New Roman" w:hAnsi="Times New Roman" w:cs="Times New Roman" w:eastAsia="Times New Roman" w:hint="default"/>
                <w:sz w:val="18"/>
                <w:szCs w:val="18"/>
              </w:rPr>
            </w:pPr>
            <w:r>
              <w:rPr>
                <w:rFonts w:ascii="Times New Roman"/>
                <w:sz w:val="18"/>
              </w:rPr>
              <w:t>,311.18</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28,377,</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600.00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233,262</w:t>
            </w:r>
          </w:p>
          <w:p>
            <w:pPr>
              <w:pStyle w:val="TableParagraph"/>
              <w:spacing w:line="240" w:lineRule="auto" w:before="106"/>
              <w:ind w:left="85" w:right="0"/>
              <w:jc w:val="left"/>
              <w:rPr>
                <w:rFonts w:ascii="Times New Roman" w:hAnsi="Times New Roman" w:cs="Times New Roman" w:eastAsia="Times New Roman" w:hint="default"/>
                <w:sz w:val="18"/>
                <w:szCs w:val="18"/>
              </w:rPr>
            </w:pPr>
            <w:r>
              <w:rPr>
                <w:rFonts w:ascii="Times New Roman"/>
                <w:sz w:val="18"/>
              </w:rPr>
              <w:t>,759.18</w:t>
            </w: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02" w:lineRule="auto"/>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．股东投入的普 通股</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19,999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,999.0</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205,000</w:t>
            </w:r>
          </w:p>
          <w:p>
            <w:pPr>
              <w:pStyle w:val="TableParagraph"/>
              <w:spacing w:line="240" w:lineRule="auto" w:before="106"/>
              <w:ind w:left="92" w:right="0"/>
              <w:jc w:val="left"/>
              <w:rPr>
                <w:rFonts w:ascii="Times New Roman" w:hAnsi="Times New Roman" w:cs="Times New Roman" w:eastAsia="Times New Roman" w:hint="default"/>
                <w:sz w:val="18"/>
                <w:szCs w:val="18"/>
              </w:rPr>
            </w:pPr>
            <w:r>
              <w:rPr>
                <w:rFonts w:ascii="Times New Roman"/>
                <w:sz w:val="18"/>
              </w:rPr>
              <w:t>,001.00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225,000</w:t>
            </w:r>
          </w:p>
          <w:p>
            <w:pPr>
              <w:pStyle w:val="TableParagraph"/>
              <w:spacing w:line="240" w:lineRule="auto" w:before="106"/>
              <w:ind w:left="85" w:right="0"/>
              <w:jc w:val="left"/>
              <w:rPr>
                <w:rFonts w:ascii="Times New Roman" w:hAnsi="Times New Roman" w:cs="Times New Roman" w:eastAsia="Times New Roman" w:hint="default"/>
                <w:sz w:val="18"/>
                <w:szCs w:val="18"/>
              </w:rPr>
            </w:pPr>
            <w:r>
              <w:rPr>
                <w:rFonts w:ascii="Times New Roman"/>
                <w:sz w:val="18"/>
              </w:rPr>
              <w:t>,000.00</w:t>
            </w: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9" w:right="0"/>
              <w:jc w:val="left"/>
              <w:rPr>
                <w:rFonts w:ascii="Times New Roman" w:hAnsi="Times New Roman" w:cs="Times New Roman" w:eastAsia="Times New Roman" w:hint="default"/>
                <w:sz w:val="18"/>
                <w:szCs w:val="18"/>
              </w:rPr>
            </w:pPr>
            <w:r>
              <w:rPr>
                <w:rFonts w:ascii="Times New Roman"/>
                <w:sz w:val="18"/>
              </w:rPr>
              <w:t>3,333,</w:t>
            </w:r>
          </w:p>
          <w:p>
            <w:pPr>
              <w:pStyle w:val="TableParagraph"/>
              <w:spacing w:line="240" w:lineRule="auto" w:before="106"/>
              <w:ind w:left="35" w:right="0"/>
              <w:jc w:val="left"/>
              <w:rPr>
                <w:rFonts w:ascii="Times New Roman" w:hAnsi="Times New Roman" w:cs="Times New Roman" w:eastAsia="Times New Roman" w:hint="default"/>
                <w:sz w:val="18"/>
                <w:szCs w:val="18"/>
              </w:rPr>
            </w:pPr>
            <w:r>
              <w:rPr>
                <w:rFonts w:ascii="Times New Roman"/>
                <w:sz w:val="18"/>
              </w:rPr>
              <w:t>049.00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2" w:right="0"/>
              <w:jc w:val="left"/>
              <w:rPr>
                <w:rFonts w:ascii="Times New Roman" w:hAnsi="Times New Roman" w:cs="Times New Roman" w:eastAsia="Times New Roman" w:hint="default"/>
                <w:sz w:val="18"/>
                <w:szCs w:val="18"/>
              </w:rPr>
            </w:pPr>
            <w:r>
              <w:rPr>
                <w:rFonts w:ascii="Times New Roman"/>
                <w:sz w:val="18"/>
              </w:rPr>
              <w:t>20,572,</w:t>
            </w:r>
          </w:p>
          <w:p>
            <w:pPr>
              <w:pStyle w:val="TableParagraph"/>
              <w:spacing w:line="240" w:lineRule="auto" w:before="106"/>
              <w:ind w:left="137" w:right="0"/>
              <w:jc w:val="left"/>
              <w:rPr>
                <w:rFonts w:ascii="Times New Roman" w:hAnsi="Times New Roman" w:cs="Times New Roman" w:eastAsia="Times New Roman" w:hint="default"/>
                <w:sz w:val="18"/>
                <w:szCs w:val="18"/>
              </w:rPr>
            </w:pPr>
            <w:r>
              <w:rPr>
                <w:rFonts w:ascii="Times New Roman"/>
                <w:sz w:val="18"/>
              </w:rPr>
              <w:t>510.18</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5" w:right="0"/>
              <w:jc w:val="left"/>
              <w:rPr>
                <w:rFonts w:ascii="Times New Roman" w:hAnsi="Times New Roman" w:cs="Times New Roman" w:eastAsia="Times New Roman" w:hint="default"/>
                <w:sz w:val="18"/>
                <w:szCs w:val="18"/>
              </w:rPr>
            </w:pPr>
            <w:r>
              <w:rPr>
                <w:rFonts w:ascii="Times New Roman"/>
                <w:sz w:val="18"/>
              </w:rPr>
              <w:t>23,905,</w:t>
            </w:r>
          </w:p>
          <w:p>
            <w:pPr>
              <w:pStyle w:val="TableParagraph"/>
              <w:spacing w:line="240" w:lineRule="auto" w:before="106"/>
              <w:ind w:left="130" w:right="0"/>
              <w:jc w:val="left"/>
              <w:rPr>
                <w:rFonts w:ascii="Times New Roman" w:hAnsi="Times New Roman" w:cs="Times New Roman" w:eastAsia="Times New Roman" w:hint="default"/>
                <w:sz w:val="18"/>
                <w:szCs w:val="18"/>
              </w:rPr>
            </w:pPr>
            <w:r>
              <w:rPr>
                <w:rFonts w:ascii="Times New Roman"/>
                <w:sz w:val="18"/>
              </w:rPr>
              <w:t>559.18</w:t>
            </w: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 额</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2" w:right="0"/>
              <w:jc w:val="left"/>
              <w:rPr>
                <w:rFonts w:ascii="Times New Roman" w:hAnsi="Times New Roman" w:cs="Times New Roman" w:eastAsia="Times New Roman" w:hint="default"/>
                <w:sz w:val="18"/>
                <w:szCs w:val="18"/>
              </w:rPr>
            </w:pPr>
            <w:r>
              <w:rPr>
                <w:rFonts w:ascii="Times New Roman"/>
                <w:sz w:val="18"/>
              </w:rPr>
              <w:t>12,734,</w:t>
            </w:r>
          </w:p>
          <w:p>
            <w:pPr>
              <w:pStyle w:val="TableParagraph"/>
              <w:spacing w:line="240" w:lineRule="auto" w:before="106"/>
              <w:ind w:left="137" w:right="0"/>
              <w:jc w:val="left"/>
              <w:rPr>
                <w:rFonts w:ascii="Times New Roman" w:hAnsi="Times New Roman" w:cs="Times New Roman" w:eastAsia="Times New Roman" w:hint="default"/>
                <w:sz w:val="18"/>
                <w:szCs w:val="18"/>
              </w:rPr>
            </w:pPr>
            <w:r>
              <w:rPr>
                <w:rFonts w:ascii="Times New Roman"/>
                <w:sz w:val="18"/>
              </w:rPr>
              <w:t>800.00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28,377,</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600.00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-15,642,</w:t>
            </w:r>
          </w:p>
          <w:p>
            <w:pPr>
              <w:pStyle w:val="TableParagraph"/>
              <w:spacing w:line="240" w:lineRule="auto" w:before="106"/>
              <w:ind w:left="107" w:right="0"/>
              <w:jc w:val="center"/>
              <w:rPr>
                <w:rFonts w:ascii="Times New Roman" w:hAnsi="Times New Roman" w:cs="Times New Roman" w:eastAsia="Times New Roman" w:hint="default"/>
                <w:sz w:val="18"/>
                <w:szCs w:val="18"/>
              </w:rPr>
            </w:pPr>
            <w:r>
              <w:rPr>
                <w:rFonts w:ascii="Times New Roman"/>
                <w:sz w:val="18"/>
              </w:rPr>
              <w:t>800.00</w:t>
            </w: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7" w:right="0"/>
              <w:jc w:val="center"/>
              <w:rPr>
                <w:rFonts w:ascii="Times New Roman" w:hAnsi="Times New Roman" w:cs="Times New Roman" w:eastAsia="Times New Roman" w:hint="default"/>
                <w:sz w:val="18"/>
                <w:szCs w:val="18"/>
              </w:rPr>
            </w:pPr>
            <w:r>
              <w:rPr>
                <w:rFonts w:ascii="Times New Roman"/>
                <w:sz w:val="18"/>
              </w:rPr>
              <w:t>9,173,3</w:t>
            </w:r>
          </w:p>
          <w:p>
            <w:pPr>
              <w:pStyle w:val="TableParagraph"/>
              <w:spacing w:line="240" w:lineRule="auto" w:before="106"/>
              <w:ind w:left="203" w:right="0"/>
              <w:jc w:val="center"/>
              <w:rPr>
                <w:rFonts w:ascii="Times New Roman" w:hAnsi="Times New Roman" w:cs="Times New Roman" w:eastAsia="Times New Roman" w:hint="default"/>
                <w:sz w:val="18"/>
                <w:szCs w:val="18"/>
              </w:rPr>
            </w:pPr>
            <w:r>
              <w:rPr>
                <w:rFonts w:ascii="Times New Roman"/>
                <w:sz w:val="18"/>
              </w:rPr>
              <w:t>23.09</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 w:right="0"/>
              <w:jc w:val="center"/>
              <w:rPr>
                <w:rFonts w:ascii="Times New Roman" w:hAnsi="Times New Roman" w:cs="Times New Roman" w:eastAsia="Times New Roman" w:hint="default"/>
                <w:sz w:val="18"/>
                <w:szCs w:val="18"/>
              </w:rPr>
            </w:pPr>
            <w:r>
              <w:rPr>
                <w:rFonts w:ascii="Times New Roman"/>
                <w:sz w:val="18"/>
              </w:rPr>
              <w:t>-20,462,</w:t>
            </w:r>
          </w:p>
          <w:p>
            <w:pPr>
              <w:pStyle w:val="TableParagraph"/>
              <w:spacing w:line="240" w:lineRule="auto" w:before="106"/>
              <w:ind w:left="126" w:right="0"/>
              <w:jc w:val="center"/>
              <w:rPr>
                <w:rFonts w:ascii="Times New Roman" w:hAnsi="Times New Roman" w:cs="Times New Roman" w:eastAsia="Times New Roman" w:hint="default"/>
                <w:sz w:val="18"/>
                <w:szCs w:val="18"/>
              </w:rPr>
            </w:pPr>
            <w:r>
              <w:rPr>
                <w:rFonts w:ascii="Times New Roman"/>
                <w:sz w:val="18"/>
              </w:rPr>
              <w:t>442.97</w:t>
            </w: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 w:right="0"/>
              <w:jc w:val="center"/>
              <w:rPr>
                <w:rFonts w:ascii="Times New Roman" w:hAnsi="Times New Roman" w:cs="Times New Roman" w:eastAsia="Times New Roman" w:hint="default"/>
                <w:sz w:val="18"/>
                <w:szCs w:val="18"/>
              </w:rPr>
            </w:pPr>
            <w:r>
              <w:rPr>
                <w:rFonts w:ascii="Times New Roman"/>
                <w:sz w:val="18"/>
              </w:rPr>
              <w:t>-11,289,</w:t>
            </w:r>
          </w:p>
          <w:p>
            <w:pPr>
              <w:pStyle w:val="TableParagraph"/>
              <w:spacing w:line="240" w:lineRule="auto" w:before="106"/>
              <w:ind w:left="112" w:right="0"/>
              <w:jc w:val="center"/>
              <w:rPr>
                <w:rFonts w:ascii="Times New Roman" w:hAnsi="Times New Roman" w:cs="Times New Roman" w:eastAsia="Times New Roman" w:hint="default"/>
                <w:sz w:val="18"/>
                <w:szCs w:val="18"/>
              </w:rPr>
            </w:pPr>
            <w:r>
              <w:rPr>
                <w:rFonts w:ascii="Times New Roman"/>
                <w:sz w:val="18"/>
              </w:rPr>
              <w:t>119.88</w:t>
            </w: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7" w:right="0"/>
              <w:jc w:val="center"/>
              <w:rPr>
                <w:rFonts w:ascii="Times New Roman" w:hAnsi="Times New Roman" w:cs="Times New Roman" w:eastAsia="Times New Roman" w:hint="default"/>
                <w:sz w:val="18"/>
                <w:szCs w:val="18"/>
              </w:rPr>
            </w:pPr>
            <w:r>
              <w:rPr>
                <w:rFonts w:ascii="Times New Roman"/>
                <w:sz w:val="18"/>
              </w:rPr>
              <w:t>9,173,3</w:t>
            </w:r>
          </w:p>
          <w:p>
            <w:pPr>
              <w:pStyle w:val="TableParagraph"/>
              <w:spacing w:line="240" w:lineRule="auto" w:before="106"/>
              <w:ind w:left="203" w:right="0"/>
              <w:jc w:val="center"/>
              <w:rPr>
                <w:rFonts w:ascii="Times New Roman" w:hAnsi="Times New Roman" w:cs="Times New Roman" w:eastAsia="Times New Roman" w:hint="default"/>
                <w:sz w:val="18"/>
                <w:szCs w:val="18"/>
              </w:rPr>
            </w:pPr>
            <w:r>
              <w:rPr>
                <w:rFonts w:ascii="Times New Roman"/>
                <w:sz w:val="18"/>
              </w:rPr>
              <w:t>23.09</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 w:right="0"/>
              <w:jc w:val="center"/>
              <w:rPr>
                <w:rFonts w:ascii="Times New Roman" w:hAnsi="Times New Roman" w:cs="Times New Roman" w:eastAsia="Times New Roman" w:hint="default"/>
                <w:sz w:val="18"/>
                <w:szCs w:val="18"/>
              </w:rPr>
            </w:pPr>
            <w:r>
              <w:rPr>
                <w:rFonts w:ascii="Times New Roman"/>
                <w:sz w:val="18"/>
              </w:rPr>
              <w:t>-9,173,3</w:t>
            </w:r>
          </w:p>
          <w:p>
            <w:pPr>
              <w:pStyle w:val="TableParagraph"/>
              <w:spacing w:line="240" w:lineRule="auto" w:before="106"/>
              <w:ind w:left="216" w:right="0"/>
              <w:jc w:val="center"/>
              <w:rPr>
                <w:rFonts w:ascii="Times New Roman" w:hAnsi="Times New Roman" w:cs="Times New Roman" w:eastAsia="Times New Roman" w:hint="default"/>
                <w:sz w:val="18"/>
                <w:szCs w:val="18"/>
              </w:rPr>
            </w:pPr>
            <w:r>
              <w:rPr>
                <w:rFonts w:ascii="Times New Roman"/>
                <w:sz w:val="18"/>
              </w:rPr>
              <w:t>23.09</w:t>
            </w: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 准备</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．对所有者（或 股东）的分配</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center"/>
              <w:rPr>
                <w:rFonts w:ascii="Times New Roman" w:hAnsi="Times New Roman" w:cs="Times New Roman" w:eastAsia="Times New Roman" w:hint="default"/>
                <w:sz w:val="18"/>
                <w:szCs w:val="18"/>
              </w:rPr>
            </w:pPr>
            <w:r>
              <w:rPr>
                <w:rFonts w:ascii="Times New Roman"/>
                <w:sz w:val="18"/>
              </w:rPr>
              <w:t>-11,289,</w:t>
            </w:r>
          </w:p>
          <w:p>
            <w:pPr>
              <w:pStyle w:val="TableParagraph"/>
              <w:spacing w:line="240" w:lineRule="auto" w:before="106"/>
              <w:ind w:left="131" w:right="0"/>
              <w:jc w:val="center"/>
              <w:rPr>
                <w:rFonts w:ascii="Times New Roman" w:hAnsi="Times New Roman" w:cs="Times New Roman" w:eastAsia="Times New Roman" w:hint="default"/>
                <w:sz w:val="18"/>
                <w:szCs w:val="18"/>
              </w:rPr>
            </w:pPr>
            <w:r>
              <w:rPr>
                <w:rFonts w:ascii="Times New Roman"/>
                <w:sz w:val="18"/>
              </w:rPr>
              <w:t>119.88</w:t>
            </w: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 w:right="0"/>
              <w:jc w:val="center"/>
              <w:rPr>
                <w:rFonts w:ascii="Times New Roman" w:hAnsi="Times New Roman" w:cs="Times New Roman" w:eastAsia="Times New Roman" w:hint="default"/>
                <w:sz w:val="18"/>
                <w:szCs w:val="18"/>
              </w:rPr>
            </w:pPr>
            <w:r>
              <w:rPr>
                <w:rFonts w:ascii="Times New Roman"/>
                <w:sz w:val="18"/>
              </w:rPr>
              <w:t>-11,289,</w:t>
            </w:r>
          </w:p>
          <w:p>
            <w:pPr>
              <w:pStyle w:val="TableParagraph"/>
              <w:spacing w:line="240" w:lineRule="auto" w:before="106"/>
              <w:ind w:left="112" w:right="0"/>
              <w:jc w:val="center"/>
              <w:rPr>
                <w:rFonts w:ascii="Times New Roman" w:hAnsi="Times New Roman" w:cs="Times New Roman" w:eastAsia="Times New Roman" w:hint="default"/>
                <w:sz w:val="18"/>
                <w:szCs w:val="18"/>
              </w:rPr>
            </w:pPr>
            <w:r>
              <w:rPr>
                <w:rFonts w:ascii="Times New Roman"/>
                <w:sz w:val="18"/>
              </w:rPr>
              <w:t>119.88</w:t>
            </w: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1"/>
              <w:jc w:val="left"/>
              <w:rPr>
                <w:rFonts w:ascii="宋体" w:hAnsi="宋体" w:cs="宋体" w:eastAsia="宋体" w:hint="default"/>
                <w:sz w:val="18"/>
                <w:szCs w:val="18"/>
              </w:rPr>
            </w:pPr>
            <w:r>
              <w:rPr>
                <w:rFonts w:ascii="宋体" w:hAnsi="宋体" w:cs="宋体" w:eastAsia="宋体" w:hint="default"/>
                <w:spacing w:val="-8"/>
                <w:sz w:val="18"/>
                <w:szCs w:val="18"/>
              </w:rPr>
              <w:t>（四）所有者权益</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内部结转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 资本（或股本）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437"/>
        <w:gridCol w:w="562"/>
        <w:gridCol w:w="530"/>
        <w:gridCol w:w="532"/>
        <w:gridCol w:w="530"/>
        <w:gridCol w:w="665"/>
        <w:gridCol w:w="665"/>
        <w:gridCol w:w="665"/>
        <w:gridCol w:w="665"/>
        <w:gridCol w:w="665"/>
        <w:gridCol w:w="665"/>
        <w:gridCol w:w="678"/>
        <w:gridCol w:w="652"/>
        <w:gridCol w:w="659"/>
      </w:tblGrid>
      <w:tr>
        <w:trPr>
          <w:trHeight w:val="36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亏损</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pacing w:val="-8"/>
                <w:sz w:val="18"/>
                <w:szCs w:val="18"/>
              </w:rPr>
              <w:t>四、本期期末余额</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396,78</w:t>
            </w:r>
          </w:p>
          <w:p>
            <w:pPr>
              <w:pStyle w:val="TableParagraph"/>
              <w:spacing w:line="240" w:lineRule="auto" w:before="104"/>
              <w:ind w:left="79" w:right="0"/>
              <w:jc w:val="left"/>
              <w:rPr>
                <w:rFonts w:ascii="Times New Roman" w:hAnsi="Times New Roman" w:cs="Times New Roman" w:eastAsia="Times New Roman" w:hint="default"/>
                <w:sz w:val="18"/>
                <w:szCs w:val="18"/>
              </w:rPr>
            </w:pPr>
            <w:r>
              <w:rPr>
                <w:rFonts w:ascii="Times New Roman"/>
                <w:sz w:val="18"/>
              </w:rPr>
              <w:t>3,995.</w:t>
            </w:r>
          </w:p>
          <w:p>
            <w:pPr>
              <w:pStyle w:val="TableParagraph"/>
              <w:spacing w:line="240" w:lineRule="auto" w:before="106"/>
              <w:ind w:left="349" w:right="0"/>
              <w:jc w:val="left"/>
              <w:rPr>
                <w:rFonts w:ascii="Times New Roman" w:hAnsi="Times New Roman" w:cs="Times New Roman" w:eastAsia="Times New Roman" w:hint="default"/>
                <w:sz w:val="18"/>
                <w:szCs w:val="18"/>
              </w:rPr>
            </w:pPr>
            <w:r>
              <w:rPr>
                <w:rFonts w:ascii="Times New Roman"/>
                <w:sz w:val="18"/>
              </w:rPr>
              <w:t>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3" w:right="0"/>
              <w:jc w:val="left"/>
              <w:rPr>
                <w:rFonts w:ascii="Times New Roman" w:hAnsi="Times New Roman" w:cs="Times New Roman" w:eastAsia="Times New Roman" w:hint="default"/>
                <w:sz w:val="18"/>
                <w:szCs w:val="18"/>
              </w:rPr>
            </w:pPr>
            <w:r>
              <w:rPr>
                <w:rFonts w:ascii="Times New Roman"/>
                <w:sz w:val="18"/>
              </w:rPr>
              <w:t>259,911</w:t>
            </w:r>
          </w:p>
          <w:p>
            <w:pPr>
              <w:pStyle w:val="TableParagraph"/>
              <w:spacing w:line="240" w:lineRule="auto" w:before="105"/>
              <w:ind w:left="92" w:right="0"/>
              <w:jc w:val="left"/>
              <w:rPr>
                <w:rFonts w:ascii="Times New Roman" w:hAnsi="Times New Roman" w:cs="Times New Roman" w:eastAsia="Times New Roman" w:hint="default"/>
                <w:sz w:val="18"/>
                <w:szCs w:val="18"/>
              </w:rPr>
            </w:pPr>
            <w:r>
              <w:rPr>
                <w:rFonts w:ascii="Times New Roman"/>
                <w:sz w:val="18"/>
              </w:rPr>
              <w:t>,196.58</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28,377,</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600.00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6" w:right="0"/>
              <w:jc w:val="left"/>
              <w:rPr>
                <w:rFonts w:ascii="Times New Roman" w:hAnsi="Times New Roman" w:cs="Times New Roman" w:eastAsia="Times New Roman" w:hint="default"/>
                <w:sz w:val="18"/>
                <w:szCs w:val="18"/>
              </w:rPr>
            </w:pPr>
            <w:r>
              <w:rPr>
                <w:rFonts w:ascii="Times New Roman"/>
                <w:sz w:val="18"/>
              </w:rPr>
              <w:t>-797,98</w:t>
            </w:r>
          </w:p>
          <w:p>
            <w:pPr>
              <w:pStyle w:val="TableParagraph"/>
              <w:spacing w:line="240" w:lineRule="auto" w:before="105"/>
              <w:ind w:left="316" w:right="0"/>
              <w:jc w:val="left"/>
              <w:rPr>
                <w:rFonts w:ascii="Times New Roman" w:hAnsi="Times New Roman" w:cs="Times New Roman" w:eastAsia="Times New Roman" w:hint="default"/>
                <w:sz w:val="18"/>
                <w:szCs w:val="18"/>
              </w:rPr>
            </w:pPr>
            <w:r>
              <w:rPr>
                <w:rFonts w:ascii="Times New Roman"/>
                <w:sz w:val="18"/>
              </w:rPr>
              <w:t>8.43</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41,131,</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637.24</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9" w:right="0"/>
              <w:jc w:val="left"/>
              <w:rPr>
                <w:rFonts w:ascii="Times New Roman" w:hAnsi="Times New Roman" w:cs="Times New Roman" w:eastAsia="Times New Roman" w:hint="default"/>
                <w:sz w:val="18"/>
                <w:szCs w:val="18"/>
              </w:rPr>
            </w:pPr>
            <w:r>
              <w:rPr>
                <w:rFonts w:ascii="Times New Roman"/>
                <w:sz w:val="18"/>
              </w:rPr>
              <w:t>226,574</w:t>
            </w:r>
          </w:p>
          <w:p>
            <w:pPr>
              <w:pStyle w:val="TableParagraph"/>
              <w:spacing w:line="240" w:lineRule="auto" w:before="105"/>
              <w:ind w:left="104" w:right="0"/>
              <w:jc w:val="left"/>
              <w:rPr>
                <w:rFonts w:ascii="Times New Roman" w:hAnsi="Times New Roman" w:cs="Times New Roman" w:eastAsia="Times New Roman" w:hint="default"/>
                <w:sz w:val="18"/>
                <w:szCs w:val="18"/>
              </w:rPr>
            </w:pPr>
            <w:r>
              <w:rPr>
                <w:rFonts w:ascii="Times New Roman"/>
                <w:sz w:val="18"/>
              </w:rPr>
              <w:t>,804.79</w:t>
            </w: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7" w:right="0"/>
              <w:jc w:val="center"/>
              <w:rPr>
                <w:rFonts w:ascii="Times New Roman" w:hAnsi="Times New Roman" w:cs="Times New Roman" w:eastAsia="Times New Roman" w:hint="default"/>
                <w:sz w:val="18"/>
                <w:szCs w:val="18"/>
              </w:rPr>
            </w:pPr>
            <w:r>
              <w:rPr>
                <w:rFonts w:ascii="Times New Roman"/>
                <w:sz w:val="18"/>
              </w:rPr>
              <w:t>4,388,4</w:t>
            </w:r>
          </w:p>
          <w:p>
            <w:pPr>
              <w:pStyle w:val="TableParagraph"/>
              <w:spacing w:line="240" w:lineRule="auto" w:before="105"/>
              <w:ind w:left="192" w:right="0"/>
              <w:jc w:val="center"/>
              <w:rPr>
                <w:rFonts w:ascii="Times New Roman" w:hAnsi="Times New Roman" w:cs="Times New Roman" w:eastAsia="Times New Roman" w:hint="default"/>
                <w:sz w:val="18"/>
                <w:szCs w:val="18"/>
              </w:rPr>
            </w:pPr>
            <w:r>
              <w:rPr>
                <w:rFonts w:ascii="Times New Roman"/>
                <w:sz w:val="18"/>
              </w:rPr>
              <w:t>73.56</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899,614</w:t>
            </w:r>
          </w:p>
          <w:p>
            <w:pPr>
              <w:pStyle w:val="TableParagraph"/>
              <w:spacing w:line="240" w:lineRule="auto" w:before="105"/>
              <w:ind w:left="85" w:right="0"/>
              <w:jc w:val="left"/>
              <w:rPr>
                <w:rFonts w:ascii="Times New Roman" w:hAnsi="Times New Roman" w:cs="Times New Roman" w:eastAsia="Times New Roman" w:hint="default"/>
                <w:sz w:val="18"/>
                <w:szCs w:val="18"/>
              </w:rPr>
            </w:pPr>
            <w:r>
              <w:rPr>
                <w:rFonts w:ascii="Times New Roman"/>
                <w:sz w:val="18"/>
              </w:rPr>
              <w:t>,518.74</w:t>
            </w:r>
          </w:p>
        </w:tc>
      </w:tr>
    </w:tbl>
    <w:p>
      <w:pPr>
        <w:spacing w:line="240" w:lineRule="auto" w:before="10"/>
        <w:rPr>
          <w:rFonts w:ascii="Times New Roman" w:hAnsi="Times New Roman" w:cs="Times New Roman" w:eastAsia="Times New Roman" w:hint="default"/>
          <w:sz w:val="21"/>
          <w:szCs w:val="21"/>
        </w:rPr>
      </w:pPr>
    </w:p>
    <w:p>
      <w:pPr>
        <w:pStyle w:val="Heading3"/>
        <w:spacing w:line="240" w:lineRule="auto" w:before="35"/>
        <w:ind w:right="0"/>
        <w:jc w:val="left"/>
        <w:rPr>
          <w:b w:val="0"/>
          <w:bCs w:val="0"/>
        </w:rPr>
      </w:pPr>
      <w:bookmarkStart w:name="8、母公司所有者权益变动表" w:id="165"/>
      <w:bookmarkEnd w:id="165"/>
      <w:r>
        <w:rPr>
          <w:b w:val="0"/>
          <w:bCs w:val="0"/>
        </w:rPr>
      </w:r>
      <w:r>
        <w:rPr>
          <w:rFonts w:ascii="Times New Roman" w:hAnsi="Times New Roman" w:cs="Times New Roman" w:eastAsia="Times New Roman" w:hint="default"/>
        </w:rPr>
        <w:t>8</w:t>
      </w:r>
      <w:r>
        <w:rPr/>
        <w:t>、母公司所有者权益变动表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154" w:right="0"/>
        <w:jc w:val="left"/>
      </w:pPr>
      <w:r>
        <w:rPr/>
        <w:t>本期金额</w:t>
      </w:r>
    </w:p>
    <w:p>
      <w:pPr>
        <w:pStyle w:val="BodyText"/>
        <w:spacing w:line="240" w:lineRule="auto" w:before="116"/>
        <w:ind w:left="0" w:right="1130"/>
        <w:jc w:val="right"/>
      </w:pPr>
      <w:r>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442"/>
        <w:gridCol w:w="691"/>
        <w:gridCol w:w="665"/>
        <w:gridCol w:w="665"/>
        <w:gridCol w:w="665"/>
        <w:gridCol w:w="797"/>
        <w:gridCol w:w="798"/>
        <w:gridCol w:w="798"/>
        <w:gridCol w:w="798"/>
        <w:gridCol w:w="797"/>
        <w:gridCol w:w="676"/>
        <w:gridCol w:w="781"/>
      </w:tblGrid>
      <w:tr>
        <w:trPr>
          <w:trHeight w:val="397" w:hRule="exact"/>
        </w:trPr>
        <w:tc>
          <w:tcPr>
            <w:tcW w:w="1442" w:type="dxa"/>
            <w:tcBorders>
              <w:top w:val="single" w:sz="4" w:space="0" w:color="000000"/>
              <w:left w:val="single" w:sz="4" w:space="0" w:color="000000"/>
              <w:bottom w:val="nil" w:sz="6" w:space="0" w:color="auto"/>
              <w:right w:val="single" w:sz="4" w:space="0" w:color="000000"/>
            </w:tcBorders>
            <w:shd w:val="clear" w:color="auto" w:fill="D2D2D2"/>
          </w:tcPr>
          <w:p>
            <w:pPr/>
          </w:p>
        </w:tc>
        <w:tc>
          <w:tcPr>
            <w:tcW w:w="8131"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本期</w:t>
            </w:r>
          </w:p>
        </w:tc>
      </w:tr>
      <w:tr>
        <w:trPr>
          <w:trHeight w:val="211" w:hRule="exact"/>
        </w:trPr>
        <w:tc>
          <w:tcPr>
            <w:tcW w:w="144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6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691" w:type="dxa"/>
            <w:tcBorders>
              <w:top w:val="single" w:sz="4" w:space="0" w:color="000000"/>
              <w:left w:val="single" w:sz="4" w:space="0" w:color="000000"/>
              <w:bottom w:val="nil" w:sz="6" w:space="0" w:color="auto"/>
              <w:right w:val="single" w:sz="4" w:space="0" w:color="000000"/>
            </w:tcBorders>
            <w:shd w:val="clear" w:color="auto" w:fill="D2D2D2"/>
          </w:tcPr>
          <w:p>
            <w:pPr/>
          </w:p>
        </w:tc>
        <w:tc>
          <w:tcPr>
            <w:tcW w:w="1995"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45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101"/>
              <w:ind w:left="304" w:right="31" w:hanging="270"/>
              <w:jc w:val="left"/>
              <w:rPr>
                <w:rFonts w:ascii="宋体" w:hAnsi="宋体" w:cs="宋体" w:eastAsia="宋体" w:hint="default"/>
                <w:sz w:val="18"/>
                <w:szCs w:val="18"/>
              </w:rPr>
            </w:pPr>
            <w:r>
              <w:rPr>
                <w:rFonts w:ascii="宋体" w:hAnsi="宋体" w:cs="宋体" w:eastAsia="宋体" w:hint="default"/>
                <w:sz w:val="18"/>
                <w:szCs w:val="18"/>
              </w:rPr>
              <w:t>减：库存 股</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101"/>
              <w:ind w:left="214" w:right="31" w:hanging="180"/>
              <w:jc w:val="left"/>
              <w:rPr>
                <w:rFonts w:ascii="宋体" w:hAnsi="宋体" w:cs="宋体" w:eastAsia="宋体" w:hint="default"/>
                <w:sz w:val="18"/>
                <w:szCs w:val="18"/>
              </w:rPr>
            </w:pPr>
            <w:r>
              <w:rPr>
                <w:rFonts w:ascii="宋体" w:hAnsi="宋体" w:cs="宋体" w:eastAsia="宋体" w:hint="default"/>
                <w:sz w:val="18"/>
                <w:szCs w:val="18"/>
              </w:rPr>
              <w:t>其他综合 收益</w:t>
            </w:r>
          </w:p>
        </w:tc>
        <w:tc>
          <w:tcPr>
            <w:tcW w:w="798"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67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101"/>
              <w:ind w:left="152" w:right="61" w:hanging="90"/>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781"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101"/>
              <w:ind w:left="115" w:right="24" w:hanging="90"/>
              <w:jc w:val="left"/>
              <w:rPr>
                <w:rFonts w:ascii="宋体" w:hAnsi="宋体" w:cs="宋体" w:eastAsia="宋体" w:hint="default"/>
                <w:sz w:val="18"/>
                <w:szCs w:val="18"/>
              </w:rPr>
            </w:pPr>
            <w:r>
              <w:rPr>
                <w:rFonts w:ascii="宋体" w:hAnsi="宋体" w:cs="宋体" w:eastAsia="宋体" w:hint="default"/>
                <w:sz w:val="18"/>
                <w:szCs w:val="18"/>
              </w:rPr>
              <w:t>所有者权 益合计</w:t>
            </w:r>
          </w:p>
        </w:tc>
      </w:tr>
      <w:tr>
        <w:trPr>
          <w:trHeight w:val="191" w:hRule="exact"/>
        </w:trPr>
        <w:tc>
          <w:tcPr>
            <w:tcW w:w="1442" w:type="dxa"/>
            <w:vMerge/>
            <w:tcBorders>
              <w:left w:val="single" w:sz="4" w:space="0" w:color="000000"/>
              <w:bottom w:val="nil" w:sz="6" w:space="0" w:color="auto"/>
              <w:right w:val="single" w:sz="4" w:space="0" w:color="000000"/>
            </w:tcBorders>
            <w:shd w:val="clear" w:color="auto" w:fill="D2D2D2"/>
          </w:tcPr>
          <w:p>
            <w:pPr/>
          </w:p>
        </w:tc>
        <w:tc>
          <w:tcPr>
            <w:tcW w:w="69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59"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995" w:type="dxa"/>
            <w:gridSpan w:val="3"/>
            <w:vMerge/>
            <w:tcBorders>
              <w:left w:val="single" w:sz="4" w:space="0" w:color="000000"/>
              <w:bottom w:val="single" w:sz="4" w:space="0" w:color="000000"/>
              <w:right w:val="single" w:sz="4" w:space="0" w:color="000000"/>
            </w:tcBorders>
            <w:shd w:val="clear" w:color="auto" w:fill="D2D2D2"/>
          </w:tcPr>
          <w:p>
            <w:pPr/>
          </w:p>
        </w:tc>
        <w:tc>
          <w:tcPr>
            <w:tcW w:w="7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798" w:type="dxa"/>
            <w:vMerge/>
            <w:tcBorders>
              <w:left w:val="single" w:sz="4" w:space="0" w:color="000000"/>
              <w:right w:val="single" w:sz="4" w:space="0" w:color="000000"/>
            </w:tcBorders>
            <w:shd w:val="clear" w:color="auto" w:fill="D2D2D2"/>
          </w:tcPr>
          <w:p>
            <w:pPr/>
          </w:p>
        </w:tc>
        <w:tc>
          <w:tcPr>
            <w:tcW w:w="798" w:type="dxa"/>
            <w:vMerge/>
            <w:tcBorders>
              <w:left w:val="single" w:sz="4" w:space="0" w:color="000000"/>
              <w:right w:val="single" w:sz="4" w:space="0" w:color="000000"/>
            </w:tcBorders>
            <w:shd w:val="clear" w:color="auto" w:fill="D2D2D2"/>
          </w:tcPr>
          <w:p>
            <w:pPr/>
          </w:p>
        </w:tc>
        <w:tc>
          <w:tcPr>
            <w:tcW w:w="79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7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676" w:type="dxa"/>
            <w:vMerge/>
            <w:tcBorders>
              <w:left w:val="single" w:sz="4" w:space="0" w:color="000000"/>
              <w:right w:val="single" w:sz="4" w:space="0" w:color="000000"/>
            </w:tcBorders>
            <w:shd w:val="clear" w:color="auto" w:fill="D2D2D2"/>
          </w:tcPr>
          <w:p>
            <w:pPr/>
          </w:p>
        </w:tc>
        <w:tc>
          <w:tcPr>
            <w:tcW w:w="781" w:type="dxa"/>
            <w:vMerge/>
            <w:tcBorders>
              <w:left w:val="single" w:sz="4" w:space="0" w:color="000000"/>
              <w:right w:val="single" w:sz="4" w:space="0" w:color="000000"/>
            </w:tcBorders>
            <w:shd w:val="clear" w:color="auto" w:fill="D2D2D2"/>
          </w:tcPr>
          <w:p>
            <w:pPr/>
          </w:p>
        </w:tc>
      </w:tr>
      <w:tr>
        <w:trPr>
          <w:trHeight w:val="200" w:hRule="exact"/>
        </w:trPr>
        <w:tc>
          <w:tcPr>
            <w:tcW w:w="1442" w:type="dxa"/>
            <w:vMerge w:val="restart"/>
            <w:tcBorders>
              <w:top w:val="nil" w:sz="6" w:space="0" w:color="auto"/>
              <w:left w:val="single" w:sz="4" w:space="0" w:color="000000"/>
              <w:right w:val="single" w:sz="4" w:space="0" w:color="000000"/>
            </w:tcBorders>
            <w:shd w:val="clear" w:color="auto" w:fill="D2D2D2"/>
          </w:tcPr>
          <w:p>
            <w:pPr/>
          </w:p>
        </w:tc>
        <w:tc>
          <w:tcPr>
            <w:tcW w:w="691" w:type="dxa"/>
            <w:vMerge/>
            <w:tcBorders>
              <w:left w:val="single" w:sz="4" w:space="0" w:color="000000"/>
              <w:bottom w:val="nil" w:sz="6" w:space="0" w:color="auto"/>
              <w:right w:val="single" w:sz="4" w:space="0" w:color="000000"/>
            </w:tcBorders>
            <w:shd w:val="clear" w:color="auto" w:fill="D2D2D2"/>
          </w:tcPr>
          <w:p>
            <w:pP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56" w:right="0"/>
              <w:jc w:val="left"/>
              <w:rPr>
                <w:rFonts w:ascii="宋体" w:hAnsi="宋体" w:cs="宋体" w:eastAsia="宋体" w:hint="default"/>
                <w:sz w:val="18"/>
                <w:szCs w:val="18"/>
              </w:rPr>
            </w:pPr>
            <w:r>
              <w:rPr>
                <w:rFonts w:ascii="宋体" w:hAnsi="宋体" w:cs="宋体" w:eastAsia="宋体" w:hint="default"/>
                <w:sz w:val="18"/>
                <w:szCs w:val="18"/>
              </w:rPr>
              <w:t>优先股</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56"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146"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7" w:type="dxa"/>
            <w:vMerge/>
            <w:tcBorders>
              <w:left w:val="single" w:sz="4" w:space="0" w:color="000000"/>
              <w:bottom w:val="nil" w:sz="6" w:space="0" w:color="auto"/>
              <w:right w:val="single" w:sz="4" w:space="0" w:color="000000"/>
            </w:tcBorders>
            <w:shd w:val="clear" w:color="auto" w:fill="D2D2D2"/>
          </w:tcPr>
          <w:p>
            <w:pPr/>
          </w:p>
        </w:tc>
        <w:tc>
          <w:tcPr>
            <w:tcW w:w="798" w:type="dxa"/>
            <w:vMerge/>
            <w:tcBorders>
              <w:left w:val="single" w:sz="4" w:space="0" w:color="000000"/>
              <w:right w:val="single" w:sz="4" w:space="0" w:color="000000"/>
            </w:tcBorders>
            <w:shd w:val="clear" w:color="auto" w:fill="D2D2D2"/>
          </w:tcPr>
          <w:p>
            <w:pPr/>
          </w:p>
        </w:tc>
        <w:tc>
          <w:tcPr>
            <w:tcW w:w="798" w:type="dxa"/>
            <w:vMerge/>
            <w:tcBorders>
              <w:left w:val="single" w:sz="4" w:space="0" w:color="000000"/>
              <w:right w:val="single" w:sz="4" w:space="0" w:color="000000"/>
            </w:tcBorders>
            <w:shd w:val="clear" w:color="auto" w:fill="D2D2D2"/>
          </w:tcPr>
          <w:p>
            <w:pPr/>
          </w:p>
        </w:tc>
        <w:tc>
          <w:tcPr>
            <w:tcW w:w="798" w:type="dxa"/>
            <w:vMerge/>
            <w:tcBorders>
              <w:left w:val="single" w:sz="4" w:space="0" w:color="000000"/>
              <w:bottom w:val="nil" w:sz="6" w:space="0" w:color="auto"/>
              <w:right w:val="single" w:sz="4" w:space="0" w:color="000000"/>
            </w:tcBorders>
            <w:shd w:val="clear" w:color="auto" w:fill="D2D2D2"/>
          </w:tcPr>
          <w:p>
            <w:pPr/>
          </w:p>
        </w:tc>
        <w:tc>
          <w:tcPr>
            <w:tcW w:w="797" w:type="dxa"/>
            <w:vMerge/>
            <w:tcBorders>
              <w:left w:val="single" w:sz="4" w:space="0" w:color="000000"/>
              <w:bottom w:val="nil" w:sz="6" w:space="0" w:color="auto"/>
              <w:right w:val="single" w:sz="4" w:space="0" w:color="000000"/>
            </w:tcBorders>
            <w:shd w:val="clear" w:color="auto" w:fill="D2D2D2"/>
          </w:tcPr>
          <w:p>
            <w:pPr/>
          </w:p>
        </w:tc>
        <w:tc>
          <w:tcPr>
            <w:tcW w:w="676" w:type="dxa"/>
            <w:vMerge/>
            <w:tcBorders>
              <w:left w:val="single" w:sz="4" w:space="0" w:color="000000"/>
              <w:right w:val="single" w:sz="4" w:space="0" w:color="000000"/>
            </w:tcBorders>
            <w:shd w:val="clear" w:color="auto" w:fill="D2D2D2"/>
          </w:tcPr>
          <w:p>
            <w:pPr/>
          </w:p>
        </w:tc>
        <w:tc>
          <w:tcPr>
            <w:tcW w:w="781" w:type="dxa"/>
            <w:vMerge/>
            <w:tcBorders>
              <w:left w:val="single" w:sz="4" w:space="0" w:color="000000"/>
              <w:right w:val="single" w:sz="4" w:space="0" w:color="000000"/>
            </w:tcBorders>
            <w:shd w:val="clear" w:color="auto" w:fill="D2D2D2"/>
          </w:tcPr>
          <w:p>
            <w:pPr/>
          </w:p>
        </w:tc>
      </w:tr>
      <w:tr>
        <w:trPr>
          <w:trHeight w:val="206" w:hRule="exact"/>
        </w:trPr>
        <w:tc>
          <w:tcPr>
            <w:tcW w:w="1442" w:type="dxa"/>
            <w:vMerge/>
            <w:tcBorders>
              <w:left w:val="single" w:sz="4" w:space="0" w:color="000000"/>
              <w:bottom w:val="single" w:sz="4" w:space="0" w:color="000000"/>
              <w:right w:val="single" w:sz="4" w:space="0" w:color="000000"/>
            </w:tcBorders>
            <w:shd w:val="clear" w:color="auto" w:fill="D2D2D2"/>
          </w:tcPr>
          <w:p>
            <w:pPr/>
          </w:p>
        </w:tc>
        <w:tc>
          <w:tcPr>
            <w:tcW w:w="691"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8" w:type="dxa"/>
            <w:tcBorders>
              <w:top w:val="nil" w:sz="6" w:space="0" w:color="auto"/>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676" w:type="dxa"/>
            <w:vMerge/>
            <w:tcBorders>
              <w:left w:val="single" w:sz="4" w:space="0" w:color="000000"/>
              <w:bottom w:val="single" w:sz="4" w:space="0" w:color="000000"/>
              <w:right w:val="single" w:sz="4" w:space="0" w:color="000000"/>
            </w:tcBorders>
            <w:shd w:val="clear" w:color="auto" w:fill="D2D2D2"/>
          </w:tcPr>
          <w:p>
            <w:pPr/>
          </w:p>
        </w:tc>
        <w:tc>
          <w:tcPr>
            <w:tcW w:w="781" w:type="dxa"/>
            <w:vMerge/>
            <w:tcBorders>
              <w:left w:val="single" w:sz="4" w:space="0" w:color="000000"/>
              <w:bottom w:val="single" w:sz="4" w:space="0" w:color="000000"/>
              <w:right w:val="single" w:sz="4" w:space="0" w:color="000000"/>
            </w:tcBorders>
            <w:shd w:val="clear" w:color="auto" w:fill="D2D2D2"/>
          </w:tcPr>
          <w:p>
            <w:pPr/>
          </w:p>
        </w:tc>
      </w:tr>
      <w:tr>
        <w:trPr>
          <w:trHeight w:val="161" w:hRule="exact"/>
        </w:trPr>
        <w:tc>
          <w:tcPr>
            <w:tcW w:w="1442" w:type="dxa"/>
            <w:tcBorders>
              <w:top w:val="single" w:sz="4" w:space="0" w:color="000000"/>
              <w:left w:val="single" w:sz="4" w:space="0" w:color="000000"/>
              <w:bottom w:val="nil" w:sz="6" w:space="0" w:color="auto"/>
              <w:right w:val="single" w:sz="4" w:space="0" w:color="000000"/>
            </w:tcBorders>
            <w:shd w:val="clear" w:color="auto" w:fill="D2D2D2"/>
          </w:tcPr>
          <w:p>
            <w:pPr/>
          </w:p>
        </w:tc>
        <w:tc>
          <w:tcPr>
            <w:tcW w:w="691" w:type="dxa"/>
            <w:vMerge w:val="restart"/>
            <w:tcBorders>
              <w:top w:val="single" w:sz="4" w:space="0" w:color="000000"/>
              <w:left w:val="single" w:sz="10" w:space="0" w:color="D2D2D2"/>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396,783,</w:t>
            </w:r>
          </w:p>
          <w:p>
            <w:pPr>
              <w:pStyle w:val="TableParagraph"/>
              <w:spacing w:line="240" w:lineRule="auto" w:before="105"/>
              <w:ind w:left="132" w:right="0"/>
              <w:jc w:val="center"/>
              <w:rPr>
                <w:rFonts w:ascii="Times New Roman" w:hAnsi="Times New Roman" w:cs="Times New Roman" w:eastAsia="Times New Roman" w:hint="default"/>
                <w:sz w:val="18"/>
                <w:szCs w:val="18"/>
              </w:rPr>
            </w:pPr>
            <w:r>
              <w:rPr>
                <w:rFonts w:ascii="Times New Roman"/>
                <w:sz w:val="18"/>
              </w:rPr>
              <w:t>995.00</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257,616,1</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66.19</w:t>
            </w:r>
          </w:p>
        </w:tc>
        <w:tc>
          <w:tcPr>
            <w:tcW w:w="798" w:type="dxa"/>
            <w:vMerge w:val="restart"/>
            <w:tcBorders>
              <w:top w:val="single" w:sz="22" w:space="0" w:color="D2D2D2"/>
              <w:left w:val="single" w:sz="4" w:space="0" w:color="000000"/>
              <w:right w:val="single" w:sz="4" w:space="0" w:color="000000"/>
            </w:tcBorders>
          </w:tcPr>
          <w:p>
            <w:pPr>
              <w:pStyle w:val="TableParagraph"/>
              <w:spacing w:line="240" w:lineRule="auto" w:before="68"/>
              <w:ind w:left="45" w:right="0"/>
              <w:jc w:val="left"/>
              <w:rPr>
                <w:rFonts w:ascii="Times New Roman" w:hAnsi="Times New Roman" w:cs="Times New Roman" w:eastAsia="Times New Roman" w:hint="default"/>
                <w:sz w:val="18"/>
                <w:szCs w:val="18"/>
              </w:rPr>
            </w:pPr>
            <w:r>
              <w:rPr>
                <w:rFonts w:ascii="Times New Roman"/>
                <w:sz w:val="18"/>
              </w:rPr>
              <w:t>28,377,60</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0.00</w:t>
            </w:r>
          </w:p>
        </w:tc>
        <w:tc>
          <w:tcPr>
            <w:tcW w:w="798" w:type="dxa"/>
            <w:vMerge w:val="restart"/>
            <w:tcBorders>
              <w:top w:val="single" w:sz="22" w:space="0" w:color="D2D2D2"/>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41,131,63</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7.24</w:t>
            </w:r>
          </w:p>
        </w:tc>
        <w:tc>
          <w:tcPr>
            <w:tcW w:w="676" w:type="dxa"/>
            <w:vMerge w:val="restart"/>
            <w:tcBorders>
              <w:top w:val="single" w:sz="22" w:space="0" w:color="D2D2D2"/>
              <w:left w:val="single" w:sz="4" w:space="0" w:color="000000"/>
              <w:right w:val="single" w:sz="4" w:space="0" w:color="000000"/>
            </w:tcBorders>
          </w:tcPr>
          <w:p>
            <w:pPr>
              <w:pStyle w:val="TableParagraph"/>
              <w:spacing w:line="240" w:lineRule="auto" w:before="68"/>
              <w:ind w:left="58" w:right="0"/>
              <w:jc w:val="left"/>
              <w:rPr>
                <w:rFonts w:ascii="Times New Roman" w:hAnsi="Times New Roman" w:cs="Times New Roman" w:eastAsia="Times New Roman" w:hint="default"/>
                <w:sz w:val="18"/>
                <w:szCs w:val="18"/>
              </w:rPr>
            </w:pPr>
            <w:r>
              <w:rPr>
                <w:rFonts w:ascii="Times New Roman"/>
                <w:sz w:val="18"/>
              </w:rPr>
              <w:t>212,196</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,924.04</w:t>
            </w:r>
          </w:p>
        </w:tc>
        <w:tc>
          <w:tcPr>
            <w:tcW w:w="781" w:type="dxa"/>
            <w:vMerge w:val="restart"/>
            <w:tcBorders>
              <w:top w:val="single" w:sz="22" w:space="0" w:color="D2D2D2"/>
              <w:left w:val="single" w:sz="4" w:space="0" w:color="000000"/>
              <w:right w:val="single" w:sz="4" w:space="0" w:color="000000"/>
            </w:tcBorders>
          </w:tcPr>
          <w:p>
            <w:pPr>
              <w:pStyle w:val="TableParagraph"/>
              <w:spacing w:line="240" w:lineRule="auto" w:before="68"/>
              <w:ind w:left="27" w:right="0"/>
              <w:jc w:val="left"/>
              <w:rPr>
                <w:rFonts w:ascii="Times New Roman" w:hAnsi="Times New Roman" w:cs="Times New Roman" w:eastAsia="Times New Roman" w:hint="default"/>
                <w:sz w:val="18"/>
                <w:szCs w:val="18"/>
              </w:rPr>
            </w:pPr>
            <w:r>
              <w:rPr>
                <w:rFonts w:ascii="Times New Roman"/>
                <w:sz w:val="18"/>
              </w:rPr>
              <w:t>879,351,1</w:t>
            </w:r>
          </w:p>
          <w:p>
            <w:pPr>
              <w:pStyle w:val="TableParagraph"/>
              <w:spacing w:line="240" w:lineRule="auto" w:before="105"/>
              <w:ind w:left="343" w:right="0"/>
              <w:jc w:val="left"/>
              <w:rPr>
                <w:rFonts w:ascii="Times New Roman" w:hAnsi="Times New Roman" w:cs="Times New Roman" w:eastAsia="Times New Roman" w:hint="default"/>
                <w:sz w:val="18"/>
                <w:szCs w:val="18"/>
              </w:rPr>
            </w:pPr>
            <w:r>
              <w:rPr>
                <w:rFonts w:ascii="Times New Roman"/>
                <w:sz w:val="18"/>
              </w:rPr>
              <w:t>22.47</w:t>
            </w:r>
          </w:p>
        </w:tc>
      </w:tr>
      <w:tr>
        <w:trPr>
          <w:trHeight w:val="392" w:hRule="exact"/>
        </w:trPr>
        <w:tc>
          <w:tcPr>
            <w:tcW w:w="144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7"/>
                <w:sz w:val="18"/>
                <w:szCs w:val="18"/>
              </w:rPr>
              <w:t>一、上年期末余额</w:t>
            </w:r>
          </w:p>
        </w:tc>
        <w:tc>
          <w:tcPr>
            <w:tcW w:w="691" w:type="dxa"/>
            <w:vMerge/>
            <w:tcBorders>
              <w:left w:val="single" w:sz="10" w:space="0" w:color="D2D2D2"/>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676" w:type="dxa"/>
            <w:vMerge/>
            <w:tcBorders>
              <w:left w:val="single" w:sz="4" w:space="0" w:color="000000"/>
              <w:right w:val="single" w:sz="4" w:space="0" w:color="000000"/>
            </w:tcBorders>
          </w:tcPr>
          <w:p>
            <w:pPr/>
          </w:p>
        </w:tc>
        <w:tc>
          <w:tcPr>
            <w:tcW w:w="781" w:type="dxa"/>
            <w:vMerge/>
            <w:tcBorders>
              <w:left w:val="single" w:sz="4" w:space="0" w:color="000000"/>
              <w:right w:val="single" w:sz="4" w:space="0" w:color="000000"/>
            </w:tcBorders>
          </w:tcPr>
          <w:p>
            <w:pPr/>
          </w:p>
        </w:tc>
      </w:tr>
      <w:tr>
        <w:trPr>
          <w:trHeight w:val="161" w:hRule="exact"/>
        </w:trPr>
        <w:tc>
          <w:tcPr>
            <w:tcW w:w="1442" w:type="dxa"/>
            <w:tcBorders>
              <w:top w:val="nil" w:sz="6" w:space="0" w:color="auto"/>
              <w:left w:val="single" w:sz="4" w:space="0" w:color="000000"/>
              <w:bottom w:val="single" w:sz="4" w:space="0" w:color="000000"/>
              <w:right w:val="single" w:sz="4" w:space="0" w:color="000000"/>
            </w:tcBorders>
            <w:shd w:val="clear" w:color="auto" w:fill="D2D2D2"/>
          </w:tcPr>
          <w:p>
            <w:pPr/>
          </w:p>
        </w:tc>
        <w:tc>
          <w:tcPr>
            <w:tcW w:w="691" w:type="dxa"/>
            <w:vMerge/>
            <w:tcBorders>
              <w:left w:val="single" w:sz="10" w:space="0" w:color="D2D2D2"/>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676" w:type="dxa"/>
            <w:vMerge/>
            <w:tcBorders>
              <w:left w:val="single" w:sz="4" w:space="0" w:color="000000"/>
              <w:bottom w:val="single" w:sz="4" w:space="0" w:color="000000"/>
              <w:right w:val="single" w:sz="4" w:space="0" w:color="000000"/>
            </w:tcBorders>
          </w:tcPr>
          <w:p>
            <w:pPr/>
          </w:p>
        </w:tc>
        <w:tc>
          <w:tcPr>
            <w:tcW w:w="781" w:type="dxa"/>
            <w:vMerge/>
            <w:tcBorders>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22" w:firstLine="360"/>
              <w:jc w:val="left"/>
              <w:rPr>
                <w:rFonts w:ascii="宋体" w:hAnsi="宋体" w:cs="宋体" w:eastAsia="宋体" w:hint="default"/>
                <w:sz w:val="18"/>
                <w:szCs w:val="18"/>
              </w:rPr>
            </w:pPr>
            <w:r>
              <w:rPr>
                <w:rFonts w:ascii="宋体" w:hAnsi="宋体" w:cs="宋体" w:eastAsia="宋体" w:hint="default"/>
                <w:spacing w:val="-10"/>
                <w:sz w:val="18"/>
                <w:szCs w:val="18"/>
              </w:rPr>
              <w:t>加：会计政策</w:t>
            </w:r>
            <w:r>
              <w:rPr>
                <w:rFonts w:ascii="宋体" w:hAnsi="宋体" w:cs="宋体" w:eastAsia="宋体" w:hint="default"/>
                <w:sz w:val="18"/>
                <w:szCs w:val="18"/>
              </w:rPr>
              <w:t> 变更</w:t>
            </w:r>
          </w:p>
        </w:tc>
        <w:tc>
          <w:tcPr>
            <w:tcW w:w="691" w:type="dxa"/>
            <w:tcBorders>
              <w:top w:val="single" w:sz="4" w:space="0" w:color="000000"/>
              <w:left w:val="single" w:sz="10"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前期差</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错更正</w:t>
            </w:r>
          </w:p>
        </w:tc>
        <w:tc>
          <w:tcPr>
            <w:tcW w:w="691" w:type="dxa"/>
            <w:tcBorders>
              <w:top w:val="single" w:sz="4" w:space="0" w:color="000000"/>
              <w:left w:val="single" w:sz="10"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91" w:type="dxa"/>
            <w:tcBorders>
              <w:top w:val="single" w:sz="4" w:space="0" w:color="000000"/>
              <w:left w:val="single" w:sz="10"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61" w:hRule="exact"/>
        </w:trPr>
        <w:tc>
          <w:tcPr>
            <w:tcW w:w="1442" w:type="dxa"/>
            <w:tcBorders>
              <w:top w:val="single" w:sz="4" w:space="0" w:color="000000"/>
              <w:left w:val="single" w:sz="4" w:space="0" w:color="000000"/>
              <w:bottom w:val="nil" w:sz="6" w:space="0" w:color="auto"/>
              <w:right w:val="single" w:sz="4" w:space="0" w:color="000000"/>
            </w:tcBorders>
            <w:shd w:val="clear" w:color="auto" w:fill="D2D2D2"/>
          </w:tcPr>
          <w:p>
            <w:pPr/>
          </w:p>
        </w:tc>
        <w:tc>
          <w:tcPr>
            <w:tcW w:w="691" w:type="dxa"/>
            <w:vMerge w:val="restart"/>
            <w:tcBorders>
              <w:top w:val="single" w:sz="4" w:space="0" w:color="000000"/>
              <w:left w:val="single" w:sz="10" w:space="0" w:color="D2D2D2"/>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396,783,</w:t>
            </w:r>
          </w:p>
          <w:p>
            <w:pPr>
              <w:pStyle w:val="TableParagraph"/>
              <w:spacing w:line="240" w:lineRule="auto" w:before="105"/>
              <w:ind w:left="132" w:right="0"/>
              <w:jc w:val="center"/>
              <w:rPr>
                <w:rFonts w:ascii="Times New Roman" w:hAnsi="Times New Roman" w:cs="Times New Roman" w:eastAsia="Times New Roman" w:hint="default"/>
                <w:sz w:val="18"/>
                <w:szCs w:val="18"/>
              </w:rPr>
            </w:pPr>
            <w:r>
              <w:rPr>
                <w:rFonts w:ascii="Times New Roman"/>
                <w:sz w:val="18"/>
              </w:rPr>
              <w:t>995.00</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257,616,1</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66.19</w:t>
            </w:r>
          </w:p>
        </w:tc>
        <w:tc>
          <w:tcPr>
            <w:tcW w:w="798" w:type="dxa"/>
            <w:vMerge w:val="restart"/>
            <w:tcBorders>
              <w:top w:val="single" w:sz="4" w:space="0" w:color="000000"/>
              <w:left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28,377,60</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0.00</w:t>
            </w: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41,131,63</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7.24</w:t>
            </w:r>
          </w:p>
        </w:tc>
        <w:tc>
          <w:tcPr>
            <w:tcW w:w="676" w:type="dxa"/>
            <w:vMerge w:val="restart"/>
            <w:tcBorders>
              <w:top w:val="single" w:sz="4" w:space="0" w:color="000000"/>
              <w:left w:val="single" w:sz="4" w:space="0" w:color="000000"/>
              <w:right w:val="single" w:sz="4" w:space="0" w:color="000000"/>
            </w:tcBorders>
          </w:tcPr>
          <w:p>
            <w:pPr>
              <w:pStyle w:val="TableParagraph"/>
              <w:spacing w:line="240" w:lineRule="auto" w:before="91"/>
              <w:ind w:left="58" w:right="0"/>
              <w:jc w:val="left"/>
              <w:rPr>
                <w:rFonts w:ascii="Times New Roman" w:hAnsi="Times New Roman" w:cs="Times New Roman" w:eastAsia="Times New Roman" w:hint="default"/>
                <w:sz w:val="18"/>
                <w:szCs w:val="18"/>
              </w:rPr>
            </w:pPr>
            <w:r>
              <w:rPr>
                <w:rFonts w:ascii="Times New Roman"/>
                <w:sz w:val="18"/>
              </w:rPr>
              <w:t>212,196</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,924.04</w:t>
            </w:r>
          </w:p>
        </w:tc>
        <w:tc>
          <w:tcPr>
            <w:tcW w:w="781" w:type="dxa"/>
            <w:vMerge w:val="restart"/>
            <w:tcBorders>
              <w:top w:val="single" w:sz="4" w:space="0" w:color="000000"/>
              <w:left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879,351,1</w:t>
            </w:r>
          </w:p>
          <w:p>
            <w:pPr>
              <w:pStyle w:val="TableParagraph"/>
              <w:spacing w:line="240" w:lineRule="auto" w:before="105"/>
              <w:ind w:left="343" w:right="0"/>
              <w:jc w:val="left"/>
              <w:rPr>
                <w:rFonts w:ascii="Times New Roman" w:hAnsi="Times New Roman" w:cs="Times New Roman" w:eastAsia="Times New Roman" w:hint="default"/>
                <w:sz w:val="18"/>
                <w:szCs w:val="18"/>
              </w:rPr>
            </w:pPr>
            <w:r>
              <w:rPr>
                <w:rFonts w:ascii="Times New Roman"/>
                <w:sz w:val="18"/>
              </w:rPr>
              <w:t>22.47</w:t>
            </w:r>
          </w:p>
        </w:tc>
      </w:tr>
      <w:tr>
        <w:trPr>
          <w:trHeight w:val="392" w:hRule="exact"/>
        </w:trPr>
        <w:tc>
          <w:tcPr>
            <w:tcW w:w="144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7"/>
                <w:sz w:val="18"/>
                <w:szCs w:val="18"/>
              </w:rPr>
              <w:t>二、本年期初余额</w:t>
            </w:r>
          </w:p>
        </w:tc>
        <w:tc>
          <w:tcPr>
            <w:tcW w:w="691" w:type="dxa"/>
            <w:vMerge/>
            <w:tcBorders>
              <w:left w:val="single" w:sz="10" w:space="0" w:color="D2D2D2"/>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676" w:type="dxa"/>
            <w:vMerge/>
            <w:tcBorders>
              <w:left w:val="single" w:sz="4" w:space="0" w:color="000000"/>
              <w:right w:val="single" w:sz="4" w:space="0" w:color="000000"/>
            </w:tcBorders>
          </w:tcPr>
          <w:p>
            <w:pPr/>
          </w:p>
        </w:tc>
        <w:tc>
          <w:tcPr>
            <w:tcW w:w="781" w:type="dxa"/>
            <w:vMerge/>
            <w:tcBorders>
              <w:left w:val="single" w:sz="4" w:space="0" w:color="000000"/>
              <w:right w:val="single" w:sz="4" w:space="0" w:color="000000"/>
            </w:tcBorders>
          </w:tcPr>
          <w:p>
            <w:pPr/>
          </w:p>
        </w:tc>
      </w:tr>
      <w:tr>
        <w:trPr>
          <w:trHeight w:val="161" w:hRule="exact"/>
        </w:trPr>
        <w:tc>
          <w:tcPr>
            <w:tcW w:w="1442" w:type="dxa"/>
            <w:tcBorders>
              <w:top w:val="nil" w:sz="6" w:space="0" w:color="auto"/>
              <w:left w:val="single" w:sz="4" w:space="0" w:color="000000"/>
              <w:bottom w:val="single" w:sz="4" w:space="0" w:color="000000"/>
              <w:right w:val="single" w:sz="4" w:space="0" w:color="000000"/>
            </w:tcBorders>
            <w:shd w:val="clear" w:color="auto" w:fill="D2D2D2"/>
          </w:tcPr>
          <w:p>
            <w:pPr/>
          </w:p>
        </w:tc>
        <w:tc>
          <w:tcPr>
            <w:tcW w:w="691" w:type="dxa"/>
            <w:vMerge/>
            <w:tcBorders>
              <w:left w:val="single" w:sz="10" w:space="0" w:color="D2D2D2"/>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676" w:type="dxa"/>
            <w:vMerge/>
            <w:tcBorders>
              <w:left w:val="single" w:sz="4" w:space="0" w:color="000000"/>
              <w:bottom w:val="single" w:sz="4" w:space="0" w:color="000000"/>
              <w:right w:val="single" w:sz="4" w:space="0" w:color="000000"/>
            </w:tcBorders>
          </w:tcPr>
          <w:p>
            <w:pPr/>
          </w:p>
        </w:tc>
        <w:tc>
          <w:tcPr>
            <w:tcW w:w="781" w:type="dxa"/>
            <w:vMerge/>
            <w:tcBorders>
              <w:left w:val="single" w:sz="4" w:space="0" w:color="000000"/>
              <w:bottom w:val="single" w:sz="4" w:space="0" w:color="000000"/>
              <w:right w:val="single" w:sz="4" w:space="0" w:color="000000"/>
            </w:tcBorders>
          </w:tcPr>
          <w:p>
            <w:pP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21"/>
              <w:jc w:val="both"/>
              <w:rPr>
                <w:rFonts w:ascii="宋体" w:hAnsi="宋体" w:cs="宋体" w:eastAsia="宋体" w:hint="default"/>
                <w:sz w:val="18"/>
                <w:szCs w:val="18"/>
              </w:rPr>
            </w:pPr>
            <w:r>
              <w:rPr>
                <w:rFonts w:ascii="宋体" w:hAnsi="宋体" w:cs="宋体" w:eastAsia="宋体" w:hint="default"/>
                <w:spacing w:val="-7"/>
                <w:sz w:val="18"/>
                <w:szCs w:val="18"/>
              </w:rPr>
              <w:t>三、本期增减变动</w:t>
            </w:r>
            <w:r>
              <w:rPr>
                <w:rFonts w:ascii="宋体" w:hAnsi="宋体" w:cs="宋体" w:eastAsia="宋体" w:hint="default"/>
                <w:sz w:val="18"/>
                <w:szCs w:val="18"/>
              </w:rPr>
              <w:t> </w:t>
            </w:r>
            <w:r>
              <w:rPr>
                <w:rFonts w:ascii="宋体" w:hAnsi="宋体" w:cs="宋体" w:eastAsia="宋体" w:hint="default"/>
                <w:spacing w:val="-4"/>
                <w:sz w:val="18"/>
                <w:szCs w:val="18"/>
              </w:rPr>
              <w:t>金额（减少以</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号填列）</w:t>
            </w:r>
          </w:p>
        </w:tc>
        <w:tc>
          <w:tcPr>
            <w:tcW w:w="69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214,601,</w:t>
            </w:r>
          </w:p>
          <w:p>
            <w:pPr>
              <w:pStyle w:val="TableParagraph"/>
              <w:spacing w:line="240" w:lineRule="auto" w:before="105"/>
              <w:ind w:left="132" w:right="0"/>
              <w:jc w:val="center"/>
              <w:rPr>
                <w:rFonts w:ascii="Times New Roman" w:hAnsi="Times New Roman" w:cs="Times New Roman" w:eastAsia="Times New Roman" w:hint="default"/>
                <w:sz w:val="18"/>
                <w:szCs w:val="18"/>
              </w:rPr>
            </w:pPr>
            <w:r>
              <w:rPr>
                <w:rFonts w:ascii="Times New Roman"/>
                <w:sz w:val="18"/>
              </w:rPr>
              <w:t>839.00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4" w:right="0"/>
              <w:jc w:val="left"/>
              <w:rPr>
                <w:rFonts w:ascii="Times New Roman" w:hAnsi="Times New Roman" w:cs="Times New Roman" w:eastAsia="Times New Roman" w:hint="default"/>
                <w:sz w:val="18"/>
                <w:szCs w:val="18"/>
              </w:rPr>
            </w:pPr>
            <w:r>
              <w:rPr>
                <w:rFonts w:ascii="Times New Roman"/>
                <w:sz w:val="18"/>
              </w:rPr>
              <w:t>-69,465,3</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58.40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5" w:right="0"/>
              <w:jc w:val="left"/>
              <w:rPr>
                <w:rFonts w:ascii="Times New Roman" w:hAnsi="Times New Roman" w:cs="Times New Roman" w:eastAsia="Times New Roman" w:hint="default"/>
                <w:sz w:val="18"/>
                <w:szCs w:val="18"/>
              </w:rPr>
            </w:pPr>
            <w:r>
              <w:rPr>
                <w:rFonts w:ascii="Times New Roman"/>
                <w:sz w:val="18"/>
              </w:rPr>
              <w:t>-10,735,3</w:t>
            </w:r>
          </w:p>
          <w:p>
            <w:pPr>
              <w:pStyle w:val="TableParagraph"/>
              <w:spacing w:line="240" w:lineRule="auto" w:before="105"/>
              <w:ind w:left="361" w:right="0"/>
              <w:jc w:val="left"/>
              <w:rPr>
                <w:rFonts w:ascii="Times New Roman" w:hAnsi="Times New Roman" w:cs="Times New Roman" w:eastAsia="Times New Roman" w:hint="default"/>
                <w:sz w:val="18"/>
                <w:szCs w:val="18"/>
              </w:rPr>
            </w:pPr>
            <w:r>
              <w:rPr>
                <w:rFonts w:ascii="Times New Roman"/>
                <w:sz w:val="18"/>
              </w:rPr>
              <w:t>80.00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3,168,628</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.89</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0" w:right="0"/>
              <w:jc w:val="center"/>
              <w:rPr>
                <w:rFonts w:ascii="Times New Roman" w:hAnsi="Times New Roman" w:cs="Times New Roman" w:eastAsia="Times New Roman" w:hint="default"/>
                <w:sz w:val="18"/>
                <w:szCs w:val="18"/>
              </w:rPr>
            </w:pPr>
            <w:r>
              <w:rPr>
                <w:rFonts w:ascii="Times New Roman"/>
                <w:sz w:val="18"/>
              </w:rPr>
              <w:t>-12,241,</w:t>
            </w:r>
          </w:p>
          <w:p>
            <w:pPr>
              <w:pStyle w:val="TableParagraph"/>
              <w:spacing w:line="240" w:lineRule="auto" w:before="105"/>
              <w:ind w:left="126" w:right="0"/>
              <w:jc w:val="center"/>
              <w:rPr>
                <w:rFonts w:ascii="Times New Roman" w:hAnsi="Times New Roman" w:cs="Times New Roman" w:eastAsia="Times New Roman" w:hint="default"/>
                <w:sz w:val="18"/>
                <w:szCs w:val="18"/>
              </w:rPr>
            </w:pPr>
            <w:r>
              <w:rPr>
                <w:rFonts w:ascii="Times New Roman"/>
                <w:sz w:val="18"/>
              </w:rPr>
              <w:t>395.56</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7" w:right="0"/>
              <w:jc w:val="left"/>
              <w:rPr>
                <w:rFonts w:ascii="Times New Roman" w:hAnsi="Times New Roman" w:cs="Times New Roman" w:eastAsia="Times New Roman" w:hint="default"/>
                <w:sz w:val="18"/>
                <w:szCs w:val="18"/>
              </w:rPr>
            </w:pPr>
            <w:r>
              <w:rPr>
                <w:rFonts w:ascii="Times New Roman"/>
                <w:sz w:val="18"/>
              </w:rPr>
              <w:t>146,799,0</w:t>
            </w:r>
          </w:p>
          <w:p>
            <w:pPr>
              <w:pStyle w:val="TableParagraph"/>
              <w:spacing w:line="240" w:lineRule="auto" w:before="105"/>
              <w:ind w:left="343" w:right="0"/>
              <w:jc w:val="left"/>
              <w:rPr>
                <w:rFonts w:ascii="Times New Roman" w:hAnsi="Times New Roman" w:cs="Times New Roman" w:eastAsia="Times New Roman" w:hint="default"/>
                <w:sz w:val="18"/>
                <w:szCs w:val="18"/>
              </w:rPr>
            </w:pPr>
            <w:r>
              <w:rPr>
                <w:rFonts w:ascii="Times New Roman"/>
                <w:sz w:val="18"/>
              </w:rPr>
              <w:t>93.93</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22"/>
              <w:jc w:val="left"/>
              <w:rPr>
                <w:rFonts w:ascii="宋体" w:hAnsi="宋体" w:cs="宋体" w:eastAsia="宋体" w:hint="default"/>
                <w:sz w:val="18"/>
                <w:szCs w:val="18"/>
              </w:rPr>
            </w:pPr>
            <w:r>
              <w:rPr>
                <w:rFonts w:ascii="宋体" w:hAnsi="宋体" w:cs="宋体" w:eastAsia="宋体" w:hint="default"/>
                <w:spacing w:val="-7"/>
                <w:sz w:val="18"/>
                <w:szCs w:val="18"/>
              </w:rPr>
              <w:t>（一）综合收益总</w:t>
            </w:r>
            <w:r>
              <w:rPr>
                <w:rFonts w:ascii="宋体" w:hAnsi="宋体" w:cs="宋体" w:eastAsia="宋体" w:hint="default"/>
                <w:sz w:val="18"/>
                <w:szCs w:val="18"/>
              </w:rPr>
              <w:t> 额</w:t>
            </w:r>
          </w:p>
        </w:tc>
        <w:tc>
          <w:tcPr>
            <w:tcW w:w="691" w:type="dxa"/>
            <w:tcBorders>
              <w:top w:val="single" w:sz="4" w:space="0" w:color="000000"/>
              <w:left w:val="single" w:sz="10"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31,686,</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288.93</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31,686,28</w:t>
            </w:r>
          </w:p>
          <w:p>
            <w:pPr>
              <w:pStyle w:val="TableParagraph"/>
              <w:spacing w:line="240" w:lineRule="auto" w:before="105"/>
              <w:ind w:left="433" w:right="0"/>
              <w:jc w:val="left"/>
              <w:rPr>
                <w:rFonts w:ascii="Times New Roman" w:hAnsi="Times New Roman" w:cs="Times New Roman" w:eastAsia="Times New Roman" w:hint="default"/>
                <w:sz w:val="18"/>
                <w:szCs w:val="18"/>
              </w:rPr>
            </w:pPr>
            <w:r>
              <w:rPr>
                <w:rFonts w:ascii="Times New Roman"/>
                <w:sz w:val="18"/>
              </w:rPr>
              <w:t>8.93</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22"/>
              <w:jc w:val="left"/>
              <w:rPr>
                <w:rFonts w:ascii="宋体" w:hAnsi="宋体" w:cs="宋体" w:eastAsia="宋体" w:hint="default"/>
                <w:sz w:val="18"/>
                <w:szCs w:val="18"/>
              </w:rPr>
            </w:pPr>
            <w:r>
              <w:rPr>
                <w:rFonts w:ascii="宋体" w:hAnsi="宋体" w:cs="宋体" w:eastAsia="宋体" w:hint="default"/>
                <w:spacing w:val="-7"/>
                <w:sz w:val="18"/>
                <w:szCs w:val="18"/>
              </w:rPr>
              <w:t>（二）所有者投入</w:t>
            </w:r>
            <w:r>
              <w:rPr>
                <w:rFonts w:ascii="宋体" w:hAnsi="宋体" w:cs="宋体" w:eastAsia="宋体" w:hint="default"/>
                <w:sz w:val="18"/>
                <w:szCs w:val="18"/>
              </w:rPr>
              <w:t> 和减少资本</w:t>
            </w:r>
          </w:p>
        </w:tc>
        <w:tc>
          <w:tcPr>
            <w:tcW w:w="69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20" w:right="0"/>
              <w:jc w:val="left"/>
              <w:rPr>
                <w:rFonts w:ascii="Times New Roman" w:hAnsi="Times New Roman" w:cs="Times New Roman" w:eastAsia="Times New Roman" w:hint="default"/>
                <w:sz w:val="18"/>
                <w:szCs w:val="18"/>
              </w:rPr>
            </w:pPr>
            <w:r>
              <w:rPr>
                <w:rFonts w:ascii="Times New Roman"/>
                <w:sz w:val="18"/>
              </w:rPr>
              <w:t>10,928,5</w:t>
            </w:r>
          </w:p>
          <w:p>
            <w:pPr>
              <w:pStyle w:val="TableParagraph"/>
              <w:spacing w:line="240" w:lineRule="auto" w:before="105"/>
              <w:ind w:left="246" w:right="0"/>
              <w:jc w:val="left"/>
              <w:rPr>
                <w:rFonts w:ascii="Times New Roman" w:hAnsi="Times New Roman" w:cs="Times New Roman" w:eastAsia="Times New Roman" w:hint="default"/>
                <w:sz w:val="18"/>
                <w:szCs w:val="18"/>
              </w:rPr>
            </w:pPr>
            <w:r>
              <w:rPr>
                <w:rFonts w:ascii="Times New Roman"/>
                <w:sz w:val="18"/>
              </w:rPr>
              <w:t>61.00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134,838,6</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59.60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5" w:right="0"/>
              <w:jc w:val="left"/>
              <w:rPr>
                <w:rFonts w:ascii="Times New Roman" w:hAnsi="Times New Roman" w:cs="Times New Roman" w:eastAsia="Times New Roman" w:hint="default"/>
                <w:sz w:val="18"/>
                <w:szCs w:val="18"/>
              </w:rPr>
            </w:pPr>
            <w:r>
              <w:rPr>
                <w:rFonts w:ascii="Times New Roman"/>
                <w:sz w:val="18"/>
              </w:rPr>
              <w:t>-10,735,3</w:t>
            </w:r>
          </w:p>
          <w:p>
            <w:pPr>
              <w:pStyle w:val="TableParagraph"/>
              <w:spacing w:line="240" w:lineRule="auto" w:before="105"/>
              <w:ind w:left="361" w:right="0"/>
              <w:jc w:val="left"/>
              <w:rPr>
                <w:rFonts w:ascii="Times New Roman" w:hAnsi="Times New Roman" w:cs="Times New Roman" w:eastAsia="Times New Roman" w:hint="default"/>
                <w:sz w:val="18"/>
                <w:szCs w:val="18"/>
              </w:rPr>
            </w:pPr>
            <w:r>
              <w:rPr>
                <w:rFonts w:ascii="Times New Roman"/>
                <w:sz w:val="18"/>
              </w:rPr>
              <w:t>80.00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156,502,6</w:t>
            </w:r>
          </w:p>
          <w:p>
            <w:pPr>
              <w:pStyle w:val="TableParagraph"/>
              <w:spacing w:line="240" w:lineRule="auto" w:before="105"/>
              <w:ind w:left="343" w:right="0"/>
              <w:jc w:val="left"/>
              <w:rPr>
                <w:rFonts w:ascii="Times New Roman" w:hAnsi="Times New Roman" w:cs="Times New Roman" w:eastAsia="Times New Roman" w:hint="default"/>
                <w:sz w:val="18"/>
                <w:szCs w:val="18"/>
              </w:rPr>
            </w:pPr>
            <w:r>
              <w:rPr>
                <w:rFonts w:ascii="Times New Roman"/>
                <w:sz w:val="18"/>
              </w:rPr>
              <w:t>00.60</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．股东投入的普 通股</w:t>
            </w:r>
          </w:p>
        </w:tc>
        <w:tc>
          <w:tcPr>
            <w:tcW w:w="69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20" w:right="0"/>
              <w:jc w:val="left"/>
              <w:rPr>
                <w:rFonts w:ascii="Times New Roman" w:hAnsi="Times New Roman" w:cs="Times New Roman" w:eastAsia="Times New Roman" w:hint="default"/>
                <w:sz w:val="18"/>
                <w:szCs w:val="18"/>
              </w:rPr>
            </w:pPr>
            <w:r>
              <w:rPr>
                <w:rFonts w:ascii="Times New Roman"/>
                <w:sz w:val="18"/>
              </w:rPr>
              <w:t>10,928,5</w:t>
            </w:r>
          </w:p>
          <w:p>
            <w:pPr>
              <w:pStyle w:val="TableParagraph"/>
              <w:spacing w:line="240" w:lineRule="auto" w:before="105"/>
              <w:ind w:left="246" w:right="0"/>
              <w:jc w:val="left"/>
              <w:rPr>
                <w:rFonts w:ascii="Times New Roman" w:hAnsi="Times New Roman" w:cs="Times New Roman" w:eastAsia="Times New Roman" w:hint="default"/>
                <w:sz w:val="18"/>
                <w:szCs w:val="18"/>
              </w:rPr>
            </w:pPr>
            <w:r>
              <w:rPr>
                <w:rFonts w:ascii="Times New Roman"/>
                <w:sz w:val="18"/>
              </w:rPr>
              <w:t>61.00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125,408,5</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79.60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136,337,1</w:t>
            </w:r>
          </w:p>
          <w:p>
            <w:pPr>
              <w:pStyle w:val="TableParagraph"/>
              <w:spacing w:line="240" w:lineRule="auto" w:before="105"/>
              <w:ind w:left="343" w:right="0"/>
              <w:jc w:val="left"/>
              <w:rPr>
                <w:rFonts w:ascii="Times New Roman" w:hAnsi="Times New Roman" w:cs="Times New Roman" w:eastAsia="Times New Roman" w:hint="default"/>
                <w:sz w:val="18"/>
                <w:szCs w:val="18"/>
              </w:rPr>
            </w:pPr>
            <w:r>
              <w:rPr>
                <w:rFonts w:ascii="Times New Roman"/>
                <w:sz w:val="18"/>
              </w:rPr>
              <w:t>40.60</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691" w:type="dxa"/>
            <w:tcBorders>
              <w:top w:val="single" w:sz="4" w:space="0" w:color="000000"/>
              <w:left w:val="single" w:sz="10"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w:t>
            </w:r>
          </w:p>
        </w:tc>
        <w:tc>
          <w:tcPr>
            <w:tcW w:w="691" w:type="dxa"/>
            <w:tcBorders>
              <w:top w:val="single" w:sz="4" w:space="0" w:color="000000"/>
              <w:left w:val="single" w:sz="10"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44" w:right="0"/>
              <w:jc w:val="left"/>
              <w:rPr>
                <w:rFonts w:ascii="Times New Roman" w:hAnsi="Times New Roman" w:cs="Times New Roman" w:eastAsia="Times New Roman" w:hint="default"/>
                <w:sz w:val="18"/>
                <w:szCs w:val="18"/>
              </w:rPr>
            </w:pPr>
            <w:r>
              <w:rPr>
                <w:rFonts w:ascii="Times New Roman"/>
                <w:sz w:val="18"/>
              </w:rPr>
              <w:t>9,430,080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75" w:right="0"/>
              <w:jc w:val="left"/>
              <w:rPr>
                <w:rFonts w:ascii="Times New Roman" w:hAnsi="Times New Roman" w:cs="Times New Roman" w:eastAsia="Times New Roman" w:hint="default"/>
                <w:sz w:val="18"/>
                <w:szCs w:val="18"/>
              </w:rPr>
            </w:pPr>
            <w:r>
              <w:rPr>
                <w:rFonts w:ascii="Times New Roman"/>
                <w:sz w:val="18"/>
              </w:rPr>
              <w:t>-10,735,3</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27" w:right="0"/>
              <w:jc w:val="left"/>
              <w:rPr>
                <w:rFonts w:ascii="Times New Roman" w:hAnsi="Times New Roman" w:cs="Times New Roman" w:eastAsia="Times New Roman" w:hint="default"/>
                <w:sz w:val="18"/>
                <w:szCs w:val="18"/>
              </w:rPr>
            </w:pPr>
            <w:r>
              <w:rPr>
                <w:rFonts w:ascii="Times New Roman"/>
                <w:sz w:val="18"/>
              </w:rPr>
              <w:t>20,165,46</w:t>
            </w:r>
          </w:p>
        </w:tc>
      </w:tr>
    </w:tbl>
    <w:p>
      <w:pPr>
        <w:spacing w:after="0" w:line="240" w:lineRule="auto"/>
        <w:jc w:val="lef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442"/>
        <w:gridCol w:w="691"/>
        <w:gridCol w:w="665"/>
        <w:gridCol w:w="665"/>
        <w:gridCol w:w="665"/>
        <w:gridCol w:w="797"/>
        <w:gridCol w:w="798"/>
        <w:gridCol w:w="798"/>
        <w:gridCol w:w="798"/>
        <w:gridCol w:w="797"/>
        <w:gridCol w:w="676"/>
        <w:gridCol w:w="781"/>
      </w:tblGrid>
      <w:tr>
        <w:trPr>
          <w:trHeight w:val="67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10"/>
              <w:ind w:left="22" w:right="147"/>
              <w:jc w:val="left"/>
              <w:rPr>
                <w:rFonts w:ascii="宋体" w:hAnsi="宋体" w:cs="宋体" w:eastAsia="宋体" w:hint="default"/>
                <w:sz w:val="18"/>
                <w:szCs w:val="18"/>
              </w:rPr>
            </w:pPr>
            <w:r>
              <w:rPr>
                <w:rFonts w:ascii="宋体" w:hAnsi="宋体" w:cs="宋体" w:eastAsia="宋体" w:hint="default"/>
                <w:sz w:val="18"/>
                <w:szCs w:val="18"/>
              </w:rPr>
              <w:t>所有者权益的金 额</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Times New Roman" w:hAnsi="Times New Roman" w:cs="Times New Roman" w:eastAsia="Times New Roman" w:hint="default"/>
                <w:sz w:val="18"/>
                <w:szCs w:val="18"/>
              </w:rPr>
            </w:pPr>
            <w:r>
              <w:rPr>
                <w:rFonts w:ascii="Times New Roman"/>
                <w:sz w:val="18"/>
              </w:rPr>
              <w:t>.00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61" w:right="0"/>
              <w:jc w:val="left"/>
              <w:rPr>
                <w:rFonts w:ascii="Times New Roman" w:hAnsi="Times New Roman" w:cs="Times New Roman" w:eastAsia="Times New Roman" w:hint="default"/>
                <w:sz w:val="18"/>
                <w:szCs w:val="18"/>
              </w:rPr>
            </w:pPr>
            <w:r>
              <w:rPr>
                <w:rFonts w:ascii="Times New Roman"/>
                <w:sz w:val="18"/>
              </w:rPr>
              <w:t>80.00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33" w:right="0"/>
              <w:jc w:val="lef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3,168,628</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.89</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 w:right="0"/>
              <w:jc w:val="center"/>
              <w:rPr>
                <w:rFonts w:ascii="Times New Roman" w:hAnsi="Times New Roman" w:cs="Times New Roman" w:eastAsia="Times New Roman" w:hint="default"/>
                <w:sz w:val="18"/>
                <w:szCs w:val="18"/>
              </w:rPr>
            </w:pPr>
            <w:r>
              <w:rPr>
                <w:rFonts w:ascii="Times New Roman"/>
                <w:sz w:val="18"/>
              </w:rPr>
              <w:t>-43,927,</w:t>
            </w:r>
          </w:p>
          <w:p>
            <w:pPr>
              <w:pStyle w:val="TableParagraph"/>
              <w:spacing w:line="240" w:lineRule="auto" w:before="105"/>
              <w:ind w:left="126" w:right="0"/>
              <w:jc w:val="center"/>
              <w:rPr>
                <w:rFonts w:ascii="Times New Roman" w:hAnsi="Times New Roman" w:cs="Times New Roman" w:eastAsia="Times New Roman" w:hint="default"/>
                <w:sz w:val="18"/>
                <w:szCs w:val="18"/>
              </w:rPr>
            </w:pPr>
            <w:r>
              <w:rPr>
                <w:rFonts w:ascii="Times New Roman"/>
                <w:sz w:val="18"/>
              </w:rPr>
              <w:t>684.49</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 w:right="0"/>
              <w:jc w:val="left"/>
              <w:rPr>
                <w:rFonts w:ascii="Times New Roman" w:hAnsi="Times New Roman" w:cs="Times New Roman" w:eastAsia="Times New Roman" w:hint="default"/>
                <w:sz w:val="18"/>
                <w:szCs w:val="18"/>
              </w:rPr>
            </w:pPr>
            <w:r>
              <w:rPr>
                <w:rFonts w:ascii="Times New Roman"/>
                <w:sz w:val="18"/>
              </w:rPr>
              <w:t>-40,759,0</w:t>
            </w:r>
          </w:p>
          <w:p>
            <w:pPr>
              <w:pStyle w:val="TableParagraph"/>
              <w:spacing w:line="240" w:lineRule="auto" w:before="105"/>
              <w:ind w:left="343" w:right="0"/>
              <w:jc w:val="left"/>
              <w:rPr>
                <w:rFonts w:ascii="Times New Roman" w:hAnsi="Times New Roman" w:cs="Times New Roman" w:eastAsia="Times New Roman" w:hint="default"/>
                <w:sz w:val="18"/>
                <w:szCs w:val="18"/>
              </w:rPr>
            </w:pPr>
            <w:r>
              <w:rPr>
                <w:rFonts w:ascii="Times New Roman"/>
                <w:sz w:val="18"/>
              </w:rPr>
              <w:t>55.60</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3,168,628</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.89</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 w:right="0"/>
              <w:jc w:val="center"/>
              <w:rPr>
                <w:rFonts w:ascii="Times New Roman" w:hAnsi="Times New Roman" w:cs="Times New Roman" w:eastAsia="Times New Roman" w:hint="default"/>
                <w:sz w:val="18"/>
                <w:szCs w:val="18"/>
              </w:rPr>
            </w:pPr>
            <w:r>
              <w:rPr>
                <w:rFonts w:ascii="Times New Roman"/>
                <w:sz w:val="18"/>
              </w:rPr>
              <w:t>-3,168,6</w:t>
            </w:r>
          </w:p>
          <w:p>
            <w:pPr>
              <w:pStyle w:val="TableParagraph"/>
              <w:spacing w:line="240" w:lineRule="auto" w:before="105"/>
              <w:ind w:left="216" w:right="0"/>
              <w:jc w:val="center"/>
              <w:rPr>
                <w:rFonts w:ascii="Times New Roman" w:hAnsi="Times New Roman" w:cs="Times New Roman" w:eastAsia="Times New Roman" w:hint="default"/>
                <w:sz w:val="18"/>
                <w:szCs w:val="18"/>
              </w:rPr>
            </w:pPr>
            <w:r>
              <w:rPr>
                <w:rFonts w:ascii="Times New Roman"/>
                <w:sz w:val="18"/>
              </w:rPr>
              <w:t>28.89</w:t>
            </w: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．对所有者（或 股东）的分配</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 w:right="0"/>
              <w:jc w:val="center"/>
              <w:rPr>
                <w:rFonts w:ascii="Times New Roman" w:hAnsi="Times New Roman" w:cs="Times New Roman" w:eastAsia="Times New Roman" w:hint="default"/>
                <w:sz w:val="18"/>
                <w:szCs w:val="18"/>
              </w:rPr>
            </w:pPr>
            <w:r>
              <w:rPr>
                <w:rFonts w:ascii="Times New Roman"/>
                <w:sz w:val="18"/>
              </w:rPr>
              <w:t>-40,759,</w:t>
            </w:r>
          </w:p>
          <w:p>
            <w:pPr>
              <w:pStyle w:val="TableParagraph"/>
              <w:spacing w:line="240" w:lineRule="auto" w:before="105"/>
              <w:ind w:left="126" w:right="0"/>
              <w:jc w:val="center"/>
              <w:rPr>
                <w:rFonts w:ascii="Times New Roman" w:hAnsi="Times New Roman" w:cs="Times New Roman" w:eastAsia="Times New Roman" w:hint="default"/>
                <w:sz w:val="18"/>
                <w:szCs w:val="18"/>
              </w:rPr>
            </w:pPr>
            <w:r>
              <w:rPr>
                <w:rFonts w:ascii="Times New Roman"/>
                <w:sz w:val="18"/>
              </w:rPr>
              <w:t>055.60</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 w:right="0"/>
              <w:jc w:val="left"/>
              <w:rPr>
                <w:rFonts w:ascii="Times New Roman" w:hAnsi="Times New Roman" w:cs="Times New Roman" w:eastAsia="Times New Roman" w:hint="default"/>
                <w:sz w:val="18"/>
                <w:szCs w:val="18"/>
              </w:rPr>
            </w:pPr>
            <w:r>
              <w:rPr>
                <w:rFonts w:ascii="Times New Roman"/>
                <w:sz w:val="18"/>
              </w:rPr>
              <w:t>-40,759,0</w:t>
            </w:r>
          </w:p>
          <w:p>
            <w:pPr>
              <w:pStyle w:val="TableParagraph"/>
              <w:spacing w:line="240" w:lineRule="auto" w:before="105"/>
              <w:ind w:left="343" w:right="0"/>
              <w:jc w:val="left"/>
              <w:rPr>
                <w:rFonts w:ascii="Times New Roman" w:hAnsi="Times New Roman" w:cs="Times New Roman" w:eastAsia="Times New Roman" w:hint="default"/>
                <w:sz w:val="18"/>
                <w:szCs w:val="18"/>
              </w:rPr>
            </w:pPr>
            <w:r>
              <w:rPr>
                <w:rFonts w:ascii="Times New Roman"/>
                <w:sz w:val="18"/>
              </w:rPr>
              <w:t>55.60</w:t>
            </w: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22"/>
              <w:jc w:val="left"/>
              <w:rPr>
                <w:rFonts w:ascii="宋体" w:hAnsi="宋体" w:cs="宋体" w:eastAsia="宋体" w:hint="default"/>
                <w:sz w:val="18"/>
                <w:szCs w:val="18"/>
              </w:rPr>
            </w:pPr>
            <w:r>
              <w:rPr>
                <w:rFonts w:ascii="宋体" w:hAnsi="宋体" w:cs="宋体" w:eastAsia="宋体" w:hint="default"/>
                <w:spacing w:val="-7"/>
                <w:sz w:val="18"/>
                <w:szCs w:val="18"/>
              </w:rPr>
              <w:t>（四）所有者权益</w:t>
            </w:r>
            <w:r>
              <w:rPr>
                <w:rFonts w:ascii="宋体" w:hAnsi="宋体" w:cs="宋体" w:eastAsia="宋体" w:hint="default"/>
                <w:sz w:val="18"/>
                <w:szCs w:val="18"/>
              </w:rPr>
              <w:t> 内部结转</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203,795,</w:t>
            </w:r>
          </w:p>
          <w:p>
            <w:pPr>
              <w:pStyle w:val="TableParagraph"/>
              <w:spacing w:line="240" w:lineRule="auto" w:before="105"/>
              <w:ind w:left="140" w:right="0"/>
              <w:jc w:val="center"/>
              <w:rPr>
                <w:rFonts w:ascii="Times New Roman" w:hAnsi="Times New Roman" w:cs="Times New Roman" w:eastAsia="Times New Roman" w:hint="default"/>
                <w:sz w:val="18"/>
                <w:szCs w:val="18"/>
              </w:rPr>
            </w:pPr>
            <w:r>
              <w:rPr>
                <w:rFonts w:ascii="Times New Roman"/>
                <w:sz w:val="18"/>
              </w:rPr>
              <w:t>278.00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1" w:right="0"/>
              <w:jc w:val="center"/>
              <w:rPr>
                <w:rFonts w:ascii="Times New Roman" w:hAnsi="Times New Roman" w:cs="Times New Roman" w:eastAsia="Times New Roman" w:hint="default"/>
                <w:sz w:val="18"/>
                <w:szCs w:val="18"/>
              </w:rPr>
            </w:pPr>
            <w:r>
              <w:rPr>
                <w:rFonts w:ascii="Times New Roman"/>
                <w:sz w:val="18"/>
              </w:rPr>
              <w:t>-203,795,</w:t>
            </w:r>
          </w:p>
          <w:p>
            <w:pPr>
              <w:pStyle w:val="TableParagraph"/>
              <w:spacing w:line="240" w:lineRule="auto" w:before="105"/>
              <w:ind w:left="248" w:right="0"/>
              <w:jc w:val="center"/>
              <w:rPr>
                <w:rFonts w:ascii="Times New Roman" w:hAnsi="Times New Roman" w:cs="Times New Roman" w:eastAsia="Times New Roman" w:hint="default"/>
                <w:sz w:val="18"/>
                <w:szCs w:val="18"/>
              </w:rPr>
            </w:pPr>
            <w:r>
              <w:rPr>
                <w:rFonts w:ascii="Times New Roman"/>
                <w:sz w:val="18"/>
              </w:rPr>
              <w:t>278.00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203,795,</w:t>
            </w:r>
          </w:p>
          <w:p>
            <w:pPr>
              <w:pStyle w:val="TableParagraph"/>
              <w:spacing w:line="240" w:lineRule="auto" w:before="105"/>
              <w:ind w:left="140" w:right="0"/>
              <w:jc w:val="center"/>
              <w:rPr>
                <w:rFonts w:ascii="Times New Roman" w:hAnsi="Times New Roman" w:cs="Times New Roman" w:eastAsia="Times New Roman" w:hint="default"/>
                <w:sz w:val="18"/>
                <w:szCs w:val="18"/>
              </w:rPr>
            </w:pPr>
            <w:r>
              <w:rPr>
                <w:rFonts w:ascii="Times New Roman"/>
                <w:sz w:val="18"/>
              </w:rPr>
              <w:t>278.00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1" w:right="0"/>
              <w:jc w:val="center"/>
              <w:rPr>
                <w:rFonts w:ascii="Times New Roman" w:hAnsi="Times New Roman" w:cs="Times New Roman" w:eastAsia="Times New Roman" w:hint="default"/>
                <w:sz w:val="18"/>
                <w:szCs w:val="18"/>
              </w:rPr>
            </w:pPr>
            <w:r>
              <w:rPr>
                <w:rFonts w:ascii="Times New Roman"/>
                <w:sz w:val="18"/>
              </w:rPr>
              <w:t>-203,795,</w:t>
            </w:r>
          </w:p>
          <w:p>
            <w:pPr>
              <w:pStyle w:val="TableParagraph"/>
              <w:spacing w:line="240" w:lineRule="auto" w:before="105"/>
              <w:ind w:left="248" w:right="0"/>
              <w:jc w:val="center"/>
              <w:rPr>
                <w:rFonts w:ascii="Times New Roman" w:hAnsi="Times New Roman" w:cs="Times New Roman" w:eastAsia="Times New Roman" w:hint="default"/>
                <w:sz w:val="18"/>
                <w:szCs w:val="18"/>
              </w:rPr>
            </w:pPr>
            <w:r>
              <w:rPr>
                <w:rFonts w:ascii="Times New Roman"/>
                <w:sz w:val="18"/>
              </w:rPr>
              <w:t>278.00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 资本（或股本）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-122,00</w:t>
            </w:r>
          </w:p>
          <w:p>
            <w:pPr>
              <w:pStyle w:val="TableParagraph"/>
              <w:spacing w:line="240" w:lineRule="auto" w:before="105"/>
              <w:ind w:left="343" w:right="0"/>
              <w:jc w:val="left"/>
              <w:rPr>
                <w:rFonts w:ascii="Times New Roman" w:hAnsi="Times New Roman" w:cs="Times New Roman" w:eastAsia="Times New Roman" w:hint="default"/>
                <w:sz w:val="18"/>
                <w:szCs w:val="18"/>
              </w:rPr>
            </w:pPr>
            <w:r>
              <w:rPr>
                <w:rFonts w:ascii="Times New Roman"/>
                <w:sz w:val="18"/>
              </w:rPr>
              <w:t>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-508,740.</w:t>
            </w:r>
            <w:r>
              <w:rPr>
                <w:rFonts w:ascii="Times New Roman"/>
                <w:sz w:val="18"/>
              </w:rPr>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-630,740.</w:t>
            </w:r>
            <w:r>
              <w:rPr>
                <w:rFonts w:ascii="Times New Roman"/>
                <w:sz w:val="18"/>
              </w:rPr>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00</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pacing w:val="-7"/>
                <w:sz w:val="18"/>
                <w:szCs w:val="18"/>
              </w:rPr>
              <w:t>四、本期期末余额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 w:right="0"/>
              <w:jc w:val="center"/>
              <w:rPr>
                <w:rFonts w:ascii="Times New Roman" w:hAnsi="Times New Roman" w:cs="Times New Roman" w:eastAsia="Times New Roman" w:hint="default"/>
                <w:sz w:val="18"/>
                <w:szCs w:val="18"/>
              </w:rPr>
            </w:pPr>
            <w:r>
              <w:rPr>
                <w:rFonts w:ascii="Times New Roman"/>
                <w:sz w:val="18"/>
              </w:rPr>
              <w:t>611,385,</w:t>
            </w:r>
          </w:p>
          <w:p>
            <w:pPr>
              <w:pStyle w:val="TableParagraph"/>
              <w:spacing w:line="240" w:lineRule="auto" w:before="105"/>
              <w:ind w:left="140" w:right="0"/>
              <w:jc w:val="center"/>
              <w:rPr>
                <w:rFonts w:ascii="Times New Roman" w:hAnsi="Times New Roman" w:cs="Times New Roman" w:eastAsia="Times New Roman" w:hint="default"/>
                <w:sz w:val="18"/>
                <w:szCs w:val="18"/>
              </w:rPr>
            </w:pPr>
            <w:r>
              <w:rPr>
                <w:rFonts w:ascii="Times New Roman"/>
                <w:sz w:val="18"/>
              </w:rPr>
              <w:t>834.00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188,150,8</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07.79</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17,642,22</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44,300,26</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6.13</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8" w:right="0"/>
              <w:jc w:val="left"/>
              <w:rPr>
                <w:rFonts w:ascii="Times New Roman" w:hAnsi="Times New Roman" w:cs="Times New Roman" w:eastAsia="Times New Roman" w:hint="default"/>
                <w:sz w:val="18"/>
                <w:szCs w:val="18"/>
              </w:rPr>
            </w:pPr>
            <w:r>
              <w:rPr>
                <w:rFonts w:ascii="Times New Roman"/>
                <w:sz w:val="18"/>
              </w:rPr>
              <w:t>199,955</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,528.48</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1,026,150</w:t>
            </w:r>
          </w:p>
          <w:p>
            <w:pPr>
              <w:pStyle w:val="TableParagraph"/>
              <w:spacing w:line="240" w:lineRule="auto" w:before="105"/>
              <w:ind w:left="184" w:right="0"/>
              <w:jc w:val="center"/>
              <w:rPr>
                <w:rFonts w:ascii="Times New Roman" w:hAnsi="Times New Roman" w:cs="Times New Roman" w:eastAsia="Times New Roman" w:hint="default"/>
                <w:sz w:val="18"/>
                <w:szCs w:val="18"/>
              </w:rPr>
            </w:pPr>
            <w:r>
              <w:rPr>
                <w:rFonts w:ascii="Times New Roman"/>
                <w:sz w:val="18"/>
              </w:rPr>
              <w:t>,216.40</w:t>
            </w:r>
          </w:p>
        </w:tc>
      </w:tr>
    </w:tbl>
    <w:p>
      <w:pPr>
        <w:pStyle w:val="BodyText"/>
        <w:spacing w:line="240" w:lineRule="auto" w:before="51"/>
        <w:ind w:left="154" w:right="0"/>
        <w:jc w:val="left"/>
      </w:pPr>
      <w:r>
        <w:rPr/>
        <w:t>上期金额</w:t>
      </w:r>
    </w:p>
    <w:p>
      <w:pPr>
        <w:pStyle w:val="BodyText"/>
        <w:spacing w:line="240" w:lineRule="auto" w:before="117"/>
        <w:ind w:left="0" w:right="1130"/>
        <w:jc w:val="right"/>
      </w:pPr>
      <w:r>
        <w:rPr/>
        <w:t>单位：元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442"/>
        <w:gridCol w:w="691"/>
        <w:gridCol w:w="665"/>
        <w:gridCol w:w="665"/>
        <w:gridCol w:w="665"/>
        <w:gridCol w:w="797"/>
        <w:gridCol w:w="798"/>
        <w:gridCol w:w="798"/>
        <w:gridCol w:w="798"/>
        <w:gridCol w:w="797"/>
        <w:gridCol w:w="676"/>
        <w:gridCol w:w="781"/>
      </w:tblGrid>
      <w:tr>
        <w:trPr>
          <w:trHeight w:val="397" w:hRule="exact"/>
        </w:trPr>
        <w:tc>
          <w:tcPr>
            <w:tcW w:w="1442" w:type="dxa"/>
            <w:tcBorders>
              <w:top w:val="single" w:sz="4" w:space="0" w:color="000000"/>
              <w:left w:val="single" w:sz="4" w:space="0" w:color="000000"/>
              <w:bottom w:val="nil" w:sz="6" w:space="0" w:color="auto"/>
              <w:right w:val="single" w:sz="4" w:space="0" w:color="000000"/>
            </w:tcBorders>
            <w:shd w:val="clear" w:color="auto" w:fill="D2D2D2"/>
          </w:tcPr>
          <w:p>
            <w:pPr/>
          </w:p>
        </w:tc>
        <w:tc>
          <w:tcPr>
            <w:tcW w:w="8131"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211" w:hRule="exact"/>
        </w:trPr>
        <w:tc>
          <w:tcPr>
            <w:tcW w:w="144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6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691" w:type="dxa"/>
            <w:tcBorders>
              <w:top w:val="single" w:sz="4" w:space="0" w:color="000000"/>
              <w:left w:val="single" w:sz="4" w:space="0" w:color="000000"/>
              <w:bottom w:val="nil" w:sz="6" w:space="0" w:color="auto"/>
              <w:right w:val="single" w:sz="4" w:space="0" w:color="000000"/>
            </w:tcBorders>
            <w:shd w:val="clear" w:color="auto" w:fill="D2D2D2"/>
          </w:tcPr>
          <w:p>
            <w:pPr/>
          </w:p>
        </w:tc>
        <w:tc>
          <w:tcPr>
            <w:tcW w:w="1995"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45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101"/>
              <w:ind w:left="304" w:right="31" w:hanging="270"/>
              <w:jc w:val="left"/>
              <w:rPr>
                <w:rFonts w:ascii="宋体" w:hAnsi="宋体" w:cs="宋体" w:eastAsia="宋体" w:hint="default"/>
                <w:sz w:val="18"/>
                <w:szCs w:val="18"/>
              </w:rPr>
            </w:pPr>
            <w:r>
              <w:rPr>
                <w:rFonts w:ascii="宋体" w:hAnsi="宋体" w:cs="宋体" w:eastAsia="宋体" w:hint="default"/>
                <w:sz w:val="18"/>
                <w:szCs w:val="18"/>
              </w:rPr>
              <w:t>减：库存 股</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101"/>
              <w:ind w:left="214" w:right="31" w:hanging="180"/>
              <w:jc w:val="left"/>
              <w:rPr>
                <w:rFonts w:ascii="宋体" w:hAnsi="宋体" w:cs="宋体" w:eastAsia="宋体" w:hint="default"/>
                <w:sz w:val="18"/>
                <w:szCs w:val="18"/>
              </w:rPr>
            </w:pPr>
            <w:r>
              <w:rPr>
                <w:rFonts w:ascii="宋体" w:hAnsi="宋体" w:cs="宋体" w:eastAsia="宋体" w:hint="default"/>
                <w:sz w:val="18"/>
                <w:szCs w:val="18"/>
              </w:rPr>
              <w:t>其他综合 收益</w:t>
            </w:r>
          </w:p>
        </w:tc>
        <w:tc>
          <w:tcPr>
            <w:tcW w:w="798"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67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101"/>
              <w:ind w:left="152" w:right="61" w:hanging="90"/>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781"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101"/>
              <w:ind w:left="115" w:right="24" w:hanging="90"/>
              <w:jc w:val="left"/>
              <w:rPr>
                <w:rFonts w:ascii="宋体" w:hAnsi="宋体" w:cs="宋体" w:eastAsia="宋体" w:hint="default"/>
                <w:sz w:val="18"/>
                <w:szCs w:val="18"/>
              </w:rPr>
            </w:pPr>
            <w:r>
              <w:rPr>
                <w:rFonts w:ascii="宋体" w:hAnsi="宋体" w:cs="宋体" w:eastAsia="宋体" w:hint="default"/>
                <w:sz w:val="18"/>
                <w:szCs w:val="18"/>
              </w:rPr>
              <w:t>所有者权 益合计</w:t>
            </w:r>
          </w:p>
        </w:tc>
      </w:tr>
      <w:tr>
        <w:trPr>
          <w:trHeight w:val="191" w:hRule="exact"/>
        </w:trPr>
        <w:tc>
          <w:tcPr>
            <w:tcW w:w="1442" w:type="dxa"/>
            <w:vMerge/>
            <w:tcBorders>
              <w:left w:val="single" w:sz="4" w:space="0" w:color="000000"/>
              <w:bottom w:val="nil" w:sz="6" w:space="0" w:color="auto"/>
              <w:right w:val="single" w:sz="4" w:space="0" w:color="000000"/>
            </w:tcBorders>
            <w:shd w:val="clear" w:color="auto" w:fill="D2D2D2"/>
          </w:tcPr>
          <w:p>
            <w:pPr/>
          </w:p>
        </w:tc>
        <w:tc>
          <w:tcPr>
            <w:tcW w:w="69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59"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995" w:type="dxa"/>
            <w:gridSpan w:val="3"/>
            <w:vMerge/>
            <w:tcBorders>
              <w:left w:val="single" w:sz="4" w:space="0" w:color="000000"/>
              <w:bottom w:val="single" w:sz="4" w:space="0" w:color="000000"/>
              <w:right w:val="single" w:sz="4" w:space="0" w:color="000000"/>
            </w:tcBorders>
            <w:shd w:val="clear" w:color="auto" w:fill="D2D2D2"/>
          </w:tcPr>
          <w:p>
            <w:pPr/>
          </w:p>
        </w:tc>
        <w:tc>
          <w:tcPr>
            <w:tcW w:w="7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798" w:type="dxa"/>
            <w:vMerge/>
            <w:tcBorders>
              <w:left w:val="single" w:sz="4" w:space="0" w:color="000000"/>
              <w:right w:val="single" w:sz="4" w:space="0" w:color="000000"/>
            </w:tcBorders>
            <w:shd w:val="clear" w:color="auto" w:fill="D2D2D2"/>
          </w:tcPr>
          <w:p>
            <w:pPr/>
          </w:p>
        </w:tc>
        <w:tc>
          <w:tcPr>
            <w:tcW w:w="798" w:type="dxa"/>
            <w:vMerge/>
            <w:tcBorders>
              <w:left w:val="single" w:sz="4" w:space="0" w:color="000000"/>
              <w:right w:val="single" w:sz="4" w:space="0" w:color="000000"/>
            </w:tcBorders>
            <w:shd w:val="clear" w:color="auto" w:fill="D2D2D2"/>
          </w:tcPr>
          <w:p>
            <w:pPr/>
          </w:p>
        </w:tc>
        <w:tc>
          <w:tcPr>
            <w:tcW w:w="79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7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676" w:type="dxa"/>
            <w:vMerge/>
            <w:tcBorders>
              <w:left w:val="single" w:sz="4" w:space="0" w:color="000000"/>
              <w:right w:val="single" w:sz="4" w:space="0" w:color="000000"/>
            </w:tcBorders>
            <w:shd w:val="clear" w:color="auto" w:fill="D2D2D2"/>
          </w:tcPr>
          <w:p>
            <w:pPr/>
          </w:p>
        </w:tc>
        <w:tc>
          <w:tcPr>
            <w:tcW w:w="781" w:type="dxa"/>
            <w:vMerge/>
            <w:tcBorders>
              <w:left w:val="single" w:sz="4" w:space="0" w:color="000000"/>
              <w:right w:val="single" w:sz="4" w:space="0" w:color="000000"/>
            </w:tcBorders>
            <w:shd w:val="clear" w:color="auto" w:fill="D2D2D2"/>
          </w:tcPr>
          <w:p>
            <w:pPr/>
          </w:p>
        </w:tc>
      </w:tr>
      <w:tr>
        <w:trPr>
          <w:trHeight w:val="200" w:hRule="exact"/>
        </w:trPr>
        <w:tc>
          <w:tcPr>
            <w:tcW w:w="1442" w:type="dxa"/>
            <w:vMerge w:val="restart"/>
            <w:tcBorders>
              <w:top w:val="nil" w:sz="6" w:space="0" w:color="auto"/>
              <w:left w:val="single" w:sz="4" w:space="0" w:color="000000"/>
              <w:right w:val="single" w:sz="4" w:space="0" w:color="000000"/>
            </w:tcBorders>
            <w:shd w:val="clear" w:color="auto" w:fill="D2D2D2"/>
          </w:tcPr>
          <w:p>
            <w:pPr/>
          </w:p>
        </w:tc>
        <w:tc>
          <w:tcPr>
            <w:tcW w:w="691" w:type="dxa"/>
            <w:vMerge/>
            <w:tcBorders>
              <w:left w:val="single" w:sz="4" w:space="0" w:color="000000"/>
              <w:bottom w:val="nil" w:sz="6" w:space="0" w:color="auto"/>
              <w:right w:val="single" w:sz="4" w:space="0" w:color="000000"/>
            </w:tcBorders>
            <w:shd w:val="clear" w:color="auto" w:fill="D2D2D2"/>
          </w:tcPr>
          <w:p>
            <w:pP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56" w:right="0"/>
              <w:jc w:val="left"/>
              <w:rPr>
                <w:rFonts w:ascii="宋体" w:hAnsi="宋体" w:cs="宋体" w:eastAsia="宋体" w:hint="default"/>
                <w:sz w:val="18"/>
                <w:szCs w:val="18"/>
              </w:rPr>
            </w:pPr>
            <w:r>
              <w:rPr>
                <w:rFonts w:ascii="宋体" w:hAnsi="宋体" w:cs="宋体" w:eastAsia="宋体" w:hint="default"/>
                <w:sz w:val="18"/>
                <w:szCs w:val="18"/>
              </w:rPr>
              <w:t>优先股</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56"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146"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7" w:type="dxa"/>
            <w:vMerge/>
            <w:tcBorders>
              <w:left w:val="single" w:sz="4" w:space="0" w:color="000000"/>
              <w:bottom w:val="nil" w:sz="6" w:space="0" w:color="auto"/>
              <w:right w:val="single" w:sz="4" w:space="0" w:color="000000"/>
            </w:tcBorders>
            <w:shd w:val="clear" w:color="auto" w:fill="D2D2D2"/>
          </w:tcPr>
          <w:p>
            <w:pPr/>
          </w:p>
        </w:tc>
        <w:tc>
          <w:tcPr>
            <w:tcW w:w="798" w:type="dxa"/>
            <w:vMerge/>
            <w:tcBorders>
              <w:left w:val="single" w:sz="4" w:space="0" w:color="000000"/>
              <w:right w:val="single" w:sz="4" w:space="0" w:color="000000"/>
            </w:tcBorders>
            <w:shd w:val="clear" w:color="auto" w:fill="D2D2D2"/>
          </w:tcPr>
          <w:p>
            <w:pPr/>
          </w:p>
        </w:tc>
        <w:tc>
          <w:tcPr>
            <w:tcW w:w="798" w:type="dxa"/>
            <w:vMerge/>
            <w:tcBorders>
              <w:left w:val="single" w:sz="4" w:space="0" w:color="000000"/>
              <w:right w:val="single" w:sz="4" w:space="0" w:color="000000"/>
            </w:tcBorders>
            <w:shd w:val="clear" w:color="auto" w:fill="D2D2D2"/>
          </w:tcPr>
          <w:p>
            <w:pPr/>
          </w:p>
        </w:tc>
        <w:tc>
          <w:tcPr>
            <w:tcW w:w="798" w:type="dxa"/>
            <w:vMerge/>
            <w:tcBorders>
              <w:left w:val="single" w:sz="4" w:space="0" w:color="000000"/>
              <w:bottom w:val="nil" w:sz="6" w:space="0" w:color="auto"/>
              <w:right w:val="single" w:sz="4" w:space="0" w:color="000000"/>
            </w:tcBorders>
            <w:shd w:val="clear" w:color="auto" w:fill="D2D2D2"/>
          </w:tcPr>
          <w:p>
            <w:pPr/>
          </w:p>
        </w:tc>
        <w:tc>
          <w:tcPr>
            <w:tcW w:w="797" w:type="dxa"/>
            <w:vMerge/>
            <w:tcBorders>
              <w:left w:val="single" w:sz="4" w:space="0" w:color="000000"/>
              <w:bottom w:val="nil" w:sz="6" w:space="0" w:color="auto"/>
              <w:right w:val="single" w:sz="4" w:space="0" w:color="000000"/>
            </w:tcBorders>
            <w:shd w:val="clear" w:color="auto" w:fill="D2D2D2"/>
          </w:tcPr>
          <w:p>
            <w:pPr/>
          </w:p>
        </w:tc>
        <w:tc>
          <w:tcPr>
            <w:tcW w:w="676" w:type="dxa"/>
            <w:vMerge/>
            <w:tcBorders>
              <w:left w:val="single" w:sz="4" w:space="0" w:color="000000"/>
              <w:right w:val="single" w:sz="4" w:space="0" w:color="000000"/>
            </w:tcBorders>
            <w:shd w:val="clear" w:color="auto" w:fill="D2D2D2"/>
          </w:tcPr>
          <w:p>
            <w:pPr/>
          </w:p>
        </w:tc>
        <w:tc>
          <w:tcPr>
            <w:tcW w:w="781" w:type="dxa"/>
            <w:vMerge/>
            <w:tcBorders>
              <w:left w:val="single" w:sz="4" w:space="0" w:color="000000"/>
              <w:right w:val="single" w:sz="4" w:space="0" w:color="000000"/>
            </w:tcBorders>
            <w:shd w:val="clear" w:color="auto" w:fill="D2D2D2"/>
          </w:tcPr>
          <w:p>
            <w:pPr/>
          </w:p>
        </w:tc>
      </w:tr>
      <w:tr>
        <w:trPr>
          <w:trHeight w:val="206" w:hRule="exact"/>
        </w:trPr>
        <w:tc>
          <w:tcPr>
            <w:tcW w:w="1442" w:type="dxa"/>
            <w:vMerge/>
            <w:tcBorders>
              <w:left w:val="single" w:sz="4" w:space="0" w:color="000000"/>
              <w:bottom w:val="single" w:sz="4" w:space="0" w:color="000000"/>
              <w:right w:val="single" w:sz="4" w:space="0" w:color="000000"/>
            </w:tcBorders>
            <w:shd w:val="clear" w:color="auto" w:fill="D2D2D2"/>
          </w:tcPr>
          <w:p>
            <w:pPr/>
          </w:p>
        </w:tc>
        <w:tc>
          <w:tcPr>
            <w:tcW w:w="691"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8" w:type="dxa"/>
            <w:tcBorders>
              <w:top w:val="nil" w:sz="6" w:space="0" w:color="auto"/>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676" w:type="dxa"/>
            <w:vMerge/>
            <w:tcBorders>
              <w:left w:val="single" w:sz="4" w:space="0" w:color="000000"/>
              <w:bottom w:val="single" w:sz="4" w:space="0" w:color="000000"/>
              <w:right w:val="single" w:sz="4" w:space="0" w:color="000000"/>
            </w:tcBorders>
            <w:shd w:val="clear" w:color="auto" w:fill="D2D2D2"/>
          </w:tcPr>
          <w:p>
            <w:pPr/>
          </w:p>
        </w:tc>
        <w:tc>
          <w:tcPr>
            <w:tcW w:w="781" w:type="dxa"/>
            <w:vMerge/>
            <w:tcBorders>
              <w:left w:val="single" w:sz="4" w:space="0" w:color="000000"/>
              <w:bottom w:val="single" w:sz="4" w:space="0" w:color="000000"/>
              <w:right w:val="single" w:sz="4" w:space="0" w:color="000000"/>
            </w:tcBorders>
            <w:shd w:val="clear" w:color="auto" w:fill="D2D2D2"/>
          </w:tcPr>
          <w:p>
            <w:pPr/>
          </w:p>
        </w:tc>
      </w:tr>
      <w:tr>
        <w:trPr>
          <w:trHeight w:val="161" w:hRule="exact"/>
        </w:trPr>
        <w:tc>
          <w:tcPr>
            <w:tcW w:w="1442" w:type="dxa"/>
            <w:tcBorders>
              <w:top w:val="single" w:sz="4" w:space="0" w:color="000000"/>
              <w:left w:val="single" w:sz="4" w:space="0" w:color="000000"/>
              <w:bottom w:val="nil" w:sz="6" w:space="0" w:color="auto"/>
              <w:right w:val="single" w:sz="4" w:space="0" w:color="000000"/>
            </w:tcBorders>
            <w:shd w:val="clear" w:color="auto" w:fill="D2D2D2"/>
          </w:tcPr>
          <w:p>
            <w:pPr/>
          </w:p>
        </w:tc>
        <w:tc>
          <w:tcPr>
            <w:tcW w:w="691" w:type="dxa"/>
            <w:vMerge w:val="restart"/>
            <w:tcBorders>
              <w:top w:val="single" w:sz="4" w:space="0" w:color="000000"/>
              <w:left w:val="single" w:sz="10" w:space="0" w:color="D2D2D2"/>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373,450,</w:t>
            </w:r>
          </w:p>
          <w:p>
            <w:pPr>
              <w:pStyle w:val="TableParagraph"/>
              <w:spacing w:line="240" w:lineRule="auto" w:before="106"/>
              <w:ind w:left="132" w:right="0"/>
              <w:jc w:val="center"/>
              <w:rPr>
                <w:rFonts w:ascii="Times New Roman" w:hAnsi="Times New Roman" w:cs="Times New Roman" w:eastAsia="Times New Roman" w:hint="default"/>
                <w:sz w:val="18"/>
                <w:szCs w:val="18"/>
              </w:rPr>
            </w:pPr>
            <w:r>
              <w:rPr>
                <w:rFonts w:ascii="Times New Roman"/>
                <w:sz w:val="18"/>
              </w:rPr>
              <w:t>947.00</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19,308,85</w:t>
            </w:r>
          </w:p>
          <w:p>
            <w:pPr>
              <w:pStyle w:val="TableParagraph"/>
              <w:spacing w:line="240" w:lineRule="auto" w:before="106"/>
              <w:ind w:left="450" w:right="0"/>
              <w:jc w:val="left"/>
              <w:rPr>
                <w:rFonts w:ascii="Times New Roman" w:hAnsi="Times New Roman" w:cs="Times New Roman" w:eastAsia="Times New Roman" w:hint="default"/>
                <w:sz w:val="18"/>
                <w:szCs w:val="18"/>
              </w:rPr>
            </w:pPr>
            <w:r>
              <w:rPr>
                <w:rFonts w:ascii="Times New Roman"/>
                <w:sz w:val="18"/>
              </w:rPr>
              <w:t>5.01</w:t>
            </w:r>
          </w:p>
        </w:tc>
        <w:tc>
          <w:tcPr>
            <w:tcW w:w="798" w:type="dxa"/>
            <w:vMerge w:val="restart"/>
            <w:tcBorders>
              <w:top w:val="single" w:sz="22" w:space="0" w:color="D2D2D2"/>
              <w:left w:val="single" w:sz="4" w:space="0" w:color="000000"/>
              <w:right w:val="single" w:sz="4" w:space="0" w:color="000000"/>
            </w:tcBorders>
          </w:tcPr>
          <w:p>
            <w:pPr/>
          </w:p>
        </w:tc>
        <w:tc>
          <w:tcPr>
            <w:tcW w:w="798" w:type="dxa"/>
            <w:vMerge w:val="restart"/>
            <w:tcBorders>
              <w:top w:val="single" w:sz="22" w:space="0" w:color="D2D2D2"/>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31,958,31</w:t>
            </w:r>
          </w:p>
          <w:p>
            <w:pPr>
              <w:pStyle w:val="TableParagraph"/>
              <w:spacing w:line="240" w:lineRule="auto" w:before="106"/>
              <w:ind w:left="450" w:right="0"/>
              <w:jc w:val="left"/>
              <w:rPr>
                <w:rFonts w:ascii="Times New Roman" w:hAnsi="Times New Roman" w:cs="Times New Roman" w:eastAsia="Times New Roman" w:hint="default"/>
                <w:sz w:val="18"/>
                <w:szCs w:val="18"/>
              </w:rPr>
            </w:pPr>
            <w:r>
              <w:rPr>
                <w:rFonts w:ascii="Times New Roman"/>
                <w:sz w:val="18"/>
              </w:rPr>
              <w:t>4.15</w:t>
            </w:r>
          </w:p>
        </w:tc>
        <w:tc>
          <w:tcPr>
            <w:tcW w:w="676" w:type="dxa"/>
            <w:vMerge w:val="restart"/>
            <w:tcBorders>
              <w:top w:val="single" w:sz="22" w:space="0" w:color="D2D2D2"/>
              <w:left w:val="single" w:sz="4" w:space="0" w:color="000000"/>
              <w:right w:val="single" w:sz="4" w:space="0" w:color="000000"/>
            </w:tcBorders>
          </w:tcPr>
          <w:p>
            <w:pPr>
              <w:pStyle w:val="TableParagraph"/>
              <w:spacing w:line="240" w:lineRule="auto" w:before="68"/>
              <w:ind w:left="58" w:right="0"/>
              <w:jc w:val="left"/>
              <w:rPr>
                <w:rFonts w:ascii="Times New Roman" w:hAnsi="Times New Roman" w:cs="Times New Roman" w:eastAsia="Times New Roman" w:hint="default"/>
                <w:sz w:val="18"/>
                <w:szCs w:val="18"/>
              </w:rPr>
            </w:pPr>
            <w:r>
              <w:rPr>
                <w:rFonts w:ascii="Times New Roman"/>
                <w:sz w:val="18"/>
              </w:rPr>
              <w:t>140,926</w:t>
            </w:r>
          </w:p>
          <w:p>
            <w:pPr>
              <w:pStyle w:val="TableParagraph"/>
              <w:spacing w:line="240" w:lineRule="auto" w:before="106"/>
              <w:ind w:left="110" w:right="0"/>
              <w:jc w:val="left"/>
              <w:rPr>
                <w:rFonts w:ascii="Times New Roman" w:hAnsi="Times New Roman" w:cs="Times New Roman" w:eastAsia="Times New Roman" w:hint="default"/>
                <w:sz w:val="18"/>
                <w:szCs w:val="18"/>
              </w:rPr>
            </w:pPr>
            <w:r>
              <w:rPr>
                <w:rFonts w:ascii="Times New Roman"/>
                <w:sz w:val="18"/>
              </w:rPr>
              <w:t>,136.11</w:t>
            </w:r>
          </w:p>
        </w:tc>
        <w:tc>
          <w:tcPr>
            <w:tcW w:w="781" w:type="dxa"/>
            <w:vMerge w:val="restart"/>
            <w:tcBorders>
              <w:top w:val="single" w:sz="22" w:space="0" w:color="D2D2D2"/>
              <w:left w:val="single" w:sz="4" w:space="0" w:color="000000"/>
              <w:right w:val="single" w:sz="4" w:space="0" w:color="000000"/>
            </w:tcBorders>
          </w:tcPr>
          <w:p>
            <w:pPr>
              <w:pStyle w:val="TableParagraph"/>
              <w:spacing w:line="240" w:lineRule="auto" w:before="68"/>
              <w:ind w:left="27" w:right="0"/>
              <w:jc w:val="left"/>
              <w:rPr>
                <w:rFonts w:ascii="Times New Roman" w:hAnsi="Times New Roman" w:cs="Times New Roman" w:eastAsia="Times New Roman" w:hint="default"/>
                <w:sz w:val="18"/>
                <w:szCs w:val="18"/>
              </w:rPr>
            </w:pPr>
            <w:r>
              <w:rPr>
                <w:rFonts w:ascii="Times New Roman"/>
                <w:sz w:val="18"/>
              </w:rPr>
              <w:t>565,644,2</w:t>
            </w:r>
          </w:p>
          <w:p>
            <w:pPr>
              <w:pStyle w:val="TableParagraph"/>
              <w:spacing w:line="240" w:lineRule="auto" w:before="106"/>
              <w:ind w:left="343" w:right="0"/>
              <w:jc w:val="left"/>
              <w:rPr>
                <w:rFonts w:ascii="Times New Roman" w:hAnsi="Times New Roman" w:cs="Times New Roman" w:eastAsia="Times New Roman" w:hint="default"/>
                <w:sz w:val="18"/>
                <w:szCs w:val="18"/>
              </w:rPr>
            </w:pPr>
            <w:r>
              <w:rPr>
                <w:rFonts w:ascii="Times New Roman"/>
                <w:sz w:val="18"/>
              </w:rPr>
              <w:t>52.27</w:t>
            </w:r>
          </w:p>
        </w:tc>
      </w:tr>
      <w:tr>
        <w:trPr>
          <w:trHeight w:val="392" w:hRule="exact"/>
        </w:trPr>
        <w:tc>
          <w:tcPr>
            <w:tcW w:w="144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7"/>
                <w:sz w:val="18"/>
                <w:szCs w:val="18"/>
              </w:rPr>
              <w:t>一、上年期末余额</w:t>
            </w:r>
          </w:p>
        </w:tc>
        <w:tc>
          <w:tcPr>
            <w:tcW w:w="691" w:type="dxa"/>
            <w:vMerge/>
            <w:tcBorders>
              <w:left w:val="single" w:sz="10" w:space="0" w:color="D2D2D2"/>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676" w:type="dxa"/>
            <w:vMerge/>
            <w:tcBorders>
              <w:left w:val="single" w:sz="4" w:space="0" w:color="000000"/>
              <w:right w:val="single" w:sz="4" w:space="0" w:color="000000"/>
            </w:tcBorders>
          </w:tcPr>
          <w:p>
            <w:pPr/>
          </w:p>
        </w:tc>
        <w:tc>
          <w:tcPr>
            <w:tcW w:w="781" w:type="dxa"/>
            <w:vMerge/>
            <w:tcBorders>
              <w:left w:val="single" w:sz="4" w:space="0" w:color="000000"/>
              <w:right w:val="single" w:sz="4" w:space="0" w:color="000000"/>
            </w:tcBorders>
          </w:tcPr>
          <w:p>
            <w:pPr/>
          </w:p>
        </w:tc>
      </w:tr>
      <w:tr>
        <w:trPr>
          <w:trHeight w:val="161" w:hRule="exact"/>
        </w:trPr>
        <w:tc>
          <w:tcPr>
            <w:tcW w:w="1442" w:type="dxa"/>
            <w:tcBorders>
              <w:top w:val="nil" w:sz="6" w:space="0" w:color="auto"/>
              <w:left w:val="single" w:sz="4" w:space="0" w:color="000000"/>
              <w:bottom w:val="single" w:sz="4" w:space="0" w:color="000000"/>
              <w:right w:val="single" w:sz="4" w:space="0" w:color="000000"/>
            </w:tcBorders>
            <w:shd w:val="clear" w:color="auto" w:fill="D2D2D2"/>
          </w:tcPr>
          <w:p>
            <w:pPr/>
          </w:p>
        </w:tc>
        <w:tc>
          <w:tcPr>
            <w:tcW w:w="691" w:type="dxa"/>
            <w:vMerge/>
            <w:tcBorders>
              <w:left w:val="single" w:sz="10" w:space="0" w:color="D2D2D2"/>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676" w:type="dxa"/>
            <w:vMerge/>
            <w:tcBorders>
              <w:left w:val="single" w:sz="4" w:space="0" w:color="000000"/>
              <w:bottom w:val="single" w:sz="4" w:space="0" w:color="000000"/>
              <w:right w:val="single" w:sz="4" w:space="0" w:color="000000"/>
            </w:tcBorders>
          </w:tcPr>
          <w:p>
            <w:pPr/>
          </w:p>
        </w:tc>
        <w:tc>
          <w:tcPr>
            <w:tcW w:w="781" w:type="dxa"/>
            <w:vMerge/>
            <w:tcBorders>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2" w:firstLine="360"/>
              <w:jc w:val="left"/>
              <w:rPr>
                <w:rFonts w:ascii="宋体" w:hAnsi="宋体" w:cs="宋体" w:eastAsia="宋体" w:hint="default"/>
                <w:sz w:val="18"/>
                <w:szCs w:val="18"/>
              </w:rPr>
            </w:pPr>
            <w:r>
              <w:rPr>
                <w:rFonts w:ascii="宋体" w:hAnsi="宋体" w:cs="宋体" w:eastAsia="宋体" w:hint="default"/>
                <w:spacing w:val="-10"/>
                <w:sz w:val="18"/>
                <w:szCs w:val="18"/>
              </w:rPr>
              <w:t>加：会计政策</w:t>
            </w:r>
            <w:r>
              <w:rPr>
                <w:rFonts w:ascii="宋体" w:hAnsi="宋体" w:cs="宋体" w:eastAsia="宋体" w:hint="default"/>
                <w:sz w:val="18"/>
                <w:szCs w:val="18"/>
              </w:rPr>
              <w:t> 变更</w:t>
            </w:r>
          </w:p>
        </w:tc>
        <w:tc>
          <w:tcPr>
            <w:tcW w:w="691" w:type="dxa"/>
            <w:tcBorders>
              <w:top w:val="single" w:sz="4" w:space="0" w:color="000000"/>
              <w:left w:val="single" w:sz="10"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前期差</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错更正</w:t>
            </w:r>
          </w:p>
        </w:tc>
        <w:tc>
          <w:tcPr>
            <w:tcW w:w="691" w:type="dxa"/>
            <w:tcBorders>
              <w:top w:val="single" w:sz="4" w:space="0" w:color="000000"/>
              <w:left w:val="single" w:sz="10"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442"/>
        <w:gridCol w:w="691"/>
        <w:gridCol w:w="665"/>
        <w:gridCol w:w="665"/>
        <w:gridCol w:w="665"/>
        <w:gridCol w:w="797"/>
        <w:gridCol w:w="798"/>
        <w:gridCol w:w="798"/>
        <w:gridCol w:w="798"/>
        <w:gridCol w:w="797"/>
        <w:gridCol w:w="676"/>
        <w:gridCol w:w="781"/>
      </w:tblGrid>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pacing w:val="-7"/>
                <w:sz w:val="18"/>
                <w:szCs w:val="18"/>
              </w:rPr>
              <w:t>二、本年期初余额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373,450,</w:t>
            </w:r>
          </w:p>
          <w:p>
            <w:pPr>
              <w:pStyle w:val="TableParagraph"/>
              <w:spacing w:line="240" w:lineRule="auto" w:before="106"/>
              <w:ind w:left="140" w:right="0"/>
              <w:jc w:val="center"/>
              <w:rPr>
                <w:rFonts w:ascii="Times New Roman" w:hAnsi="Times New Roman" w:cs="Times New Roman" w:eastAsia="Times New Roman" w:hint="default"/>
                <w:sz w:val="18"/>
                <w:szCs w:val="18"/>
              </w:rPr>
            </w:pPr>
            <w:r>
              <w:rPr>
                <w:rFonts w:ascii="Times New Roman"/>
                <w:sz w:val="18"/>
              </w:rPr>
              <w:t>947.00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19,308,85</w:t>
            </w:r>
          </w:p>
          <w:p>
            <w:pPr>
              <w:pStyle w:val="TableParagraph"/>
              <w:spacing w:line="240" w:lineRule="auto" w:before="106"/>
              <w:ind w:left="450" w:right="0"/>
              <w:jc w:val="left"/>
              <w:rPr>
                <w:rFonts w:ascii="Times New Roman" w:hAnsi="Times New Roman" w:cs="Times New Roman" w:eastAsia="Times New Roman" w:hint="default"/>
                <w:sz w:val="18"/>
                <w:szCs w:val="18"/>
              </w:rPr>
            </w:pPr>
            <w:r>
              <w:rPr>
                <w:rFonts w:ascii="Times New Roman"/>
                <w:sz w:val="18"/>
              </w:rPr>
              <w:t>5.01</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31,958,31</w:t>
            </w:r>
          </w:p>
          <w:p>
            <w:pPr>
              <w:pStyle w:val="TableParagraph"/>
              <w:spacing w:line="240" w:lineRule="auto" w:before="106"/>
              <w:ind w:left="450" w:right="0"/>
              <w:jc w:val="left"/>
              <w:rPr>
                <w:rFonts w:ascii="Times New Roman" w:hAnsi="Times New Roman" w:cs="Times New Roman" w:eastAsia="Times New Roman" w:hint="default"/>
                <w:sz w:val="18"/>
                <w:szCs w:val="18"/>
              </w:rPr>
            </w:pPr>
            <w:r>
              <w:rPr>
                <w:rFonts w:ascii="Times New Roman"/>
                <w:sz w:val="18"/>
              </w:rPr>
              <w:t>4.15</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8" w:right="0"/>
              <w:jc w:val="left"/>
              <w:rPr>
                <w:rFonts w:ascii="Times New Roman" w:hAnsi="Times New Roman" w:cs="Times New Roman" w:eastAsia="Times New Roman" w:hint="default"/>
                <w:sz w:val="18"/>
                <w:szCs w:val="18"/>
              </w:rPr>
            </w:pPr>
            <w:r>
              <w:rPr>
                <w:rFonts w:ascii="Times New Roman"/>
                <w:sz w:val="18"/>
              </w:rPr>
              <w:t>140,926</w:t>
            </w:r>
          </w:p>
          <w:p>
            <w:pPr>
              <w:pStyle w:val="TableParagraph"/>
              <w:spacing w:line="240" w:lineRule="auto" w:before="106"/>
              <w:ind w:left="110" w:right="0"/>
              <w:jc w:val="left"/>
              <w:rPr>
                <w:rFonts w:ascii="Times New Roman" w:hAnsi="Times New Roman" w:cs="Times New Roman" w:eastAsia="Times New Roman" w:hint="default"/>
                <w:sz w:val="18"/>
                <w:szCs w:val="18"/>
              </w:rPr>
            </w:pPr>
            <w:r>
              <w:rPr>
                <w:rFonts w:ascii="Times New Roman"/>
                <w:sz w:val="18"/>
              </w:rPr>
              <w:t>,136.11</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565,644,2</w:t>
            </w:r>
          </w:p>
          <w:p>
            <w:pPr>
              <w:pStyle w:val="TableParagraph"/>
              <w:spacing w:line="240" w:lineRule="auto" w:before="106"/>
              <w:ind w:left="343" w:right="0"/>
              <w:jc w:val="left"/>
              <w:rPr>
                <w:rFonts w:ascii="Times New Roman" w:hAnsi="Times New Roman" w:cs="Times New Roman" w:eastAsia="Times New Roman" w:hint="default"/>
                <w:sz w:val="18"/>
                <w:szCs w:val="18"/>
              </w:rPr>
            </w:pPr>
            <w:r>
              <w:rPr>
                <w:rFonts w:ascii="Times New Roman"/>
                <w:sz w:val="18"/>
              </w:rPr>
              <w:t>52.27</w:t>
            </w: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21"/>
              <w:jc w:val="both"/>
              <w:rPr>
                <w:rFonts w:ascii="宋体" w:hAnsi="宋体" w:cs="宋体" w:eastAsia="宋体" w:hint="default"/>
                <w:sz w:val="18"/>
                <w:szCs w:val="18"/>
              </w:rPr>
            </w:pPr>
            <w:r>
              <w:rPr>
                <w:rFonts w:ascii="宋体" w:hAnsi="宋体" w:cs="宋体" w:eastAsia="宋体" w:hint="default"/>
                <w:spacing w:val="-7"/>
                <w:sz w:val="18"/>
                <w:szCs w:val="18"/>
              </w:rPr>
              <w:t>三、本期增减变动</w:t>
            </w:r>
            <w:r>
              <w:rPr>
                <w:rFonts w:ascii="宋体" w:hAnsi="宋体" w:cs="宋体" w:eastAsia="宋体" w:hint="default"/>
                <w:sz w:val="18"/>
                <w:szCs w:val="18"/>
              </w:rPr>
              <w:t> </w:t>
            </w:r>
            <w:r>
              <w:rPr>
                <w:rFonts w:ascii="宋体" w:hAnsi="宋体" w:cs="宋体" w:eastAsia="宋体" w:hint="default"/>
                <w:spacing w:val="-4"/>
                <w:sz w:val="18"/>
                <w:szCs w:val="18"/>
              </w:rPr>
              <w:t>金额（减少以</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号填列）</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7" w:right="0"/>
              <w:jc w:val="left"/>
              <w:rPr>
                <w:rFonts w:ascii="Times New Roman" w:hAnsi="Times New Roman" w:cs="Times New Roman" w:eastAsia="Times New Roman" w:hint="default"/>
                <w:sz w:val="18"/>
                <w:szCs w:val="18"/>
              </w:rPr>
            </w:pPr>
            <w:r>
              <w:rPr>
                <w:rFonts w:ascii="Times New Roman"/>
                <w:sz w:val="18"/>
              </w:rPr>
              <w:t>23,333,0</w:t>
            </w:r>
          </w:p>
          <w:p>
            <w:pPr>
              <w:pStyle w:val="TableParagraph"/>
              <w:spacing w:line="240" w:lineRule="auto" w:before="106"/>
              <w:ind w:left="253" w:right="0"/>
              <w:jc w:val="left"/>
              <w:rPr>
                <w:rFonts w:ascii="Times New Roman" w:hAnsi="Times New Roman" w:cs="Times New Roman" w:eastAsia="Times New Roman" w:hint="default"/>
                <w:sz w:val="18"/>
                <w:szCs w:val="18"/>
              </w:rPr>
            </w:pPr>
            <w:r>
              <w:rPr>
                <w:rFonts w:ascii="Times New Roman"/>
                <w:sz w:val="18"/>
              </w:rPr>
              <w:t>48.00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238,307,3</w:t>
            </w:r>
          </w:p>
          <w:p>
            <w:pPr>
              <w:pStyle w:val="TableParagraph"/>
              <w:spacing w:line="240" w:lineRule="auto" w:before="106"/>
              <w:ind w:left="366" w:right="0"/>
              <w:jc w:val="left"/>
              <w:rPr>
                <w:rFonts w:ascii="Times New Roman" w:hAnsi="Times New Roman" w:cs="Times New Roman" w:eastAsia="Times New Roman" w:hint="default"/>
                <w:sz w:val="18"/>
                <w:szCs w:val="18"/>
              </w:rPr>
            </w:pPr>
            <w:r>
              <w:rPr>
                <w:rFonts w:ascii="Times New Roman"/>
                <w:sz w:val="18"/>
              </w:rPr>
              <w:t>11.18</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28,377,60</w:t>
            </w:r>
          </w:p>
          <w:p>
            <w:pPr>
              <w:pStyle w:val="TableParagraph"/>
              <w:spacing w:line="240" w:lineRule="auto" w:before="106"/>
              <w:ind w:left="451" w:right="0"/>
              <w:jc w:val="left"/>
              <w:rPr>
                <w:rFonts w:ascii="Times New Roman" w:hAnsi="Times New Roman" w:cs="Times New Roman" w:eastAsia="Times New Roman" w:hint="default"/>
                <w:sz w:val="18"/>
                <w:szCs w:val="18"/>
              </w:rPr>
            </w:pPr>
            <w:r>
              <w:rPr>
                <w:rFonts w:ascii="Times New Roman"/>
                <w:sz w:val="18"/>
              </w:rPr>
              <w:t>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9,173,323</w:t>
            </w:r>
          </w:p>
          <w:p>
            <w:pPr>
              <w:pStyle w:val="TableParagraph"/>
              <w:spacing w:line="240" w:lineRule="auto" w:before="106"/>
              <w:ind w:right="19"/>
              <w:jc w:val="right"/>
              <w:rPr>
                <w:rFonts w:ascii="Times New Roman" w:hAnsi="Times New Roman" w:cs="Times New Roman" w:eastAsia="Times New Roman" w:hint="default"/>
                <w:sz w:val="18"/>
                <w:szCs w:val="18"/>
              </w:rPr>
            </w:pPr>
            <w:r>
              <w:rPr>
                <w:rFonts w:ascii="Times New Roman"/>
                <w:sz w:val="18"/>
              </w:rPr>
              <w:t>.09</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71,270,</w:t>
            </w:r>
          </w:p>
          <w:p>
            <w:pPr>
              <w:pStyle w:val="TableParagraph"/>
              <w:spacing w:line="240" w:lineRule="auto" w:before="106"/>
              <w:ind w:left="148" w:right="0"/>
              <w:jc w:val="left"/>
              <w:rPr>
                <w:rFonts w:ascii="Times New Roman" w:hAnsi="Times New Roman" w:cs="Times New Roman" w:eastAsia="Times New Roman" w:hint="default"/>
                <w:sz w:val="18"/>
                <w:szCs w:val="18"/>
              </w:rPr>
            </w:pPr>
            <w:r>
              <w:rPr>
                <w:rFonts w:ascii="Times New Roman"/>
                <w:sz w:val="18"/>
              </w:rPr>
              <w:t>787.93</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7" w:right="0"/>
              <w:jc w:val="left"/>
              <w:rPr>
                <w:rFonts w:ascii="Times New Roman" w:hAnsi="Times New Roman" w:cs="Times New Roman" w:eastAsia="Times New Roman" w:hint="default"/>
                <w:sz w:val="18"/>
                <w:szCs w:val="18"/>
              </w:rPr>
            </w:pPr>
            <w:r>
              <w:rPr>
                <w:rFonts w:ascii="Times New Roman"/>
                <w:sz w:val="18"/>
              </w:rPr>
              <w:t>313,706,8</w:t>
            </w:r>
          </w:p>
          <w:p>
            <w:pPr>
              <w:pStyle w:val="TableParagraph"/>
              <w:spacing w:line="240" w:lineRule="auto" w:before="106"/>
              <w:ind w:left="343" w:right="0"/>
              <w:jc w:val="left"/>
              <w:rPr>
                <w:rFonts w:ascii="Times New Roman" w:hAnsi="Times New Roman" w:cs="Times New Roman" w:eastAsia="Times New Roman" w:hint="default"/>
                <w:sz w:val="18"/>
                <w:szCs w:val="18"/>
              </w:rPr>
            </w:pPr>
            <w:r>
              <w:rPr>
                <w:rFonts w:ascii="Times New Roman"/>
                <w:sz w:val="18"/>
              </w:rPr>
              <w:t>70.20</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2"/>
              <w:jc w:val="left"/>
              <w:rPr>
                <w:rFonts w:ascii="宋体" w:hAnsi="宋体" w:cs="宋体" w:eastAsia="宋体" w:hint="default"/>
                <w:sz w:val="18"/>
                <w:szCs w:val="18"/>
              </w:rPr>
            </w:pPr>
            <w:r>
              <w:rPr>
                <w:rFonts w:ascii="宋体" w:hAnsi="宋体" w:cs="宋体" w:eastAsia="宋体" w:hint="default"/>
                <w:spacing w:val="-7"/>
                <w:sz w:val="18"/>
                <w:szCs w:val="18"/>
              </w:rPr>
              <w:t>（一）综合收益总</w:t>
            </w:r>
            <w:r>
              <w:rPr>
                <w:rFonts w:ascii="宋体" w:hAnsi="宋体" w:cs="宋体" w:eastAsia="宋体" w:hint="default"/>
                <w:sz w:val="18"/>
                <w:szCs w:val="18"/>
              </w:rPr>
              <w:t> 额</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91,733,</w:t>
            </w:r>
          </w:p>
          <w:p>
            <w:pPr>
              <w:pStyle w:val="TableParagraph"/>
              <w:spacing w:line="240" w:lineRule="auto" w:before="106"/>
              <w:ind w:left="148" w:right="0"/>
              <w:jc w:val="left"/>
              <w:rPr>
                <w:rFonts w:ascii="Times New Roman" w:hAnsi="Times New Roman" w:cs="Times New Roman" w:eastAsia="Times New Roman" w:hint="default"/>
                <w:sz w:val="18"/>
                <w:szCs w:val="18"/>
              </w:rPr>
            </w:pPr>
            <w:r>
              <w:rPr>
                <w:rFonts w:ascii="Times New Roman"/>
                <w:sz w:val="18"/>
              </w:rPr>
              <w:t>230.90</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91,733,23</w:t>
            </w:r>
          </w:p>
          <w:p>
            <w:pPr>
              <w:pStyle w:val="TableParagraph"/>
              <w:spacing w:line="240" w:lineRule="auto" w:before="106"/>
              <w:ind w:left="433" w:right="0"/>
              <w:jc w:val="left"/>
              <w:rPr>
                <w:rFonts w:ascii="Times New Roman" w:hAnsi="Times New Roman" w:cs="Times New Roman" w:eastAsia="Times New Roman" w:hint="default"/>
                <w:sz w:val="18"/>
                <w:szCs w:val="18"/>
              </w:rPr>
            </w:pPr>
            <w:r>
              <w:rPr>
                <w:rFonts w:ascii="Times New Roman"/>
                <w:sz w:val="18"/>
              </w:rPr>
              <w:t>0.90</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2"/>
              <w:jc w:val="left"/>
              <w:rPr>
                <w:rFonts w:ascii="宋体" w:hAnsi="宋体" w:cs="宋体" w:eastAsia="宋体" w:hint="default"/>
                <w:sz w:val="18"/>
                <w:szCs w:val="18"/>
              </w:rPr>
            </w:pPr>
            <w:r>
              <w:rPr>
                <w:rFonts w:ascii="宋体" w:hAnsi="宋体" w:cs="宋体" w:eastAsia="宋体" w:hint="default"/>
                <w:spacing w:val="-7"/>
                <w:sz w:val="18"/>
                <w:szCs w:val="18"/>
              </w:rPr>
              <w:t>（二）所有者投入</w:t>
            </w:r>
            <w:r>
              <w:rPr>
                <w:rFonts w:ascii="宋体" w:hAnsi="宋体" w:cs="宋体" w:eastAsia="宋体" w:hint="default"/>
                <w:sz w:val="18"/>
                <w:szCs w:val="18"/>
              </w:rPr>
              <w:t> 和减少资本</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23,333,0</w:t>
            </w:r>
          </w:p>
          <w:p>
            <w:pPr>
              <w:pStyle w:val="TableParagraph"/>
              <w:spacing w:line="240" w:lineRule="auto" w:before="106"/>
              <w:ind w:left="253" w:right="0"/>
              <w:jc w:val="left"/>
              <w:rPr>
                <w:rFonts w:ascii="Times New Roman" w:hAnsi="Times New Roman" w:cs="Times New Roman" w:eastAsia="Times New Roman" w:hint="default"/>
                <w:sz w:val="18"/>
                <w:szCs w:val="18"/>
              </w:rPr>
            </w:pPr>
            <w:r>
              <w:rPr>
                <w:rFonts w:ascii="Times New Roman"/>
                <w:sz w:val="18"/>
              </w:rPr>
              <w:t>48.00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238,307,3</w:t>
            </w:r>
          </w:p>
          <w:p>
            <w:pPr>
              <w:pStyle w:val="TableParagraph"/>
              <w:spacing w:line="240" w:lineRule="auto" w:before="106"/>
              <w:ind w:left="366" w:right="0"/>
              <w:jc w:val="left"/>
              <w:rPr>
                <w:rFonts w:ascii="Times New Roman" w:hAnsi="Times New Roman" w:cs="Times New Roman" w:eastAsia="Times New Roman" w:hint="default"/>
                <w:sz w:val="18"/>
                <w:szCs w:val="18"/>
              </w:rPr>
            </w:pPr>
            <w:r>
              <w:rPr>
                <w:rFonts w:ascii="Times New Roman"/>
                <w:sz w:val="18"/>
              </w:rPr>
              <w:t>11.18</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28,377,60</w:t>
            </w:r>
          </w:p>
          <w:p>
            <w:pPr>
              <w:pStyle w:val="TableParagraph"/>
              <w:spacing w:line="240" w:lineRule="auto" w:before="106"/>
              <w:ind w:left="451" w:right="0"/>
              <w:jc w:val="left"/>
              <w:rPr>
                <w:rFonts w:ascii="Times New Roman" w:hAnsi="Times New Roman" w:cs="Times New Roman" w:eastAsia="Times New Roman" w:hint="default"/>
                <w:sz w:val="18"/>
                <w:szCs w:val="18"/>
              </w:rPr>
            </w:pPr>
            <w:r>
              <w:rPr>
                <w:rFonts w:ascii="Times New Roman"/>
                <w:sz w:val="18"/>
              </w:rPr>
              <w:t>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233,262,7</w:t>
            </w:r>
          </w:p>
          <w:p>
            <w:pPr>
              <w:pStyle w:val="TableParagraph"/>
              <w:spacing w:line="240" w:lineRule="auto" w:before="106"/>
              <w:ind w:left="343" w:right="0"/>
              <w:jc w:val="left"/>
              <w:rPr>
                <w:rFonts w:ascii="Times New Roman" w:hAnsi="Times New Roman" w:cs="Times New Roman" w:eastAsia="Times New Roman" w:hint="default"/>
                <w:sz w:val="18"/>
                <w:szCs w:val="18"/>
              </w:rPr>
            </w:pPr>
            <w:r>
              <w:rPr>
                <w:rFonts w:ascii="Times New Roman"/>
                <w:sz w:val="18"/>
              </w:rPr>
              <w:t>59.18</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．股东投入的普 通股</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19,999,9</w:t>
            </w:r>
          </w:p>
          <w:p>
            <w:pPr>
              <w:pStyle w:val="TableParagraph"/>
              <w:spacing w:line="240" w:lineRule="auto" w:before="106"/>
              <w:ind w:left="253" w:right="0"/>
              <w:jc w:val="left"/>
              <w:rPr>
                <w:rFonts w:ascii="Times New Roman" w:hAnsi="Times New Roman" w:cs="Times New Roman" w:eastAsia="Times New Roman" w:hint="default"/>
                <w:sz w:val="18"/>
                <w:szCs w:val="18"/>
              </w:rPr>
            </w:pPr>
            <w:r>
              <w:rPr>
                <w:rFonts w:ascii="Times New Roman"/>
                <w:sz w:val="18"/>
              </w:rPr>
              <w:t>99.00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205,000,0</w:t>
            </w:r>
          </w:p>
          <w:p>
            <w:pPr>
              <w:pStyle w:val="TableParagraph"/>
              <w:spacing w:line="240" w:lineRule="auto" w:before="106"/>
              <w:ind w:left="360" w:right="0"/>
              <w:jc w:val="left"/>
              <w:rPr>
                <w:rFonts w:ascii="Times New Roman" w:hAnsi="Times New Roman" w:cs="Times New Roman" w:eastAsia="Times New Roman" w:hint="default"/>
                <w:sz w:val="18"/>
                <w:szCs w:val="18"/>
              </w:rPr>
            </w:pPr>
            <w:r>
              <w:rPr>
                <w:rFonts w:ascii="Times New Roman"/>
                <w:sz w:val="18"/>
              </w:rPr>
              <w:t>01.00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225,000,0</w:t>
            </w:r>
          </w:p>
          <w:p>
            <w:pPr>
              <w:pStyle w:val="TableParagraph"/>
              <w:spacing w:line="240" w:lineRule="auto" w:before="106"/>
              <w:ind w:left="343" w:right="0"/>
              <w:jc w:val="left"/>
              <w:rPr>
                <w:rFonts w:ascii="Times New Roman" w:hAnsi="Times New Roman" w:cs="Times New Roman" w:eastAsia="Times New Roman" w:hint="default"/>
                <w:sz w:val="18"/>
                <w:szCs w:val="18"/>
              </w:rPr>
            </w:pPr>
            <w:r>
              <w:rPr>
                <w:rFonts w:ascii="Times New Roman"/>
                <w:sz w:val="18"/>
              </w:rPr>
              <w:t>00.00</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3,333,04</w:t>
            </w:r>
          </w:p>
          <w:p>
            <w:pPr>
              <w:pStyle w:val="TableParagraph"/>
              <w:spacing w:line="240" w:lineRule="auto" w:before="106"/>
              <w:ind w:left="343" w:right="0"/>
              <w:jc w:val="left"/>
              <w:rPr>
                <w:rFonts w:ascii="Times New Roman" w:hAnsi="Times New Roman" w:cs="Times New Roman" w:eastAsia="Times New Roman" w:hint="default"/>
                <w:sz w:val="18"/>
                <w:szCs w:val="18"/>
              </w:rPr>
            </w:pPr>
            <w:r>
              <w:rPr>
                <w:rFonts w:ascii="Times New Roman"/>
                <w:sz w:val="18"/>
              </w:rPr>
              <w:t>9.00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20,572,51</w:t>
            </w:r>
          </w:p>
          <w:p>
            <w:pPr>
              <w:pStyle w:val="TableParagraph"/>
              <w:spacing w:line="240" w:lineRule="auto" w:before="106"/>
              <w:ind w:left="450" w:right="0"/>
              <w:jc w:val="left"/>
              <w:rPr>
                <w:rFonts w:ascii="Times New Roman" w:hAnsi="Times New Roman" w:cs="Times New Roman" w:eastAsia="Times New Roman" w:hint="default"/>
                <w:sz w:val="18"/>
                <w:szCs w:val="18"/>
              </w:rPr>
            </w:pPr>
            <w:r>
              <w:rPr>
                <w:rFonts w:ascii="Times New Roman"/>
                <w:sz w:val="18"/>
              </w:rPr>
              <w:t>0.18</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23,905,55</w:t>
            </w:r>
          </w:p>
          <w:p>
            <w:pPr>
              <w:pStyle w:val="TableParagraph"/>
              <w:spacing w:line="240" w:lineRule="auto" w:before="106"/>
              <w:ind w:left="433" w:right="0"/>
              <w:jc w:val="left"/>
              <w:rPr>
                <w:rFonts w:ascii="Times New Roman" w:hAnsi="Times New Roman" w:cs="Times New Roman" w:eastAsia="Times New Roman" w:hint="default"/>
                <w:sz w:val="18"/>
                <w:szCs w:val="18"/>
              </w:rPr>
            </w:pPr>
            <w:r>
              <w:rPr>
                <w:rFonts w:ascii="Times New Roman"/>
                <w:sz w:val="18"/>
              </w:rPr>
              <w:t>9.18</w:t>
            </w: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 额</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12,734,80</w:t>
            </w:r>
          </w:p>
          <w:p>
            <w:pPr>
              <w:pStyle w:val="TableParagraph"/>
              <w:spacing w:line="240" w:lineRule="auto" w:before="106"/>
              <w:ind w:left="450" w:right="0"/>
              <w:jc w:val="left"/>
              <w:rPr>
                <w:rFonts w:ascii="Times New Roman" w:hAnsi="Times New Roman" w:cs="Times New Roman" w:eastAsia="Times New Roman" w:hint="default"/>
                <w:sz w:val="18"/>
                <w:szCs w:val="18"/>
              </w:rPr>
            </w:pPr>
            <w:r>
              <w:rPr>
                <w:rFonts w:ascii="Times New Roman"/>
                <w:sz w:val="18"/>
              </w:rPr>
              <w:t>0.00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28,377,60</w:t>
            </w:r>
          </w:p>
          <w:p>
            <w:pPr>
              <w:pStyle w:val="TableParagraph"/>
              <w:spacing w:line="240" w:lineRule="auto" w:before="106"/>
              <w:ind w:left="451" w:right="0"/>
              <w:jc w:val="left"/>
              <w:rPr>
                <w:rFonts w:ascii="Times New Roman" w:hAnsi="Times New Roman" w:cs="Times New Roman" w:eastAsia="Times New Roman" w:hint="default"/>
                <w:sz w:val="18"/>
                <w:szCs w:val="18"/>
              </w:rPr>
            </w:pPr>
            <w:r>
              <w:rPr>
                <w:rFonts w:ascii="Times New Roman"/>
                <w:sz w:val="18"/>
              </w:rPr>
              <w:t>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7" w:right="0"/>
              <w:jc w:val="left"/>
              <w:rPr>
                <w:rFonts w:ascii="Times New Roman" w:hAnsi="Times New Roman" w:cs="Times New Roman" w:eastAsia="Times New Roman" w:hint="default"/>
                <w:sz w:val="18"/>
                <w:szCs w:val="18"/>
              </w:rPr>
            </w:pPr>
            <w:r>
              <w:rPr>
                <w:rFonts w:ascii="Times New Roman"/>
                <w:sz w:val="18"/>
              </w:rPr>
              <w:t>-15,642,8</w:t>
            </w:r>
          </w:p>
          <w:p>
            <w:pPr>
              <w:pStyle w:val="TableParagraph"/>
              <w:spacing w:line="240" w:lineRule="auto" w:before="106"/>
              <w:ind w:left="343" w:right="0"/>
              <w:jc w:val="left"/>
              <w:rPr>
                <w:rFonts w:ascii="Times New Roman" w:hAnsi="Times New Roman" w:cs="Times New Roman" w:eastAsia="Times New Roman" w:hint="default"/>
                <w:sz w:val="18"/>
                <w:szCs w:val="18"/>
              </w:rPr>
            </w:pPr>
            <w:r>
              <w:rPr>
                <w:rFonts w:ascii="Times New Roman"/>
                <w:sz w:val="18"/>
              </w:rPr>
              <w:t>00.00</w:t>
            </w: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9,173,323</w:t>
            </w:r>
          </w:p>
          <w:p>
            <w:pPr>
              <w:pStyle w:val="TableParagraph"/>
              <w:spacing w:line="240" w:lineRule="auto" w:before="106"/>
              <w:ind w:right="19"/>
              <w:jc w:val="right"/>
              <w:rPr>
                <w:rFonts w:ascii="Times New Roman" w:hAnsi="Times New Roman" w:cs="Times New Roman" w:eastAsia="Times New Roman" w:hint="default"/>
                <w:sz w:val="18"/>
                <w:szCs w:val="18"/>
              </w:rPr>
            </w:pPr>
            <w:r>
              <w:rPr>
                <w:rFonts w:ascii="Times New Roman"/>
                <w:sz w:val="18"/>
              </w:rPr>
              <w:t>.09</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 w:right="0"/>
              <w:jc w:val="center"/>
              <w:rPr>
                <w:rFonts w:ascii="Times New Roman" w:hAnsi="Times New Roman" w:cs="Times New Roman" w:eastAsia="Times New Roman" w:hint="default"/>
                <w:sz w:val="18"/>
                <w:szCs w:val="18"/>
              </w:rPr>
            </w:pPr>
            <w:r>
              <w:rPr>
                <w:rFonts w:ascii="Times New Roman"/>
                <w:sz w:val="18"/>
              </w:rPr>
              <w:t>-20,462,</w:t>
            </w:r>
          </w:p>
          <w:p>
            <w:pPr>
              <w:pStyle w:val="TableParagraph"/>
              <w:spacing w:line="240" w:lineRule="auto" w:before="106"/>
              <w:ind w:left="126" w:right="0"/>
              <w:jc w:val="center"/>
              <w:rPr>
                <w:rFonts w:ascii="Times New Roman" w:hAnsi="Times New Roman" w:cs="Times New Roman" w:eastAsia="Times New Roman" w:hint="default"/>
                <w:sz w:val="18"/>
                <w:szCs w:val="18"/>
              </w:rPr>
            </w:pPr>
            <w:r>
              <w:rPr>
                <w:rFonts w:ascii="Times New Roman"/>
                <w:sz w:val="18"/>
              </w:rPr>
              <w:t>442.97</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0" w:right="0"/>
              <w:jc w:val="left"/>
              <w:rPr>
                <w:rFonts w:ascii="Times New Roman" w:hAnsi="Times New Roman" w:cs="Times New Roman" w:eastAsia="Times New Roman" w:hint="default"/>
                <w:sz w:val="18"/>
                <w:szCs w:val="18"/>
              </w:rPr>
            </w:pPr>
            <w:r>
              <w:rPr>
                <w:rFonts w:ascii="Times New Roman"/>
                <w:sz w:val="18"/>
              </w:rPr>
              <w:t>-11,289,1</w:t>
            </w:r>
          </w:p>
          <w:p>
            <w:pPr>
              <w:pStyle w:val="TableParagraph"/>
              <w:spacing w:line="240" w:lineRule="auto" w:before="106"/>
              <w:ind w:left="343" w:right="0"/>
              <w:jc w:val="left"/>
              <w:rPr>
                <w:rFonts w:ascii="Times New Roman" w:hAnsi="Times New Roman" w:cs="Times New Roman" w:eastAsia="Times New Roman" w:hint="default"/>
                <w:sz w:val="18"/>
                <w:szCs w:val="18"/>
              </w:rPr>
            </w:pPr>
            <w:r>
              <w:rPr>
                <w:rFonts w:ascii="Times New Roman"/>
                <w:sz w:val="18"/>
              </w:rPr>
              <w:t>19.88</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9,173,323</w:t>
            </w:r>
          </w:p>
          <w:p>
            <w:pPr>
              <w:pStyle w:val="TableParagraph"/>
              <w:spacing w:line="240" w:lineRule="auto" w:before="106"/>
              <w:ind w:right="19"/>
              <w:jc w:val="right"/>
              <w:rPr>
                <w:rFonts w:ascii="Times New Roman" w:hAnsi="Times New Roman" w:cs="Times New Roman" w:eastAsia="Times New Roman" w:hint="default"/>
                <w:sz w:val="18"/>
                <w:szCs w:val="18"/>
              </w:rPr>
            </w:pPr>
            <w:r>
              <w:rPr>
                <w:rFonts w:ascii="Times New Roman"/>
                <w:sz w:val="18"/>
              </w:rPr>
              <w:t>.09</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 w:right="0"/>
              <w:jc w:val="center"/>
              <w:rPr>
                <w:rFonts w:ascii="Times New Roman" w:hAnsi="Times New Roman" w:cs="Times New Roman" w:eastAsia="Times New Roman" w:hint="default"/>
                <w:sz w:val="18"/>
                <w:szCs w:val="18"/>
              </w:rPr>
            </w:pPr>
            <w:r>
              <w:rPr>
                <w:rFonts w:ascii="Times New Roman"/>
                <w:sz w:val="18"/>
              </w:rPr>
              <w:t>-9,173,3</w:t>
            </w:r>
          </w:p>
          <w:p>
            <w:pPr>
              <w:pStyle w:val="TableParagraph"/>
              <w:spacing w:line="240" w:lineRule="auto" w:before="106"/>
              <w:ind w:left="216" w:right="0"/>
              <w:jc w:val="center"/>
              <w:rPr>
                <w:rFonts w:ascii="Times New Roman" w:hAnsi="Times New Roman" w:cs="Times New Roman" w:eastAsia="Times New Roman" w:hint="default"/>
                <w:sz w:val="18"/>
                <w:szCs w:val="18"/>
              </w:rPr>
            </w:pPr>
            <w:r>
              <w:rPr>
                <w:rFonts w:ascii="Times New Roman"/>
                <w:sz w:val="18"/>
              </w:rPr>
              <w:t>23.09</w:t>
            </w: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．对所有者（或 股东）的分配</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center"/>
              <w:rPr>
                <w:rFonts w:ascii="Times New Roman" w:hAnsi="Times New Roman" w:cs="Times New Roman" w:eastAsia="Times New Roman" w:hint="default"/>
                <w:sz w:val="18"/>
                <w:szCs w:val="18"/>
              </w:rPr>
            </w:pPr>
            <w:r>
              <w:rPr>
                <w:rFonts w:ascii="Times New Roman"/>
                <w:sz w:val="18"/>
              </w:rPr>
              <w:t>-11,289,</w:t>
            </w:r>
          </w:p>
          <w:p>
            <w:pPr>
              <w:pStyle w:val="TableParagraph"/>
              <w:spacing w:line="240" w:lineRule="auto" w:before="106"/>
              <w:ind w:left="131" w:right="0"/>
              <w:jc w:val="center"/>
              <w:rPr>
                <w:rFonts w:ascii="Times New Roman" w:hAnsi="Times New Roman" w:cs="Times New Roman" w:eastAsia="Times New Roman" w:hint="default"/>
                <w:sz w:val="18"/>
                <w:szCs w:val="18"/>
              </w:rPr>
            </w:pPr>
            <w:r>
              <w:rPr>
                <w:rFonts w:ascii="Times New Roman"/>
                <w:sz w:val="18"/>
              </w:rPr>
              <w:t>119.88</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0" w:right="0"/>
              <w:jc w:val="left"/>
              <w:rPr>
                <w:rFonts w:ascii="Times New Roman" w:hAnsi="Times New Roman" w:cs="Times New Roman" w:eastAsia="Times New Roman" w:hint="default"/>
                <w:sz w:val="18"/>
                <w:szCs w:val="18"/>
              </w:rPr>
            </w:pPr>
            <w:r>
              <w:rPr>
                <w:rFonts w:ascii="Times New Roman"/>
                <w:sz w:val="18"/>
              </w:rPr>
              <w:t>-11,289,1</w:t>
            </w:r>
          </w:p>
          <w:p>
            <w:pPr>
              <w:pStyle w:val="TableParagraph"/>
              <w:spacing w:line="240" w:lineRule="auto" w:before="106"/>
              <w:ind w:left="343" w:right="0"/>
              <w:jc w:val="left"/>
              <w:rPr>
                <w:rFonts w:ascii="Times New Roman" w:hAnsi="Times New Roman" w:cs="Times New Roman" w:eastAsia="Times New Roman" w:hint="default"/>
                <w:sz w:val="18"/>
                <w:szCs w:val="18"/>
              </w:rPr>
            </w:pPr>
            <w:r>
              <w:rPr>
                <w:rFonts w:ascii="Times New Roman"/>
                <w:sz w:val="18"/>
              </w:rPr>
              <w:t>19.88</w:t>
            </w: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2"/>
              <w:jc w:val="left"/>
              <w:rPr>
                <w:rFonts w:ascii="宋体" w:hAnsi="宋体" w:cs="宋体" w:eastAsia="宋体" w:hint="default"/>
                <w:sz w:val="18"/>
                <w:szCs w:val="18"/>
              </w:rPr>
            </w:pPr>
            <w:r>
              <w:rPr>
                <w:rFonts w:ascii="宋体" w:hAnsi="宋体" w:cs="宋体" w:eastAsia="宋体" w:hint="default"/>
                <w:spacing w:val="-7"/>
                <w:sz w:val="18"/>
                <w:szCs w:val="18"/>
              </w:rPr>
              <w:t>（四）所有者权益</w:t>
            </w:r>
            <w:r>
              <w:rPr>
                <w:rFonts w:ascii="宋体" w:hAnsi="宋体" w:cs="宋体" w:eastAsia="宋体" w:hint="default"/>
                <w:sz w:val="18"/>
                <w:szCs w:val="18"/>
              </w:rPr>
              <w:t> 内部结转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 资本（或股本）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442"/>
        <w:gridCol w:w="691"/>
        <w:gridCol w:w="665"/>
        <w:gridCol w:w="665"/>
        <w:gridCol w:w="665"/>
        <w:gridCol w:w="797"/>
        <w:gridCol w:w="798"/>
        <w:gridCol w:w="798"/>
        <w:gridCol w:w="798"/>
        <w:gridCol w:w="797"/>
        <w:gridCol w:w="676"/>
        <w:gridCol w:w="781"/>
      </w:tblGrid>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pacing w:val="-7"/>
                <w:sz w:val="18"/>
                <w:szCs w:val="18"/>
              </w:rPr>
              <w:t>四、本期期末余额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396,783,</w:t>
            </w:r>
          </w:p>
          <w:p>
            <w:pPr>
              <w:pStyle w:val="TableParagraph"/>
              <w:spacing w:line="240" w:lineRule="auto" w:before="106"/>
              <w:ind w:left="140" w:right="0"/>
              <w:jc w:val="center"/>
              <w:rPr>
                <w:rFonts w:ascii="Times New Roman" w:hAnsi="Times New Roman" w:cs="Times New Roman" w:eastAsia="Times New Roman" w:hint="default"/>
                <w:sz w:val="18"/>
                <w:szCs w:val="18"/>
              </w:rPr>
            </w:pPr>
            <w:r>
              <w:rPr>
                <w:rFonts w:ascii="Times New Roman"/>
                <w:sz w:val="18"/>
              </w:rPr>
              <w:t>995.00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257,616,1</w:t>
            </w:r>
          </w:p>
          <w:p>
            <w:pPr>
              <w:pStyle w:val="TableParagraph"/>
              <w:spacing w:line="240" w:lineRule="auto" w:before="106"/>
              <w:ind w:left="360" w:right="0"/>
              <w:jc w:val="left"/>
              <w:rPr>
                <w:rFonts w:ascii="Times New Roman" w:hAnsi="Times New Roman" w:cs="Times New Roman" w:eastAsia="Times New Roman" w:hint="default"/>
                <w:sz w:val="18"/>
                <w:szCs w:val="18"/>
              </w:rPr>
            </w:pPr>
            <w:r>
              <w:rPr>
                <w:rFonts w:ascii="Times New Roman"/>
                <w:sz w:val="18"/>
              </w:rPr>
              <w:t>66.19</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28,377,60</w:t>
            </w:r>
          </w:p>
          <w:p>
            <w:pPr>
              <w:pStyle w:val="TableParagraph"/>
              <w:spacing w:line="240" w:lineRule="auto" w:before="106"/>
              <w:ind w:left="451" w:right="0"/>
              <w:jc w:val="left"/>
              <w:rPr>
                <w:rFonts w:ascii="Times New Roman" w:hAnsi="Times New Roman" w:cs="Times New Roman" w:eastAsia="Times New Roman" w:hint="default"/>
                <w:sz w:val="18"/>
                <w:szCs w:val="18"/>
              </w:rPr>
            </w:pPr>
            <w:r>
              <w:rPr>
                <w:rFonts w:ascii="Times New Roman"/>
                <w:sz w:val="18"/>
              </w:rPr>
              <w:t>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41,131,63</w:t>
            </w:r>
          </w:p>
          <w:p>
            <w:pPr>
              <w:pStyle w:val="TableParagraph"/>
              <w:spacing w:line="240" w:lineRule="auto" w:before="106"/>
              <w:ind w:left="450" w:right="0"/>
              <w:jc w:val="left"/>
              <w:rPr>
                <w:rFonts w:ascii="Times New Roman" w:hAnsi="Times New Roman" w:cs="Times New Roman" w:eastAsia="Times New Roman" w:hint="default"/>
                <w:sz w:val="18"/>
                <w:szCs w:val="18"/>
              </w:rPr>
            </w:pPr>
            <w:r>
              <w:rPr>
                <w:rFonts w:ascii="Times New Roman"/>
                <w:sz w:val="18"/>
              </w:rPr>
              <w:t>7.24</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8" w:right="0"/>
              <w:jc w:val="left"/>
              <w:rPr>
                <w:rFonts w:ascii="Times New Roman" w:hAnsi="Times New Roman" w:cs="Times New Roman" w:eastAsia="Times New Roman" w:hint="default"/>
                <w:sz w:val="18"/>
                <w:szCs w:val="18"/>
              </w:rPr>
            </w:pPr>
            <w:r>
              <w:rPr>
                <w:rFonts w:ascii="Times New Roman"/>
                <w:sz w:val="18"/>
              </w:rPr>
              <w:t>212,196</w:t>
            </w:r>
          </w:p>
          <w:p>
            <w:pPr>
              <w:pStyle w:val="TableParagraph"/>
              <w:spacing w:line="240" w:lineRule="auto" w:before="106"/>
              <w:ind w:left="103" w:right="0"/>
              <w:jc w:val="left"/>
              <w:rPr>
                <w:rFonts w:ascii="Times New Roman" w:hAnsi="Times New Roman" w:cs="Times New Roman" w:eastAsia="Times New Roman" w:hint="default"/>
                <w:sz w:val="18"/>
                <w:szCs w:val="18"/>
              </w:rPr>
            </w:pPr>
            <w:r>
              <w:rPr>
                <w:rFonts w:ascii="Times New Roman"/>
                <w:sz w:val="18"/>
              </w:rPr>
              <w:t>,924.04</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879,351,1</w:t>
            </w:r>
          </w:p>
          <w:p>
            <w:pPr>
              <w:pStyle w:val="TableParagraph"/>
              <w:spacing w:line="240" w:lineRule="auto" w:before="106"/>
              <w:ind w:left="343" w:right="0"/>
              <w:jc w:val="left"/>
              <w:rPr>
                <w:rFonts w:ascii="Times New Roman" w:hAnsi="Times New Roman" w:cs="Times New Roman" w:eastAsia="Times New Roman" w:hint="default"/>
                <w:sz w:val="18"/>
                <w:szCs w:val="18"/>
              </w:rPr>
            </w:pPr>
            <w:r>
              <w:rPr>
                <w:rFonts w:ascii="Times New Roman"/>
                <w:sz w:val="18"/>
              </w:rPr>
              <w:t>22.47</w:t>
            </w:r>
          </w:p>
        </w:tc>
      </w:tr>
    </w:tbl>
    <w:p>
      <w:pPr>
        <w:spacing w:line="240" w:lineRule="auto" w:before="7"/>
        <w:rPr>
          <w:rFonts w:ascii="Times New Roman" w:hAnsi="Times New Roman" w:cs="Times New Roman" w:eastAsia="Times New Roman" w:hint="default"/>
          <w:sz w:val="20"/>
          <w:szCs w:val="20"/>
        </w:rPr>
      </w:pPr>
    </w:p>
    <w:p>
      <w:pPr>
        <w:pStyle w:val="Heading2"/>
        <w:spacing w:line="240" w:lineRule="auto" w:before="26"/>
        <w:ind w:left="154" w:right="0"/>
        <w:jc w:val="both"/>
        <w:rPr>
          <w:b w:val="0"/>
          <w:bCs w:val="0"/>
        </w:rPr>
      </w:pPr>
      <w:bookmarkStart w:name="三、公司基本情况" w:id="166"/>
      <w:bookmarkEnd w:id="166"/>
      <w:r>
        <w:rPr>
          <w:b w:val="0"/>
          <w:bCs w:val="0"/>
        </w:rPr>
      </w:r>
      <w:r>
        <w:rPr/>
        <w:t>三、公司基本情况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513" w:right="0"/>
        <w:jc w:val="left"/>
      </w:pPr>
      <w:r>
        <w:rPr/>
        <w:t>一、公司基本情况</w:t>
      </w:r>
    </w:p>
    <w:p>
      <w:pPr>
        <w:pStyle w:val="BodyText"/>
        <w:spacing w:line="316" w:lineRule="auto" w:before="76"/>
        <w:ind w:left="513" w:right="7153"/>
        <w:jc w:val="left"/>
      </w:pPr>
      <w:r>
        <w:rPr/>
        <w:t>（一）公司概况 公司名称：深圳市奥拓电子股份有限公司</w:t>
      </w:r>
    </w:p>
    <w:p>
      <w:pPr>
        <w:pStyle w:val="BodyText"/>
        <w:spacing w:line="300" w:lineRule="auto" w:before="19"/>
        <w:ind w:left="513" w:right="5173"/>
        <w:jc w:val="left"/>
      </w:pPr>
      <w:r>
        <w:rPr/>
        <w:t>住所：深圳市南山区粤海街道学府路</w:t>
      </w:r>
      <w:r>
        <w:rPr>
          <w:rFonts w:ascii="Times New Roman" w:hAnsi="Times New Roman" w:cs="Times New Roman" w:eastAsia="Times New Roman" w:hint="default"/>
        </w:rPr>
        <w:t>63</w:t>
      </w:r>
      <w:r>
        <w:rPr/>
        <w:t>号高新区联合总部大厦</w:t>
      </w:r>
      <w:r>
        <w:rPr>
          <w:rFonts w:ascii="Times New Roman" w:hAnsi="Times New Roman" w:cs="Times New Roman" w:eastAsia="Times New Roman" w:hint="default"/>
        </w:rPr>
        <w:t>10</w:t>
      </w:r>
      <w:r>
        <w:rPr/>
        <w:t>楼 注册资本：</w:t>
      </w:r>
      <w:r>
        <w:rPr>
          <w:rFonts w:ascii="Times New Roman" w:hAnsi="Times New Roman" w:cs="Times New Roman" w:eastAsia="Times New Roman" w:hint="default"/>
        </w:rPr>
        <w:t>611,385,834</w:t>
      </w:r>
      <w:r>
        <w:rPr/>
        <w:t>元</w:t>
      </w:r>
    </w:p>
    <w:p>
      <w:pPr>
        <w:pStyle w:val="BodyText"/>
        <w:spacing w:line="300" w:lineRule="auto" w:before="13"/>
        <w:ind w:left="513" w:right="7153"/>
        <w:jc w:val="left"/>
      </w:pPr>
      <w:r>
        <w:rPr/>
        <w:t>统一社会信用代码：</w:t>
      </w:r>
      <w:r>
        <w:rPr>
          <w:rFonts w:ascii="Times New Roman" w:hAnsi="Times New Roman" w:cs="Times New Roman" w:eastAsia="Times New Roman" w:hint="default"/>
        </w:rPr>
        <w:t>914403001922261931 </w:t>
      </w:r>
      <w:r>
        <w:rPr/>
        <w:t>法定代表人：吴涵渠</w:t>
      </w:r>
    </w:p>
    <w:p>
      <w:pPr>
        <w:pStyle w:val="BodyText"/>
        <w:spacing w:line="316" w:lineRule="auto" w:before="31"/>
        <w:ind w:left="513" w:right="6433"/>
        <w:jc w:val="left"/>
      </w:pPr>
      <w:r>
        <w:rPr/>
        <w:t>（二）公司行业性质、经营范围 所处行业：计算机、通信和其他电子设备制造业。</w:t>
      </w:r>
    </w:p>
    <w:p>
      <w:pPr>
        <w:pStyle w:val="BodyText"/>
        <w:spacing w:line="312" w:lineRule="auto" w:before="19"/>
        <w:ind w:right="1130" w:firstLine="360"/>
        <w:jc w:val="both"/>
      </w:pPr>
      <w:r>
        <w:rPr>
          <w:spacing w:val="-2"/>
        </w:rPr>
        <w:t>经营范围：电子自助服务设备、金融电子产品、</w:t>
      </w:r>
      <w:r>
        <w:rPr>
          <w:rFonts w:ascii="Times New Roman" w:hAnsi="Times New Roman" w:cs="Times New Roman" w:eastAsia="Times New Roman" w:hint="default"/>
          <w:spacing w:val="-2"/>
        </w:rPr>
        <w:t>LED</w:t>
      </w:r>
      <w:r>
        <w:rPr>
          <w:spacing w:val="-2"/>
        </w:rPr>
        <w:t>光电产品、电子大屏幕显示屏、电子商务系统集成和计算机软硬件</w:t>
      </w:r>
      <w:r>
        <w:rPr/>
        <w:t> </w:t>
      </w:r>
      <w:r>
        <w:rPr>
          <w:spacing w:val="-2"/>
        </w:rPr>
        <w:t>产品的技术开发及销售；经营进出口业务（法律、行政法规、国务院决定禁止的项目除外，限制的项目须取得许可后方可经</w:t>
      </w:r>
      <w:r>
        <w:rPr>
          <w:spacing w:val="-66"/>
        </w:rPr>
        <w:t> </w:t>
      </w:r>
      <w:r>
        <w:rPr>
          <w:spacing w:val="-66"/>
        </w:rPr>
      </w:r>
      <w:r>
        <w:rPr>
          <w:spacing w:val="-5"/>
        </w:rPr>
        <w:t>营）；投资兴办实业（具体项目另行申报）；电子设备租赁；电子大屏幕显示屏工程设计与安装；照明工程设计与安装；节能</w:t>
      </w:r>
      <w:r>
        <w:rPr>
          <w:spacing w:val="-81"/>
        </w:rPr>
        <w:t> </w:t>
      </w:r>
      <w:r>
        <w:rPr>
          <w:spacing w:val="-81"/>
        </w:rPr>
      </w:r>
      <w:r>
        <w:rPr>
          <w:spacing w:val="-2"/>
        </w:rPr>
        <w:t>投资与节能改造；从事经营广告业务（法律、行政法规规定应进行广告经营审批登记的，另行办理审批登记后方可经营）。</w:t>
      </w:r>
    </w:p>
    <w:p>
      <w:pPr>
        <w:pStyle w:val="BodyText"/>
        <w:spacing w:line="316" w:lineRule="auto" w:before="22"/>
        <w:ind w:left="513" w:right="3383"/>
        <w:jc w:val="left"/>
      </w:pPr>
      <w:r>
        <w:rPr/>
        <w:t>（三）公司主要产品或提供的劳务 电子大屏幕显示屏、</w:t>
      </w:r>
      <w:r>
        <w:rPr>
          <w:rFonts w:ascii="Times New Roman" w:hAnsi="Times New Roman" w:cs="Times New Roman" w:eastAsia="Times New Roman" w:hint="default"/>
        </w:rPr>
        <w:t>LED</w:t>
      </w:r>
      <w:r>
        <w:rPr/>
        <w:t>光电产品、金融电子产品、计算机软件产品的技术开发及销售。</w:t>
      </w:r>
    </w:p>
    <w:p>
      <w:pPr>
        <w:pStyle w:val="BodyText"/>
        <w:spacing w:line="309" w:lineRule="auto"/>
        <w:ind w:left="513" w:right="1118"/>
        <w:jc w:val="left"/>
      </w:pPr>
      <w:r>
        <w:rPr/>
        <w:t>（四）财务报表的批准 本公司财务报表及财务报表附注业经本公司第三届董事会第二十五次会议于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2</w:t>
      </w:r>
      <w:r>
        <w:rPr/>
        <w:t>日批准。 </w:t>
      </w:r>
      <w:r>
        <w:rPr>
          <w:spacing w:val="-2"/>
        </w:rPr>
        <w:t>本公司</w:t>
      </w:r>
      <w:r>
        <w:rPr>
          <w:rFonts w:ascii="Times New Roman" w:hAnsi="Times New Roman" w:cs="Times New Roman" w:eastAsia="Times New Roman" w:hint="default"/>
          <w:spacing w:val="-2"/>
        </w:rPr>
        <w:t>2017</w:t>
      </w:r>
      <w:r>
        <w:rPr>
          <w:spacing w:val="-2"/>
        </w:rPr>
        <w:t>年度纳入合并范围的子公司共</w:t>
      </w:r>
      <w:r>
        <w:rPr>
          <w:rFonts w:ascii="Times New Roman" w:hAnsi="Times New Roman" w:cs="Times New Roman" w:eastAsia="Times New Roman" w:hint="default"/>
          <w:spacing w:val="-2"/>
        </w:rPr>
        <w:t>11</w:t>
      </w:r>
      <w:r>
        <w:rPr>
          <w:spacing w:val="-2"/>
        </w:rPr>
        <w:t>户，详见本附注九</w:t>
      </w:r>
      <w:r>
        <w:rPr>
          <w:rFonts w:ascii="Times New Roman" w:hAnsi="Times New Roman" w:cs="Times New Roman" w:eastAsia="Times New Roman" w:hint="default"/>
          <w:spacing w:val="-2"/>
        </w:rPr>
        <w:t>“</w:t>
      </w:r>
      <w:r>
        <w:rPr>
          <w:spacing w:val="-2"/>
        </w:rPr>
        <w:t>在其他主体中的权益</w:t>
      </w:r>
      <w:r>
        <w:rPr>
          <w:rFonts w:ascii="Times New Roman" w:hAnsi="Times New Roman" w:cs="Times New Roman" w:eastAsia="Times New Roman" w:hint="default"/>
          <w:spacing w:val="-2"/>
        </w:rPr>
        <w:t>”</w:t>
      </w:r>
      <w:r>
        <w:rPr>
          <w:spacing w:val="-2"/>
        </w:rPr>
        <w:t>。本公司本年度合并范围比上年度</w:t>
      </w:r>
    </w:p>
    <w:p>
      <w:pPr>
        <w:pStyle w:val="BodyText"/>
        <w:spacing w:line="240" w:lineRule="auto" w:before="5"/>
        <w:ind w:right="0"/>
        <w:jc w:val="both"/>
      </w:pPr>
      <w:r>
        <w:rPr/>
        <w:t>增加</w:t>
      </w:r>
      <w:r>
        <w:rPr>
          <w:rFonts w:ascii="Times New Roman" w:hAnsi="Times New Roman" w:cs="Times New Roman" w:eastAsia="Times New Roman" w:hint="default"/>
        </w:rPr>
        <w:t>1</w:t>
      </w:r>
      <w:r>
        <w:rPr/>
        <w:t>户，详见本附注八</w:t>
      </w:r>
      <w:r>
        <w:rPr>
          <w:rFonts w:ascii="Times New Roman" w:hAnsi="Times New Roman" w:cs="Times New Roman" w:eastAsia="Times New Roman" w:hint="default"/>
        </w:rPr>
        <w:t>“</w:t>
      </w:r>
      <w:r>
        <w:rPr/>
        <w:t>合并范围的变更</w:t>
      </w:r>
      <w:r>
        <w:rPr>
          <w:rFonts w:ascii="Times New Roman" w:hAnsi="Times New Roman" w:cs="Times New Roman" w:eastAsia="Times New Roman" w:hint="default"/>
        </w:rPr>
        <w:t>”</w:t>
      </w:r>
      <w:r>
        <w:rPr/>
        <w:t>。</w:t>
      </w:r>
    </w:p>
    <w:p>
      <w:pPr>
        <w:spacing w:line="240" w:lineRule="auto" w:before="1"/>
        <w:rPr>
          <w:rFonts w:ascii="宋体" w:hAnsi="宋体" w:cs="宋体" w:eastAsia="宋体" w:hint="default"/>
          <w:sz w:val="24"/>
          <w:szCs w:val="24"/>
        </w:rPr>
      </w:pPr>
    </w:p>
    <w:p>
      <w:pPr>
        <w:pStyle w:val="Heading2"/>
        <w:spacing w:line="240" w:lineRule="auto"/>
        <w:ind w:right="0"/>
        <w:jc w:val="both"/>
        <w:rPr>
          <w:b w:val="0"/>
          <w:bCs w:val="0"/>
        </w:rPr>
      </w:pPr>
      <w:bookmarkStart w:name="四、财务报表的编制基础" w:id="167"/>
      <w:bookmarkEnd w:id="167"/>
      <w:r>
        <w:rPr>
          <w:b w:val="0"/>
          <w:bCs w:val="0"/>
        </w:rPr>
      </w:r>
      <w:r>
        <w:rPr/>
        <w:t>四、财务报表的编制基础</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53" w:right="0"/>
        <w:jc w:val="both"/>
        <w:rPr>
          <w:b w:val="0"/>
          <w:bCs w:val="0"/>
        </w:rPr>
      </w:pPr>
      <w:bookmarkStart w:name="1、编制基础" w:id="168"/>
      <w:bookmarkEnd w:id="168"/>
      <w:r>
        <w:rPr>
          <w:b w:val="0"/>
          <w:bCs w:val="0"/>
        </w:rPr>
      </w:r>
      <w:r>
        <w:rPr>
          <w:rFonts w:ascii="Times New Roman" w:hAnsi="Times New Roman" w:cs="Times New Roman" w:eastAsia="Times New Roman" w:hint="default"/>
        </w:rPr>
        <w:t>1</w:t>
      </w:r>
      <w:r>
        <w:rPr/>
        <w:t>、编制基础</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513" w:right="0"/>
        <w:jc w:val="left"/>
      </w:pPr>
      <w:r>
        <w:rPr>
          <w:spacing w:val="-4"/>
        </w:rPr>
        <w:t>本公司财务报表以持续经营假设为基础，根据实际发生的交易和事项，按照财政部发布的《企业会计准则</w:t>
      </w:r>
      <w:r>
        <w:rPr>
          <w:rFonts w:ascii="Times New Roman" w:hAnsi="Times New Roman" w:cs="Times New Roman" w:eastAsia="Times New Roman" w:hint="default"/>
          <w:spacing w:val="-4"/>
        </w:rPr>
        <w:t>——</w:t>
      </w:r>
      <w:r>
        <w:rPr>
          <w:spacing w:val="-4"/>
        </w:rPr>
        <w:t>基本准则》</w:t>
      </w:r>
    </w:p>
    <w:p>
      <w:pPr>
        <w:pStyle w:val="BodyText"/>
        <w:spacing w:line="300" w:lineRule="auto" w:before="63"/>
        <w:ind w:right="1132"/>
        <w:jc w:val="both"/>
      </w:pPr>
      <w:r>
        <w:rPr/>
        <w:t>（财政部令第</w:t>
      </w:r>
      <w:r>
        <w:rPr>
          <w:rFonts w:ascii="Times New Roman" w:hAnsi="Times New Roman" w:cs="Times New Roman" w:eastAsia="Times New Roman" w:hint="default"/>
        </w:rPr>
        <w:t>33</w:t>
      </w:r>
      <w:r>
        <w:rPr/>
        <w:t>号发布</w:t>
      </w:r>
      <w:r>
        <w:rPr>
          <w:spacing w:val="-28"/>
        </w:rPr>
        <w:t>、</w:t>
      </w:r>
      <w:r>
        <w:rPr/>
        <w:t>财政部令第</w:t>
      </w:r>
      <w:r>
        <w:rPr>
          <w:rFonts w:ascii="Times New Roman" w:hAnsi="Times New Roman" w:cs="Times New Roman" w:eastAsia="Times New Roman" w:hint="default"/>
        </w:rPr>
        <w:t>7</w:t>
      </w:r>
      <w:r>
        <w:rPr>
          <w:rFonts w:ascii="Times New Roman" w:hAnsi="Times New Roman" w:cs="Times New Roman" w:eastAsia="Times New Roman" w:hint="default"/>
          <w:spacing w:val="-1"/>
        </w:rPr>
        <w:t>6</w:t>
      </w:r>
      <w:r>
        <w:rPr/>
        <w:t>号修订</w:t>
      </w:r>
      <w:r>
        <w:rPr>
          <w:spacing w:val="-90"/>
        </w:rPr>
        <w:t>）</w:t>
      </w:r>
      <w:r>
        <w:rPr>
          <w:spacing w:val="-28"/>
        </w:rPr>
        <w:t>、</w:t>
      </w:r>
      <w:r>
        <w:rPr/>
        <w:t>于</w:t>
      </w:r>
      <w:r>
        <w:rPr>
          <w:rFonts w:ascii="Times New Roman" w:hAnsi="Times New Roman" w:cs="Times New Roman" w:eastAsia="Times New Roman" w:hint="default"/>
        </w:rPr>
        <w:t>2006</w:t>
      </w:r>
      <w:r>
        <w:rPr/>
        <w:t>年</w:t>
      </w:r>
      <w:r>
        <w:rPr>
          <w:rFonts w:ascii="Times New Roman" w:hAnsi="Times New Roman" w:cs="Times New Roman" w:eastAsia="Times New Roman" w:hint="default"/>
        </w:rPr>
        <w:t>2</w:t>
      </w:r>
      <w:r>
        <w:rPr/>
        <w:t>月</w:t>
      </w:r>
      <w:r>
        <w:rPr>
          <w:rFonts w:ascii="Times New Roman" w:hAnsi="Times New Roman" w:cs="Times New Roman" w:eastAsia="Times New Roman" w:hint="default"/>
        </w:rPr>
        <w:t>15</w:t>
      </w:r>
      <w:r>
        <w:rPr/>
        <w:t>日及其后颁布和修订的</w:t>
      </w:r>
      <w:r>
        <w:rPr>
          <w:rFonts w:ascii="Times New Roman" w:hAnsi="Times New Roman" w:cs="Times New Roman" w:eastAsia="Times New Roman" w:hint="default"/>
        </w:rPr>
        <w:t>41</w:t>
      </w:r>
      <w:r>
        <w:rPr/>
        <w:t>项具体会计准则</w:t>
      </w:r>
      <w:r>
        <w:rPr>
          <w:spacing w:val="-28"/>
        </w:rPr>
        <w:t>、</w:t>
      </w:r>
      <w:r>
        <w:rPr/>
        <w:t>企业会计准则应</w:t>
      </w:r>
      <w:r>
        <w:rPr/>
        <w:t> 用指</w:t>
      </w:r>
      <w:r>
        <w:rPr>
          <w:spacing w:val="1"/>
        </w:rPr>
        <w:t>南</w:t>
      </w:r>
      <w:r>
        <w:rPr/>
        <w:t>、</w:t>
      </w:r>
      <w:r>
        <w:rPr>
          <w:spacing w:val="1"/>
        </w:rPr>
        <w:t>企业</w:t>
      </w:r>
      <w:r>
        <w:rPr/>
        <w:t>会计</w:t>
      </w:r>
      <w:r>
        <w:rPr>
          <w:spacing w:val="1"/>
        </w:rPr>
        <w:t>准</w:t>
      </w:r>
      <w:r>
        <w:rPr/>
        <w:t>则</w:t>
      </w:r>
      <w:r>
        <w:rPr>
          <w:spacing w:val="1"/>
        </w:rPr>
        <w:t>解释</w:t>
      </w:r>
      <w:r>
        <w:rPr/>
        <w:t>及其</w:t>
      </w:r>
      <w:r>
        <w:rPr>
          <w:spacing w:val="1"/>
        </w:rPr>
        <w:t>他</w:t>
      </w:r>
      <w:r>
        <w:rPr/>
        <w:t>相</w:t>
      </w:r>
      <w:r>
        <w:rPr>
          <w:spacing w:val="1"/>
        </w:rPr>
        <w:t>关规</w:t>
      </w:r>
      <w:r>
        <w:rPr/>
        <w:t>定（</w:t>
      </w:r>
      <w:r>
        <w:rPr>
          <w:spacing w:val="1"/>
        </w:rPr>
        <w:t>以</w:t>
      </w:r>
      <w:r>
        <w:rPr/>
        <w:t>下</w:t>
      </w:r>
      <w:r>
        <w:rPr>
          <w:spacing w:val="1"/>
        </w:rPr>
        <w:t>合</w:t>
      </w:r>
      <w:r>
        <w:rPr>
          <w:spacing w:val="3"/>
        </w:rPr>
        <w:t>称</w:t>
      </w:r>
      <w:r>
        <w:rPr>
          <w:rFonts w:ascii="Times New Roman" w:hAnsi="Times New Roman" w:cs="Times New Roman" w:eastAsia="Times New Roman" w:hint="default"/>
          <w:w w:val="100"/>
        </w:rPr>
        <w:t>“</w:t>
      </w:r>
      <w:r>
        <w:rPr/>
        <w:t>企业</w:t>
      </w:r>
      <w:r>
        <w:rPr>
          <w:spacing w:val="1"/>
        </w:rPr>
        <w:t>会</w:t>
      </w:r>
      <w:r>
        <w:rPr/>
        <w:t>计</w:t>
      </w:r>
      <w:r>
        <w:rPr>
          <w:spacing w:val="1"/>
        </w:rPr>
        <w:t>准</w:t>
      </w:r>
      <w:r>
        <w:rPr/>
        <w:t>则</w:t>
      </w:r>
      <w:r>
        <w:rPr>
          <w:rFonts w:ascii="Times New Roman" w:hAnsi="Times New Roman" w:cs="Times New Roman" w:eastAsia="Times New Roman" w:hint="default"/>
          <w:spacing w:val="1"/>
          <w:w w:val="100"/>
        </w:rPr>
        <w:t>”</w:t>
      </w:r>
      <w:r>
        <w:rPr>
          <w:spacing w:val="-90"/>
        </w:rPr>
        <w:t>）</w:t>
      </w:r>
      <w:r>
        <w:rPr/>
        <w:t>，</w:t>
      </w:r>
      <w:r>
        <w:rPr>
          <w:spacing w:val="1"/>
        </w:rPr>
        <w:t>以</w:t>
      </w:r>
      <w:r>
        <w:rPr/>
        <w:t>及</w:t>
      </w:r>
      <w:r>
        <w:rPr>
          <w:spacing w:val="1"/>
        </w:rPr>
        <w:t>中</w:t>
      </w:r>
      <w:r>
        <w:rPr/>
        <w:t>国</w:t>
      </w:r>
      <w:r>
        <w:rPr>
          <w:spacing w:val="1"/>
        </w:rPr>
        <w:t>证</w:t>
      </w:r>
      <w:r>
        <w:rPr/>
        <w:t>券监</w:t>
      </w:r>
      <w:r>
        <w:rPr>
          <w:spacing w:val="1"/>
        </w:rPr>
        <w:t>督</w:t>
      </w:r>
      <w:r>
        <w:rPr/>
        <w:t>管</w:t>
      </w:r>
      <w:r>
        <w:rPr>
          <w:spacing w:val="1"/>
        </w:rPr>
        <w:t>理委</w:t>
      </w:r>
      <w:r>
        <w:rPr/>
        <w:t>员会</w:t>
      </w:r>
      <w:r>
        <w:rPr>
          <w:spacing w:val="1"/>
        </w:rPr>
        <w:t>《</w:t>
      </w:r>
      <w:r>
        <w:rPr/>
        <w:t>公</w:t>
      </w:r>
      <w:r>
        <w:rPr>
          <w:spacing w:val="1"/>
        </w:rPr>
        <w:t>开发</w:t>
      </w:r>
      <w:r>
        <w:rPr/>
        <w:t>行证</w:t>
      </w:r>
      <w:r>
        <w:rPr>
          <w:spacing w:val="-2"/>
        </w:rPr>
        <w:t>券</w:t>
      </w:r>
      <w:r>
        <w:rPr/>
        <w:t>的</w:t>
      </w:r>
      <w:r>
        <w:rPr/>
        <w:t> 公司信息披露编报规则第</w:t>
      </w:r>
      <w:r>
        <w:rPr>
          <w:rFonts w:ascii="Times New Roman" w:hAnsi="Times New Roman" w:cs="Times New Roman" w:eastAsia="Times New Roman" w:hint="default"/>
        </w:rPr>
        <w:t>15</w:t>
      </w:r>
      <w:r>
        <w:rPr/>
        <w:t>号</w:t>
      </w:r>
      <w:r>
        <w:rPr>
          <w:rFonts w:ascii="Times New Roman" w:hAnsi="Times New Roman" w:cs="Times New Roman" w:eastAsia="Times New Roman" w:hint="default"/>
        </w:rPr>
        <w:t>——</w:t>
      </w:r>
      <w:r>
        <w:rPr/>
        <w:t>财务报告的一般规定</w:t>
      </w:r>
      <w:r>
        <w:rPr>
          <w:spacing w:val="-90"/>
        </w:rPr>
        <w:t>》</w:t>
      </w:r>
      <w:r>
        <w:rPr/>
        <w:t>（</w:t>
      </w:r>
      <w:r>
        <w:rPr>
          <w:rFonts w:ascii="Times New Roman" w:hAnsi="Times New Roman" w:cs="Times New Roman" w:eastAsia="Times New Roman" w:hint="default"/>
        </w:rPr>
        <w:t>2014</w:t>
      </w:r>
      <w:r>
        <w:rPr/>
        <w:t>年修订）的披露规定编制。</w:t>
      </w:r>
    </w:p>
    <w:p>
      <w:pPr>
        <w:pStyle w:val="BodyText"/>
        <w:spacing w:line="316" w:lineRule="auto" w:before="13"/>
        <w:ind w:right="1133" w:firstLine="360"/>
        <w:jc w:val="both"/>
      </w:pPr>
      <w:r>
        <w:rPr>
          <w:spacing w:val="-2"/>
        </w:rPr>
        <w:t>根据企业会计准则的相关规定，本公司会计核算以权责发生制为基础。除某些金融工具外，本财务报表均以历史成本为</w:t>
      </w:r>
      <w:r>
        <w:rPr/>
        <w:t> 计量基础。资产如果发生减值，则按照相关规定计提相应的减值准备。</w:t>
      </w:r>
    </w:p>
    <w:p>
      <w:pPr>
        <w:spacing w:line="240" w:lineRule="auto" w:before="7"/>
        <w:rPr>
          <w:rFonts w:ascii="宋体" w:hAnsi="宋体" w:cs="宋体" w:eastAsia="宋体" w:hint="default"/>
          <w:sz w:val="22"/>
          <w:szCs w:val="22"/>
        </w:rPr>
      </w:pPr>
    </w:p>
    <w:p>
      <w:pPr>
        <w:pStyle w:val="Heading3"/>
        <w:spacing w:line="240" w:lineRule="auto"/>
        <w:ind w:left="153" w:right="0"/>
        <w:jc w:val="both"/>
        <w:rPr>
          <w:b w:val="0"/>
          <w:bCs w:val="0"/>
        </w:rPr>
      </w:pPr>
      <w:bookmarkStart w:name="2、持续经营" w:id="169"/>
      <w:bookmarkEnd w:id="169"/>
      <w:r>
        <w:rPr>
          <w:b w:val="0"/>
          <w:bCs w:val="0"/>
        </w:rPr>
      </w:r>
      <w:r>
        <w:rPr>
          <w:rFonts w:ascii="Times New Roman" w:hAnsi="Times New Roman" w:cs="Times New Roman" w:eastAsia="Times New Roman" w:hint="default"/>
        </w:rPr>
        <w:t>2</w:t>
      </w:r>
      <w:r>
        <w:rPr/>
        <w:t>、持续经营</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513" w:right="0"/>
        <w:jc w:val="left"/>
      </w:pPr>
      <w:r>
        <w:rPr/>
        <w:t>本公司自报告期末起至少</w:t>
      </w:r>
      <w:r>
        <w:rPr>
          <w:rFonts w:ascii="Times New Roman" w:hAnsi="Times New Roman" w:cs="Times New Roman" w:eastAsia="Times New Roman" w:hint="default"/>
        </w:rPr>
        <w:t>12</w:t>
      </w:r>
      <w:r>
        <w:rPr/>
        <w:t>个月内具备持续经营能力，无影响持续经营能力的重大事项。</w:t>
      </w:r>
    </w:p>
    <w:p>
      <w:pPr>
        <w:spacing w:line="240" w:lineRule="auto" w:before="2"/>
        <w:rPr>
          <w:rFonts w:ascii="宋体" w:hAnsi="宋体" w:cs="宋体" w:eastAsia="宋体" w:hint="default"/>
          <w:sz w:val="24"/>
          <w:szCs w:val="24"/>
        </w:rPr>
      </w:pPr>
    </w:p>
    <w:p>
      <w:pPr>
        <w:pStyle w:val="Heading2"/>
        <w:spacing w:line="240" w:lineRule="auto"/>
        <w:ind w:right="0"/>
        <w:jc w:val="both"/>
        <w:rPr>
          <w:b w:val="0"/>
          <w:bCs w:val="0"/>
        </w:rPr>
      </w:pPr>
      <w:bookmarkStart w:name="五、重要会计政策及会计估计" w:id="170"/>
      <w:bookmarkEnd w:id="170"/>
      <w:r>
        <w:rPr>
          <w:b w:val="0"/>
          <w:bCs w:val="0"/>
        </w:rPr>
      </w:r>
      <w:r>
        <w:rPr/>
        <w:t>五、重要会计政策及会计估计</w:t>
      </w:r>
      <w:r>
        <w:rPr>
          <w:b w:val="0"/>
          <w:bCs w:val="0"/>
        </w:rPr>
      </w:r>
    </w:p>
    <w:p>
      <w:pPr>
        <w:spacing w:line="240" w:lineRule="auto" w:before="7"/>
        <w:rPr>
          <w:rFonts w:ascii="宋体" w:hAnsi="宋体" w:cs="宋体" w:eastAsia="宋体" w:hint="default"/>
          <w:b/>
          <w:bCs/>
          <w:sz w:val="26"/>
          <w:szCs w:val="26"/>
        </w:rPr>
      </w:pPr>
    </w:p>
    <w:p>
      <w:pPr>
        <w:pStyle w:val="BodyText"/>
        <w:spacing w:line="357" w:lineRule="auto"/>
        <w:ind w:right="7693"/>
        <w:jc w:val="left"/>
      </w:pPr>
      <w:r>
        <w:rPr/>
        <w:t>公司是否需要遵守特殊行业的披露要求 否</w:t>
      </w:r>
    </w:p>
    <w:p>
      <w:pPr>
        <w:spacing w:after="0" w:line="357" w:lineRule="auto"/>
        <w:jc w:val="left"/>
        <w:sectPr>
          <w:pgSz w:w="11910" w:h="16840"/>
          <w:pgMar w:header="747" w:footer="979" w:top="1060" w:bottom="1160" w:left="980" w:right="0"/>
        </w:sectPr>
      </w:pPr>
    </w:p>
    <w:p>
      <w:pPr>
        <w:spacing w:line="240" w:lineRule="auto" w:before="13"/>
        <w:rPr>
          <w:rFonts w:ascii="宋体" w:hAnsi="宋体" w:cs="宋体" w:eastAsia="宋体" w:hint="default"/>
          <w:sz w:val="25"/>
          <w:szCs w:val="25"/>
        </w:rPr>
      </w:pPr>
    </w:p>
    <w:p>
      <w:pPr>
        <w:pStyle w:val="BodyText"/>
        <w:spacing w:line="357" w:lineRule="auto" w:before="44"/>
        <w:ind w:left="513" w:right="0"/>
        <w:jc w:val="left"/>
      </w:pPr>
      <w:r>
        <w:rPr/>
        <w:t>具体会计政策和会计估计提示： </w:t>
      </w:r>
      <w:r>
        <w:rPr>
          <w:spacing w:val="-2"/>
        </w:rPr>
        <w:t>本公司及各子公司根据实际生产经营特点，依据相关企业会计准则的规定，对收入确认等交易和事项制定了若干项具体</w:t>
      </w:r>
    </w:p>
    <w:p>
      <w:pPr>
        <w:pStyle w:val="BodyText"/>
        <w:spacing w:line="237" w:lineRule="exact"/>
        <w:ind w:right="0"/>
        <w:jc w:val="left"/>
      </w:pPr>
      <w:r>
        <w:rPr/>
        <w:t>会计政策和会计估计，详见第十一节、五、</w:t>
      </w:r>
      <w:r>
        <w:rPr>
          <w:rFonts w:ascii="Times New Roman" w:hAnsi="Times New Roman" w:cs="Times New Roman" w:eastAsia="Times New Roman" w:hint="default"/>
        </w:rPr>
        <w:t>28 “</w:t>
      </w:r>
      <w:r>
        <w:rPr/>
        <w:t>收入</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等各项描述。</w:t>
      </w:r>
    </w:p>
    <w:p>
      <w:pPr>
        <w:spacing w:line="240" w:lineRule="auto" w:before="12"/>
        <w:rPr>
          <w:rFonts w:ascii="宋体" w:hAnsi="宋体" w:cs="宋体" w:eastAsia="宋体" w:hint="default"/>
          <w:sz w:val="25"/>
          <w:szCs w:val="25"/>
        </w:rPr>
      </w:pPr>
    </w:p>
    <w:p>
      <w:pPr>
        <w:pStyle w:val="Heading3"/>
        <w:spacing w:line="240" w:lineRule="auto"/>
        <w:ind w:left="153" w:right="0"/>
        <w:jc w:val="left"/>
        <w:rPr>
          <w:b w:val="0"/>
          <w:bCs w:val="0"/>
        </w:rPr>
      </w:pPr>
      <w:bookmarkStart w:name="1、遵循企业会计准则的声明" w:id="171"/>
      <w:bookmarkEnd w:id="171"/>
      <w:r>
        <w:rPr>
          <w:b w:val="0"/>
          <w:bCs w:val="0"/>
        </w:rPr>
      </w:r>
      <w:r>
        <w:rPr>
          <w:rFonts w:ascii="Times New Roman" w:hAnsi="Times New Roman" w:cs="Times New Roman" w:eastAsia="Times New Roman" w:hint="default"/>
        </w:rPr>
        <w:t>1</w:t>
      </w:r>
      <w:r>
        <w:rPr/>
        <w:t>、遵循企业会计准则的声明</w:t>
      </w:r>
      <w:r>
        <w:rPr>
          <w:b w:val="0"/>
          <w:bCs w:val="0"/>
        </w:rPr>
      </w:r>
    </w:p>
    <w:p>
      <w:pPr>
        <w:spacing w:line="240" w:lineRule="auto" w:before="7"/>
        <w:rPr>
          <w:rFonts w:ascii="宋体" w:hAnsi="宋体" w:cs="宋体" w:eastAsia="宋体" w:hint="default"/>
          <w:b/>
          <w:bCs/>
          <w:sz w:val="26"/>
          <w:szCs w:val="26"/>
        </w:rPr>
      </w:pPr>
    </w:p>
    <w:p>
      <w:pPr>
        <w:pStyle w:val="BodyText"/>
        <w:spacing w:line="300" w:lineRule="auto"/>
        <w:ind w:right="1130" w:firstLine="360"/>
        <w:jc w:val="both"/>
      </w:pPr>
      <w:r>
        <w:rPr>
          <w:spacing w:val="-2"/>
        </w:rPr>
        <w:t>本公司编制的财务报表符合企业会计准则的要求，真实、完整地反映了本公司</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31</w:t>
      </w:r>
      <w:r>
        <w:rPr>
          <w:spacing w:val="-2"/>
        </w:rPr>
        <w:t>日的财务状况及</w:t>
      </w:r>
      <w:r>
        <w:rPr>
          <w:rFonts w:ascii="Times New Roman" w:hAnsi="Times New Roman" w:cs="Times New Roman" w:eastAsia="Times New Roman" w:hint="default"/>
          <w:spacing w:val="-2"/>
        </w:rPr>
        <w:t>2017</w:t>
      </w:r>
      <w:r>
        <w:rPr>
          <w:spacing w:val="-2"/>
        </w:rPr>
        <w:t>年度的</w:t>
      </w:r>
      <w:r>
        <w:rPr/>
        <w:t> </w:t>
      </w:r>
      <w:r>
        <w:rPr>
          <w:spacing w:val="-2"/>
        </w:rPr>
        <w:t>经营成果和现金流量等有关信息。此外，本公司的财务报表在所有重大方面符合中国证券监督管理委员会</w:t>
      </w:r>
      <w:r>
        <w:rPr>
          <w:rFonts w:ascii="Times New Roman" w:hAnsi="Times New Roman" w:cs="Times New Roman" w:eastAsia="Times New Roman" w:hint="default"/>
          <w:spacing w:val="-2"/>
        </w:rPr>
        <w:t>2014</w:t>
      </w:r>
      <w:r>
        <w:rPr>
          <w:spacing w:val="-2"/>
        </w:rPr>
        <w:t>年修订的《公</w:t>
      </w:r>
      <w:r>
        <w:rPr>
          <w:spacing w:val="-61"/>
        </w:rPr>
        <w:t> </w:t>
      </w:r>
      <w:r>
        <w:rPr>
          <w:spacing w:val="-61"/>
        </w:rPr>
      </w:r>
      <w:r>
        <w:rPr/>
        <w:t>开发行证券的公司信息披露编报规则第</w:t>
      </w:r>
      <w:r>
        <w:rPr>
          <w:rFonts w:ascii="Times New Roman" w:hAnsi="Times New Roman" w:cs="Times New Roman" w:eastAsia="Times New Roman" w:hint="default"/>
        </w:rPr>
        <w:t>15</w:t>
      </w:r>
      <w:r>
        <w:rPr/>
        <w:t>号</w:t>
      </w:r>
      <w:r>
        <w:rPr>
          <w:rFonts w:ascii="Times New Roman" w:hAnsi="Times New Roman" w:cs="Times New Roman" w:eastAsia="Times New Roman" w:hint="default"/>
        </w:rPr>
        <w:t>——</w:t>
      </w:r>
      <w:r>
        <w:rPr/>
        <w:t>财务报告的一般规定》有关财务报表及其附注的披露要求。</w:t>
      </w:r>
    </w:p>
    <w:p>
      <w:pPr>
        <w:spacing w:line="240" w:lineRule="auto" w:before="1"/>
        <w:rPr>
          <w:rFonts w:ascii="宋体" w:hAnsi="宋体" w:cs="宋体" w:eastAsia="宋体" w:hint="default"/>
          <w:sz w:val="22"/>
          <w:szCs w:val="22"/>
        </w:rPr>
      </w:pPr>
    </w:p>
    <w:p>
      <w:pPr>
        <w:pStyle w:val="Heading3"/>
        <w:spacing w:line="240" w:lineRule="auto"/>
        <w:ind w:left="153" w:right="0"/>
        <w:jc w:val="left"/>
        <w:rPr>
          <w:b w:val="0"/>
          <w:bCs w:val="0"/>
        </w:rPr>
      </w:pPr>
      <w:bookmarkStart w:name="2、会计期间" w:id="172"/>
      <w:bookmarkEnd w:id="172"/>
      <w:r>
        <w:rPr>
          <w:b w:val="0"/>
          <w:bCs w:val="0"/>
        </w:rPr>
      </w:r>
      <w:r>
        <w:rPr>
          <w:rFonts w:ascii="Times New Roman" w:hAnsi="Times New Roman" w:cs="Times New Roman" w:eastAsia="Times New Roman" w:hint="default"/>
        </w:rPr>
        <w:t>2</w:t>
      </w:r>
      <w:r>
        <w:rPr/>
        <w:t>、会计期间</w:t>
      </w:r>
      <w:r>
        <w:rPr>
          <w:b w:val="0"/>
          <w:bCs w:val="0"/>
        </w:rPr>
      </w:r>
    </w:p>
    <w:p>
      <w:pPr>
        <w:spacing w:line="240" w:lineRule="auto" w:before="7"/>
        <w:rPr>
          <w:rFonts w:ascii="宋体" w:hAnsi="宋体" w:cs="宋体" w:eastAsia="宋体" w:hint="default"/>
          <w:b/>
          <w:bCs/>
          <w:sz w:val="26"/>
          <w:szCs w:val="26"/>
        </w:rPr>
      </w:pPr>
    </w:p>
    <w:p>
      <w:pPr>
        <w:pStyle w:val="BodyText"/>
        <w:spacing w:line="316" w:lineRule="auto"/>
        <w:ind w:right="1041" w:firstLine="360"/>
        <w:jc w:val="both"/>
      </w:pPr>
      <w:r>
        <w:rPr/>
        <w:t>本公司的会计期间分为年度和中期，会计中期指短于一个完整的会计年度的报告期间。本公司会计年度采用公历年度， 即每年自</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w:t>
      </w:r>
      <w:r>
        <w:rPr/>
        <w:t>日起至</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日止。</w:t>
      </w:r>
    </w:p>
    <w:p>
      <w:pPr>
        <w:spacing w:line="240" w:lineRule="auto" w:before="13"/>
        <w:rPr>
          <w:rFonts w:ascii="宋体" w:hAnsi="宋体" w:cs="宋体" w:eastAsia="宋体" w:hint="default"/>
          <w:sz w:val="20"/>
          <w:szCs w:val="20"/>
        </w:rPr>
      </w:pPr>
    </w:p>
    <w:p>
      <w:pPr>
        <w:pStyle w:val="Heading3"/>
        <w:spacing w:line="240" w:lineRule="auto"/>
        <w:ind w:left="153" w:right="0"/>
        <w:jc w:val="left"/>
        <w:rPr>
          <w:b w:val="0"/>
          <w:bCs w:val="0"/>
        </w:rPr>
      </w:pPr>
      <w:bookmarkStart w:name="3、营业周期" w:id="173"/>
      <w:bookmarkEnd w:id="173"/>
      <w:r>
        <w:rPr>
          <w:b w:val="0"/>
          <w:bCs w:val="0"/>
        </w:rPr>
      </w:r>
      <w:r>
        <w:rPr>
          <w:rFonts w:ascii="Times New Roman" w:hAnsi="Times New Roman" w:cs="Times New Roman" w:eastAsia="Times New Roman" w:hint="default"/>
        </w:rPr>
        <w:t>3</w:t>
      </w:r>
      <w:r>
        <w:rPr/>
        <w:t>、营业周期</w:t>
      </w:r>
      <w:r>
        <w:rPr>
          <w:b w:val="0"/>
          <w:bCs w:val="0"/>
        </w:rPr>
      </w:r>
    </w:p>
    <w:p>
      <w:pPr>
        <w:spacing w:line="240" w:lineRule="auto" w:before="8"/>
        <w:rPr>
          <w:rFonts w:ascii="宋体" w:hAnsi="宋体" w:cs="宋体" w:eastAsia="宋体" w:hint="default"/>
          <w:b/>
          <w:bCs/>
          <w:sz w:val="26"/>
          <w:szCs w:val="26"/>
        </w:rPr>
      </w:pPr>
    </w:p>
    <w:p>
      <w:pPr>
        <w:pStyle w:val="BodyText"/>
        <w:spacing w:line="300" w:lineRule="auto"/>
        <w:ind w:right="0" w:firstLine="360"/>
        <w:jc w:val="left"/>
      </w:pPr>
      <w:r>
        <w:rPr>
          <w:spacing w:val="-2"/>
        </w:rPr>
        <w:t>正常营业周期是指本公司从购买用于加工的资产起至实现现金或现金等价物的期间。本公司以</w:t>
      </w:r>
      <w:r>
        <w:rPr>
          <w:rFonts w:ascii="Times New Roman" w:hAnsi="Times New Roman" w:cs="Times New Roman" w:eastAsia="Times New Roman" w:hint="default"/>
          <w:spacing w:val="-2"/>
        </w:rPr>
        <w:t>12</w:t>
      </w:r>
      <w:r>
        <w:rPr>
          <w:spacing w:val="-2"/>
        </w:rPr>
        <w:t>个月作为一个营业周期，</w:t>
      </w:r>
      <w:r>
        <w:rPr/>
        <w:t> 并以其作为资产和负债的流动性划分标准。</w:t>
      </w:r>
    </w:p>
    <w:p>
      <w:pPr>
        <w:spacing w:line="240" w:lineRule="auto" w:before="6"/>
        <w:rPr>
          <w:rFonts w:ascii="宋体" w:hAnsi="宋体" w:cs="宋体" w:eastAsia="宋体" w:hint="default"/>
          <w:sz w:val="23"/>
          <w:szCs w:val="23"/>
        </w:rPr>
      </w:pPr>
    </w:p>
    <w:p>
      <w:pPr>
        <w:pStyle w:val="Heading3"/>
        <w:spacing w:line="240" w:lineRule="auto"/>
        <w:ind w:left="153" w:right="0"/>
        <w:jc w:val="left"/>
        <w:rPr>
          <w:b w:val="0"/>
          <w:bCs w:val="0"/>
        </w:rPr>
      </w:pPr>
      <w:bookmarkStart w:name="4、记账本位币" w:id="174"/>
      <w:bookmarkEnd w:id="174"/>
      <w:r>
        <w:rPr>
          <w:b w:val="0"/>
          <w:bCs w:val="0"/>
        </w:rPr>
      </w:r>
      <w:r>
        <w:rPr>
          <w:rFonts w:ascii="Times New Roman" w:hAnsi="Times New Roman" w:cs="Times New Roman" w:eastAsia="Times New Roman" w:hint="default"/>
        </w:rPr>
        <w:t>4</w:t>
      </w:r>
      <w:r>
        <w:rPr/>
        <w:t>、记账本位币</w:t>
      </w:r>
      <w:r>
        <w:rPr>
          <w:b w:val="0"/>
          <w:bCs w:val="0"/>
        </w:rPr>
      </w:r>
    </w:p>
    <w:p>
      <w:pPr>
        <w:spacing w:line="240" w:lineRule="auto" w:before="7"/>
        <w:rPr>
          <w:rFonts w:ascii="宋体" w:hAnsi="宋体" w:cs="宋体" w:eastAsia="宋体" w:hint="default"/>
          <w:b/>
          <w:bCs/>
          <w:sz w:val="26"/>
          <w:szCs w:val="26"/>
        </w:rPr>
      </w:pPr>
    </w:p>
    <w:p>
      <w:pPr>
        <w:pStyle w:val="BodyText"/>
        <w:spacing w:line="316" w:lineRule="auto"/>
        <w:ind w:right="1132" w:firstLine="360"/>
        <w:jc w:val="both"/>
      </w:pPr>
      <w:r>
        <w:rPr>
          <w:spacing w:val="-2"/>
        </w:rPr>
        <w:t>人民币为本公司及境内子公司经营所处的主要经济环境中的货币，本公司及境内子公司以人民币为记账本位币。本公司</w:t>
      </w:r>
      <w:r>
        <w:rPr/>
        <w:t> 之境外子公司以其经营所处的主要经济环境中的货币为记账本位币。本公司编制本财务报表时所采用的货币为人民币。</w:t>
      </w:r>
    </w:p>
    <w:p>
      <w:pPr>
        <w:spacing w:line="240" w:lineRule="auto" w:before="7"/>
        <w:rPr>
          <w:rFonts w:ascii="宋体" w:hAnsi="宋体" w:cs="宋体" w:eastAsia="宋体" w:hint="default"/>
          <w:sz w:val="22"/>
          <w:szCs w:val="22"/>
        </w:rPr>
      </w:pPr>
    </w:p>
    <w:p>
      <w:pPr>
        <w:pStyle w:val="Heading3"/>
        <w:spacing w:line="240" w:lineRule="auto"/>
        <w:ind w:left="153" w:right="0"/>
        <w:jc w:val="left"/>
        <w:rPr>
          <w:b w:val="0"/>
          <w:bCs w:val="0"/>
        </w:rPr>
      </w:pPr>
      <w:bookmarkStart w:name="5、同一控制下和非同一控制下企业合并的会计处理方法" w:id="175"/>
      <w:bookmarkEnd w:id="175"/>
      <w:r>
        <w:rPr>
          <w:b w:val="0"/>
          <w:bCs w:val="0"/>
        </w:rPr>
      </w:r>
      <w:r>
        <w:rPr>
          <w:rFonts w:ascii="Times New Roman" w:hAnsi="Times New Roman" w:cs="Times New Roman" w:eastAsia="Times New Roman" w:hint="default"/>
        </w:rPr>
        <w:t>5</w:t>
      </w:r>
      <w:r>
        <w:rPr/>
        <w:t>、同一控制下和非同一控制下企业合并的会计处理方法</w:t>
      </w:r>
      <w:r>
        <w:rPr>
          <w:b w:val="0"/>
          <w:bCs w:val="0"/>
        </w:rPr>
      </w:r>
    </w:p>
    <w:p>
      <w:pPr>
        <w:spacing w:line="240" w:lineRule="auto" w:before="7"/>
        <w:rPr>
          <w:rFonts w:ascii="宋体" w:hAnsi="宋体" w:cs="宋体" w:eastAsia="宋体" w:hint="default"/>
          <w:b/>
          <w:bCs/>
          <w:sz w:val="26"/>
          <w:szCs w:val="26"/>
        </w:rPr>
      </w:pPr>
    </w:p>
    <w:p>
      <w:pPr>
        <w:pStyle w:val="BodyText"/>
        <w:spacing w:line="316" w:lineRule="auto"/>
        <w:ind w:left="156" w:right="1131" w:firstLine="360"/>
        <w:jc w:val="both"/>
      </w:pPr>
      <w:r>
        <w:rPr>
          <w:spacing w:val="-2"/>
        </w:rPr>
        <w:t>企业合并，是指将两个或两个以上单独的企业合并形成一个报告主体的交易或事项。企业合并分为同一控制下企业合并</w:t>
      </w:r>
      <w:r>
        <w:rPr/>
        <w:t> 和非同一控制下企业合并。</w:t>
      </w:r>
    </w:p>
    <w:p>
      <w:pPr>
        <w:pStyle w:val="BodyText"/>
        <w:spacing w:line="300" w:lineRule="auto" w:before="19"/>
        <w:ind w:left="516" w:right="0"/>
        <w:jc w:val="left"/>
      </w:pPr>
      <w:r>
        <w:rPr/>
        <w:t>（</w:t>
      </w:r>
      <w:r>
        <w:rPr>
          <w:rFonts w:ascii="Times New Roman" w:hAnsi="Times New Roman" w:cs="Times New Roman" w:eastAsia="Times New Roman" w:hint="default"/>
        </w:rPr>
        <w:t>1</w:t>
      </w:r>
      <w:r>
        <w:rPr/>
        <w:t>）同一控制下企业合并 </w:t>
      </w:r>
      <w:r>
        <w:rPr>
          <w:spacing w:val="-2"/>
        </w:rPr>
        <w:t>参与合并的企业在合并前后均受同一方或相同的多方最终控制，且该控制并非暂时性的，为同一控制下的企业合并。同</w:t>
      </w:r>
    </w:p>
    <w:p>
      <w:pPr>
        <w:pStyle w:val="BodyText"/>
        <w:spacing w:line="316" w:lineRule="auto" w:before="31"/>
        <w:ind w:left="156" w:right="1125"/>
        <w:jc w:val="left"/>
      </w:pPr>
      <w:r>
        <w:rPr>
          <w:spacing w:val="-5"/>
        </w:rPr>
        <w:t>一控制下的企业合并，在合并日取得对其他参与合并企业控制权的一方为合并方，参与合并的其他企业为被合并方。合并日，</w:t>
      </w:r>
      <w:r>
        <w:rPr>
          <w:spacing w:val="-81"/>
        </w:rPr>
        <w:t> </w:t>
      </w:r>
      <w:r>
        <w:rPr>
          <w:spacing w:val="-81"/>
        </w:rPr>
      </w:r>
      <w:r>
        <w:rPr/>
        <w:t>是指合并方实际取得对被合并方控制权的日期。</w:t>
      </w:r>
    </w:p>
    <w:p>
      <w:pPr>
        <w:pStyle w:val="BodyText"/>
        <w:spacing w:line="316" w:lineRule="auto" w:before="19"/>
        <w:ind w:left="156" w:right="1133" w:firstLine="360"/>
        <w:jc w:val="both"/>
      </w:pPr>
      <w:r>
        <w:rPr/>
        <w:t>合并方取得的资产和负债均按合并日在被合并方的账面价值计量</w:t>
      </w:r>
      <w:r>
        <w:rPr>
          <w:spacing w:val="-86"/>
        </w:rPr>
        <w:t>。</w:t>
      </w:r>
      <w:r>
        <w:rPr/>
        <w:t>合并方取得的净资产账面价值与支付的合并对价账面</w:t>
      </w:r>
      <w:r>
        <w:rPr/>
        <w:t> 价值（或发行股份面值总额）的差额，调整资本公积（股本溢价</w:t>
      </w:r>
      <w:r>
        <w:rPr>
          <w:spacing w:val="-90"/>
        </w:rPr>
        <w:t>）</w:t>
      </w:r>
      <w:r>
        <w:rPr/>
        <w:t>；资本公积（股本溢价）不足以冲减的，调整留存收益。</w:t>
      </w:r>
    </w:p>
    <w:p>
      <w:pPr>
        <w:pStyle w:val="BodyText"/>
        <w:spacing w:line="240" w:lineRule="auto" w:before="19"/>
        <w:ind w:left="516" w:right="0"/>
        <w:jc w:val="left"/>
      </w:pPr>
      <w:r>
        <w:rPr/>
        <w:t>合并方为进行企业合并发生的各项直接费用，于发生时计入当期损益。</w:t>
      </w:r>
    </w:p>
    <w:p>
      <w:pPr>
        <w:pStyle w:val="BodyText"/>
        <w:spacing w:line="300" w:lineRule="auto" w:before="76"/>
        <w:ind w:left="516" w:right="0"/>
        <w:jc w:val="left"/>
      </w:pPr>
      <w:r>
        <w:rPr/>
        <w:t>（</w:t>
      </w:r>
      <w:r>
        <w:rPr>
          <w:rFonts w:ascii="Times New Roman" w:hAnsi="Times New Roman" w:cs="Times New Roman" w:eastAsia="Times New Roman" w:hint="default"/>
        </w:rPr>
        <w:t>2</w:t>
      </w:r>
      <w:r>
        <w:rPr/>
        <w:t>）非同一控制下企业合并 </w:t>
      </w:r>
      <w:r>
        <w:rPr>
          <w:spacing w:val="-2"/>
        </w:rPr>
        <w:t>参与合并的企业在合并前后不受同一方或相同的多方最终控制的，为非同一控制下的企业合并。非同一控制下的企业合</w:t>
      </w:r>
    </w:p>
    <w:p>
      <w:pPr>
        <w:pStyle w:val="BodyText"/>
        <w:spacing w:line="316" w:lineRule="auto" w:before="31"/>
        <w:ind w:left="156" w:right="0"/>
        <w:jc w:val="left"/>
      </w:pPr>
      <w:r>
        <w:rPr>
          <w:spacing w:val="-2"/>
        </w:rPr>
        <w:t>并，在购买日取得对其他参与合并企业控制权的一方为购买方，参与合并的其他企业为被购买方。购买日，是指为购买方实</w:t>
      </w:r>
      <w:r>
        <w:rPr>
          <w:spacing w:val="-69"/>
        </w:rPr>
        <w:t> </w:t>
      </w:r>
      <w:r>
        <w:rPr>
          <w:spacing w:val="-69"/>
        </w:rPr>
      </w:r>
      <w:r>
        <w:rPr/>
        <w:t>际取得对被购买方控制权的日期。</w:t>
      </w:r>
    </w:p>
    <w:p>
      <w:pPr>
        <w:pStyle w:val="BodyText"/>
        <w:spacing w:line="314" w:lineRule="auto" w:before="19"/>
        <w:ind w:left="156" w:right="1131" w:firstLine="360"/>
        <w:jc w:val="both"/>
      </w:pPr>
      <w:r>
        <w:rPr>
          <w:spacing w:val="-2"/>
        </w:rPr>
        <w:t>对于非同一控制下的企业合并，合并成本包含购买日购买方为取得对被购买方的控制权而付出的资产、发生或承担的负</w:t>
      </w:r>
      <w:r>
        <w:rPr/>
        <w:t> </w:t>
      </w:r>
      <w:r>
        <w:rPr>
          <w:spacing w:val="-2"/>
        </w:rPr>
        <w:t>债以及发行的权益性证券的公允价值，为企业合并发生的审计、法律服务、评估咨询等中介费用以及其他管理费用于发生时</w:t>
      </w:r>
      <w:r>
        <w:rPr>
          <w:spacing w:val="-68"/>
        </w:rPr>
        <w:t> </w:t>
      </w:r>
      <w:r>
        <w:rPr>
          <w:spacing w:val="-68"/>
        </w:rPr>
      </w:r>
      <w:r>
        <w:rPr>
          <w:spacing w:val="-2"/>
        </w:rPr>
        <w:t>计入当期损益。购买方作为合并对价发行的权益性证券或债务性证券的交易费用，计入权益性证券或债务性证券的初始确认</w:t>
      </w:r>
      <w:r>
        <w:rPr>
          <w:spacing w:val="-66"/>
        </w:rPr>
        <w:t> </w:t>
      </w:r>
      <w:r>
        <w:rPr>
          <w:spacing w:val="-66"/>
        </w:rPr>
      </w:r>
      <w:r>
        <w:rPr>
          <w:spacing w:val="-2"/>
        </w:rPr>
        <w:t>金额。所涉及的或有对价按其在购买日的公允价值计入合并成本，购买日后</w:t>
      </w:r>
      <w:r>
        <w:rPr>
          <w:rFonts w:ascii="Times New Roman" w:hAnsi="Times New Roman" w:cs="Times New Roman" w:eastAsia="Times New Roman" w:hint="default"/>
          <w:spacing w:val="-2"/>
        </w:rPr>
        <w:t>12</w:t>
      </w:r>
      <w:r>
        <w:rPr>
          <w:spacing w:val="-2"/>
        </w:rPr>
        <w:t>个月内出现对购买日已存在情况的新的或进一</w:t>
      </w:r>
      <w:r>
        <w:rPr>
          <w:spacing w:val="-64"/>
        </w:rPr>
        <w:t> </w:t>
      </w:r>
      <w:r>
        <w:rPr>
          <w:spacing w:val="-2"/>
        </w:rPr>
        <w:t>步证据而需要调整或有对价的，相应调整合并商誉。购买方发生的合并成本及在合并中取得的可辨认净资产按购买日的公允</w:t>
      </w:r>
    </w:p>
    <w:p>
      <w:pPr>
        <w:spacing w:after="0" w:line="314" w:lineRule="auto"/>
        <w:jc w:val="both"/>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16" w:lineRule="auto" w:before="44"/>
        <w:ind w:left="156" w:right="1131"/>
        <w:jc w:val="both"/>
      </w:pPr>
      <w:r>
        <w:rPr>
          <w:spacing w:val="-2"/>
        </w:rPr>
        <w:t>价值计量。合并成本大于合并中取得的被购买方于购买日可辨认净资产公允价值份额的差额，确认为商誉。合并成本小于合</w:t>
      </w:r>
      <w:r>
        <w:rPr>
          <w:spacing w:val="-68"/>
        </w:rPr>
        <w:t> </w:t>
      </w:r>
      <w:r>
        <w:rPr>
          <w:spacing w:val="-68"/>
        </w:rPr>
      </w:r>
      <w:r>
        <w:rPr>
          <w:spacing w:val="-2"/>
        </w:rPr>
        <w:t>并中取得的被购买方可辨认净资产公允价值份额的，首先对取得的被购买方各项可辨认资产、负债及或有负债的公允价值以</w:t>
      </w:r>
      <w:r>
        <w:rPr>
          <w:spacing w:val="-66"/>
        </w:rPr>
        <w:t> </w:t>
      </w:r>
      <w:r>
        <w:rPr>
          <w:spacing w:val="-66"/>
        </w:rPr>
      </w:r>
      <w:r>
        <w:rPr>
          <w:spacing w:val="-2"/>
        </w:rPr>
        <w:t>及合并成本的计量进行复核，复核后合并成本仍小于合并中取得的被购买方可辨认净资产公允价值份额的，其差额计入当期</w:t>
      </w:r>
      <w:r>
        <w:rPr>
          <w:spacing w:val="-66"/>
        </w:rPr>
        <w:t> </w:t>
      </w:r>
      <w:r>
        <w:rPr>
          <w:spacing w:val="-66"/>
        </w:rPr>
      </w:r>
      <w:r>
        <w:rPr/>
        <w:t>损益。</w:t>
      </w:r>
    </w:p>
    <w:p>
      <w:pPr>
        <w:pStyle w:val="BodyText"/>
        <w:spacing w:line="312" w:lineRule="auto" w:before="19"/>
        <w:ind w:left="156" w:right="1129" w:firstLine="360"/>
        <w:jc w:val="both"/>
      </w:pPr>
      <w:r>
        <w:rPr/>
        <w:t>购买方取得被购买方的可抵扣暂时性差异，在购买日因不符合递延所得税资产确认条件而未予确认的，在购买日后</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spacing w:val="-2"/>
        </w:rPr>
        <w:t>个月内，如取得新的或进一步的信息表明购买日的相关情况已经存在，预期被购买方在购买日可抵扣暂时性差异带来的经济</w:t>
      </w:r>
      <w:r>
        <w:rPr>
          <w:spacing w:val="-65"/>
        </w:rPr>
        <w:t> </w:t>
      </w:r>
      <w:r>
        <w:rPr>
          <w:spacing w:val="-65"/>
        </w:rPr>
      </w:r>
      <w:r>
        <w:rPr>
          <w:spacing w:val="-2"/>
        </w:rPr>
        <w:t>利益能够实现的，则确认相关的递延所得税资产，同时减少商誉，商誉不足冲减的，差额部分确认为当期损益；除上述情况</w:t>
      </w:r>
      <w:r>
        <w:rPr>
          <w:spacing w:val="-67"/>
        </w:rPr>
        <w:t> </w:t>
      </w:r>
      <w:r>
        <w:rPr>
          <w:spacing w:val="-67"/>
        </w:rPr>
      </w:r>
      <w:r>
        <w:rPr/>
        <w:t>以外，确认与企业合并相关的递延所得税资产的，计入当期损益。</w:t>
      </w:r>
    </w:p>
    <w:p>
      <w:pPr>
        <w:pStyle w:val="BodyText"/>
        <w:spacing w:line="300" w:lineRule="auto" w:before="22"/>
        <w:ind w:left="156" w:right="1129" w:firstLine="360"/>
        <w:jc w:val="both"/>
      </w:pPr>
      <w:r>
        <w:rPr>
          <w:spacing w:val="-7"/>
        </w:rPr>
        <w:t>通过多次交易分步实现的非同一控制下企业合并，根据《财政部关于印发企业会计准则解释第</w:t>
      </w:r>
      <w:r>
        <w:rPr>
          <w:rFonts w:ascii="Times New Roman" w:hAnsi="Times New Roman" w:cs="Times New Roman" w:eastAsia="Times New Roman" w:hint="default"/>
          <w:spacing w:val="-7"/>
        </w:rPr>
        <w:t>5</w:t>
      </w:r>
      <w:r>
        <w:rPr>
          <w:spacing w:val="-7"/>
        </w:rPr>
        <w:t>号的通知》（财会〔</w:t>
      </w:r>
      <w:r>
        <w:rPr>
          <w:rFonts w:ascii="Times New Roman" w:hAnsi="Times New Roman" w:cs="Times New Roman" w:eastAsia="Times New Roman" w:hint="default"/>
          <w:spacing w:val="-7"/>
        </w:rPr>
        <w:t>2012</w:t>
      </w:r>
      <w:r>
        <w:rPr>
          <w:spacing w:val="-7"/>
        </w:rPr>
        <w:t>〕</w:t>
      </w:r>
      <w:r>
        <w:rPr/>
        <w:t> </w:t>
      </w:r>
      <w:r>
        <w:rPr>
          <w:rFonts w:ascii="Times New Roman" w:hAnsi="Times New Roman" w:cs="Times New Roman" w:eastAsia="Times New Roman" w:hint="default"/>
          <w:spacing w:val="-1"/>
        </w:rPr>
        <w:t>19</w:t>
      </w:r>
      <w:r>
        <w:rPr>
          <w:spacing w:val="-1"/>
        </w:rPr>
        <w:t>号）和《企业会计准则第</w:t>
      </w:r>
      <w:r>
        <w:rPr>
          <w:rFonts w:ascii="Times New Roman" w:hAnsi="Times New Roman" w:cs="Times New Roman" w:eastAsia="Times New Roman" w:hint="default"/>
          <w:spacing w:val="-1"/>
        </w:rPr>
        <w:t>33</w:t>
      </w:r>
      <w:r>
        <w:rPr>
          <w:spacing w:val="-1"/>
        </w:rPr>
        <w:t>号</w:t>
      </w:r>
      <w:r>
        <w:rPr>
          <w:rFonts w:ascii="Times New Roman" w:hAnsi="Times New Roman" w:cs="Times New Roman" w:eastAsia="Times New Roman" w:hint="default"/>
          <w:spacing w:val="-1"/>
        </w:rPr>
        <w:t>——</w:t>
      </w:r>
      <w:r>
        <w:rPr>
          <w:spacing w:val="-1"/>
        </w:rPr>
        <w:t>合并财务报表》第五十一条关于</w:t>
      </w:r>
      <w:r>
        <w:rPr>
          <w:rFonts w:ascii="Times New Roman" w:hAnsi="Times New Roman" w:cs="Times New Roman" w:eastAsia="Times New Roman" w:hint="default"/>
          <w:spacing w:val="-1"/>
        </w:rPr>
        <w:t>“</w:t>
      </w:r>
      <w:r>
        <w:rPr>
          <w:spacing w:val="-1"/>
        </w:rPr>
        <w:t>一揽子交易</w:t>
      </w:r>
      <w:r>
        <w:rPr>
          <w:rFonts w:ascii="Times New Roman" w:hAnsi="Times New Roman" w:cs="Times New Roman" w:eastAsia="Times New Roman" w:hint="default"/>
          <w:spacing w:val="-1"/>
        </w:rPr>
        <w:t>”</w:t>
      </w:r>
      <w:r>
        <w:rPr>
          <w:spacing w:val="-1"/>
        </w:rPr>
        <w:t>的判断标准，属于</w:t>
      </w:r>
      <w:r>
        <w:rPr>
          <w:rFonts w:ascii="Times New Roman" w:hAnsi="Times New Roman" w:cs="Times New Roman" w:eastAsia="Times New Roman" w:hint="default"/>
          <w:spacing w:val="-1"/>
        </w:rPr>
        <w:t>“</w:t>
      </w:r>
      <w:r>
        <w:rPr>
          <w:spacing w:val="-1"/>
        </w:rPr>
        <w:t>一揽子交易</w:t>
      </w:r>
      <w:r>
        <w:rPr>
          <w:rFonts w:ascii="Times New Roman" w:hAnsi="Times New Roman" w:cs="Times New Roman" w:eastAsia="Times New Roman" w:hint="default"/>
          <w:spacing w:val="-1"/>
        </w:rPr>
        <w:t>”</w:t>
      </w:r>
      <w:r>
        <w:rPr>
          <w:spacing w:val="-1"/>
        </w:rPr>
        <w:t>的，参考</w:t>
      </w:r>
      <w:r>
        <w:rPr>
          <w:spacing w:val="-80"/>
        </w:rPr>
        <w:t> </w:t>
      </w:r>
      <w:r>
        <w:rPr>
          <w:spacing w:val="-80"/>
        </w:rPr>
      </w:r>
      <w:r>
        <w:rPr>
          <w:spacing w:val="-1"/>
        </w:rPr>
        <w:t>本部分前面各段描述及本附注五、</w:t>
      </w:r>
      <w:r>
        <w:rPr>
          <w:rFonts w:ascii="Times New Roman" w:hAnsi="Times New Roman" w:cs="Times New Roman" w:eastAsia="Times New Roman" w:hint="default"/>
          <w:spacing w:val="-1"/>
        </w:rPr>
        <w:t>14</w:t>
      </w:r>
      <w:r>
        <w:rPr>
          <w:rFonts w:ascii="Times New Roman" w:hAnsi="Times New Roman" w:cs="Times New Roman" w:eastAsia="Times New Roman" w:hint="default"/>
          <w:spacing w:val="-1"/>
        </w:rPr>
        <w:t>“</w:t>
      </w:r>
      <w:r>
        <w:rPr>
          <w:spacing w:val="-1"/>
        </w:rPr>
        <w:t>长期股权投资</w:t>
      </w:r>
      <w:r>
        <w:rPr>
          <w:rFonts w:ascii="Times New Roman" w:hAnsi="Times New Roman" w:cs="Times New Roman" w:eastAsia="Times New Roman" w:hint="default"/>
          <w:spacing w:val="-1"/>
        </w:rPr>
        <w:t>”</w:t>
      </w:r>
      <w:r>
        <w:rPr>
          <w:spacing w:val="-1"/>
        </w:rPr>
        <w:t>进行会计处理；不属于</w:t>
      </w:r>
      <w:r>
        <w:rPr>
          <w:rFonts w:ascii="Times New Roman" w:hAnsi="Times New Roman" w:cs="Times New Roman" w:eastAsia="Times New Roman" w:hint="default"/>
          <w:spacing w:val="-1"/>
        </w:rPr>
        <w:t>“</w:t>
      </w:r>
      <w:r>
        <w:rPr>
          <w:spacing w:val="-1"/>
        </w:rPr>
        <w:t>一揽子交易</w:t>
      </w:r>
      <w:r>
        <w:rPr>
          <w:rFonts w:ascii="Times New Roman" w:hAnsi="Times New Roman" w:cs="Times New Roman" w:eastAsia="Times New Roman" w:hint="default"/>
          <w:spacing w:val="-1"/>
        </w:rPr>
        <w:t>”</w:t>
      </w:r>
      <w:r>
        <w:rPr>
          <w:spacing w:val="-1"/>
        </w:rPr>
        <w:t>的，区分个别财务报表和合并财务</w:t>
      </w:r>
      <w:r>
        <w:rPr>
          <w:spacing w:val="-81"/>
        </w:rPr>
        <w:t> </w:t>
      </w:r>
      <w:r>
        <w:rPr>
          <w:spacing w:val="-81"/>
        </w:rPr>
      </w:r>
      <w:r>
        <w:rPr/>
        <w:t>报表进行相关会计处理：</w:t>
      </w:r>
    </w:p>
    <w:p>
      <w:pPr>
        <w:pStyle w:val="BodyText"/>
        <w:spacing w:line="316" w:lineRule="auto" w:before="31"/>
        <w:ind w:left="156" w:right="1131" w:firstLine="360"/>
        <w:jc w:val="both"/>
      </w:pPr>
      <w:r>
        <w:rPr>
          <w:spacing w:val="-2"/>
        </w:rPr>
        <w:t>在个别财务报表中，以购买日之前所持被购买方的股权投资的账面价值与购买日新增投资成本之和，作为该项投资的初</w:t>
      </w:r>
      <w:r>
        <w:rPr/>
        <w:t> </w:t>
      </w:r>
      <w:r>
        <w:rPr>
          <w:spacing w:val="-2"/>
        </w:rPr>
        <w:t>始投资成本；购买日之前持有的被购买方的股权涉及其他综合收益的，在处置该项投资时将与其相关的其他综合收益采用与</w:t>
      </w:r>
      <w:r>
        <w:rPr>
          <w:spacing w:val="-66"/>
        </w:rPr>
        <w:t> </w:t>
      </w:r>
      <w:r>
        <w:rPr>
          <w:spacing w:val="-66"/>
        </w:rPr>
      </w:r>
      <w:r>
        <w:rPr>
          <w:spacing w:val="-2"/>
        </w:rPr>
        <w:t>被购买方直接处置相关资产或负债相同的基础进行会计处理（即，除了按照权益法核算的在被购买方重新计量设定受益计划</w:t>
      </w:r>
      <w:r>
        <w:rPr>
          <w:spacing w:val="-68"/>
        </w:rPr>
        <w:t> </w:t>
      </w:r>
      <w:r>
        <w:rPr>
          <w:spacing w:val="-68"/>
        </w:rPr>
      </w:r>
      <w:r>
        <w:rPr>
          <w:spacing w:val="-3"/>
        </w:rPr>
        <w:t>净负债或净资产导致的变动中的相应份额以外，其余转入当期投资收益）。</w:t>
      </w:r>
    </w:p>
    <w:p>
      <w:pPr>
        <w:pStyle w:val="BodyText"/>
        <w:spacing w:line="316" w:lineRule="auto" w:before="19"/>
        <w:ind w:right="1131" w:firstLine="362"/>
        <w:jc w:val="both"/>
      </w:pPr>
      <w:r>
        <w:rPr>
          <w:spacing w:val="-2"/>
        </w:rPr>
        <w:t>在合并财务报表中，对于购买日之前持有的被购买方的股权，按照该股权在购买日的公允价值进行重新计量，公允价值</w:t>
      </w:r>
      <w:r>
        <w:rPr/>
        <w:t> </w:t>
      </w:r>
      <w:r>
        <w:rPr>
          <w:spacing w:val="-2"/>
        </w:rPr>
        <w:t>与其账面价值的差额计入当期投资收益；购买日之前持有的被购买方的股权涉及其他综合收益的，与其相关的其他综合收益</w:t>
      </w:r>
      <w:r>
        <w:rPr>
          <w:spacing w:val="-66"/>
        </w:rPr>
        <w:t> </w:t>
      </w:r>
      <w:r>
        <w:rPr>
          <w:spacing w:val="-66"/>
        </w:rPr>
      </w:r>
      <w:r>
        <w:rPr>
          <w:spacing w:val="-2"/>
        </w:rPr>
        <w:t>应当采用与被购买方直接处置相关资产或负债相同的基础进行会计处理（即，除了按照权益法核算的在被购买方重新计量设</w:t>
      </w:r>
      <w:r>
        <w:rPr>
          <w:spacing w:val="-68"/>
        </w:rPr>
        <w:t> </w:t>
      </w:r>
      <w:r>
        <w:rPr>
          <w:spacing w:val="-68"/>
        </w:rPr>
      </w:r>
      <w:r>
        <w:rPr>
          <w:spacing w:val="-3"/>
        </w:rPr>
        <w:t>定受益计划净负债或净资产导致的变动中的相应份额以外，其余转为购买日所属当期投资收益）。</w:t>
      </w:r>
    </w:p>
    <w:p>
      <w:pPr>
        <w:spacing w:line="240" w:lineRule="auto" w:before="7"/>
        <w:rPr>
          <w:rFonts w:ascii="宋体" w:hAnsi="宋体" w:cs="宋体" w:eastAsia="宋体" w:hint="default"/>
          <w:sz w:val="22"/>
          <w:szCs w:val="22"/>
        </w:rPr>
      </w:pPr>
    </w:p>
    <w:p>
      <w:pPr>
        <w:pStyle w:val="Heading3"/>
        <w:spacing w:line="240" w:lineRule="auto"/>
        <w:ind w:left="153" w:right="0"/>
        <w:jc w:val="both"/>
        <w:rPr>
          <w:b w:val="0"/>
          <w:bCs w:val="0"/>
        </w:rPr>
      </w:pPr>
      <w:bookmarkStart w:name="6、合并财务报表的编制方法" w:id="176"/>
      <w:bookmarkEnd w:id="176"/>
      <w:r>
        <w:rPr>
          <w:b w:val="0"/>
          <w:bCs w:val="0"/>
        </w:rPr>
      </w:r>
      <w:r>
        <w:rPr>
          <w:rFonts w:ascii="Times New Roman" w:hAnsi="Times New Roman" w:cs="Times New Roman" w:eastAsia="Times New Roman" w:hint="default"/>
        </w:rPr>
        <w:t>6</w:t>
      </w:r>
      <w:r>
        <w:rPr/>
        <w:t>、合并财务报表的编制方法</w:t>
      </w:r>
      <w:r>
        <w:rPr>
          <w:b w:val="0"/>
          <w:bCs w:val="0"/>
        </w:rPr>
      </w:r>
    </w:p>
    <w:p>
      <w:pPr>
        <w:spacing w:line="240" w:lineRule="auto" w:before="7"/>
        <w:rPr>
          <w:rFonts w:ascii="宋体" w:hAnsi="宋体" w:cs="宋体" w:eastAsia="宋体" w:hint="default"/>
          <w:b/>
          <w:bCs/>
          <w:sz w:val="26"/>
          <w:szCs w:val="26"/>
        </w:rPr>
      </w:pPr>
    </w:p>
    <w:p>
      <w:pPr>
        <w:pStyle w:val="BodyText"/>
        <w:spacing w:line="300" w:lineRule="auto"/>
        <w:ind w:left="513" w:right="0"/>
        <w:jc w:val="left"/>
      </w:pPr>
      <w:r>
        <w:rPr/>
        <w:t>（</w:t>
      </w:r>
      <w:r>
        <w:rPr>
          <w:rFonts w:ascii="Times New Roman" w:hAnsi="Times New Roman" w:cs="Times New Roman" w:eastAsia="Times New Roman" w:hint="default"/>
        </w:rPr>
        <w:t>1</w:t>
      </w:r>
      <w:r>
        <w:rPr/>
        <w:t>）合并财务报表范围的确定原则 </w:t>
      </w:r>
      <w:r>
        <w:rPr>
          <w:spacing w:val="-2"/>
        </w:rPr>
        <w:t>合并财务报表的合并范围以控制为基础予以确定。控制是指本公司拥有对被投资方的权力，通过参与被投资方的相关活</w:t>
      </w:r>
    </w:p>
    <w:p>
      <w:pPr>
        <w:pStyle w:val="BodyText"/>
        <w:spacing w:line="316" w:lineRule="auto" w:before="31"/>
        <w:ind w:right="1131"/>
        <w:jc w:val="both"/>
      </w:pPr>
      <w:r>
        <w:rPr>
          <w:spacing w:val="-2"/>
        </w:rPr>
        <w:t>动而享有可变回报，并且有能力运用对被投资方的权力影响该回报金额。合并范围包括本公司及全部子公司。子公司，是指</w:t>
      </w:r>
      <w:r>
        <w:rPr>
          <w:spacing w:val="-66"/>
        </w:rPr>
        <w:t> </w:t>
      </w:r>
      <w:r>
        <w:rPr>
          <w:spacing w:val="-66"/>
        </w:rPr>
      </w:r>
      <w:r>
        <w:rPr/>
        <w:t>被本公司控制的主体。</w:t>
      </w:r>
    </w:p>
    <w:p>
      <w:pPr>
        <w:pStyle w:val="BodyText"/>
        <w:spacing w:line="240" w:lineRule="auto" w:before="19"/>
        <w:ind w:left="513" w:right="0"/>
        <w:jc w:val="left"/>
      </w:pPr>
      <w:r>
        <w:rPr/>
        <w:t>一旦相关事实和情况的变化导致上述控制定义涉及的相关要素发生了变化，本公司将进行重新评估。</w:t>
      </w:r>
    </w:p>
    <w:p>
      <w:pPr>
        <w:pStyle w:val="BodyText"/>
        <w:spacing w:line="300" w:lineRule="auto" w:before="76"/>
        <w:ind w:left="514" w:right="0"/>
        <w:jc w:val="left"/>
      </w:pPr>
      <w:r>
        <w:rPr/>
        <w:t>（</w:t>
      </w:r>
      <w:r>
        <w:rPr>
          <w:rFonts w:ascii="Times New Roman" w:hAnsi="Times New Roman" w:cs="Times New Roman" w:eastAsia="Times New Roman" w:hint="default"/>
        </w:rPr>
        <w:t>2</w:t>
      </w:r>
      <w:r>
        <w:rPr/>
        <w:t>）合并财务报表编制的方法 </w:t>
      </w:r>
      <w:r>
        <w:rPr>
          <w:spacing w:val="-2"/>
        </w:rPr>
        <w:t>从取得子公司的净资产和生产经营决策的实际控制权之日起，本公司开始将其纳入合并范围；从丧失实际控制权之日起</w:t>
      </w:r>
    </w:p>
    <w:p>
      <w:pPr>
        <w:pStyle w:val="BodyText"/>
        <w:spacing w:line="316" w:lineRule="auto" w:before="31"/>
        <w:ind w:left="154" w:right="0"/>
        <w:jc w:val="left"/>
      </w:pPr>
      <w:r>
        <w:rPr>
          <w:spacing w:val="-4"/>
        </w:rPr>
        <w:t>停止纳入合并范围。对于处置的子公司，处置日前的经营成果和现金流量已经适当地包括在合并利润表和合并现金流量表中；</w:t>
      </w:r>
      <w:r>
        <w:rPr>
          <w:spacing w:val="-44"/>
        </w:rPr>
        <w:t> </w:t>
      </w:r>
      <w:r>
        <w:rPr>
          <w:spacing w:val="-44"/>
        </w:rPr>
      </w:r>
      <w:r>
        <w:rPr>
          <w:spacing w:val="-2"/>
        </w:rPr>
        <w:t>当期处置的子公司，不调整合并资产负债表的期初数。非同一控制下企业合并增加的子公司，其购买日后的经营成果及现金</w:t>
      </w:r>
      <w:r>
        <w:rPr>
          <w:spacing w:val="-66"/>
        </w:rPr>
        <w:t> </w:t>
      </w:r>
      <w:r>
        <w:rPr>
          <w:spacing w:val="-66"/>
        </w:rPr>
      </w:r>
      <w:r>
        <w:rPr>
          <w:spacing w:val="-2"/>
        </w:rPr>
        <w:t>流量已经适当地包括在合并利润表和合并现金流量表中，且不调整合并财务报表的期初数和对比数。同一控制下企业合并增</w:t>
      </w:r>
      <w:r>
        <w:rPr>
          <w:spacing w:val="-64"/>
        </w:rPr>
        <w:t> </w:t>
      </w:r>
      <w:r>
        <w:rPr>
          <w:spacing w:val="-64"/>
        </w:rPr>
      </w:r>
      <w:r>
        <w:rPr>
          <w:spacing w:val="-2"/>
        </w:rPr>
        <w:t>加的子公司及吸收合并下的被合并方，其自合并当期期初至合并日的经营成果和现金流量已经适当地包括在合并利润表和合</w:t>
      </w:r>
      <w:r>
        <w:rPr>
          <w:spacing w:val="-64"/>
        </w:rPr>
        <w:t> </w:t>
      </w:r>
      <w:r>
        <w:rPr>
          <w:spacing w:val="-64"/>
        </w:rPr>
      </w:r>
      <w:r>
        <w:rPr/>
        <w:t>并现金流量表中，并且同时调整合并财务报表的对比数。</w:t>
      </w:r>
    </w:p>
    <w:p>
      <w:pPr>
        <w:pStyle w:val="BodyText"/>
        <w:spacing w:line="316" w:lineRule="auto" w:before="19"/>
        <w:ind w:left="154" w:right="1130" w:firstLine="360"/>
        <w:jc w:val="both"/>
      </w:pPr>
      <w:r>
        <w:rPr>
          <w:spacing w:val="-2"/>
        </w:rPr>
        <w:t>在编制合并财务报表时，子公司与本公司采用的会计政策或会计期间不一致的，按照本公司的会计政策和会计期间对子</w:t>
      </w:r>
      <w:r>
        <w:rPr/>
        <w:t> </w:t>
      </w:r>
      <w:r>
        <w:rPr>
          <w:spacing w:val="-2"/>
        </w:rPr>
        <w:t>公司财务报表进行必要的调整。对于非同一控制下企业合并取得的子公司，以购买日可辨认净资产公允价值为基础对其财务</w:t>
      </w:r>
      <w:r>
        <w:rPr>
          <w:spacing w:val="-63"/>
        </w:rPr>
        <w:t> </w:t>
      </w:r>
      <w:r>
        <w:rPr>
          <w:spacing w:val="-63"/>
        </w:rPr>
      </w:r>
      <w:r>
        <w:rPr/>
        <w:t>报表进行调整。</w:t>
      </w:r>
    </w:p>
    <w:p>
      <w:pPr>
        <w:pStyle w:val="BodyText"/>
        <w:spacing w:line="316" w:lineRule="auto" w:before="19"/>
        <w:ind w:left="513" w:right="0"/>
        <w:jc w:val="left"/>
      </w:pPr>
      <w:r>
        <w:rPr/>
        <w:t>公司内所有重大往来余额、交易及未实现利润在合并财务报表编制时予以抵销。 子公司的股东权益及当期净损益中不属于本公司所拥有的部分分别作为少数股东权益及少数股东损益在合并财务报表</w:t>
      </w:r>
    </w:p>
    <w:p>
      <w:pPr>
        <w:pStyle w:val="BodyText"/>
        <w:spacing w:line="300" w:lineRule="auto" w:before="19"/>
        <w:ind w:right="1132"/>
        <w:jc w:val="both"/>
      </w:pPr>
      <w:r>
        <w:rPr/>
        <w:t>中股东权益及净利润项下单独列示。子公司当期净损益中属于少数股东权益的份额，在合并利润表中净利润项目下以</w:t>
      </w:r>
      <w:r>
        <w:rPr>
          <w:rFonts w:ascii="Times New Roman" w:hAnsi="Times New Roman" w:cs="Times New Roman" w:eastAsia="Times New Roman" w:hint="default"/>
        </w:rPr>
        <w:t>“</w:t>
      </w:r>
      <w:r>
        <w:rPr/>
        <w:t>少数</w:t>
      </w:r>
      <w:r>
        <w:rPr>
          <w:spacing w:val="-76"/>
        </w:rPr>
        <w:t> </w:t>
      </w:r>
      <w:r>
        <w:rPr/>
        <w:t>股东损益</w:t>
      </w:r>
      <w:r>
        <w:rPr>
          <w:rFonts w:ascii="Times New Roman" w:hAnsi="Times New Roman" w:cs="Times New Roman" w:eastAsia="Times New Roman" w:hint="default"/>
        </w:rPr>
        <w:t>”</w:t>
      </w:r>
      <w:r>
        <w:rPr/>
        <w:t>项目列示。少数股东分担的子公司的亏损超过了少数股东在该子公司期初股东权益中所享有的份额，冲减少数股</w:t>
      </w:r>
      <w:r>
        <w:rPr>
          <w:spacing w:val="-77"/>
        </w:rPr>
        <w:t> </w:t>
      </w:r>
      <w:r>
        <w:rPr>
          <w:spacing w:val="-77"/>
        </w:rPr>
      </w:r>
      <w:r>
        <w:rPr/>
        <w:t>东权益。</w:t>
      </w:r>
    </w:p>
    <w:p>
      <w:pPr>
        <w:pStyle w:val="BodyText"/>
        <w:spacing w:line="240" w:lineRule="auto" w:before="31"/>
        <w:ind w:left="514" w:right="0"/>
        <w:jc w:val="left"/>
      </w:pPr>
      <w:r>
        <w:rPr/>
        <w:t>当因处置部分股权投资或其他原因丧失了对原有子公司的控制权时，对于剩余股权，按照其在丧失控制权日的公允价值</w:t>
      </w:r>
    </w:p>
    <w:p>
      <w:pPr>
        <w:spacing w:after="0" w:line="240"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12" w:lineRule="auto" w:before="44"/>
        <w:ind w:right="1130"/>
        <w:jc w:val="both"/>
      </w:pPr>
      <w:r>
        <w:rPr>
          <w:spacing w:val="-2"/>
        </w:rPr>
        <w:t>进行重新计量。处置股权取得的对价与剩余股权公允价值之和，减去按原持股比例计算应享有原有子公司自购买日开始持续</w:t>
      </w:r>
      <w:r>
        <w:rPr>
          <w:spacing w:val="-64"/>
        </w:rPr>
        <w:t> </w:t>
      </w:r>
      <w:r>
        <w:rPr>
          <w:spacing w:val="-64"/>
        </w:rPr>
      </w:r>
      <w:r>
        <w:rPr>
          <w:spacing w:val="-2"/>
        </w:rPr>
        <w:t>计算的净资产的份额之间的差额，计入丧失控制权当期的投资收益。与原有子公司股权投资相关的其他综合收益，在丧失控</w:t>
      </w:r>
      <w:r>
        <w:rPr>
          <w:spacing w:val="-66"/>
        </w:rPr>
        <w:t> </w:t>
      </w:r>
      <w:r>
        <w:rPr>
          <w:spacing w:val="-66"/>
        </w:rPr>
      </w:r>
      <w:r>
        <w:rPr>
          <w:spacing w:val="-2"/>
        </w:rPr>
        <w:t>制权时采用与被购买方直接处置相关资产或负债相同的基础进行会计处理（即，除了在该原有子公司重新计量设定受益计划</w:t>
      </w:r>
      <w:r>
        <w:rPr>
          <w:spacing w:val="-64"/>
        </w:rPr>
        <w:t> </w:t>
      </w:r>
      <w:r>
        <w:rPr>
          <w:spacing w:val="-64"/>
        </w:rPr>
      </w:r>
      <w:r>
        <w:rPr>
          <w:spacing w:val="-4"/>
        </w:rPr>
        <w:t>净负债或净资产导致的变动以外，其余一并转为当期投资收益）。其后，对该部分剩余股权按照《企业会计准则第</w:t>
      </w:r>
      <w:r>
        <w:rPr>
          <w:rFonts w:ascii="Times New Roman" w:hAnsi="Times New Roman" w:cs="Times New Roman" w:eastAsia="Times New Roman" w:hint="default"/>
          <w:spacing w:val="-4"/>
        </w:rPr>
        <w:t>2</w:t>
      </w:r>
      <w:r>
        <w:rPr>
          <w:spacing w:val="-4"/>
        </w:rPr>
        <w:t>号</w:t>
      </w:r>
      <w:r>
        <w:rPr>
          <w:rFonts w:ascii="Times New Roman" w:hAnsi="Times New Roman" w:cs="Times New Roman" w:eastAsia="Times New Roman" w:hint="default"/>
          <w:spacing w:val="-4"/>
        </w:rPr>
        <w:t>——</w:t>
      </w:r>
      <w:r>
        <w:rPr>
          <w:spacing w:val="-4"/>
        </w:rPr>
        <w:t>长</w:t>
      </w:r>
      <w:r>
        <w:rPr>
          <w:spacing w:val="-44"/>
        </w:rPr>
        <w:t> </w:t>
      </w:r>
      <w:r>
        <w:rPr/>
        <w:t>期股权投资》或《企业会计准则第</w:t>
      </w:r>
      <w:r>
        <w:rPr>
          <w:rFonts w:ascii="Times New Roman" w:hAnsi="Times New Roman" w:cs="Times New Roman" w:eastAsia="Times New Roman" w:hint="default"/>
        </w:rPr>
        <w:t>22</w:t>
      </w:r>
      <w:r>
        <w:rPr/>
        <w:t>号</w:t>
      </w:r>
      <w:r>
        <w:rPr>
          <w:rFonts w:ascii="Times New Roman" w:hAnsi="Times New Roman" w:cs="Times New Roman" w:eastAsia="Times New Roman" w:hint="default"/>
        </w:rPr>
        <w:t>——</w:t>
      </w:r>
      <w:r>
        <w:rPr/>
        <w:t>金融工具确认和计量》等相关规定进行后续计量，详见本附注五、</w:t>
      </w:r>
      <w:r>
        <w:rPr>
          <w:rFonts w:ascii="Times New Roman" w:hAnsi="Times New Roman" w:cs="Times New Roman" w:eastAsia="Times New Roman" w:hint="default"/>
        </w:rPr>
        <w:t>14</w:t>
      </w:r>
      <w:r>
        <w:rPr>
          <w:rFonts w:ascii="Times New Roman" w:hAnsi="Times New Roman" w:cs="Times New Roman" w:eastAsia="Times New Roman" w:hint="default"/>
        </w:rPr>
        <w:t>“</w:t>
      </w:r>
      <w:r>
        <w:rPr/>
        <w:t>长期股权</w:t>
      </w:r>
      <w:r>
        <w:rPr>
          <w:spacing w:val="-75"/>
        </w:rPr>
        <w:t> </w:t>
      </w:r>
      <w:r>
        <w:rPr>
          <w:spacing w:val="-75"/>
        </w:rPr>
      </w:r>
      <w:r>
        <w:rPr/>
        <w:t>投资</w:t>
      </w:r>
      <w:r>
        <w:rPr>
          <w:rFonts w:ascii="Times New Roman" w:hAnsi="Times New Roman" w:cs="Times New Roman" w:eastAsia="Times New Roman" w:hint="default"/>
        </w:rPr>
        <w:t>”</w:t>
      </w:r>
      <w:r>
        <w:rPr/>
        <w:t>或本附注五、</w:t>
      </w:r>
      <w:r>
        <w:rPr>
          <w:rFonts w:ascii="Times New Roman" w:hAnsi="Times New Roman" w:cs="Times New Roman" w:eastAsia="Times New Roman" w:hint="default"/>
        </w:rPr>
        <w:t>10</w:t>
      </w:r>
      <w:r>
        <w:rPr>
          <w:rFonts w:ascii="Times New Roman" w:hAnsi="Times New Roman" w:cs="Times New Roman" w:eastAsia="Times New Roman" w:hint="default"/>
        </w:rPr>
        <w:t>“</w:t>
      </w:r>
      <w:r>
        <w:rPr/>
        <w:t>金融工具</w:t>
      </w:r>
      <w:r>
        <w:rPr>
          <w:rFonts w:ascii="Times New Roman" w:hAnsi="Times New Roman" w:cs="Times New Roman" w:eastAsia="Times New Roman" w:hint="default"/>
        </w:rPr>
        <w:t>”</w:t>
      </w:r>
      <w:r>
        <w:rPr/>
        <w:t>。</w:t>
      </w:r>
    </w:p>
    <w:p>
      <w:pPr>
        <w:spacing w:line="240" w:lineRule="auto" w:before="4"/>
        <w:rPr>
          <w:rFonts w:ascii="宋体" w:hAnsi="宋体" w:cs="宋体" w:eastAsia="宋体" w:hint="default"/>
          <w:sz w:val="21"/>
          <w:szCs w:val="21"/>
        </w:rPr>
      </w:pPr>
    </w:p>
    <w:p>
      <w:pPr>
        <w:pStyle w:val="Heading3"/>
        <w:spacing w:line="240" w:lineRule="auto"/>
        <w:ind w:left="153" w:right="0"/>
        <w:jc w:val="left"/>
        <w:rPr>
          <w:b w:val="0"/>
          <w:bCs w:val="0"/>
        </w:rPr>
      </w:pPr>
      <w:bookmarkStart w:name="7、合营安排分类及共同经营会计处理方法" w:id="177"/>
      <w:bookmarkEnd w:id="177"/>
      <w:r>
        <w:rPr>
          <w:b w:val="0"/>
          <w:bCs w:val="0"/>
        </w:rPr>
      </w:r>
      <w:r>
        <w:rPr>
          <w:rFonts w:ascii="Times New Roman" w:hAnsi="Times New Roman" w:cs="Times New Roman" w:eastAsia="Times New Roman" w:hint="default"/>
        </w:rPr>
        <w:t>7</w:t>
      </w:r>
      <w:r>
        <w:rPr/>
        <w:t>、合营安排分类及共同经营会计处理方法</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8、现金及现金等价物的确定标准" w:id="178"/>
      <w:bookmarkEnd w:id="178"/>
      <w:r>
        <w:rPr>
          <w:b w:val="0"/>
          <w:bCs w:val="0"/>
        </w:rPr>
      </w:r>
      <w:r>
        <w:rPr>
          <w:rFonts w:ascii="Times New Roman" w:hAnsi="Times New Roman" w:cs="Times New Roman" w:eastAsia="Times New Roman" w:hint="default"/>
        </w:rPr>
        <w:t>8</w:t>
      </w:r>
      <w:r>
        <w:rPr/>
        <w:t>、现金及现金等价物的确定标准</w:t>
      </w:r>
      <w:r>
        <w:rPr>
          <w:b w:val="0"/>
          <w:bCs w:val="0"/>
        </w:rPr>
      </w:r>
    </w:p>
    <w:p>
      <w:pPr>
        <w:spacing w:line="240" w:lineRule="auto" w:before="7"/>
        <w:rPr>
          <w:rFonts w:ascii="宋体" w:hAnsi="宋体" w:cs="宋体" w:eastAsia="宋体" w:hint="default"/>
          <w:b/>
          <w:bCs/>
          <w:sz w:val="26"/>
          <w:szCs w:val="26"/>
        </w:rPr>
      </w:pPr>
    </w:p>
    <w:p>
      <w:pPr>
        <w:pStyle w:val="BodyText"/>
        <w:spacing w:line="316" w:lineRule="auto"/>
        <w:ind w:left="154" w:right="1133" w:firstLine="360"/>
        <w:jc w:val="both"/>
      </w:pPr>
      <w:r>
        <w:rPr>
          <w:spacing w:val="-2"/>
        </w:rPr>
        <w:t>本公司现金及现金等价物包括库存现金、可以随时用于支付的存款以及本公司持有的期限短（一般为从购买日起，三个</w:t>
      </w:r>
      <w:r>
        <w:rPr/>
        <w:t> </w:t>
      </w:r>
      <w:r>
        <w:rPr>
          <w:spacing w:val="-3"/>
        </w:rPr>
        <w:t>月内到期）、流动性强、易于转换为已知金额的现金、价值变动风险很小的投资。</w:t>
      </w:r>
    </w:p>
    <w:p>
      <w:pPr>
        <w:spacing w:line="240" w:lineRule="auto" w:before="7"/>
        <w:rPr>
          <w:rFonts w:ascii="宋体" w:hAnsi="宋体" w:cs="宋体" w:eastAsia="宋体" w:hint="default"/>
          <w:sz w:val="22"/>
          <w:szCs w:val="22"/>
        </w:rPr>
      </w:pPr>
    </w:p>
    <w:p>
      <w:pPr>
        <w:pStyle w:val="Heading3"/>
        <w:spacing w:line="240" w:lineRule="auto"/>
        <w:ind w:left="153" w:right="0"/>
        <w:jc w:val="left"/>
        <w:rPr>
          <w:b w:val="0"/>
          <w:bCs w:val="0"/>
        </w:rPr>
      </w:pPr>
      <w:bookmarkStart w:name="9、外币业务和外币报表折算" w:id="179"/>
      <w:bookmarkEnd w:id="179"/>
      <w:r>
        <w:rPr>
          <w:b w:val="0"/>
          <w:bCs w:val="0"/>
        </w:rPr>
      </w:r>
      <w:r>
        <w:rPr>
          <w:rFonts w:ascii="Times New Roman" w:hAnsi="Times New Roman" w:cs="Times New Roman" w:eastAsia="Times New Roman" w:hint="default"/>
        </w:rPr>
        <w:t>9</w:t>
      </w:r>
      <w:r>
        <w:rPr/>
        <w:t>、外币业务和外币报表折算</w:t>
      </w:r>
      <w:r>
        <w:rPr>
          <w:b w:val="0"/>
          <w:bCs w:val="0"/>
        </w:rPr>
      </w:r>
    </w:p>
    <w:p>
      <w:pPr>
        <w:spacing w:line="240" w:lineRule="auto" w:before="7"/>
        <w:rPr>
          <w:rFonts w:ascii="宋体" w:hAnsi="宋体" w:cs="宋体" w:eastAsia="宋体" w:hint="default"/>
          <w:b/>
          <w:bCs/>
          <w:sz w:val="26"/>
          <w:szCs w:val="26"/>
        </w:rPr>
      </w:pPr>
    </w:p>
    <w:p>
      <w:pPr>
        <w:pStyle w:val="BodyText"/>
        <w:spacing w:line="300" w:lineRule="auto"/>
        <w:ind w:left="514" w:right="0"/>
        <w:jc w:val="left"/>
      </w:pPr>
      <w:r>
        <w:rPr/>
        <w:t>（</w:t>
      </w:r>
      <w:r>
        <w:rPr>
          <w:rFonts w:ascii="Times New Roman" w:hAnsi="Times New Roman" w:cs="Times New Roman" w:eastAsia="Times New Roman" w:hint="default"/>
        </w:rPr>
        <w:t>1</w:t>
      </w:r>
      <w:r>
        <w:rPr/>
        <w:t>）外币交易的折算方法 </w:t>
      </w:r>
      <w:r>
        <w:rPr>
          <w:spacing w:val="-2"/>
        </w:rPr>
        <w:t>本公司发生的外币交易在初始确认时，按交易日的即期汇率近似汇率（通常指交易发生日当月月初的汇率）折算为记账</w:t>
      </w:r>
    </w:p>
    <w:p>
      <w:pPr>
        <w:pStyle w:val="BodyText"/>
        <w:spacing w:line="240" w:lineRule="auto" w:before="31"/>
        <w:ind w:left="154" w:right="0"/>
        <w:jc w:val="left"/>
      </w:pPr>
      <w:r>
        <w:rPr/>
        <w:t>本位币金额，但公司发生的外币兑换业务或涉及外币兑换的交易事项，按照实际采用的汇率折算为记账本位币金额。</w:t>
      </w:r>
    </w:p>
    <w:p>
      <w:pPr>
        <w:pStyle w:val="BodyText"/>
        <w:spacing w:line="300" w:lineRule="auto" w:before="76"/>
        <w:ind w:left="514" w:right="0"/>
        <w:jc w:val="left"/>
      </w:pPr>
      <w:r>
        <w:rPr/>
        <w:t>（</w:t>
      </w:r>
      <w:r>
        <w:rPr>
          <w:rFonts w:ascii="Times New Roman" w:hAnsi="Times New Roman" w:cs="Times New Roman" w:eastAsia="Times New Roman" w:hint="default"/>
        </w:rPr>
        <w:t>2</w:t>
      </w:r>
      <w:r>
        <w:rPr/>
        <w:t>）对于外币货币性项目和外币非货币性项目的折算方法 </w:t>
      </w:r>
      <w:r>
        <w:rPr>
          <w:spacing w:val="-2"/>
        </w:rPr>
        <w:t>资产负债表日，对于外币货币性项目采用资产负债表日即期汇率折算，由此产生的汇兑差额，除：①属于与购建符合资</w:t>
      </w:r>
    </w:p>
    <w:p>
      <w:pPr>
        <w:pStyle w:val="BodyText"/>
        <w:spacing w:line="316" w:lineRule="auto" w:before="31"/>
        <w:ind w:left="154" w:right="0"/>
        <w:jc w:val="left"/>
      </w:pPr>
      <w:r>
        <w:rPr>
          <w:spacing w:val="-2"/>
        </w:rPr>
        <w:t>本化条件的资产相关的外币专门借款产生的汇兑差额按照借款费用资本化的原则处理；②可供出售的外币货币性项目除摊余</w:t>
      </w:r>
      <w:r>
        <w:rPr>
          <w:spacing w:val="-64"/>
        </w:rPr>
        <w:t> </w:t>
      </w:r>
      <w:r>
        <w:rPr>
          <w:spacing w:val="-64"/>
        </w:rPr>
      </w:r>
      <w:r>
        <w:rPr/>
        <w:t>成本之外的其他账面余额变动产生的汇兑差额计入其他综合收益之外，均计入当期损益。</w:t>
      </w:r>
    </w:p>
    <w:p>
      <w:pPr>
        <w:pStyle w:val="BodyText"/>
        <w:spacing w:line="316" w:lineRule="auto" w:before="19"/>
        <w:ind w:right="1132" w:firstLine="360"/>
        <w:jc w:val="both"/>
      </w:pPr>
      <w:r>
        <w:rPr>
          <w:spacing w:val="-2"/>
        </w:rPr>
        <w:t>以历史成本计量的外币非货币性项目，仍采用交易发生日的即期汇率折算的记账本位币金额计量。以公允价值计量的外</w:t>
      </w:r>
      <w:r>
        <w:rPr/>
        <w:t> </w:t>
      </w:r>
      <w:r>
        <w:rPr>
          <w:spacing w:val="-2"/>
        </w:rPr>
        <w:t>币非货币性项目，采用公允价值确定日的即期汇率折算，折算后的记账本位币金额与原记账本位币金额的差额，作为公允价</w:t>
      </w:r>
      <w:r>
        <w:rPr>
          <w:spacing w:val="-66"/>
        </w:rPr>
        <w:t> </w:t>
      </w:r>
      <w:r>
        <w:rPr>
          <w:spacing w:val="-66"/>
        </w:rPr>
      </w:r>
      <w:r>
        <w:rPr/>
        <w:t>值变动（含汇率变动）处理，计入当期损益或确认为其他综合收益并计入资本公积。</w:t>
      </w:r>
    </w:p>
    <w:p>
      <w:pPr>
        <w:pStyle w:val="BodyText"/>
        <w:spacing w:line="300" w:lineRule="auto" w:before="19"/>
        <w:ind w:left="514" w:right="0"/>
        <w:jc w:val="left"/>
      </w:pPr>
      <w:r>
        <w:rPr/>
        <w:t>（</w:t>
      </w:r>
      <w:r>
        <w:rPr>
          <w:rFonts w:ascii="Times New Roman" w:hAnsi="Times New Roman" w:cs="Times New Roman" w:eastAsia="Times New Roman" w:hint="default"/>
        </w:rPr>
        <w:t>3</w:t>
      </w:r>
      <w:r>
        <w:rPr/>
        <w:t>）外币财务报表的折算方法 </w:t>
      </w:r>
      <w:r>
        <w:rPr>
          <w:spacing w:val="-2"/>
        </w:rPr>
        <w:t>编制合并财务报表涉及境外经营的，如有实质上构成对境外经营净投资的外币货币性项目，因汇率变动而产生的汇兑差</w:t>
      </w:r>
    </w:p>
    <w:p>
      <w:pPr>
        <w:pStyle w:val="BodyText"/>
        <w:spacing w:line="300" w:lineRule="auto" w:before="31"/>
        <w:ind w:left="514" w:right="0" w:hanging="360"/>
        <w:jc w:val="left"/>
      </w:pPr>
      <w:r>
        <w:rPr/>
        <w:t>额，列入股东权益</w:t>
      </w:r>
      <w:r>
        <w:rPr>
          <w:rFonts w:ascii="Times New Roman" w:hAnsi="Times New Roman" w:cs="Times New Roman" w:eastAsia="Times New Roman" w:hint="default"/>
        </w:rPr>
        <w:t>“</w:t>
      </w:r>
      <w:r>
        <w:rPr/>
        <w:t>外币报表折算差额</w:t>
      </w:r>
      <w:r>
        <w:rPr>
          <w:rFonts w:ascii="Times New Roman" w:hAnsi="Times New Roman" w:cs="Times New Roman" w:eastAsia="Times New Roman" w:hint="default"/>
        </w:rPr>
        <w:t>”</w:t>
      </w:r>
      <w:r>
        <w:rPr/>
        <w:t>项目；处置境外经营时，计入处置当期损益。 </w:t>
      </w:r>
      <w:r>
        <w:rPr>
          <w:spacing w:val="-2"/>
        </w:rPr>
        <w:t>境外经营的外币财务报表按以下方法折算为人民币报表：资产负债表中的资产和负债项目，采用资产负债表日的即期汇</w:t>
      </w:r>
    </w:p>
    <w:p>
      <w:pPr>
        <w:pStyle w:val="BodyText"/>
        <w:spacing w:line="314" w:lineRule="auto" w:before="31"/>
        <w:ind w:left="154" w:right="0"/>
        <w:jc w:val="left"/>
      </w:pPr>
      <w:r>
        <w:rPr/>
        <w:t>率折算；股东权益类项目除</w:t>
      </w:r>
      <w:r>
        <w:rPr>
          <w:rFonts w:ascii="Times New Roman" w:hAnsi="Times New Roman" w:cs="Times New Roman" w:eastAsia="Times New Roman" w:hint="default"/>
        </w:rPr>
        <w:t>“</w:t>
      </w:r>
      <w:r>
        <w:rPr/>
        <w:t>未分配利润</w:t>
      </w:r>
      <w:r>
        <w:rPr>
          <w:rFonts w:ascii="Times New Roman" w:hAnsi="Times New Roman" w:cs="Times New Roman" w:eastAsia="Times New Roman" w:hint="default"/>
        </w:rPr>
        <w:t>”</w:t>
      </w:r>
      <w:r>
        <w:rPr/>
        <w:t>项目外，其他项目采用发生时的即期近似汇率折算。利润表中的收入和费用项目，</w:t>
      </w:r>
      <w:r>
        <w:rPr>
          <w:spacing w:val="-68"/>
        </w:rPr>
        <w:t> </w:t>
      </w:r>
      <w:r>
        <w:rPr>
          <w:spacing w:val="-68"/>
        </w:rPr>
      </w:r>
      <w:r>
        <w:rPr>
          <w:spacing w:val="-2"/>
        </w:rPr>
        <w:t>采用交易发生日的即期近似汇率折算。年初未分配利润为上一年折算后的年末未分配利润；年末未分配利润按折算后的利润</w:t>
      </w:r>
      <w:r>
        <w:rPr>
          <w:spacing w:val="-64"/>
        </w:rPr>
        <w:t> </w:t>
      </w:r>
      <w:r>
        <w:rPr>
          <w:spacing w:val="-64"/>
        </w:rPr>
      </w:r>
      <w:r>
        <w:rPr>
          <w:spacing w:val="-2"/>
        </w:rPr>
        <w:t>分配各项目计算列示；折算后资产类项目与负债类项目和股东权益类项目合计数的差额，作为外币报表折算差额，确认为其</w:t>
      </w:r>
      <w:r>
        <w:rPr>
          <w:spacing w:val="-66"/>
        </w:rPr>
        <w:t> </w:t>
      </w:r>
      <w:r>
        <w:rPr>
          <w:spacing w:val="-66"/>
        </w:rPr>
      </w:r>
      <w:r>
        <w:rPr>
          <w:spacing w:val="-2"/>
        </w:rPr>
        <w:t>他综合收益并在资产负债表中股东权益项目下单独列示。处置境外经营并丧失控制权时，将资产负债表中股东权益项目下列</w:t>
      </w:r>
      <w:r>
        <w:rPr>
          <w:spacing w:val="-64"/>
        </w:rPr>
        <w:t> </w:t>
      </w:r>
      <w:r>
        <w:rPr>
          <w:spacing w:val="-64"/>
        </w:rPr>
      </w:r>
      <w:r>
        <w:rPr/>
        <w:t>示的、与该境外经营相关的外币报表折算差额，全部或按处置该境外经营的比例转入处置当期损益。</w:t>
      </w:r>
    </w:p>
    <w:p>
      <w:pPr>
        <w:pStyle w:val="BodyText"/>
        <w:spacing w:line="316" w:lineRule="auto" w:before="20"/>
        <w:ind w:left="154" w:right="1133" w:firstLine="360"/>
        <w:jc w:val="both"/>
      </w:pPr>
      <w:r>
        <w:rPr>
          <w:spacing w:val="-2"/>
        </w:rPr>
        <w:t>外币现金流量，采用现金流量发生日的即期近似汇率折算。汇率变动对现金的影响额作为调节项目，在现金流量表中单</w:t>
      </w:r>
      <w:r>
        <w:rPr/>
        <w:t> 独列报。</w:t>
      </w:r>
    </w:p>
    <w:p>
      <w:pPr>
        <w:pStyle w:val="BodyText"/>
        <w:spacing w:line="240" w:lineRule="auto" w:before="19"/>
        <w:ind w:left="514" w:right="0"/>
        <w:jc w:val="left"/>
      </w:pPr>
      <w:r>
        <w:rPr/>
        <w:t>年初余额和上年实际数按照上年财务报表折算后的数额列示。</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10、金融工具" w:id="180"/>
      <w:bookmarkEnd w:id="180"/>
      <w:r>
        <w:rPr>
          <w:b w:val="0"/>
          <w:bCs w:val="0"/>
        </w:rPr>
      </w:r>
      <w:r>
        <w:rPr>
          <w:rFonts w:ascii="Times New Roman" w:hAnsi="Times New Roman" w:cs="Times New Roman" w:eastAsia="Times New Roman" w:hint="default"/>
        </w:rPr>
        <w:t>10</w:t>
      </w:r>
      <w:r>
        <w:rPr/>
        <w:t>、金融工具</w:t>
      </w:r>
      <w:r>
        <w:rPr>
          <w:b w:val="0"/>
          <w:bCs w:val="0"/>
        </w:rPr>
      </w:r>
    </w:p>
    <w:p>
      <w:pPr>
        <w:spacing w:line="240" w:lineRule="auto" w:before="7"/>
        <w:rPr>
          <w:rFonts w:ascii="宋体" w:hAnsi="宋体" w:cs="宋体" w:eastAsia="宋体" w:hint="default"/>
          <w:b/>
          <w:bCs/>
          <w:sz w:val="26"/>
          <w:szCs w:val="26"/>
        </w:rPr>
      </w:pPr>
    </w:p>
    <w:p>
      <w:pPr>
        <w:pStyle w:val="BodyText"/>
        <w:spacing w:line="316" w:lineRule="auto"/>
        <w:ind w:left="154" w:right="0" w:firstLine="360"/>
        <w:jc w:val="left"/>
      </w:pPr>
      <w:r>
        <w:rPr>
          <w:spacing w:val="-2"/>
        </w:rPr>
        <w:t>在本公司成为金融工具合同的一方时确认一项金融资产或金融负债。金融资产和金融负债在初始确认时以公允价值计量。</w:t>
      </w:r>
      <w:r>
        <w:rPr/>
        <w:t> 对于以公允价值计量且其变动计入当期损益的金融资产和金融负债，相关的交易费用直接计入损益，对于其他类别的金融资</w:t>
      </w:r>
    </w:p>
    <w:p>
      <w:pPr>
        <w:spacing w:after="0" w:line="316"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240" w:lineRule="auto" w:before="44"/>
        <w:ind w:right="0"/>
        <w:jc w:val="left"/>
      </w:pPr>
      <w:r>
        <w:rPr/>
        <w:t>产和金融负债，相关交易费用计入初始确认金额。</w:t>
      </w:r>
    </w:p>
    <w:p>
      <w:pPr>
        <w:pStyle w:val="BodyText"/>
        <w:spacing w:line="300" w:lineRule="auto" w:before="76"/>
        <w:ind w:left="514" w:right="0"/>
        <w:jc w:val="left"/>
      </w:pPr>
      <w:r>
        <w:rPr/>
        <w:t>（</w:t>
      </w:r>
      <w:r>
        <w:rPr>
          <w:rFonts w:ascii="Times New Roman" w:hAnsi="Times New Roman" w:cs="Times New Roman" w:eastAsia="Times New Roman" w:hint="default"/>
        </w:rPr>
        <w:t>1</w:t>
      </w:r>
      <w:r>
        <w:rPr/>
        <w:t>）金融资产和金融负债的公允价值确定方法 </w:t>
      </w:r>
      <w:r>
        <w:rPr>
          <w:spacing w:val="-2"/>
        </w:rPr>
        <w:t>公允价值，是指市场参与者在计量日发生的有序交易中，出售一项资产所能收到或者转移一项负债所需支付的价格。金</w:t>
      </w:r>
    </w:p>
    <w:p>
      <w:pPr>
        <w:pStyle w:val="BodyText"/>
        <w:spacing w:line="319" w:lineRule="auto" w:before="31"/>
        <w:ind w:left="154" w:right="1032"/>
        <w:jc w:val="left"/>
      </w:pPr>
      <w:r>
        <w:rPr>
          <w:spacing w:val="-5"/>
        </w:rPr>
        <w:t>融工具存在活跃市场的，本公司采用活跃市场中的报价确定其公允价值。活跃市场中的报价是指易于定期从交易所、经纪商、</w:t>
      </w:r>
      <w:r>
        <w:rPr>
          <w:spacing w:val="-79"/>
        </w:rPr>
        <w:t> </w:t>
      </w:r>
      <w:r>
        <w:rPr>
          <w:spacing w:val="-79"/>
        </w:rPr>
      </w:r>
      <w:r>
        <w:rPr/>
        <w:t>行业协会、定价服务机构等获得的价格，且代表了在公平交易中实际发生的市场交易的价格。金融工具不存在活跃市场的，</w:t>
      </w:r>
      <w:r>
        <w:rPr>
          <w:spacing w:val="-85"/>
        </w:rPr>
        <w:t> </w:t>
      </w:r>
      <w:r>
        <w:rPr>
          <w:spacing w:val="-85"/>
        </w:rPr>
      </w:r>
      <w:r>
        <w:rPr>
          <w:spacing w:val="-2"/>
        </w:rPr>
        <w:t>本公司采用估值技术确定其公允价值。估值技术包括参考熟悉情况并自愿交易的各方最近进行的市场交易中使用的价格、参</w:t>
      </w:r>
      <w:r>
        <w:rPr>
          <w:spacing w:val="-64"/>
        </w:rPr>
        <w:t> </w:t>
      </w:r>
      <w:r>
        <w:rPr>
          <w:spacing w:val="-64"/>
        </w:rPr>
      </w:r>
      <w:r>
        <w:rPr/>
        <w:t>照实质上相同的其他金融工具当前的公允价值、现金流量折现法和期权定价模型等。</w:t>
      </w:r>
    </w:p>
    <w:p>
      <w:pPr>
        <w:pStyle w:val="BodyText"/>
        <w:spacing w:line="300" w:lineRule="auto" w:before="17"/>
        <w:ind w:left="513" w:right="0"/>
        <w:jc w:val="left"/>
      </w:pPr>
      <w:r>
        <w:rPr/>
        <w:t>（</w:t>
      </w:r>
      <w:r>
        <w:rPr>
          <w:rFonts w:ascii="Times New Roman" w:hAnsi="Times New Roman" w:cs="Times New Roman" w:eastAsia="Times New Roman" w:hint="default"/>
        </w:rPr>
        <w:t>2</w:t>
      </w:r>
      <w:r>
        <w:rPr/>
        <w:t>）金融资产的分类、确认和计量 </w:t>
      </w:r>
      <w:r>
        <w:rPr>
          <w:spacing w:val="-2"/>
        </w:rPr>
        <w:t>以常规方式买卖金融资产，按交易日进行会计确认和终止确认。金融资产在初始确认时划分为以公允价值计量且其变动</w:t>
      </w:r>
    </w:p>
    <w:p>
      <w:pPr>
        <w:pStyle w:val="BodyText"/>
        <w:spacing w:line="240" w:lineRule="auto" w:before="31"/>
        <w:ind w:right="0"/>
        <w:jc w:val="left"/>
      </w:pPr>
      <w:r>
        <w:rPr/>
        <w:t>计入当期损益的金融资产、持有至到期投资、贷款和应收款项以及可供出售金融资产。</w:t>
      </w:r>
    </w:p>
    <w:p>
      <w:pPr>
        <w:pStyle w:val="BodyText"/>
        <w:spacing w:line="316" w:lineRule="auto" w:before="76"/>
        <w:ind w:left="513" w:right="0"/>
        <w:jc w:val="left"/>
      </w:pPr>
      <w:r>
        <w:rPr/>
        <w:t>①公允价值计量且其变动计入当期损益的金融资产 包括交易性金融资产和指定为以公允价值计量且其变动计入当期损益的金融资产。 </w:t>
      </w:r>
      <w:r>
        <w:rPr>
          <w:spacing w:val="-2"/>
        </w:rPr>
        <w:t>交易性金融资产是指满足下列条件之一的金融资产：</w:t>
      </w:r>
      <w:r>
        <w:rPr>
          <w:rFonts w:ascii="Times New Roman" w:hAnsi="Times New Roman" w:cs="Times New Roman" w:eastAsia="Times New Roman" w:hint="default"/>
          <w:spacing w:val="-2"/>
        </w:rPr>
        <w:t>A.</w:t>
      </w:r>
      <w:r>
        <w:rPr>
          <w:spacing w:val="-2"/>
        </w:rPr>
        <w:t>取得该金融资产的目的，主要是为了近期内出售；</w:t>
      </w:r>
      <w:r>
        <w:rPr>
          <w:rFonts w:ascii="Times New Roman" w:hAnsi="Times New Roman" w:cs="Times New Roman" w:eastAsia="Times New Roman" w:hint="default"/>
          <w:spacing w:val="-2"/>
        </w:rPr>
        <w:t>B.</w:t>
      </w:r>
      <w:r>
        <w:rPr>
          <w:spacing w:val="-2"/>
        </w:rPr>
        <w:t>属于进行集</w:t>
      </w:r>
    </w:p>
    <w:p>
      <w:pPr>
        <w:pStyle w:val="BodyText"/>
        <w:spacing w:line="309" w:lineRule="auto"/>
        <w:ind w:right="1130"/>
        <w:jc w:val="both"/>
      </w:pPr>
      <w:r>
        <w:rPr>
          <w:spacing w:val="-2"/>
        </w:rPr>
        <w:t>中管理的可辨认金融工具组合的一部分，且有客观证据表明本公司近期采用短期获利方式对该组合进行管理；</w:t>
      </w:r>
      <w:r>
        <w:rPr>
          <w:rFonts w:ascii="Times New Roman" w:hAnsi="Times New Roman" w:cs="Times New Roman" w:eastAsia="Times New Roman" w:hint="default"/>
          <w:spacing w:val="-2"/>
        </w:rPr>
        <w:t>C.</w:t>
      </w:r>
      <w:r>
        <w:rPr>
          <w:spacing w:val="-2"/>
        </w:rPr>
        <w:t>属于衍生工</w:t>
      </w:r>
      <w:r>
        <w:rPr>
          <w:spacing w:val="-48"/>
        </w:rPr>
        <w:t> </w:t>
      </w:r>
      <w:r>
        <w:rPr>
          <w:spacing w:val="-2"/>
        </w:rPr>
        <w:t>具，但是，被指定且为有效套期工具的衍生工具、属于财务担保合同的衍生工具、与在活跃市场中没有报价且其公允价值不</w:t>
      </w:r>
      <w:r>
        <w:rPr>
          <w:spacing w:val="-66"/>
        </w:rPr>
        <w:t> </w:t>
      </w:r>
      <w:r>
        <w:rPr>
          <w:spacing w:val="-66"/>
        </w:rPr>
      </w:r>
      <w:r>
        <w:rPr/>
        <w:t>能可靠计量的权益工具投资挂钩并须通过交付该权益工具结算的衍生工具除外。</w:t>
      </w:r>
    </w:p>
    <w:p>
      <w:pPr>
        <w:pStyle w:val="BodyText"/>
        <w:spacing w:line="307" w:lineRule="auto" w:before="24"/>
        <w:ind w:right="1130" w:firstLine="360"/>
        <w:jc w:val="both"/>
      </w:pPr>
      <w:r>
        <w:rPr>
          <w:spacing w:val="-2"/>
        </w:rPr>
        <w:t>符合下述条件之一的金融资产，在初始确认时可指定为以公允价值计量且其变动计入当期损益的金融资产：</w:t>
      </w:r>
      <w:r>
        <w:rPr>
          <w:rFonts w:ascii="Times New Roman" w:hAnsi="Times New Roman" w:cs="Times New Roman" w:eastAsia="Times New Roman" w:hint="default"/>
          <w:spacing w:val="-2"/>
        </w:rPr>
        <w:t>A.</w:t>
      </w:r>
      <w:r>
        <w:rPr>
          <w:spacing w:val="-2"/>
        </w:rPr>
        <w:t>该指定可</w:t>
      </w:r>
      <w:r>
        <w:rPr/>
        <w:t> </w:t>
      </w:r>
      <w:r>
        <w:rPr>
          <w:spacing w:val="-2"/>
        </w:rPr>
        <w:t>以消除或明显减少由于该金融资产的计量基础不同所导致的相关利得或损失在确认或计量方面不一致的情况；</w:t>
      </w:r>
      <w:r>
        <w:rPr>
          <w:rFonts w:ascii="Times New Roman" w:hAnsi="Times New Roman" w:cs="Times New Roman" w:eastAsia="Times New Roman" w:hint="default"/>
          <w:spacing w:val="-2"/>
        </w:rPr>
        <w:t>B.</w:t>
      </w:r>
      <w:r>
        <w:rPr>
          <w:spacing w:val="-2"/>
        </w:rPr>
        <w:t>本公司风险</w:t>
      </w:r>
      <w:r>
        <w:rPr>
          <w:spacing w:val="-48"/>
        </w:rPr>
        <w:t> </w:t>
      </w:r>
      <w:r>
        <w:rPr>
          <w:spacing w:val="-2"/>
        </w:rPr>
        <w:t>管理或投资策略的正式书面文件已载明，对该金融资产所在的金融资产组合或金融资产和金融负债组合以公允价值为基础进</w:t>
      </w:r>
      <w:r>
        <w:rPr>
          <w:spacing w:val="-64"/>
        </w:rPr>
        <w:t> </w:t>
      </w:r>
      <w:r>
        <w:rPr>
          <w:spacing w:val="-64"/>
        </w:rPr>
      </w:r>
      <w:r>
        <w:rPr/>
        <w:t>行管理、评价并向关键管理人员报告。</w:t>
      </w:r>
    </w:p>
    <w:p>
      <w:pPr>
        <w:pStyle w:val="BodyText"/>
        <w:spacing w:line="316" w:lineRule="auto" w:before="26"/>
        <w:ind w:right="1131" w:firstLine="360"/>
        <w:jc w:val="both"/>
      </w:pPr>
      <w:r>
        <w:rPr>
          <w:spacing w:val="-2"/>
        </w:rPr>
        <w:t>以公允价值计量且其变动计入当期损益的金融资产采用公允价值进行后续计量，公允价值变动形成的利得或损失以及与</w:t>
      </w:r>
      <w:r>
        <w:rPr/>
        <w:t> 该等金融资产相关的股利和利息收入计入当期损益。</w:t>
      </w:r>
    </w:p>
    <w:p>
      <w:pPr>
        <w:pStyle w:val="BodyText"/>
        <w:spacing w:line="316" w:lineRule="auto" w:before="19"/>
        <w:ind w:left="513" w:right="1118"/>
        <w:jc w:val="left"/>
      </w:pPr>
      <w:r>
        <w:rPr/>
        <w:t>②持有至到期投资 是指到期日固定、回收金额固定或可确定，且本公司有明确意图和能力持有至到期的非衍生金融资产。 </w:t>
      </w:r>
      <w:r>
        <w:rPr>
          <w:spacing w:val="-2"/>
        </w:rPr>
        <w:t>持有至到期投资采用实际利率法，按摊余成本进行后续计量，在终止确认、发生减值或摊销时产生的利得或损失，计入</w:t>
      </w:r>
    </w:p>
    <w:p>
      <w:pPr>
        <w:pStyle w:val="BodyText"/>
        <w:spacing w:line="240" w:lineRule="auto" w:before="19"/>
        <w:ind w:right="0"/>
        <w:jc w:val="left"/>
      </w:pPr>
      <w:r>
        <w:rPr/>
        <w:t>当期损益。</w:t>
      </w:r>
    </w:p>
    <w:p>
      <w:pPr>
        <w:pStyle w:val="BodyText"/>
        <w:spacing w:line="316" w:lineRule="auto" w:before="76"/>
        <w:ind w:right="1132" w:firstLine="360"/>
        <w:jc w:val="both"/>
      </w:pPr>
      <w:r>
        <w:rPr>
          <w:spacing w:val="-2"/>
        </w:rPr>
        <w:t>实际利率法是指按照金融资产或金融负债（含一组金融资产或金融负债）的实际利率计算其摊余成本及各期利息收入或</w:t>
      </w:r>
      <w:r>
        <w:rPr/>
        <w:t> </w:t>
      </w:r>
      <w:r>
        <w:rPr>
          <w:spacing w:val="-2"/>
        </w:rPr>
        <w:t>支出的方法。实际利率是指将金融资产或金融负债在预期存续期间或适用的更短期间内的未来现金流量，折现为该金融资产</w:t>
      </w:r>
      <w:r>
        <w:rPr>
          <w:spacing w:val="-64"/>
        </w:rPr>
        <w:t> </w:t>
      </w:r>
      <w:r>
        <w:rPr>
          <w:spacing w:val="-64"/>
        </w:rPr>
      </w:r>
      <w:r>
        <w:rPr/>
        <w:t>或金融负债当前账面价值所使用的利率。</w:t>
      </w:r>
    </w:p>
    <w:p>
      <w:pPr>
        <w:pStyle w:val="BodyText"/>
        <w:spacing w:line="316" w:lineRule="auto" w:before="19"/>
        <w:ind w:right="1130" w:firstLine="360"/>
        <w:jc w:val="both"/>
      </w:pPr>
      <w:r>
        <w:rPr>
          <w:spacing w:val="-2"/>
        </w:rPr>
        <w:t>在计算实际利率时，本公司将在考虑金融资产或金融负债所有合同条款的基础上预计未来现金流量（不考虑未来的信用</w:t>
      </w:r>
      <w:r>
        <w:rPr/>
        <w:t> </w:t>
      </w:r>
      <w:r>
        <w:rPr>
          <w:spacing w:val="-2"/>
        </w:rPr>
        <w:t>损失），同时还将考虑金融资产或金融负债合同各方之间支付或收取的、属于实际利率组成部分的各项收费、交易费用及折</w:t>
      </w:r>
      <w:r>
        <w:rPr>
          <w:spacing w:val="-64"/>
        </w:rPr>
        <w:t> </w:t>
      </w:r>
      <w:r>
        <w:rPr>
          <w:spacing w:val="-64"/>
        </w:rPr>
      </w:r>
      <w:r>
        <w:rPr/>
        <w:t>价或溢价等。</w:t>
      </w:r>
    </w:p>
    <w:p>
      <w:pPr>
        <w:pStyle w:val="BodyText"/>
        <w:spacing w:line="316" w:lineRule="auto" w:before="19"/>
        <w:ind w:left="513" w:right="0"/>
        <w:jc w:val="left"/>
      </w:pPr>
      <w:r>
        <w:rPr/>
        <w:t>③贷款和应收款项 </w:t>
      </w:r>
      <w:r>
        <w:rPr>
          <w:spacing w:val="-2"/>
        </w:rPr>
        <w:t>是指在活跃市场中没有报价、回收金额固定或可确定的非衍生金融资产。本公司划分为贷款和应收款的金融资产包括应</w:t>
      </w:r>
    </w:p>
    <w:p>
      <w:pPr>
        <w:pStyle w:val="BodyText"/>
        <w:spacing w:line="316" w:lineRule="auto" w:before="19"/>
        <w:ind w:left="513" w:right="0" w:hanging="360"/>
        <w:jc w:val="left"/>
      </w:pPr>
      <w:r>
        <w:rPr/>
        <w:t>收票据、应收账款、应收利息、应收股利及其他应收款等。 </w:t>
      </w:r>
      <w:r>
        <w:rPr>
          <w:spacing w:val="-2"/>
        </w:rPr>
        <w:t>贷款和应收款项采用实际利率法，按摊余成本进行后续计量，在终止确认、发生减值或摊销时产生的利得或损失，计入</w:t>
      </w:r>
    </w:p>
    <w:p>
      <w:pPr>
        <w:pStyle w:val="BodyText"/>
        <w:spacing w:line="240" w:lineRule="auto" w:before="19"/>
        <w:ind w:right="0"/>
        <w:jc w:val="left"/>
      </w:pPr>
      <w:r>
        <w:rPr/>
        <w:t>当期损益。</w:t>
      </w:r>
    </w:p>
    <w:p>
      <w:pPr>
        <w:pStyle w:val="BodyText"/>
        <w:spacing w:line="316" w:lineRule="auto" w:before="76"/>
        <w:ind w:left="513" w:right="1033"/>
        <w:jc w:val="left"/>
      </w:pPr>
      <w:r>
        <w:rPr/>
        <w:t>④可供出售金融资产 包括初始确认时即被指定为可供出售的非衍生金融资产，以及除了以公允价值计量且其变动计入当期损益的金融资产、</w:t>
      </w:r>
    </w:p>
    <w:p>
      <w:pPr>
        <w:pStyle w:val="BodyText"/>
        <w:spacing w:line="319" w:lineRule="auto" w:before="19"/>
        <w:ind w:left="513" w:right="0" w:hanging="360"/>
        <w:jc w:val="left"/>
      </w:pPr>
      <w:r>
        <w:rPr/>
        <w:t>贷款和应收款项、持有至到期投资以外的金融资产。 </w:t>
      </w:r>
      <w:r>
        <w:rPr>
          <w:spacing w:val="-2"/>
        </w:rPr>
        <w:t>可供出售债务工具投资的期末成本按照其摊余成本法确定，即初始确认金额扣除已偿还的本金，加上或减去采用实际利</w:t>
      </w:r>
    </w:p>
    <w:p>
      <w:pPr>
        <w:pStyle w:val="BodyText"/>
        <w:spacing w:line="316" w:lineRule="auto" w:before="17"/>
        <w:ind w:right="0"/>
        <w:jc w:val="left"/>
      </w:pPr>
      <w:r>
        <w:rPr>
          <w:spacing w:val="-2"/>
        </w:rPr>
        <w:t>率法将该初始确认金额与到期日金额之间的差额进行摊销形成的累计摊销额，并扣除已发生的减值损失后的金额。可供出售</w:t>
      </w:r>
      <w:r>
        <w:rPr>
          <w:spacing w:val="-64"/>
        </w:rPr>
        <w:t> </w:t>
      </w:r>
      <w:r>
        <w:rPr>
          <w:spacing w:val="-64"/>
        </w:rPr>
      </w:r>
      <w:r>
        <w:rPr/>
        <w:t>权益工具投资的期末成本为其初始取得成本。</w:t>
      </w:r>
    </w:p>
    <w:p>
      <w:pPr>
        <w:pStyle w:val="BodyText"/>
        <w:spacing w:line="240" w:lineRule="auto" w:before="19"/>
        <w:ind w:left="513" w:right="0"/>
        <w:jc w:val="left"/>
      </w:pPr>
      <w:r>
        <w:rPr/>
        <w:t>可供出售金融资产采用公允价值进行后续计量，公允价值变动形成的利得或损失，除减值损失和外币货币性金融资产与</w:t>
      </w:r>
    </w:p>
    <w:p>
      <w:pPr>
        <w:spacing w:after="0" w:line="240"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16" w:lineRule="auto" w:before="44"/>
        <w:ind w:left="154" w:right="1131"/>
        <w:jc w:val="both"/>
      </w:pPr>
      <w:r>
        <w:rPr>
          <w:spacing w:val="-2"/>
        </w:rPr>
        <w:t>摊余成本相关的汇兑差额计入当期损益外，确认为其他综合收益，在该金融资产终止确认时转出，计入当期损益。但是，在</w:t>
      </w:r>
      <w:r>
        <w:rPr>
          <w:spacing w:val="-67"/>
        </w:rPr>
        <w:t> </w:t>
      </w:r>
      <w:r>
        <w:rPr>
          <w:spacing w:val="-67"/>
        </w:rPr>
      </w:r>
      <w:r>
        <w:rPr>
          <w:spacing w:val="-2"/>
        </w:rPr>
        <w:t>活跃市场中没有报价且其公允价值不能可靠计量的权益工具投资，以及与该权益工具挂钩并须通过交付该权益工具结算的衍</w:t>
      </w:r>
      <w:r>
        <w:rPr>
          <w:spacing w:val="-64"/>
        </w:rPr>
        <w:t> </w:t>
      </w:r>
      <w:r>
        <w:rPr>
          <w:spacing w:val="-64"/>
        </w:rPr>
      </w:r>
      <w:r>
        <w:rPr/>
        <w:t>生金融资产，按照成本进行后续计量。</w:t>
      </w:r>
    </w:p>
    <w:p>
      <w:pPr>
        <w:pStyle w:val="BodyText"/>
        <w:spacing w:line="240" w:lineRule="auto" w:before="19"/>
        <w:ind w:left="514" w:right="0"/>
        <w:jc w:val="left"/>
      </w:pPr>
      <w:r>
        <w:rPr/>
        <w:t>可供出售金融资产持有期间取得的利息及被投资单位宣告发放的现金股利，计入投资收益。</w:t>
      </w:r>
    </w:p>
    <w:p>
      <w:pPr>
        <w:pStyle w:val="BodyText"/>
        <w:spacing w:line="300" w:lineRule="auto" w:before="77"/>
        <w:ind w:left="514" w:right="0"/>
        <w:jc w:val="left"/>
      </w:pPr>
      <w:r>
        <w:rPr/>
        <w:t>（</w:t>
      </w:r>
      <w:r>
        <w:rPr>
          <w:rFonts w:ascii="Times New Roman" w:hAnsi="Times New Roman" w:cs="Times New Roman" w:eastAsia="Times New Roman" w:hint="default"/>
        </w:rPr>
        <w:t>3</w:t>
      </w:r>
      <w:r>
        <w:rPr/>
        <w:t>）金融资产减值 </w:t>
      </w:r>
      <w:r>
        <w:rPr>
          <w:spacing w:val="-2"/>
        </w:rPr>
        <w:t>除了以公允价值计量且其变动计入当期损益的金融资产外，本公司在每个资产负债表日对其他金融资产的账面价值进行</w:t>
      </w:r>
    </w:p>
    <w:p>
      <w:pPr>
        <w:pStyle w:val="BodyText"/>
        <w:spacing w:line="316" w:lineRule="auto" w:before="31"/>
        <w:ind w:left="514" w:right="0" w:hanging="360"/>
        <w:jc w:val="left"/>
      </w:pPr>
      <w:r>
        <w:rPr/>
        <w:t>检查，有客观证据表明金融资产发生减值的，计提减值准备。 </w:t>
      </w:r>
      <w:r>
        <w:rPr>
          <w:spacing w:val="-2"/>
        </w:rPr>
        <w:t>本公司对单项金额重大的金融资产单独进行减值测试；对单项金额不重大的金融资产，单独进行减值测试或包括在具有</w:t>
      </w:r>
    </w:p>
    <w:p>
      <w:pPr>
        <w:pStyle w:val="BodyText"/>
        <w:spacing w:line="316" w:lineRule="auto" w:before="19"/>
        <w:ind w:left="154" w:right="1131"/>
        <w:jc w:val="both"/>
      </w:pPr>
      <w:r>
        <w:rPr>
          <w:spacing w:val="-2"/>
        </w:rPr>
        <w:t>类似信用风险特征的金融资产组合中进行减值测试。单独测试未发生减值的金融资产（包括单项金额重大和不重大的金融资</w:t>
      </w:r>
      <w:r>
        <w:rPr>
          <w:spacing w:val="-64"/>
        </w:rPr>
        <w:t> </w:t>
      </w:r>
      <w:r>
        <w:rPr>
          <w:spacing w:val="-64"/>
        </w:rPr>
      </w:r>
      <w:r>
        <w:rPr>
          <w:spacing w:val="-2"/>
        </w:rPr>
        <w:t>产），包括在具有类似信用风险特征的金融资产组合中再进行减值测试。已单项确认减值损失的金融资产，不包括在具有类</w:t>
      </w:r>
      <w:r>
        <w:rPr>
          <w:spacing w:val="-65"/>
        </w:rPr>
        <w:t> </w:t>
      </w:r>
      <w:r>
        <w:rPr>
          <w:spacing w:val="-65"/>
        </w:rPr>
      </w:r>
      <w:r>
        <w:rPr/>
        <w:t>似信用风险特征的金融资产组合中进行减值测试。</w:t>
      </w:r>
    </w:p>
    <w:p>
      <w:pPr>
        <w:pStyle w:val="BodyText"/>
        <w:spacing w:line="316" w:lineRule="auto" w:before="19"/>
        <w:ind w:left="513" w:right="0"/>
        <w:jc w:val="left"/>
      </w:pPr>
      <w:r>
        <w:rPr/>
        <w:t>①有至到期投资、贷款和应收款项减值 </w:t>
      </w:r>
      <w:r>
        <w:rPr>
          <w:spacing w:val="-2"/>
        </w:rPr>
        <w:t>以成本或摊余成本计量的金融资产将其账面价值减记至预计未来现金流量现值，减记金额确认为减值损失，计入当期损</w:t>
      </w:r>
    </w:p>
    <w:p>
      <w:pPr>
        <w:pStyle w:val="BodyText"/>
        <w:spacing w:line="316" w:lineRule="auto" w:before="19"/>
        <w:ind w:right="1131"/>
        <w:jc w:val="both"/>
      </w:pPr>
      <w:r>
        <w:rPr>
          <w:spacing w:val="-2"/>
        </w:rPr>
        <w:t>益。金融资产在确认减值损失后，如有客观证据表明该金融资产价值已恢复，且客观上与确认该损失后发生的事项有关，原</w:t>
      </w:r>
      <w:r>
        <w:rPr>
          <w:spacing w:val="-66"/>
        </w:rPr>
        <w:t> </w:t>
      </w:r>
      <w:r>
        <w:rPr>
          <w:spacing w:val="-66"/>
        </w:rPr>
      </w:r>
      <w:r>
        <w:rPr>
          <w:spacing w:val="-2"/>
        </w:rPr>
        <w:t>确认的减值损失予以转回，金融资产转回减值损失后的账面价值不超过假定不计提减值准备情况下该金融资产在转回日的摊</w:t>
      </w:r>
      <w:r>
        <w:rPr>
          <w:spacing w:val="-64"/>
        </w:rPr>
        <w:t> </w:t>
      </w:r>
      <w:r>
        <w:rPr>
          <w:spacing w:val="-64"/>
        </w:rPr>
      </w:r>
      <w:r>
        <w:rPr/>
        <w:t>余成本。</w:t>
      </w:r>
    </w:p>
    <w:p>
      <w:pPr>
        <w:pStyle w:val="BodyText"/>
        <w:spacing w:line="316" w:lineRule="auto" w:before="19"/>
        <w:ind w:left="514" w:right="0"/>
        <w:jc w:val="left"/>
      </w:pPr>
      <w:r>
        <w:rPr/>
        <w:t>②可供出售金融资产减值 </w:t>
      </w:r>
      <w:r>
        <w:rPr>
          <w:spacing w:val="-2"/>
        </w:rPr>
        <w:t>当综合相关因素判断可供出售权益工具投资公允价值下跌是严重或非暂时性下跌时，表明该可供出售权益工具投资发生</w:t>
      </w:r>
    </w:p>
    <w:p>
      <w:pPr>
        <w:pStyle w:val="BodyText"/>
        <w:spacing w:line="300" w:lineRule="auto" w:before="19"/>
        <w:ind w:left="513" w:right="0" w:hanging="360"/>
        <w:jc w:val="left"/>
      </w:pPr>
      <w:r>
        <w:rPr/>
        <w:t>减值。其中</w:t>
      </w:r>
      <w:r>
        <w:rPr>
          <w:rFonts w:ascii="Times New Roman" w:hAnsi="Times New Roman" w:cs="Times New Roman" w:eastAsia="Times New Roman" w:hint="default"/>
        </w:rPr>
        <w:t>“</w:t>
      </w:r>
      <w:r>
        <w:rPr/>
        <w:t>严重下跌</w:t>
      </w:r>
      <w:r>
        <w:rPr>
          <w:rFonts w:ascii="Times New Roman" w:hAnsi="Times New Roman" w:cs="Times New Roman" w:eastAsia="Times New Roman" w:hint="default"/>
        </w:rPr>
        <w:t>”</w:t>
      </w:r>
      <w:r>
        <w:rPr/>
        <w:t>是指公允价值下跌幅度累计超过</w:t>
      </w:r>
      <w:r>
        <w:rPr>
          <w:rFonts w:ascii="Times New Roman" w:hAnsi="Times New Roman" w:cs="Times New Roman" w:eastAsia="Times New Roman" w:hint="default"/>
        </w:rPr>
        <w:t>20%</w:t>
      </w:r>
      <w:r>
        <w:rPr/>
        <w:t>；</w:t>
      </w:r>
      <w:r>
        <w:rPr>
          <w:rFonts w:ascii="Times New Roman" w:hAnsi="Times New Roman" w:cs="Times New Roman" w:eastAsia="Times New Roman" w:hint="default"/>
        </w:rPr>
        <w:t>“</w:t>
      </w:r>
      <w:r>
        <w:rPr/>
        <w:t>非暂时性下跌</w:t>
      </w:r>
      <w:r>
        <w:rPr>
          <w:rFonts w:ascii="Times New Roman" w:hAnsi="Times New Roman" w:cs="Times New Roman" w:eastAsia="Times New Roman" w:hint="default"/>
        </w:rPr>
        <w:t>”</w:t>
      </w:r>
      <w:r>
        <w:rPr/>
        <w:t>是指公允价值连续下跌时间超过</w:t>
      </w:r>
      <w:r>
        <w:rPr>
          <w:rFonts w:ascii="Times New Roman" w:hAnsi="Times New Roman" w:cs="Times New Roman" w:eastAsia="Times New Roman" w:hint="default"/>
        </w:rPr>
        <w:t>12</w:t>
      </w:r>
      <w:r>
        <w:rPr/>
        <w:t>个月。 </w:t>
      </w:r>
      <w:r>
        <w:rPr>
          <w:spacing w:val="-2"/>
        </w:rPr>
        <w:t>可供出售金融资产发生减值时，将原计入其他综合收益的因公允价值下降形成的累计损失予以转出并计入当期损益，该</w:t>
      </w:r>
    </w:p>
    <w:p>
      <w:pPr>
        <w:pStyle w:val="BodyText"/>
        <w:spacing w:line="316" w:lineRule="auto" w:before="31"/>
        <w:ind w:left="514" w:right="1032" w:hanging="360"/>
        <w:jc w:val="left"/>
      </w:pPr>
      <w:r>
        <w:rPr/>
        <w:t>转出的累计损失为该资产初始取得成本扣除已收回本金和已摊销金额、当前公允价值和原已计入损益的减值损失后的余额。</w:t>
      </w:r>
      <w:r>
        <w:rPr>
          <w:spacing w:val="-85"/>
        </w:rPr>
        <w:t> </w:t>
      </w:r>
      <w:r>
        <w:rPr>
          <w:spacing w:val="-85"/>
        </w:rPr>
      </w:r>
      <w:r>
        <w:rPr>
          <w:spacing w:val="-2"/>
        </w:rPr>
        <w:t>在确认减值损失后，期后如有客观证据表明该金融资产价值已恢复，且客观上与确认该损失后发生的事项有关，原确认</w:t>
      </w:r>
    </w:p>
    <w:p>
      <w:pPr>
        <w:pStyle w:val="BodyText"/>
        <w:spacing w:line="316" w:lineRule="auto" w:before="19"/>
        <w:ind w:left="154" w:right="1132"/>
        <w:jc w:val="both"/>
      </w:pPr>
      <w:r>
        <w:rPr>
          <w:spacing w:val="-2"/>
        </w:rPr>
        <w:t>的减值损失予以转回，可供出售权益工具投资的减值损失转回确认为其他综合收益，可供出售债务工具的减值损失转回计入</w:t>
      </w:r>
      <w:r>
        <w:rPr>
          <w:spacing w:val="-64"/>
        </w:rPr>
        <w:t> </w:t>
      </w:r>
      <w:r>
        <w:rPr>
          <w:spacing w:val="-64"/>
        </w:rPr>
      </w:r>
      <w:r>
        <w:rPr/>
        <w:t>当期损益。</w:t>
      </w:r>
    </w:p>
    <w:p>
      <w:pPr>
        <w:pStyle w:val="BodyText"/>
        <w:spacing w:line="316" w:lineRule="auto" w:before="19"/>
        <w:ind w:left="154" w:right="1131" w:firstLine="360"/>
        <w:jc w:val="both"/>
      </w:pPr>
      <w:r>
        <w:rPr>
          <w:spacing w:val="-2"/>
        </w:rPr>
        <w:t>在活跃市场中没有报价且其公允价值不能可靠计量的权益工具投资，或与该权益工具挂钩并须通过交付该权益工具结算</w:t>
      </w:r>
      <w:r>
        <w:rPr/>
        <w:t> 的衍生金融资产的减值损失，不予转回。</w:t>
      </w:r>
    </w:p>
    <w:p>
      <w:pPr>
        <w:pStyle w:val="BodyText"/>
        <w:spacing w:line="300" w:lineRule="auto" w:before="19"/>
        <w:ind w:left="513" w:right="0"/>
        <w:jc w:val="left"/>
      </w:pPr>
      <w:r>
        <w:rPr/>
        <w:t>（</w:t>
      </w:r>
      <w:r>
        <w:rPr>
          <w:rFonts w:ascii="Times New Roman" w:hAnsi="Times New Roman" w:cs="Times New Roman" w:eastAsia="Times New Roman" w:hint="default"/>
        </w:rPr>
        <w:t>4</w:t>
      </w:r>
      <w:r>
        <w:rPr/>
        <w:t>）金融资产转移的确认依据和计量方法 </w:t>
      </w:r>
      <w:r>
        <w:rPr>
          <w:spacing w:val="-2"/>
        </w:rPr>
        <w:t>满足下列条件之一的金融资产，予以终止确认：①收取该金融资产现金流量的合同权利终止；②该金融资产已转移，且</w:t>
      </w:r>
    </w:p>
    <w:p>
      <w:pPr>
        <w:pStyle w:val="BodyText"/>
        <w:spacing w:line="316" w:lineRule="auto" w:before="31"/>
        <w:ind w:right="1132"/>
        <w:jc w:val="both"/>
      </w:pPr>
      <w:r>
        <w:rPr>
          <w:spacing w:val="-2"/>
        </w:rPr>
        <w:t>将金融资产所有权上几乎所有的风险和报酬转移给转入方；③该金融资产已转移，虽然企业既没有转移也没有保留金融资产</w:t>
      </w:r>
      <w:r>
        <w:rPr>
          <w:spacing w:val="-64"/>
        </w:rPr>
        <w:t> </w:t>
      </w:r>
      <w:r>
        <w:rPr>
          <w:spacing w:val="-64"/>
        </w:rPr>
      </w:r>
      <w:r>
        <w:rPr/>
        <w:t>所有权上几乎所有的风险和报酬，但是放弃了对该金融资产控制。</w:t>
      </w:r>
    </w:p>
    <w:p>
      <w:pPr>
        <w:pStyle w:val="BodyText"/>
        <w:spacing w:line="316" w:lineRule="auto" w:before="19"/>
        <w:ind w:left="154" w:right="1132" w:firstLine="360"/>
        <w:jc w:val="both"/>
      </w:pPr>
      <w:r>
        <w:rPr>
          <w:spacing w:val="-2"/>
        </w:rPr>
        <w:t>若企业既没有转移也没有保留金融资产所有权上几乎所有的风险和报酬，且未放弃对该金融资产的控制的，则按照继续</w:t>
      </w:r>
      <w:r>
        <w:rPr/>
        <w:t> </w:t>
      </w:r>
      <w:r>
        <w:rPr>
          <w:spacing w:val="-2"/>
        </w:rPr>
        <w:t>涉入所转移金融资产的程度确认有关金融资产，并相应确认有关负债。继续涉入所转移金融资产的程度，是指该金融资产价</w:t>
      </w:r>
      <w:r>
        <w:rPr>
          <w:spacing w:val="-66"/>
        </w:rPr>
        <w:t> </w:t>
      </w:r>
      <w:r>
        <w:rPr>
          <w:spacing w:val="-66"/>
        </w:rPr>
      </w:r>
      <w:r>
        <w:rPr/>
        <w:t>值变动使企业面临的风险水平。</w:t>
      </w:r>
    </w:p>
    <w:p>
      <w:pPr>
        <w:pStyle w:val="BodyText"/>
        <w:spacing w:line="316" w:lineRule="auto" w:before="19"/>
        <w:ind w:left="154" w:right="1131" w:firstLine="360"/>
        <w:jc w:val="both"/>
      </w:pPr>
      <w:r>
        <w:rPr>
          <w:spacing w:val="-2"/>
        </w:rPr>
        <w:t>金融资产整体转移满足终止确认条件的，将所转移金融资产的账面价值及因转移而收到的对价与原计入其他综合收益的</w:t>
      </w:r>
      <w:r>
        <w:rPr/>
        <w:t> 公允价值变动累计额之和的差额计入当期损益。</w:t>
      </w:r>
    </w:p>
    <w:p>
      <w:pPr>
        <w:pStyle w:val="BodyText"/>
        <w:spacing w:line="316" w:lineRule="auto" w:before="19"/>
        <w:ind w:left="154" w:right="1131" w:firstLine="360"/>
        <w:jc w:val="both"/>
      </w:pPr>
      <w:r>
        <w:rPr>
          <w:spacing w:val="-2"/>
        </w:rPr>
        <w:t>金融资产部分转移满足终止确认条件的，将所转移金融资产的账面价值在终止确认及未终止确认部分之间按其相对的公</w:t>
      </w:r>
      <w:r>
        <w:rPr/>
        <w:t> </w:t>
      </w:r>
      <w:r>
        <w:rPr>
          <w:spacing w:val="-2"/>
        </w:rPr>
        <w:t>允价值进行分摊，并将因转移而收到的对价与应分摊至终止确认部分的原计入其他综合收益的公允价值变动累计额之和与分</w:t>
      </w:r>
      <w:r>
        <w:rPr>
          <w:spacing w:val="-64"/>
        </w:rPr>
        <w:t> </w:t>
      </w:r>
      <w:r>
        <w:rPr>
          <w:spacing w:val="-64"/>
        </w:rPr>
      </w:r>
      <w:r>
        <w:rPr/>
        <w:t>摊的前述账面金额之差额计入当期损益。</w:t>
      </w:r>
    </w:p>
    <w:p>
      <w:pPr>
        <w:pStyle w:val="BodyText"/>
        <w:spacing w:line="319" w:lineRule="auto" w:before="19"/>
        <w:ind w:left="154" w:right="1131" w:firstLine="360"/>
        <w:jc w:val="both"/>
      </w:pPr>
      <w:r>
        <w:rPr>
          <w:spacing w:val="-2"/>
        </w:rPr>
        <w:t>本公司对采用附追索权方式出售的金融资产，或将持有的金融资产背书转让，需确定该金融资产所有权上几乎所有的风</w:t>
      </w:r>
      <w:r>
        <w:rPr/>
        <w:t> </w:t>
      </w:r>
      <w:r>
        <w:rPr>
          <w:spacing w:val="-2"/>
        </w:rPr>
        <w:t>险和报酬是否已经转移。已将该金融资产所有权上几乎所有的风险和报酬转移给转入方的，终止确认该金融资产；保留了金</w:t>
      </w:r>
      <w:r>
        <w:rPr>
          <w:spacing w:val="-66"/>
        </w:rPr>
        <w:t> </w:t>
      </w:r>
      <w:r>
        <w:rPr>
          <w:spacing w:val="-66"/>
        </w:rPr>
      </w:r>
      <w:r>
        <w:rPr>
          <w:spacing w:val="-2"/>
        </w:rPr>
        <w:t>融资产所有权上几乎所有的风险和报酬的，不终止确认该金融资产；既没有转移也没有保留金融资产所有权上几乎所有的风</w:t>
      </w:r>
      <w:r>
        <w:rPr>
          <w:spacing w:val="-64"/>
        </w:rPr>
        <w:t> </w:t>
      </w:r>
      <w:r>
        <w:rPr>
          <w:spacing w:val="-64"/>
        </w:rPr>
      </w:r>
      <w:r>
        <w:rPr/>
        <w:t>险和报酬的，则继续判断企业是否对该资产保留了控制，并根据前面各段所述的原则进行会计处理。</w:t>
      </w:r>
    </w:p>
    <w:p>
      <w:pPr>
        <w:pStyle w:val="BodyText"/>
        <w:spacing w:line="300" w:lineRule="auto" w:before="17"/>
        <w:ind w:left="514" w:right="1032"/>
        <w:jc w:val="left"/>
      </w:pPr>
      <w:r>
        <w:rPr/>
        <w:t>（</w:t>
      </w:r>
      <w:r>
        <w:rPr>
          <w:rFonts w:ascii="Times New Roman" w:hAnsi="Times New Roman" w:cs="Times New Roman" w:eastAsia="Times New Roman" w:hint="default"/>
        </w:rPr>
        <w:t>5</w:t>
      </w:r>
      <w:r>
        <w:rPr/>
        <w:t>）金融负债的分类和计量 金融负债在初始确认时划分为以公允价值计量且其变动计入当期损益的金融负债和其他金融负债。初始确认金融负债，</w:t>
      </w:r>
    </w:p>
    <w:p>
      <w:pPr>
        <w:spacing w:after="0" w:line="300"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16" w:lineRule="auto" w:before="44"/>
        <w:ind w:right="0"/>
        <w:jc w:val="left"/>
      </w:pPr>
      <w:r>
        <w:rPr>
          <w:spacing w:val="-2"/>
        </w:rPr>
        <w:t>以公允价值计量。对于以公允价值计量且其变动计入当期损益的金融负债，相关的交易费用直接计入当期损益，对于其他金</w:t>
      </w:r>
      <w:r>
        <w:rPr>
          <w:spacing w:val="-66"/>
        </w:rPr>
        <w:t> </w:t>
      </w:r>
      <w:r>
        <w:rPr>
          <w:spacing w:val="-66"/>
        </w:rPr>
      </w:r>
      <w:r>
        <w:rPr/>
        <w:t>融负债，相关交易费用计入初始确认金额。本公司金融负债主要为其他金融负债。</w:t>
      </w:r>
    </w:p>
    <w:p>
      <w:pPr>
        <w:pStyle w:val="BodyText"/>
        <w:spacing w:line="240" w:lineRule="auto" w:before="19"/>
        <w:ind w:left="513" w:right="0"/>
        <w:jc w:val="left"/>
      </w:pPr>
      <w:r>
        <w:rPr/>
        <w:t>其他金融负债采用实际利率法，按摊余成本进行后续计量，终止确认或摊销产生的利得或损失计入当期损益。</w:t>
      </w:r>
    </w:p>
    <w:p>
      <w:pPr>
        <w:pStyle w:val="BodyText"/>
        <w:spacing w:line="300" w:lineRule="auto" w:before="76"/>
        <w:ind w:left="514" w:right="0"/>
        <w:jc w:val="left"/>
      </w:pPr>
      <w:r>
        <w:rPr/>
        <w:t>（</w:t>
      </w:r>
      <w:r>
        <w:rPr>
          <w:rFonts w:ascii="Times New Roman" w:hAnsi="Times New Roman" w:cs="Times New Roman" w:eastAsia="Times New Roman" w:hint="default"/>
        </w:rPr>
        <w:t>6</w:t>
      </w:r>
      <w:r>
        <w:rPr/>
        <w:t>）金融负债的终止确认 </w:t>
      </w:r>
      <w:r>
        <w:rPr>
          <w:spacing w:val="-2"/>
        </w:rPr>
        <w:t>金融负债的现时义务全部或部分已经解除的，才能终止确认该金融负债或其一部分。本公司（债务人）与债权人之间签</w:t>
      </w:r>
    </w:p>
    <w:p>
      <w:pPr>
        <w:pStyle w:val="BodyText"/>
        <w:spacing w:line="316" w:lineRule="auto" w:before="31"/>
        <w:ind w:left="154" w:right="0"/>
        <w:jc w:val="left"/>
      </w:pPr>
      <w:r>
        <w:rPr>
          <w:spacing w:val="-2"/>
        </w:rPr>
        <w:t>订协议，以承担新金融负债方式替换现存金融负债，且新金融负债与现存金融负债的合同条款实质上不同的，终止确认现存</w:t>
      </w:r>
      <w:r>
        <w:rPr>
          <w:spacing w:val="-66"/>
        </w:rPr>
        <w:t> </w:t>
      </w:r>
      <w:r>
        <w:rPr>
          <w:spacing w:val="-66"/>
        </w:rPr>
      </w:r>
      <w:r>
        <w:rPr/>
        <w:t>金融负债，并同时确认新金融负债。</w:t>
      </w:r>
    </w:p>
    <w:p>
      <w:pPr>
        <w:pStyle w:val="BodyText"/>
        <w:spacing w:line="316" w:lineRule="auto" w:before="19"/>
        <w:ind w:left="154" w:right="0" w:firstLine="360"/>
        <w:jc w:val="left"/>
      </w:pPr>
      <w:r>
        <w:rPr>
          <w:spacing w:val="-2"/>
        </w:rPr>
        <w:t>金融负债全部或部分终止确认的，将终止确认部分的账面价值与支付的对价（包括转出的非现金资产或承担的新金融负</w:t>
      </w:r>
      <w:r>
        <w:rPr/>
        <w:t> 债）之间的差额，计入当期损益。</w:t>
      </w:r>
    </w:p>
    <w:p>
      <w:pPr>
        <w:pStyle w:val="BodyText"/>
        <w:spacing w:line="300" w:lineRule="auto" w:before="19"/>
        <w:ind w:left="513" w:right="0"/>
        <w:jc w:val="left"/>
      </w:pPr>
      <w:r>
        <w:rPr/>
        <w:t>（</w:t>
      </w:r>
      <w:r>
        <w:rPr>
          <w:rFonts w:ascii="Times New Roman" w:hAnsi="Times New Roman" w:cs="Times New Roman" w:eastAsia="Times New Roman" w:hint="default"/>
        </w:rPr>
        <w:t>7</w:t>
      </w:r>
      <w:r>
        <w:rPr/>
        <w:t>）金融资产和金融负债的抵销 </w:t>
      </w:r>
      <w:r>
        <w:rPr>
          <w:spacing w:val="-2"/>
        </w:rPr>
        <w:t>当本公司具有抵销已确认金融资产和金融负债的法定权利，且目前可执行该种法定权利，同时本公司计划以净额结算或</w:t>
      </w:r>
    </w:p>
    <w:p>
      <w:pPr>
        <w:pStyle w:val="BodyText"/>
        <w:spacing w:line="316" w:lineRule="auto" w:before="31"/>
        <w:ind w:right="0"/>
        <w:jc w:val="left"/>
      </w:pPr>
      <w:r>
        <w:rPr>
          <w:spacing w:val="-2"/>
        </w:rPr>
        <w:t>同时变现该金融资产和清偿该金融负债时，金融资产和金融负债以相互抵销后的金额在资产负债表内列示。除此以外，金融</w:t>
      </w:r>
      <w:r>
        <w:rPr>
          <w:spacing w:val="-66"/>
        </w:rPr>
        <w:t> </w:t>
      </w:r>
      <w:r>
        <w:rPr>
          <w:spacing w:val="-66"/>
        </w:rPr>
      </w:r>
      <w:r>
        <w:rPr/>
        <w:t>资产和金融负债在资产负债表内分别列示，不予相互抵销。</w:t>
      </w:r>
    </w:p>
    <w:p>
      <w:pPr>
        <w:pStyle w:val="BodyText"/>
        <w:spacing w:line="300" w:lineRule="auto" w:before="19"/>
        <w:ind w:left="513" w:right="1118"/>
        <w:jc w:val="left"/>
      </w:pPr>
      <w:r>
        <w:rPr/>
        <w:t>（</w:t>
      </w:r>
      <w:r>
        <w:rPr>
          <w:rFonts w:ascii="Times New Roman" w:hAnsi="Times New Roman" w:cs="Times New Roman" w:eastAsia="Times New Roman" w:hint="default"/>
        </w:rPr>
        <w:t>8</w:t>
      </w:r>
      <w:r>
        <w:rPr/>
        <w:t>）权益工具 </w:t>
      </w:r>
      <w:r>
        <w:rPr>
          <w:spacing w:val="-2"/>
        </w:rPr>
        <w:t>权益工具是指能证明拥有本公司在扣除所有负债后的资产中的剩余权益的合同。本公司发行（含再融资）、回购、出售</w:t>
      </w:r>
    </w:p>
    <w:p>
      <w:pPr>
        <w:pStyle w:val="BodyText"/>
        <w:spacing w:line="316" w:lineRule="auto" w:before="31"/>
        <w:ind w:left="514" w:right="1026" w:hanging="360"/>
        <w:jc w:val="left"/>
      </w:pPr>
      <w:r>
        <w:rPr/>
        <w:t>或注销权益工具作为权益的变动处理</w:t>
      </w:r>
      <w:r>
        <w:rPr>
          <w:spacing w:val="-87"/>
        </w:rPr>
        <w:t>。</w:t>
      </w:r>
      <w:r>
        <w:rPr/>
        <w:t>本公司不确认权益工具的公允价值变动</w:t>
      </w:r>
      <w:r>
        <w:rPr>
          <w:spacing w:val="-87"/>
        </w:rPr>
        <w:t>。</w:t>
      </w:r>
      <w:r>
        <w:rPr/>
        <w:t>与权益性交易相关的交易费用从权益中扣减。</w:t>
      </w:r>
      <w:r>
        <w:rPr/>
        <w:t> 本公司对权益工具持有方的各种分配（不包括股票股利</w:t>
      </w:r>
      <w:r>
        <w:rPr>
          <w:spacing w:val="-90"/>
        </w:rPr>
        <w:t>）</w:t>
      </w:r>
      <w:r>
        <w:rPr/>
        <w:t>，减少股东权益。本公司不确认权益工具的公允价值变动额。</w:t>
      </w:r>
    </w:p>
    <w:p>
      <w:pPr>
        <w:spacing w:line="240" w:lineRule="auto" w:before="7"/>
        <w:rPr>
          <w:rFonts w:ascii="宋体" w:hAnsi="宋体" w:cs="宋体" w:eastAsia="宋体" w:hint="default"/>
          <w:sz w:val="22"/>
          <w:szCs w:val="22"/>
        </w:rPr>
      </w:pPr>
    </w:p>
    <w:p>
      <w:pPr>
        <w:pStyle w:val="Heading3"/>
        <w:spacing w:line="240" w:lineRule="auto"/>
        <w:ind w:left="153" w:right="0"/>
        <w:jc w:val="left"/>
        <w:rPr>
          <w:b w:val="0"/>
          <w:bCs w:val="0"/>
        </w:rPr>
      </w:pPr>
      <w:bookmarkStart w:name="11、应收款项" w:id="181"/>
      <w:bookmarkEnd w:id="181"/>
      <w:r>
        <w:rPr>
          <w:b w:val="0"/>
          <w:bCs w:val="0"/>
        </w:rPr>
      </w:r>
      <w:r>
        <w:rPr>
          <w:rFonts w:ascii="Times New Roman" w:hAnsi="Times New Roman" w:cs="Times New Roman" w:eastAsia="Times New Roman" w:hint="default"/>
        </w:rPr>
        <w:t>11</w:t>
      </w:r>
      <w:r>
        <w:rPr/>
        <w:t>、应收款项</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单项金额重大并单独计提坏账准备的应收款项" w:id="182"/>
      <w:bookmarkEnd w:id="182"/>
      <w:r>
        <w:rPr>
          <w:b w:val="0"/>
          <w:bCs w:val="0"/>
        </w:rPr>
      </w:r>
      <w:r>
        <w:rPr/>
        <w:t>（</w:t>
      </w:r>
      <w:r>
        <w:rPr>
          <w:rFonts w:ascii="Times New Roman" w:hAnsi="Times New Roman" w:cs="Times New Roman" w:eastAsia="Times New Roman" w:hint="default"/>
        </w:rPr>
        <w:t>1</w:t>
      </w:r>
      <w:r>
        <w:rPr/>
        <w:t>）单项金额重大并单独计提坏账准备的应收款项</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4785"/>
        <w:gridCol w:w="4784"/>
      </w:tblGrid>
      <w:tr>
        <w:trPr>
          <w:trHeight w:val="714"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单项金额重大的判断依据或金额标准</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本公司将金额为人民币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500,000 </w:t>
            </w:r>
            <w:r>
              <w:rPr>
                <w:rFonts w:ascii="宋体" w:hAnsi="宋体" w:cs="宋体" w:eastAsia="宋体" w:hint="default"/>
                <w:sz w:val="18"/>
                <w:szCs w:val="18"/>
              </w:rPr>
              <w:t>元以上的应收账款及</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200,000</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元以上的其他应收款确认为单项金额重大的应收款项。</w:t>
            </w:r>
          </w:p>
        </w:tc>
      </w:tr>
      <w:tr>
        <w:trPr>
          <w:trHeight w:val="1650"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单项金额重大并单项计提坏账准备的计提方法</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3" w:right="69"/>
              <w:jc w:val="both"/>
              <w:rPr>
                <w:rFonts w:ascii="宋体" w:hAnsi="宋体" w:cs="宋体" w:eastAsia="宋体" w:hint="default"/>
                <w:sz w:val="18"/>
                <w:szCs w:val="18"/>
              </w:rPr>
            </w:pPr>
            <w:r>
              <w:rPr>
                <w:rFonts w:ascii="宋体" w:hAnsi="宋体" w:cs="宋体" w:eastAsia="宋体" w:hint="default"/>
                <w:sz w:val="18"/>
                <w:szCs w:val="18"/>
              </w:rPr>
              <w:t>本公司对单项金额重大的应收款项单独进行减值测试，单独 测试未发生减值的金融资产，包括在具有类似信用风险特征 的金融资产组合中进行减值测试。单项测试已确认减值损失 的应收款项，不再包括在具有类似信用风险特征的应收款项 组合中进行减值测试。</w:t>
            </w:r>
          </w:p>
        </w:tc>
      </w:tr>
    </w:tbl>
    <w:p>
      <w:pPr>
        <w:spacing w:line="240" w:lineRule="auto" w:before="2"/>
        <w:rPr>
          <w:rFonts w:ascii="宋体" w:hAnsi="宋体" w:cs="宋体" w:eastAsia="宋体" w:hint="default"/>
          <w:b/>
          <w:bCs/>
          <w:sz w:val="19"/>
          <w:szCs w:val="19"/>
        </w:rPr>
      </w:pPr>
    </w:p>
    <w:p>
      <w:pPr>
        <w:pStyle w:val="Heading3"/>
        <w:spacing w:line="240" w:lineRule="auto" w:before="35"/>
        <w:ind w:right="0"/>
        <w:jc w:val="left"/>
        <w:rPr>
          <w:b w:val="0"/>
          <w:bCs w:val="0"/>
        </w:rPr>
      </w:pPr>
      <w:bookmarkStart w:name="（2）按信用风险特征组合计提坏账准备的应收款项" w:id="183"/>
      <w:bookmarkEnd w:id="183"/>
      <w:r>
        <w:rPr>
          <w:b w:val="0"/>
          <w:bCs w:val="0"/>
        </w:rPr>
      </w:r>
      <w:r>
        <w:rPr/>
        <w:t>（</w:t>
      </w:r>
      <w:r>
        <w:rPr>
          <w:rFonts w:ascii="Times New Roman" w:hAnsi="Times New Roman" w:cs="Times New Roman" w:eastAsia="Times New Roman" w:hint="default"/>
        </w:rPr>
        <w:t>2</w:t>
      </w:r>
      <w:r>
        <w:rPr/>
        <w:t>）按信用风险特征组合计提坏账准备的应收款项</w:t>
      </w:r>
      <w:r>
        <w:rPr>
          <w:b w:val="0"/>
          <w:bCs w:val="0"/>
        </w:rPr>
      </w:r>
    </w:p>
    <w:p>
      <w:pPr>
        <w:spacing w:line="240" w:lineRule="auto" w:before="10"/>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4785"/>
        <w:gridCol w:w="4784"/>
      </w:tblGrid>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组合名称</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坏账准备计提方法</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账龄组合</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账龄分析法</w:t>
            </w:r>
          </w:p>
        </w:tc>
      </w:tr>
    </w:tbl>
    <w:p>
      <w:pPr>
        <w:pStyle w:val="BodyText"/>
        <w:spacing w:line="240" w:lineRule="auto" w:before="51"/>
        <w:ind w:left="154" w:right="0"/>
        <w:jc w:val="left"/>
      </w:pPr>
      <w:r>
        <w:rPr/>
        <w:t>组合中，采用账龄分析法计提坏账准备的：</w:t>
      </w:r>
    </w:p>
    <w:p>
      <w:pPr>
        <w:pStyle w:val="BodyText"/>
        <w:spacing w:line="240" w:lineRule="auto" w:before="117"/>
        <w:ind w:left="154"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2"/>
        <w:rPr>
          <w:rFonts w:ascii="宋体" w:hAnsi="宋体" w:cs="宋体" w:eastAsia="宋体" w:hint="default"/>
          <w:sz w:val="6"/>
          <w:szCs w:val="6"/>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82" w:right="0"/>
              <w:jc w:val="left"/>
              <w:rPr>
                <w:rFonts w:ascii="宋体" w:hAnsi="宋体" w:cs="宋体" w:eastAsia="宋体" w:hint="default"/>
                <w:sz w:val="18"/>
                <w:szCs w:val="18"/>
              </w:rPr>
            </w:pPr>
            <w:r>
              <w:rPr>
                <w:rFonts w:ascii="宋体" w:hAnsi="宋体" w:cs="宋体" w:eastAsia="宋体" w:hint="default"/>
                <w:sz w:val="18"/>
                <w:szCs w:val="18"/>
              </w:rPr>
              <w:t>应收账款计提比例</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80" w:right="0"/>
              <w:jc w:val="left"/>
              <w:rPr>
                <w:rFonts w:ascii="宋体" w:hAnsi="宋体" w:cs="宋体" w:eastAsia="宋体" w:hint="default"/>
                <w:sz w:val="18"/>
                <w:szCs w:val="18"/>
              </w:rPr>
            </w:pPr>
            <w:r>
              <w:rPr>
                <w:rFonts w:ascii="宋体" w:hAnsi="宋体" w:cs="宋体" w:eastAsia="宋体" w:hint="default"/>
                <w:sz w:val="18"/>
                <w:szCs w:val="18"/>
              </w:rPr>
              <w:t>其他应收款计提比例</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30.00%</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50.00%</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89"/>
        <w:gridCol w:w="3191"/>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50.00%</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50.00%</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50.00%</w:t>
            </w:r>
          </w:p>
        </w:tc>
      </w:tr>
    </w:tbl>
    <w:p>
      <w:pPr>
        <w:pStyle w:val="BodyText"/>
        <w:spacing w:line="240" w:lineRule="auto" w:before="51"/>
        <w:ind w:left="154" w:right="0"/>
        <w:jc w:val="left"/>
      </w:pPr>
      <w:r>
        <w:rPr/>
        <w:t>组合中，采用余额百分比法计提坏账准备的：</w:t>
      </w:r>
    </w:p>
    <w:p>
      <w:pPr>
        <w:pStyle w:val="BodyText"/>
        <w:spacing w:line="338" w:lineRule="auto" w:before="117"/>
        <w:ind w:right="751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组合中，采用其他方法计提坏账准备的：</w:t>
      </w:r>
    </w:p>
    <w:p>
      <w:pPr>
        <w:pStyle w:val="BodyText"/>
        <w:spacing w:line="240" w:lineRule="auto" w:before="43"/>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9"/>
        <w:rPr>
          <w:rFonts w:ascii="宋体" w:hAnsi="宋体" w:cs="宋体" w:eastAsia="宋体" w:hint="default"/>
          <w:sz w:val="25"/>
          <w:szCs w:val="25"/>
        </w:rPr>
      </w:pPr>
    </w:p>
    <w:p>
      <w:pPr>
        <w:pStyle w:val="Heading3"/>
        <w:spacing w:line="240" w:lineRule="auto"/>
        <w:ind w:left="153" w:right="0"/>
        <w:jc w:val="left"/>
        <w:rPr>
          <w:b w:val="0"/>
          <w:bCs w:val="0"/>
        </w:rPr>
      </w:pPr>
      <w:bookmarkStart w:name="（3）单项金额不重大但单独计提坏账准备的应收款项" w:id="184"/>
      <w:bookmarkEnd w:id="184"/>
      <w:r>
        <w:rPr>
          <w:b w:val="0"/>
          <w:bCs w:val="0"/>
        </w:rPr>
      </w:r>
      <w:r>
        <w:rPr/>
        <w:t>（</w:t>
      </w:r>
      <w:r>
        <w:rPr>
          <w:rFonts w:ascii="Times New Roman" w:hAnsi="Times New Roman" w:cs="Times New Roman" w:eastAsia="Times New Roman" w:hint="default"/>
        </w:rPr>
        <w:t>3</w:t>
      </w:r>
      <w:r>
        <w:rPr/>
        <w:t>）单项金额不重大但单独计提坏账准备的应收款项</w:t>
      </w:r>
      <w:r>
        <w:rPr>
          <w:b w:val="0"/>
          <w:bCs w:val="0"/>
        </w:rPr>
      </w:r>
    </w:p>
    <w:p>
      <w:pPr>
        <w:spacing w:line="240" w:lineRule="auto" w:before="10"/>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4785"/>
        <w:gridCol w:w="4784"/>
      </w:tblGrid>
      <w:tr>
        <w:trPr>
          <w:trHeight w:val="196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4"/>
              <w:ind w:left="22" w:right="0"/>
              <w:jc w:val="left"/>
              <w:rPr>
                <w:rFonts w:ascii="宋体" w:hAnsi="宋体" w:cs="宋体" w:eastAsia="宋体" w:hint="default"/>
                <w:sz w:val="18"/>
                <w:szCs w:val="18"/>
              </w:rPr>
            </w:pPr>
            <w:r>
              <w:rPr>
                <w:rFonts w:ascii="宋体" w:hAnsi="宋体" w:cs="宋体" w:eastAsia="宋体" w:hint="default"/>
                <w:sz w:val="18"/>
                <w:szCs w:val="18"/>
              </w:rPr>
              <w:t>单项计提坏账准备的理由</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69"/>
              <w:jc w:val="both"/>
              <w:rPr>
                <w:rFonts w:ascii="宋体" w:hAnsi="宋体" w:cs="宋体" w:eastAsia="宋体" w:hint="default"/>
                <w:sz w:val="18"/>
                <w:szCs w:val="18"/>
              </w:rPr>
            </w:pPr>
            <w:r>
              <w:rPr>
                <w:rFonts w:ascii="宋体" w:hAnsi="宋体" w:cs="宋体" w:eastAsia="宋体" w:hint="default"/>
                <w:sz w:val="18"/>
                <w:szCs w:val="18"/>
              </w:rPr>
              <w:t>公司对于单项金额虽不重大但具备以下特征的应收款项，单 独进行减值测试，有客观证据表明其发生了减值的，根据其 未来现金流量现值低于其账面价值的差额，确认减值损失， 计提坏账准备：与对方存在争议或涉及诉讼、仲裁的应收款 项；已有明显迹象表明债务人很可能无法履行还款义务的应 收款项；等等。</w:t>
            </w:r>
          </w:p>
        </w:tc>
      </w:tr>
      <w:tr>
        <w:trPr>
          <w:trHeight w:val="714"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坏账准备的计提方法</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69"/>
              <w:jc w:val="left"/>
              <w:rPr>
                <w:rFonts w:ascii="宋体" w:hAnsi="宋体" w:cs="宋体" w:eastAsia="宋体" w:hint="default"/>
                <w:sz w:val="18"/>
                <w:szCs w:val="18"/>
              </w:rPr>
            </w:pPr>
            <w:r>
              <w:rPr>
                <w:rFonts w:ascii="宋体" w:hAnsi="宋体" w:cs="宋体" w:eastAsia="宋体" w:hint="default"/>
                <w:sz w:val="18"/>
                <w:szCs w:val="18"/>
              </w:rPr>
              <w:t>根据其未来现金流量现值低于账面价值的差额，确认减值损 失，计提坏账准备。</w:t>
            </w:r>
          </w:p>
        </w:tc>
      </w:tr>
    </w:tbl>
    <w:p>
      <w:pPr>
        <w:spacing w:line="240" w:lineRule="auto" w:before="2"/>
        <w:rPr>
          <w:rFonts w:ascii="宋体" w:hAnsi="宋体" w:cs="宋体" w:eastAsia="宋体" w:hint="default"/>
          <w:b/>
          <w:bCs/>
          <w:sz w:val="19"/>
          <w:szCs w:val="19"/>
        </w:rPr>
      </w:pPr>
    </w:p>
    <w:p>
      <w:pPr>
        <w:pStyle w:val="Heading3"/>
        <w:spacing w:line="240" w:lineRule="auto" w:before="35"/>
        <w:ind w:right="0"/>
        <w:jc w:val="left"/>
        <w:rPr>
          <w:b w:val="0"/>
          <w:bCs w:val="0"/>
        </w:rPr>
      </w:pPr>
      <w:bookmarkStart w:name="12、存货" w:id="185"/>
      <w:bookmarkEnd w:id="185"/>
      <w:r>
        <w:rPr>
          <w:b w:val="0"/>
          <w:bCs w:val="0"/>
        </w:rPr>
      </w:r>
      <w:r>
        <w:rPr>
          <w:rFonts w:ascii="Times New Roman" w:hAnsi="Times New Roman" w:cs="Times New Roman" w:eastAsia="Times New Roman" w:hint="default"/>
        </w:rPr>
        <w:t>12</w:t>
      </w:r>
      <w:r>
        <w:rPr/>
        <w:t>、存货</w:t>
      </w:r>
      <w:r>
        <w:rPr>
          <w:b w:val="0"/>
          <w:bCs w:val="0"/>
        </w:rPr>
      </w:r>
    </w:p>
    <w:p>
      <w:pPr>
        <w:spacing w:line="240" w:lineRule="auto" w:before="8"/>
        <w:rPr>
          <w:rFonts w:ascii="宋体" w:hAnsi="宋体" w:cs="宋体" w:eastAsia="宋体" w:hint="default"/>
          <w:b/>
          <w:bCs/>
          <w:sz w:val="26"/>
          <w:szCs w:val="26"/>
        </w:rPr>
      </w:pPr>
    </w:p>
    <w:p>
      <w:pPr>
        <w:pStyle w:val="BodyText"/>
        <w:spacing w:line="357" w:lineRule="auto"/>
        <w:ind w:left="154" w:right="7692"/>
        <w:jc w:val="left"/>
      </w:pPr>
      <w:r>
        <w:rPr/>
        <w:t>公司是否需要遵守特殊行业的披露要求 否</w:t>
      </w:r>
    </w:p>
    <w:p>
      <w:pPr>
        <w:pStyle w:val="BodyText"/>
        <w:spacing w:line="300" w:lineRule="auto" w:before="28"/>
        <w:ind w:left="514" w:right="5352"/>
        <w:jc w:val="left"/>
      </w:pPr>
      <w:r>
        <w:rPr/>
        <w:t>（</w:t>
      </w:r>
      <w:r>
        <w:rPr>
          <w:rFonts w:ascii="Times New Roman" w:hAnsi="Times New Roman" w:cs="Times New Roman" w:eastAsia="Times New Roman" w:hint="default"/>
        </w:rPr>
        <w:t>1</w:t>
      </w:r>
      <w:r>
        <w:rPr/>
        <w:t>）存货的分类 存货主要包括原材料、产成品、发出商品、在产品、工程施工。</w:t>
      </w:r>
    </w:p>
    <w:p>
      <w:pPr>
        <w:pStyle w:val="BodyText"/>
        <w:spacing w:line="309" w:lineRule="auto" w:before="31"/>
        <w:ind w:left="513" w:right="1033"/>
        <w:jc w:val="left"/>
      </w:pPr>
      <w:r>
        <w:rPr/>
        <w:t>（</w:t>
      </w:r>
      <w:r>
        <w:rPr>
          <w:rFonts w:ascii="Times New Roman" w:hAnsi="Times New Roman" w:cs="Times New Roman" w:eastAsia="Times New Roman" w:hint="default"/>
        </w:rPr>
        <w:t>2</w:t>
      </w:r>
      <w:r>
        <w:rPr/>
        <w:t>）存货取得和发出的计价方法 存货在取得时按实际成本计价，存货成本包括采购成本、加工成本和其他成本。领用和发出时按移动加权平均法计价。</w:t>
      </w:r>
      <w:r>
        <w:rPr>
          <w:spacing w:val="-85"/>
        </w:rPr>
        <w:t> </w:t>
      </w:r>
      <w:r>
        <w:rPr>
          <w:spacing w:val="-85"/>
        </w:rPr>
      </w:r>
      <w:r>
        <w:rPr>
          <w:spacing w:val="-2"/>
        </w:rPr>
        <w:t>建造合同按实际成本计量，包括从合同签订开始至合同完成止所发生的、与执行合同有关的直接费用和间接费用。为订</w:t>
      </w:r>
    </w:p>
    <w:p>
      <w:pPr>
        <w:pStyle w:val="BodyText"/>
        <w:spacing w:line="316" w:lineRule="auto" w:before="24"/>
        <w:ind w:left="154" w:right="0"/>
        <w:jc w:val="left"/>
      </w:pPr>
      <w:r>
        <w:rPr>
          <w:spacing w:val="-2"/>
        </w:rPr>
        <w:t>立合同而发生的差旅费、投标费等，能够单独区分和可靠计量且合同很可能订立的，在取得合同时计入合同成本；未满足上</w:t>
      </w:r>
      <w:r>
        <w:rPr>
          <w:spacing w:val="-66"/>
        </w:rPr>
        <w:t> </w:t>
      </w:r>
      <w:r>
        <w:rPr>
          <w:spacing w:val="-66"/>
        </w:rPr>
      </w:r>
      <w:r>
        <w:rPr/>
        <w:t>述条件的，则计入当期损益。</w:t>
      </w:r>
    </w:p>
    <w:p>
      <w:pPr>
        <w:pStyle w:val="BodyText"/>
        <w:spacing w:line="316" w:lineRule="auto" w:before="19"/>
        <w:ind w:left="154" w:right="1133" w:firstLine="360"/>
        <w:jc w:val="both"/>
      </w:pPr>
      <w:r>
        <w:rPr>
          <w:spacing w:val="-2"/>
        </w:rPr>
        <w:t>在建合同累计已发生的成本和累计已确认的毛利（亏损）与已结算的价款在资产负债表中以抵销后的净额列示。在建合</w:t>
      </w:r>
      <w:r>
        <w:rPr/>
        <w:t> </w:t>
      </w:r>
      <w:r>
        <w:rPr>
          <w:spacing w:val="-2"/>
        </w:rPr>
        <w:t>同累计已发生的成本和累计已确认的毛利（亏损）之和超过已结算价款的部分作为存货列示；在建合同已结算的价款超过累</w:t>
      </w:r>
      <w:r>
        <w:rPr>
          <w:spacing w:val="-66"/>
        </w:rPr>
        <w:t> </w:t>
      </w:r>
      <w:r>
        <w:rPr>
          <w:spacing w:val="-66"/>
        </w:rPr>
      </w:r>
      <w:r>
        <w:rPr/>
        <w:t>计已发生的成本与累计已确认的毛利（亏损）之和的部分作为预收款项列示。</w:t>
      </w:r>
    </w:p>
    <w:p>
      <w:pPr>
        <w:pStyle w:val="BodyText"/>
        <w:spacing w:line="300" w:lineRule="auto" w:before="19"/>
        <w:ind w:left="514" w:right="0"/>
        <w:jc w:val="left"/>
      </w:pPr>
      <w:r>
        <w:rPr/>
        <w:t>（</w:t>
      </w:r>
      <w:r>
        <w:rPr>
          <w:rFonts w:ascii="Times New Roman" w:hAnsi="Times New Roman" w:cs="Times New Roman" w:eastAsia="Times New Roman" w:hint="default"/>
        </w:rPr>
        <w:t>3</w:t>
      </w:r>
      <w:r>
        <w:rPr/>
        <w:t>）存货可变现净值的确认和跌价准备的计提方法 </w:t>
      </w:r>
      <w:r>
        <w:rPr>
          <w:spacing w:val="-2"/>
        </w:rPr>
        <w:t>可变现净值是指在日常活动中，存货的估计售价减去至完工时估计将要发生的成本、估计的销售费用以及相关税费后的</w:t>
      </w:r>
    </w:p>
    <w:p>
      <w:pPr>
        <w:pStyle w:val="BodyText"/>
        <w:spacing w:line="316" w:lineRule="auto" w:before="31"/>
        <w:ind w:left="514" w:right="1032" w:hanging="360"/>
        <w:jc w:val="left"/>
      </w:pPr>
      <w:r>
        <w:rPr/>
        <w:t>金额。在确定存货的可变现净值时，以取得的确凿证据为基础，同时考虑持有存货的目的以及资产负债表日后事项的影响。</w:t>
      </w:r>
      <w:r>
        <w:rPr>
          <w:spacing w:val="-85"/>
        </w:rPr>
        <w:t> </w:t>
      </w:r>
      <w:r>
        <w:rPr>
          <w:spacing w:val="-85"/>
        </w:rPr>
      </w:r>
      <w:r>
        <w:rPr>
          <w:spacing w:val="-2"/>
        </w:rPr>
        <w:t>在资产负债表日，存货按照成本与可变现净值孰低计量。当其可变现净值低于成本时，提取存货跌价准备。存货跌价准</w:t>
      </w:r>
    </w:p>
    <w:p>
      <w:pPr>
        <w:pStyle w:val="BodyText"/>
        <w:spacing w:line="319" w:lineRule="auto" w:before="19"/>
        <w:ind w:left="514" w:right="0" w:hanging="360"/>
        <w:jc w:val="left"/>
      </w:pPr>
      <w:r>
        <w:rPr/>
        <w:t>备通常按单个存货项目的成本高于其可变现净值的差额提取。 </w:t>
      </w:r>
      <w:r>
        <w:rPr>
          <w:spacing w:val="-2"/>
        </w:rPr>
        <w:t>计提存货跌价准备后，如果以前减记存货价值的影响因素已经消失，导致存货的可变现净值高于其账面价值的，在原已</w:t>
      </w:r>
    </w:p>
    <w:p>
      <w:pPr>
        <w:pStyle w:val="BodyText"/>
        <w:spacing w:line="240" w:lineRule="auto" w:before="17"/>
        <w:ind w:left="154" w:right="0"/>
        <w:jc w:val="left"/>
      </w:pPr>
      <w:r>
        <w:rPr/>
        <w:t>计提的存货跌价准备金额内予以转回，转回的金额计入当期损益。</w:t>
      </w:r>
    </w:p>
    <w:p>
      <w:pPr>
        <w:pStyle w:val="BodyText"/>
        <w:spacing w:line="240" w:lineRule="auto" w:before="76"/>
        <w:ind w:left="514" w:right="0"/>
        <w:jc w:val="left"/>
      </w:pPr>
      <w:r>
        <w:rPr/>
        <w:t>（</w:t>
      </w:r>
      <w:r>
        <w:rPr>
          <w:rFonts w:ascii="Times New Roman" w:hAnsi="Times New Roman" w:cs="Times New Roman" w:eastAsia="Times New Roman" w:hint="default"/>
        </w:rPr>
        <w:t>4</w:t>
      </w:r>
      <w:r>
        <w:rPr/>
        <w:t>）存货的盘存制度为永续盘存制。</w:t>
      </w:r>
    </w:p>
    <w:p>
      <w:pPr>
        <w:pStyle w:val="BodyText"/>
        <w:spacing w:line="240" w:lineRule="auto" w:before="63"/>
        <w:ind w:left="513" w:right="0"/>
        <w:jc w:val="left"/>
      </w:pPr>
      <w:r>
        <w:rPr/>
        <w:t>（</w:t>
      </w:r>
      <w:r>
        <w:rPr>
          <w:rFonts w:ascii="Times New Roman" w:hAnsi="Times New Roman" w:cs="Times New Roman" w:eastAsia="Times New Roman" w:hint="default"/>
        </w:rPr>
        <w:t>5</w:t>
      </w:r>
      <w:r>
        <w:rPr/>
        <w:t>）低值易耗品和包装物的摊销方法</w:t>
      </w:r>
    </w:p>
    <w:p>
      <w:pPr>
        <w:spacing w:after="0" w:line="240"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240" w:lineRule="auto" w:before="44"/>
        <w:ind w:left="513" w:right="0"/>
        <w:jc w:val="left"/>
      </w:pPr>
      <w:r>
        <w:rPr/>
        <w:t>低值易耗品于领用时按一次摊销法摊销。</w:t>
      </w:r>
    </w:p>
    <w:p>
      <w:pPr>
        <w:spacing w:line="240" w:lineRule="auto" w:before="12"/>
        <w:rPr>
          <w:rFonts w:ascii="宋体" w:hAnsi="宋体" w:cs="宋体" w:eastAsia="宋体" w:hint="default"/>
          <w:sz w:val="26"/>
          <w:szCs w:val="26"/>
        </w:rPr>
      </w:pPr>
    </w:p>
    <w:p>
      <w:pPr>
        <w:pStyle w:val="Heading3"/>
        <w:spacing w:line="240" w:lineRule="auto"/>
        <w:ind w:left="153" w:right="0"/>
        <w:jc w:val="left"/>
        <w:rPr>
          <w:b w:val="0"/>
          <w:bCs w:val="0"/>
        </w:rPr>
      </w:pPr>
      <w:bookmarkStart w:name="13、持有待售资产" w:id="186"/>
      <w:bookmarkEnd w:id="186"/>
      <w:r>
        <w:rPr>
          <w:b w:val="0"/>
          <w:bCs w:val="0"/>
        </w:rPr>
      </w:r>
      <w:r>
        <w:rPr>
          <w:rFonts w:ascii="Times New Roman" w:hAnsi="Times New Roman" w:cs="Times New Roman" w:eastAsia="Times New Roman" w:hint="default"/>
        </w:rPr>
        <w:t>13</w:t>
      </w:r>
      <w:r>
        <w:rPr/>
        <w:t>、持有待售资产</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154" w:right="0"/>
        <w:jc w:val="left"/>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14、长期股权投资" w:id="187"/>
      <w:bookmarkEnd w:id="187"/>
      <w:r>
        <w:rPr>
          <w:b w:val="0"/>
          <w:bCs w:val="0"/>
        </w:rPr>
      </w:r>
      <w:r>
        <w:rPr>
          <w:rFonts w:ascii="Times New Roman" w:hAnsi="Times New Roman" w:cs="Times New Roman" w:eastAsia="Times New Roman" w:hint="default"/>
        </w:rPr>
        <w:t>14</w:t>
      </w:r>
      <w:r>
        <w:rPr/>
        <w:t>、长期股权投资</w:t>
      </w:r>
      <w:r>
        <w:rPr>
          <w:b w:val="0"/>
          <w:bCs w:val="0"/>
        </w:rPr>
      </w:r>
    </w:p>
    <w:p>
      <w:pPr>
        <w:spacing w:line="240" w:lineRule="auto" w:before="7"/>
        <w:rPr>
          <w:rFonts w:ascii="宋体" w:hAnsi="宋体" w:cs="宋体" w:eastAsia="宋体" w:hint="default"/>
          <w:b/>
          <w:bCs/>
          <w:sz w:val="26"/>
          <w:szCs w:val="26"/>
        </w:rPr>
      </w:pPr>
    </w:p>
    <w:p>
      <w:pPr>
        <w:pStyle w:val="BodyText"/>
        <w:spacing w:line="316" w:lineRule="auto"/>
        <w:ind w:left="154" w:right="1132" w:firstLine="360"/>
        <w:jc w:val="both"/>
      </w:pPr>
      <w:r>
        <w:rPr>
          <w:spacing w:val="-2"/>
        </w:rPr>
        <w:t>本部分所指的长期股权投资是指本公司对被投资单位具有控制、共同控制或重大影响的长期股权投资。本公司对被投资</w:t>
      </w:r>
      <w:r>
        <w:rPr/>
        <w:t> </w:t>
      </w:r>
      <w:r>
        <w:rPr>
          <w:spacing w:val="-2"/>
        </w:rPr>
        <w:t>单位不具有控制、共同控制或重大影响的长期股权投资，作为可供出售金融资产或以公允价值计量且其变动计入当期损益的</w:t>
      </w:r>
      <w:r>
        <w:rPr>
          <w:spacing w:val="-64"/>
        </w:rPr>
        <w:t> </w:t>
      </w:r>
      <w:r>
        <w:rPr>
          <w:spacing w:val="-64"/>
        </w:rPr>
      </w:r>
      <w:r>
        <w:rPr/>
        <w:t>金融资产核算，其会计政策详见附注五、</w:t>
      </w:r>
      <w:r>
        <w:rPr>
          <w:rFonts w:ascii="Times New Roman" w:hAnsi="Times New Roman" w:cs="Times New Roman" w:eastAsia="Times New Roman" w:hint="default"/>
        </w:rPr>
        <w:t>10</w:t>
      </w:r>
      <w:r>
        <w:rPr>
          <w:rFonts w:ascii="Times New Roman" w:hAnsi="Times New Roman" w:cs="Times New Roman" w:eastAsia="Times New Roman" w:hint="default"/>
        </w:rPr>
        <w:t>“</w:t>
      </w:r>
      <w:r>
        <w:rPr/>
        <w:t>金融工具</w:t>
      </w:r>
      <w:r>
        <w:rPr>
          <w:rFonts w:ascii="Times New Roman" w:hAnsi="Times New Roman" w:cs="Times New Roman" w:eastAsia="Times New Roman" w:hint="default"/>
        </w:rPr>
        <w:t>”</w:t>
      </w:r>
      <w:r>
        <w:rPr/>
        <w:t>。</w:t>
      </w:r>
    </w:p>
    <w:p>
      <w:pPr>
        <w:pStyle w:val="BodyText"/>
        <w:spacing w:line="316" w:lineRule="auto"/>
        <w:ind w:left="154" w:right="1132" w:firstLine="360"/>
        <w:jc w:val="both"/>
      </w:pPr>
      <w:r>
        <w:rPr>
          <w:spacing w:val="-2"/>
        </w:rPr>
        <w:t>共同控制，是指本公司按照相关约定对某项安排所共有的控制，并且该安排的相关活动必须经过分享控制权的参与方一</w:t>
      </w:r>
      <w:r>
        <w:rPr/>
        <w:t> </w:t>
      </w:r>
      <w:r>
        <w:rPr>
          <w:spacing w:val="-2"/>
        </w:rPr>
        <w:t>致同意后才能决策。重大影响，是指本公司对被投资单位的财务和经营政策有参与决策的权力，但并不能够控制或者与其他</w:t>
      </w:r>
      <w:r>
        <w:rPr>
          <w:spacing w:val="-66"/>
        </w:rPr>
        <w:t> </w:t>
      </w:r>
      <w:r>
        <w:rPr>
          <w:spacing w:val="-66"/>
        </w:rPr>
      </w:r>
      <w:r>
        <w:rPr/>
        <w:t>方一起共同控制这些政策的制定。</w:t>
      </w:r>
    </w:p>
    <w:p>
      <w:pPr>
        <w:pStyle w:val="BodyText"/>
        <w:spacing w:line="300" w:lineRule="auto" w:before="19"/>
        <w:ind w:left="514" w:right="0"/>
        <w:jc w:val="left"/>
      </w:pPr>
      <w:r>
        <w:rPr/>
        <w:t>（</w:t>
      </w:r>
      <w:r>
        <w:rPr>
          <w:rFonts w:ascii="Times New Roman" w:hAnsi="Times New Roman" w:cs="Times New Roman" w:eastAsia="Times New Roman" w:hint="default"/>
        </w:rPr>
        <w:t>1</w:t>
      </w:r>
      <w:r>
        <w:rPr/>
        <w:t>）投资成本的确定 </w:t>
      </w:r>
      <w:r>
        <w:rPr>
          <w:spacing w:val="-2"/>
        </w:rPr>
        <w:t>对于同一控制下的企业合并取得的长期股权投资，在合并日按照被合并方股东权益在最终控制方合并财务报表中的账面</w:t>
      </w:r>
    </w:p>
    <w:p>
      <w:pPr>
        <w:pStyle w:val="BodyText"/>
        <w:spacing w:line="314" w:lineRule="auto" w:before="31"/>
        <w:ind w:right="1033"/>
        <w:jc w:val="left"/>
      </w:pPr>
      <w:r>
        <w:rPr>
          <w:spacing w:val="-2"/>
        </w:rPr>
        <w:t>价值的份额作为长期股权投资的初始投资成本。长期股权投资初始投资成本与支付的现金、转让的非现金资产以及所承担债</w:t>
      </w:r>
      <w:r>
        <w:rPr>
          <w:spacing w:val="-64"/>
        </w:rPr>
        <w:t> </w:t>
      </w:r>
      <w:r>
        <w:rPr>
          <w:spacing w:val="-64"/>
        </w:rPr>
      </w:r>
      <w:r>
        <w:rPr>
          <w:spacing w:val="-2"/>
        </w:rPr>
        <w:t>务账面价值之间的差额，调整资本公积；资本公积不足冲减的，调整留存收益。以发行权益性证券作为合并对价的，在合并</w:t>
      </w:r>
      <w:r>
        <w:rPr>
          <w:spacing w:val="-66"/>
        </w:rPr>
        <w:t> </w:t>
      </w:r>
      <w:r>
        <w:rPr>
          <w:spacing w:val="-66"/>
        </w:rPr>
      </w:r>
      <w:r>
        <w:rPr>
          <w:spacing w:val="-2"/>
        </w:rPr>
        <w:t>日按照被合并方股东权益在最终控制方合并财务报表中的账面价值的份额作为长期股权投资的初始投资成本，按照发行股份</w:t>
      </w:r>
      <w:r>
        <w:rPr>
          <w:spacing w:val="-64"/>
        </w:rPr>
        <w:t> </w:t>
      </w:r>
      <w:r>
        <w:rPr>
          <w:spacing w:val="-64"/>
        </w:rPr>
      </w:r>
      <w:r>
        <w:rPr>
          <w:spacing w:val="-5"/>
        </w:rPr>
        <w:t>的面值总额作为股本，长期股权投资初始投资成本与所发行股份面值总额之间的差额，调整资本公积；资本公积不足冲减的，</w:t>
      </w:r>
      <w:r>
        <w:rPr>
          <w:spacing w:val="-79"/>
        </w:rPr>
        <w:t> </w:t>
      </w:r>
      <w:r>
        <w:rPr>
          <w:spacing w:val="-79"/>
        </w:rPr>
      </w:r>
      <w:r>
        <w:rPr/>
        <w:t>调整留存收益。通过多次交易分步取得同一控制下被合并方的股权，最终形成同一控制下企业合并的，应分别是否属于</w:t>
      </w:r>
      <w:r>
        <w:rPr>
          <w:rFonts w:ascii="Times New Roman" w:hAnsi="Times New Roman" w:cs="Times New Roman" w:eastAsia="Times New Roman" w:hint="default"/>
        </w:rPr>
        <w:t>“</w:t>
      </w:r>
      <w:r>
        <w:rPr/>
        <w:t>一</w:t>
      </w:r>
      <w:r>
        <w:rPr>
          <w:spacing w:val="-74"/>
        </w:rPr>
        <w:t> </w:t>
      </w:r>
      <w:r>
        <w:rPr>
          <w:spacing w:val="-3"/>
        </w:rPr>
        <w:t>揽子交易</w:t>
      </w:r>
      <w:r>
        <w:rPr>
          <w:rFonts w:ascii="Times New Roman" w:hAnsi="Times New Roman" w:cs="Times New Roman" w:eastAsia="Times New Roman" w:hint="default"/>
          <w:spacing w:val="-3"/>
        </w:rPr>
        <w:t>”</w:t>
      </w:r>
      <w:r>
        <w:rPr>
          <w:spacing w:val="-3"/>
        </w:rPr>
        <w:t>进行处理：属于</w:t>
      </w:r>
      <w:r>
        <w:rPr>
          <w:rFonts w:ascii="Times New Roman" w:hAnsi="Times New Roman" w:cs="Times New Roman" w:eastAsia="Times New Roman" w:hint="default"/>
          <w:spacing w:val="-3"/>
        </w:rPr>
        <w:t>“</w:t>
      </w:r>
      <w:r>
        <w:rPr>
          <w:spacing w:val="-3"/>
        </w:rPr>
        <w:t>一揽子交易</w:t>
      </w:r>
      <w:r>
        <w:rPr>
          <w:rFonts w:ascii="Times New Roman" w:hAnsi="Times New Roman" w:cs="Times New Roman" w:eastAsia="Times New Roman" w:hint="default"/>
          <w:spacing w:val="-3"/>
        </w:rPr>
        <w:t>”</w:t>
      </w:r>
      <w:r>
        <w:rPr>
          <w:spacing w:val="-3"/>
        </w:rPr>
        <w:t>的，将各项交易作为一项取得控制权的交易进行会计处理。不属于</w:t>
      </w:r>
      <w:r>
        <w:rPr>
          <w:rFonts w:ascii="Times New Roman" w:hAnsi="Times New Roman" w:cs="Times New Roman" w:eastAsia="Times New Roman" w:hint="default"/>
          <w:spacing w:val="-3"/>
        </w:rPr>
        <w:t>“</w:t>
      </w:r>
      <w:r>
        <w:rPr>
          <w:spacing w:val="-3"/>
        </w:rPr>
        <w:t>一揽子交易</w:t>
      </w:r>
      <w:r>
        <w:rPr>
          <w:rFonts w:ascii="Times New Roman" w:hAnsi="Times New Roman" w:cs="Times New Roman" w:eastAsia="Times New Roman" w:hint="default"/>
          <w:spacing w:val="-3"/>
        </w:rPr>
        <w:t>”</w:t>
      </w:r>
      <w:r>
        <w:rPr>
          <w:spacing w:val="-3"/>
        </w:rPr>
        <w:t>的，</w:t>
      </w:r>
      <w:r>
        <w:rPr>
          <w:spacing w:val="-42"/>
        </w:rPr>
        <w:t> </w:t>
      </w:r>
      <w:r>
        <w:rPr/>
        <w:t>在合并日按照应享有被合并方股东权益在最终控制方合并财务报表中的账面价值的份额作为长期股权投资的初始投资成本，</w:t>
      </w:r>
      <w:r>
        <w:rPr>
          <w:spacing w:val="-85"/>
        </w:rPr>
        <w:t> </w:t>
      </w:r>
      <w:r>
        <w:rPr>
          <w:spacing w:val="-85"/>
        </w:rPr>
      </w:r>
      <w:r>
        <w:rPr/>
        <w:t>长期股权投资初始投资成本与达到合并前的长期股权投资账面价值加上合并日进一步取得股份新支付对价的账面价值之和</w:t>
      </w:r>
      <w:r>
        <w:rPr>
          <w:spacing w:val="-9"/>
        </w:rPr>
        <w:t> </w:t>
      </w:r>
      <w:r>
        <w:rPr>
          <w:spacing w:val="-9"/>
        </w:rPr>
      </w:r>
      <w:r>
        <w:rPr>
          <w:spacing w:val="-2"/>
        </w:rPr>
        <w:t>的差额，调整资本公积；资本公积不足冲减的，调整留存收益。合并日之前持有的股权投资因采用权益法核算或为可供出售</w:t>
      </w:r>
      <w:r>
        <w:rPr>
          <w:spacing w:val="-66"/>
        </w:rPr>
        <w:t> </w:t>
      </w:r>
      <w:r>
        <w:rPr>
          <w:spacing w:val="-66"/>
        </w:rPr>
      </w:r>
      <w:r>
        <w:rPr/>
        <w:t>金融资产而确认的其他综合收益，暂不进行会计处理。</w:t>
      </w:r>
    </w:p>
    <w:p>
      <w:pPr>
        <w:pStyle w:val="BodyText"/>
        <w:spacing w:line="312" w:lineRule="auto" w:before="20"/>
        <w:ind w:right="0" w:firstLine="360"/>
        <w:jc w:val="left"/>
      </w:pPr>
      <w:r>
        <w:rPr>
          <w:spacing w:val="-2"/>
        </w:rPr>
        <w:t>对于非同一控制下的企业合并取得的长期股权投资，在购买日按照合并成本作为长期股权投资的初始投资成本，合并成</w:t>
      </w:r>
      <w:r>
        <w:rPr/>
        <w:t> </w:t>
      </w:r>
      <w:r>
        <w:rPr>
          <w:spacing w:val="-5"/>
        </w:rPr>
        <w:t>本包括购买方付出的资产、发生或承担的负债、发行的权益性证券的公允价值之和。通过多次交易分步取得被购买方的股权，</w:t>
      </w:r>
      <w:r>
        <w:rPr>
          <w:spacing w:val="-79"/>
        </w:rPr>
        <w:t> </w:t>
      </w:r>
      <w:r>
        <w:rPr>
          <w:spacing w:val="-79"/>
        </w:rPr>
      </w:r>
      <w:r>
        <w:rPr/>
        <w:t>最终形成非同一控制下的企业合并的，应分别是否属于</w:t>
      </w:r>
      <w:r>
        <w:rPr>
          <w:rFonts w:ascii="Times New Roman" w:hAnsi="Times New Roman" w:cs="Times New Roman" w:eastAsia="Times New Roman" w:hint="default"/>
        </w:rPr>
        <w:t>“</w:t>
      </w:r>
      <w:r>
        <w:rPr/>
        <w:t>一揽子交易</w:t>
      </w:r>
      <w:r>
        <w:rPr>
          <w:rFonts w:ascii="Times New Roman" w:hAnsi="Times New Roman" w:cs="Times New Roman" w:eastAsia="Times New Roman" w:hint="default"/>
        </w:rPr>
        <w:t>”</w:t>
      </w:r>
      <w:r>
        <w:rPr/>
        <w:t>进行处理：属于</w:t>
      </w:r>
      <w:r>
        <w:rPr>
          <w:rFonts w:ascii="Times New Roman" w:hAnsi="Times New Roman" w:cs="Times New Roman" w:eastAsia="Times New Roman" w:hint="default"/>
        </w:rPr>
        <w:t>“</w:t>
      </w:r>
      <w:r>
        <w:rPr/>
        <w:t>一揽子交易</w:t>
      </w:r>
      <w:r>
        <w:rPr>
          <w:rFonts w:ascii="Times New Roman" w:hAnsi="Times New Roman" w:cs="Times New Roman" w:eastAsia="Times New Roman" w:hint="default"/>
        </w:rPr>
        <w:t>”</w:t>
      </w:r>
      <w:r>
        <w:rPr/>
        <w:t>的，将各项交易作为一项 </w:t>
      </w:r>
      <w:r>
        <w:rPr>
          <w:spacing w:val="-3"/>
          <w:w w:val="100"/>
        </w:rPr>
        <w:t>取得控制权的交易进行会计处理。不属于</w:t>
      </w:r>
      <w:r>
        <w:rPr>
          <w:rFonts w:ascii="Times New Roman" w:hAnsi="Times New Roman" w:cs="Times New Roman" w:eastAsia="Times New Roman" w:hint="default"/>
          <w:spacing w:val="-3"/>
          <w:w w:val="100"/>
        </w:rPr>
        <w:t>“</w:t>
      </w:r>
      <w:r>
        <w:rPr>
          <w:spacing w:val="-3"/>
          <w:w w:val="100"/>
        </w:rPr>
        <w:t>一揽子交易</w:t>
      </w:r>
      <w:r>
        <w:rPr>
          <w:rFonts w:ascii="Times New Roman" w:hAnsi="Times New Roman" w:cs="Times New Roman" w:eastAsia="Times New Roman" w:hint="default"/>
          <w:spacing w:val="-3"/>
          <w:w w:val="100"/>
        </w:rPr>
        <w:t>”</w:t>
      </w:r>
      <w:r>
        <w:rPr>
          <w:spacing w:val="-3"/>
          <w:w w:val="100"/>
        </w:rPr>
        <w:t>的，按照原持有被购买方的股权投资账面价值加上新增投资成本之和，</w:t>
      </w:r>
      <w:r>
        <w:rPr>
          <w:spacing w:val="-76"/>
          <w:w w:val="100"/>
        </w:rPr>
        <w:t> </w:t>
      </w:r>
      <w:r>
        <w:rPr>
          <w:spacing w:val="-76"/>
          <w:w w:val="100"/>
        </w:rPr>
      </w:r>
      <w:r>
        <w:rPr>
          <w:spacing w:val="-2"/>
        </w:rPr>
        <w:t>作为改按成本法核算的长期股权投资的初始投资成本。原持有的股权采用权益法核算的，相关其他综合收益暂不进行会计处</w:t>
      </w:r>
      <w:r>
        <w:rPr>
          <w:spacing w:val="-64"/>
        </w:rPr>
        <w:t> </w:t>
      </w:r>
      <w:r>
        <w:rPr>
          <w:spacing w:val="-64"/>
        </w:rPr>
      </w:r>
      <w:r>
        <w:rPr>
          <w:spacing w:val="-2"/>
        </w:rPr>
        <w:t>理。原持有股权投资为可供出售金融资产的，其公允价值与账面价值之间的差额，以及原计入其他综合收益的累计公允价值</w:t>
      </w:r>
      <w:r>
        <w:rPr>
          <w:spacing w:val="-66"/>
        </w:rPr>
        <w:t> </w:t>
      </w:r>
      <w:r>
        <w:rPr>
          <w:spacing w:val="-66"/>
        </w:rPr>
      </w:r>
      <w:r>
        <w:rPr/>
        <w:t>变动转入当期损益。</w:t>
      </w:r>
    </w:p>
    <w:p>
      <w:pPr>
        <w:pStyle w:val="BodyText"/>
        <w:spacing w:line="316" w:lineRule="auto" w:before="22"/>
        <w:ind w:right="1133" w:firstLine="360"/>
        <w:jc w:val="both"/>
      </w:pPr>
      <w:r>
        <w:rPr>
          <w:spacing w:val="-2"/>
        </w:rPr>
        <w:t>合并方或购买方为企业合并发生的审计、法律服务、评估咨询等中介费用以及其他相关管理费用，于发生时计入当期损</w:t>
      </w:r>
      <w:r>
        <w:rPr/>
        <w:t> 益。</w:t>
      </w:r>
    </w:p>
    <w:p>
      <w:pPr>
        <w:pStyle w:val="BodyText"/>
        <w:spacing w:line="314" w:lineRule="auto" w:before="19"/>
        <w:ind w:left="154" w:right="1131" w:firstLine="360"/>
        <w:jc w:val="both"/>
      </w:pPr>
      <w:r>
        <w:rPr>
          <w:spacing w:val="-2"/>
        </w:rPr>
        <w:t>除企业合并形成的长期股权投资外的其他股权投资，按成本进行初始计量，该成本视长期股权投资取得方式的不同，分</w:t>
      </w:r>
      <w:r>
        <w:rPr/>
        <w:t> </w:t>
      </w:r>
      <w:r>
        <w:rPr>
          <w:spacing w:val="-2"/>
        </w:rPr>
        <w:t>别按照本公司实际支付的现金购买价款、本公司发行的权益性证券的公允价值、投资合同或协议约定的价值、非货币性资产</w:t>
      </w:r>
      <w:r>
        <w:rPr>
          <w:spacing w:val="-65"/>
        </w:rPr>
        <w:t> </w:t>
      </w:r>
      <w:r>
        <w:rPr>
          <w:spacing w:val="-65"/>
        </w:rPr>
      </w:r>
      <w:r>
        <w:rPr>
          <w:spacing w:val="-2"/>
        </w:rPr>
        <w:t>交换交易中换出资产的公允价值或原账面价值、该项长期股权投资自身的公允价值等方式确定。与取得长期股权投资直接相</w:t>
      </w:r>
      <w:r>
        <w:rPr>
          <w:spacing w:val="-64"/>
        </w:rPr>
        <w:t> </w:t>
      </w:r>
      <w:r>
        <w:rPr>
          <w:spacing w:val="-64"/>
        </w:rPr>
      </w:r>
      <w:r>
        <w:rPr>
          <w:spacing w:val="-2"/>
        </w:rPr>
        <w:t>关的费用、税金及其他必要支出也计入投资成本。对于因追加投资能够对被投资单位实施重大影响或实施共同控制但不构成</w:t>
      </w:r>
      <w:r>
        <w:rPr>
          <w:spacing w:val="-64"/>
        </w:rPr>
        <w:t> </w:t>
      </w:r>
      <w:r>
        <w:rPr>
          <w:spacing w:val="-64"/>
        </w:rPr>
      </w:r>
      <w:r>
        <w:rPr>
          <w:spacing w:val="-2"/>
        </w:rPr>
        <w:t>控制的，长期股权投资成本为按照《企业会计准则第</w:t>
      </w:r>
      <w:r>
        <w:rPr>
          <w:rFonts w:ascii="Times New Roman" w:hAnsi="Times New Roman" w:cs="Times New Roman" w:eastAsia="Times New Roman" w:hint="default"/>
          <w:spacing w:val="-2"/>
        </w:rPr>
        <w:t>22</w:t>
      </w:r>
      <w:r>
        <w:rPr>
          <w:spacing w:val="-2"/>
        </w:rPr>
        <w:t>号</w:t>
      </w:r>
      <w:r>
        <w:rPr>
          <w:rFonts w:ascii="Times New Roman" w:hAnsi="Times New Roman" w:cs="Times New Roman" w:eastAsia="Times New Roman" w:hint="default"/>
          <w:spacing w:val="-2"/>
        </w:rPr>
        <w:t>——</w:t>
      </w:r>
      <w:r>
        <w:rPr>
          <w:spacing w:val="-2"/>
        </w:rPr>
        <w:t>金融工具确认和计量》确定的原持有股权投资的公允价值加上</w:t>
      </w:r>
      <w:r>
        <w:rPr>
          <w:spacing w:val="-64"/>
        </w:rPr>
        <w:t> </w:t>
      </w:r>
      <w:r>
        <w:rPr>
          <w:spacing w:val="-64"/>
        </w:rPr>
      </w:r>
      <w:r>
        <w:rPr/>
        <w:t>新增投资成本之和。</w:t>
      </w:r>
    </w:p>
    <w:p>
      <w:pPr>
        <w:pStyle w:val="BodyText"/>
        <w:spacing w:line="300" w:lineRule="auto" w:before="20"/>
        <w:ind w:left="514" w:right="0"/>
        <w:jc w:val="left"/>
      </w:pPr>
      <w:r>
        <w:rPr/>
        <w:t>（</w:t>
      </w:r>
      <w:r>
        <w:rPr>
          <w:rFonts w:ascii="Times New Roman" w:hAnsi="Times New Roman" w:cs="Times New Roman" w:eastAsia="Times New Roman" w:hint="default"/>
        </w:rPr>
        <w:t>2</w:t>
      </w:r>
      <w:r>
        <w:rPr/>
        <w:t>）后续计量及损益确认方法 </w:t>
      </w:r>
      <w:r>
        <w:rPr>
          <w:spacing w:val="-2"/>
        </w:rPr>
        <w:t>对被投资单位具有共同控制（构成共同经营者除外）或重大影响的长期股权投资，采用权益法核算。此外，公司财务报</w:t>
      </w:r>
    </w:p>
    <w:p>
      <w:pPr>
        <w:pStyle w:val="BodyText"/>
        <w:spacing w:line="240" w:lineRule="auto" w:before="31"/>
        <w:ind w:left="154" w:right="0"/>
        <w:jc w:val="left"/>
      </w:pPr>
      <w:r>
        <w:rPr/>
        <w:t>表采用成本法核算能够对被投资单位实施控制的长期股权投资。</w:t>
      </w:r>
    </w:p>
    <w:p>
      <w:pPr>
        <w:pStyle w:val="BodyText"/>
        <w:spacing w:line="240" w:lineRule="auto" w:before="76"/>
        <w:ind w:left="514" w:right="0"/>
        <w:jc w:val="left"/>
      </w:pPr>
      <w:r>
        <w:rPr/>
        <w:t>①本法核算的长期股权投资</w:t>
      </w:r>
    </w:p>
    <w:p>
      <w:pPr>
        <w:spacing w:after="0" w:line="240"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16" w:lineRule="auto" w:before="44"/>
        <w:ind w:right="1131" w:firstLine="360"/>
        <w:jc w:val="both"/>
      </w:pPr>
      <w:r>
        <w:rPr>
          <w:spacing w:val="-2"/>
        </w:rPr>
        <w:t>采用成本法核算时，长期股权投资按初始投资成本计价，追加或收回投资调整长期股权投资的成本。除取得投资时实际</w:t>
      </w:r>
      <w:r>
        <w:rPr/>
        <w:t> </w:t>
      </w:r>
      <w:r>
        <w:rPr>
          <w:spacing w:val="-2"/>
        </w:rPr>
        <w:t>支付的价款或者对价中包含的已宣告但尚未发放的现金股利或者利润外，当期投资收益按照享有被投资单位宣告发放的现金</w:t>
      </w:r>
      <w:r>
        <w:rPr>
          <w:spacing w:val="-64"/>
        </w:rPr>
        <w:t> </w:t>
      </w:r>
      <w:r>
        <w:rPr>
          <w:spacing w:val="-64"/>
        </w:rPr>
      </w:r>
      <w:r>
        <w:rPr/>
        <w:t>股利或利润确认。</w:t>
      </w:r>
    </w:p>
    <w:p>
      <w:pPr>
        <w:pStyle w:val="BodyText"/>
        <w:spacing w:line="319" w:lineRule="auto" w:before="19"/>
        <w:ind w:left="513" w:right="0"/>
        <w:jc w:val="left"/>
      </w:pPr>
      <w:r>
        <w:rPr/>
        <w:t>②权益法核算的长期股权投资 </w:t>
      </w:r>
      <w:r>
        <w:rPr>
          <w:spacing w:val="-2"/>
        </w:rPr>
        <w:t>采用权益法核算时，长期股权投资的初始投资成本大于投资时应享有被投资单位可辨认净资产公允价值份额的，不调整</w:t>
      </w:r>
    </w:p>
    <w:p>
      <w:pPr>
        <w:pStyle w:val="BodyText"/>
        <w:spacing w:line="316" w:lineRule="auto" w:before="17"/>
        <w:ind w:right="0"/>
        <w:jc w:val="left"/>
      </w:pPr>
      <w:r>
        <w:rPr>
          <w:spacing w:val="-2"/>
        </w:rPr>
        <w:t>长期股权投资的初始投资成本；初始投资成本小于投资时应享有被投资单位可辨认净资产公允价值份额的，其差额计入当期</w:t>
      </w:r>
      <w:r>
        <w:rPr>
          <w:spacing w:val="-64"/>
        </w:rPr>
        <w:t> </w:t>
      </w:r>
      <w:r>
        <w:rPr>
          <w:spacing w:val="-64"/>
        </w:rPr>
      </w:r>
      <w:r>
        <w:rPr/>
        <w:t>损益，同时调整长期股权投资的成本。</w:t>
      </w:r>
    </w:p>
    <w:p>
      <w:pPr>
        <w:pStyle w:val="BodyText"/>
        <w:spacing w:line="316" w:lineRule="auto" w:before="19"/>
        <w:ind w:right="1033" w:firstLine="360"/>
        <w:jc w:val="left"/>
      </w:pPr>
      <w:r>
        <w:rPr>
          <w:spacing w:val="-2"/>
        </w:rPr>
        <w:t>采用权益法核算时，按照应享有或应分担的被投资单位实现的净损益和其他综合收益的份额，分别确认投资收益和其他</w:t>
      </w:r>
      <w:r>
        <w:rPr/>
        <w:t> </w:t>
      </w:r>
      <w:r>
        <w:rPr>
          <w:spacing w:val="-2"/>
        </w:rPr>
        <w:t>综合收益，同时调整长期股权投资的账面价值；按照被投资单位宣告分派的利润或现金股利计算应享有的部分，相应减少长</w:t>
      </w:r>
      <w:r>
        <w:rPr>
          <w:spacing w:val="-66"/>
        </w:rPr>
        <w:t> </w:t>
      </w:r>
      <w:r>
        <w:rPr>
          <w:spacing w:val="-66"/>
        </w:rPr>
      </w:r>
      <w:r>
        <w:rPr>
          <w:spacing w:val="-2"/>
        </w:rPr>
        <w:t>期股权投资的账面价值；对于被投资单位除净损益、其他综合收益和利润分配以外所有者权益的其他变动，调整长期股权投</w:t>
      </w:r>
      <w:r>
        <w:rPr>
          <w:spacing w:val="-66"/>
        </w:rPr>
        <w:t> </w:t>
      </w:r>
      <w:r>
        <w:rPr>
          <w:spacing w:val="-66"/>
        </w:rPr>
      </w:r>
      <w:r>
        <w:rPr>
          <w:spacing w:val="-2"/>
        </w:rPr>
        <w:t>资的账面价值并计入资本公积。在确认应享有被投资单位净损益的份额时，以取得投资时被投资单位各项可辨认资产等的公</w:t>
      </w:r>
      <w:r>
        <w:rPr>
          <w:spacing w:val="-64"/>
        </w:rPr>
        <w:t> </w:t>
      </w:r>
      <w:r>
        <w:rPr>
          <w:spacing w:val="-64"/>
        </w:rPr>
      </w:r>
      <w:r>
        <w:rPr>
          <w:spacing w:val="-2"/>
        </w:rPr>
        <w:t>允价值为基础，对被投资单位的净利润进行调整后确认。被投资单位采用的会计政策及会计期间与本公司不一致的，按照本</w:t>
      </w:r>
      <w:r>
        <w:rPr>
          <w:spacing w:val="-66"/>
        </w:rPr>
        <w:t> </w:t>
      </w:r>
      <w:r>
        <w:rPr>
          <w:spacing w:val="-66"/>
        </w:rPr>
      </w:r>
      <w:r>
        <w:rPr>
          <w:spacing w:val="-2"/>
        </w:rPr>
        <w:t>公司的会计政策及会计期间对被投资单位的财务报表进行调整，并据以确认投资收益和其他综合收益。对于本公司与联营企</w:t>
      </w:r>
      <w:r>
        <w:rPr>
          <w:spacing w:val="-64"/>
        </w:rPr>
        <w:t> </w:t>
      </w:r>
      <w:r>
        <w:rPr>
          <w:spacing w:val="-64"/>
        </w:rPr>
      </w:r>
      <w:r>
        <w:rPr>
          <w:spacing w:val="-2"/>
        </w:rPr>
        <w:t>业及合营企业之间发生的交易，投出或出售的资产不构成业务的，未实现内部交易损益按照享有的比例计算归属于本公司的</w:t>
      </w:r>
      <w:r>
        <w:rPr>
          <w:spacing w:val="-64"/>
        </w:rPr>
        <w:t> </w:t>
      </w:r>
      <w:r>
        <w:rPr>
          <w:spacing w:val="-64"/>
        </w:rPr>
      </w:r>
      <w:r>
        <w:rPr>
          <w:spacing w:val="-5"/>
        </w:rPr>
        <w:t>部分予以抵销，在此基础上确认投资损益。但本公司与被投资单位发生的未实现内部交易损失，属于所转让资产减值损失的，</w:t>
      </w:r>
      <w:r>
        <w:rPr>
          <w:spacing w:val="-79"/>
        </w:rPr>
        <w:t> </w:t>
      </w:r>
      <w:r>
        <w:rPr>
          <w:spacing w:val="-79"/>
        </w:rPr>
      </w:r>
      <w:r>
        <w:rPr>
          <w:spacing w:val="-2"/>
        </w:rPr>
        <w:t>不予以抵销。本公司向合营企业或联营企业投出的资产构成业务的，投资方因此取得长期股权投资但未取得控制权的，以投</w:t>
      </w:r>
      <w:r>
        <w:rPr>
          <w:spacing w:val="-65"/>
        </w:rPr>
        <w:t> </w:t>
      </w:r>
      <w:r>
        <w:rPr>
          <w:spacing w:val="-65"/>
        </w:rPr>
      </w:r>
      <w:r>
        <w:rPr/>
        <w:t>出业务的公允价值作为新增长期股权投资的初始投资成本，初始投资成本与投出业务的账面价值之差，全额计入当期损益。</w:t>
      </w:r>
      <w:r>
        <w:rPr>
          <w:spacing w:val="-85"/>
        </w:rPr>
        <w:t> </w:t>
      </w:r>
      <w:r>
        <w:rPr>
          <w:spacing w:val="-85"/>
        </w:rPr>
      </w:r>
      <w:r>
        <w:rPr>
          <w:spacing w:val="-2"/>
        </w:rPr>
        <w:t>本公司向合营企业或联营企业出售的资产构成业务的，取得的对价与业务的账面价值之差，全额计入当期损益。本公司自联</w:t>
      </w:r>
      <w:r>
        <w:rPr>
          <w:spacing w:val="-66"/>
        </w:rPr>
        <w:t> </w:t>
      </w:r>
      <w:r>
        <w:rPr>
          <w:spacing w:val="-66"/>
        </w:rPr>
      </w:r>
      <w:r>
        <w:rPr>
          <w:spacing w:val="-2"/>
        </w:rPr>
        <w:t>营企业及合营企业购入的资产构成业务的，按《企业会计准则第</w:t>
      </w:r>
      <w:r>
        <w:rPr>
          <w:rFonts w:ascii="Times New Roman" w:hAnsi="Times New Roman" w:cs="Times New Roman" w:eastAsia="Times New Roman" w:hint="default"/>
          <w:spacing w:val="-2"/>
        </w:rPr>
        <w:t>20</w:t>
      </w:r>
      <w:r>
        <w:rPr>
          <w:spacing w:val="-2"/>
        </w:rPr>
        <w:t>号</w:t>
      </w:r>
      <w:r>
        <w:rPr>
          <w:rFonts w:ascii="Times New Roman" w:hAnsi="Times New Roman" w:cs="Times New Roman" w:eastAsia="Times New Roman" w:hint="default"/>
          <w:spacing w:val="-2"/>
        </w:rPr>
        <w:t>——</w:t>
      </w:r>
      <w:r>
        <w:rPr>
          <w:spacing w:val="-2"/>
        </w:rPr>
        <w:t>企业合并》的规定进行会计处理，全额确认与交易</w:t>
      </w:r>
      <w:r>
        <w:rPr>
          <w:spacing w:val="-64"/>
        </w:rPr>
        <w:t> </w:t>
      </w:r>
      <w:r>
        <w:rPr>
          <w:spacing w:val="-64"/>
        </w:rPr>
      </w:r>
      <w:r>
        <w:rPr/>
        <w:t>相关的利得或损失。</w:t>
      </w:r>
    </w:p>
    <w:p>
      <w:pPr>
        <w:pStyle w:val="BodyText"/>
        <w:spacing w:line="319" w:lineRule="auto" w:before="19"/>
        <w:ind w:right="1131" w:firstLine="360"/>
        <w:jc w:val="both"/>
      </w:pPr>
      <w:r>
        <w:rPr>
          <w:spacing w:val="-2"/>
        </w:rPr>
        <w:t>在确认应分担被投资单位发生的净亏损时，以长期股权投资的账面价值和其他实质上构成对被投资单位净投资的长期权</w:t>
      </w:r>
      <w:r>
        <w:rPr/>
        <w:t> </w:t>
      </w:r>
      <w:r>
        <w:rPr>
          <w:spacing w:val="-2"/>
        </w:rPr>
        <w:t>益减记至零为限。此外，如本公司对被投资单位负有承担额外损失的义务，则按预计承担的义务确认预计负债，计入当期投</w:t>
      </w:r>
      <w:r>
        <w:rPr>
          <w:spacing w:val="-66"/>
        </w:rPr>
        <w:t> </w:t>
      </w:r>
      <w:r>
        <w:rPr>
          <w:spacing w:val="-66"/>
        </w:rPr>
      </w:r>
      <w:r>
        <w:rPr/>
        <w:t>资损失。被投资单位以后期间实现净利润的，本公司在收益分享额弥补未确认的亏损分担额后，恢复确认收益分享额。</w:t>
      </w:r>
    </w:p>
    <w:p>
      <w:pPr>
        <w:pStyle w:val="BodyText"/>
        <w:spacing w:line="316" w:lineRule="auto" w:before="17"/>
        <w:ind w:left="513" w:right="0"/>
        <w:jc w:val="left"/>
      </w:pPr>
      <w:r>
        <w:rPr/>
        <w:t>③收购少数股权 </w:t>
      </w:r>
      <w:r>
        <w:rPr>
          <w:spacing w:val="-2"/>
        </w:rPr>
        <w:t>在编制合并财务报表时，因购买少数股权新增的长期股权投资与按照新增持股比例计算应享有子公司自购买日（或合并</w:t>
      </w:r>
    </w:p>
    <w:p>
      <w:pPr>
        <w:pStyle w:val="BodyText"/>
        <w:spacing w:line="240" w:lineRule="auto" w:before="19"/>
        <w:ind w:right="0"/>
        <w:jc w:val="left"/>
      </w:pPr>
      <w:r>
        <w:rPr/>
        <w:t>日）开始持续计算的净资产份额之间的差额，调整资本公积，资本公积不足冲减的，调整留存收益。</w:t>
      </w:r>
    </w:p>
    <w:p>
      <w:pPr>
        <w:pStyle w:val="BodyText"/>
        <w:spacing w:line="316" w:lineRule="auto" w:before="76"/>
        <w:ind w:left="513" w:right="0"/>
        <w:jc w:val="left"/>
      </w:pPr>
      <w:r>
        <w:rPr/>
        <w:t>④处置长期股权投资 </w:t>
      </w:r>
      <w:r>
        <w:rPr>
          <w:spacing w:val="-2"/>
        </w:rPr>
        <w:t>在合并财务报表中，母公司在不丧失控制权的情况下部分处置对子公司的长期股权投资，处置价款与处置长期股权投资</w:t>
      </w:r>
    </w:p>
    <w:p>
      <w:pPr>
        <w:pStyle w:val="BodyText"/>
        <w:spacing w:line="316" w:lineRule="auto" w:before="19"/>
        <w:ind w:right="0"/>
        <w:jc w:val="left"/>
      </w:pPr>
      <w:r>
        <w:rPr>
          <w:spacing w:val="-2"/>
        </w:rPr>
        <w:t>相对应享有子公司净资产的差额计入股东权益；母公司部分处置对子公司的长期股权投资导致丧失对子公司控制权的，按本</w:t>
      </w:r>
      <w:r>
        <w:rPr>
          <w:spacing w:val="-64"/>
        </w:rPr>
        <w:t> </w:t>
      </w:r>
      <w:r>
        <w:rPr>
          <w:spacing w:val="-64"/>
        </w:rPr>
      </w:r>
      <w:r>
        <w:rPr>
          <w:spacing w:val="-3"/>
          <w:w w:val="100"/>
        </w:rPr>
        <w:t>附注五、</w:t>
      </w:r>
      <w:r>
        <w:rPr>
          <w:rFonts w:ascii="Times New Roman" w:hAnsi="Times New Roman" w:cs="Times New Roman" w:eastAsia="Times New Roman" w:hint="default"/>
          <w:spacing w:val="-3"/>
          <w:w w:val="100"/>
        </w:rPr>
        <w:t>6</w:t>
      </w:r>
      <w:r>
        <w:rPr>
          <w:spacing w:val="-3"/>
          <w:w w:val="100"/>
        </w:rPr>
        <w:t>、（</w:t>
      </w:r>
      <w:r>
        <w:rPr>
          <w:rFonts w:ascii="Times New Roman" w:hAnsi="Times New Roman" w:cs="Times New Roman" w:eastAsia="Times New Roman" w:hint="default"/>
          <w:spacing w:val="-3"/>
          <w:w w:val="100"/>
        </w:rPr>
        <w:t>2</w:t>
      </w:r>
      <w:r>
        <w:rPr>
          <w:spacing w:val="-3"/>
          <w:w w:val="100"/>
        </w:rPr>
        <w:t>）</w:t>
      </w:r>
      <w:r>
        <w:rPr>
          <w:rFonts w:ascii="Times New Roman" w:hAnsi="Times New Roman" w:cs="Times New Roman" w:eastAsia="Times New Roman" w:hint="default"/>
          <w:spacing w:val="-3"/>
          <w:w w:val="100"/>
        </w:rPr>
        <w:t>“</w:t>
      </w:r>
      <w:r>
        <w:rPr>
          <w:spacing w:val="-3"/>
          <w:w w:val="100"/>
        </w:rPr>
        <w:t>合并财务报表编制的方法</w:t>
      </w:r>
      <w:r>
        <w:rPr>
          <w:rFonts w:ascii="Times New Roman" w:hAnsi="Times New Roman" w:cs="Times New Roman" w:eastAsia="Times New Roman" w:hint="default"/>
          <w:spacing w:val="-3"/>
          <w:w w:val="100"/>
        </w:rPr>
        <w:t>”</w:t>
      </w:r>
      <w:r>
        <w:rPr>
          <w:spacing w:val="-3"/>
          <w:w w:val="100"/>
        </w:rPr>
        <w:t>中所述的相关会计政策处理。</w:t>
      </w:r>
    </w:p>
    <w:p>
      <w:pPr>
        <w:pStyle w:val="BodyText"/>
        <w:spacing w:line="316" w:lineRule="auto"/>
        <w:ind w:left="514" w:right="0"/>
        <w:jc w:val="left"/>
      </w:pPr>
      <w:r>
        <w:rPr/>
        <w:t>其他情形下的长期股权投资处置，对于处置的股权，其账面价值与实际取得价款的差额，计入当期损益。 </w:t>
      </w:r>
      <w:r>
        <w:rPr>
          <w:spacing w:val="-2"/>
        </w:rPr>
        <w:t>采用权益法核算的长期股权投资，处置后的剩余股权仍采用权益法核算的，在处置时将原计入股东权益的其他综合收益</w:t>
      </w:r>
    </w:p>
    <w:p>
      <w:pPr>
        <w:pStyle w:val="BodyText"/>
        <w:spacing w:line="316" w:lineRule="auto" w:before="19"/>
        <w:ind w:left="154" w:right="0"/>
        <w:jc w:val="left"/>
      </w:pPr>
      <w:r>
        <w:rPr>
          <w:spacing w:val="-2"/>
        </w:rPr>
        <w:t>部分按相应的比例采用与被投资单位直接处置相关资产或负债相同的基础进行会计处理。因被投资方除净损益、其他综合收</w:t>
      </w:r>
      <w:r>
        <w:rPr>
          <w:spacing w:val="-64"/>
        </w:rPr>
        <w:t> </w:t>
      </w:r>
      <w:r>
        <w:rPr>
          <w:spacing w:val="-64"/>
        </w:rPr>
      </w:r>
      <w:r>
        <w:rPr/>
        <w:t>益和利润分配以外的其他所有者权益变动而确认的所有者权益，按比例结转入当期损益。</w:t>
      </w:r>
    </w:p>
    <w:p>
      <w:pPr>
        <w:pStyle w:val="BodyText"/>
        <w:spacing w:line="316" w:lineRule="auto" w:before="19"/>
        <w:ind w:left="154" w:right="1131" w:firstLine="360"/>
        <w:jc w:val="both"/>
      </w:pPr>
      <w:r>
        <w:rPr>
          <w:spacing w:val="-2"/>
        </w:rPr>
        <w:t>采用成本法核算的长期股权投资，处置后剩余股权仍采用成本法核算的，其在取得对被投资单位的控制之前因采用权益</w:t>
      </w:r>
      <w:r>
        <w:rPr/>
        <w:t> </w:t>
      </w:r>
      <w:r>
        <w:rPr>
          <w:spacing w:val="-2"/>
        </w:rPr>
        <w:t>法核算或金融工具确认和计量准则核算而确认的其他综合收益，采用与被投资单位直接处置相关资产或负债相同的基础进行</w:t>
      </w:r>
      <w:r>
        <w:rPr>
          <w:spacing w:val="-64"/>
        </w:rPr>
        <w:t> </w:t>
      </w:r>
      <w:r>
        <w:rPr>
          <w:spacing w:val="-64"/>
        </w:rPr>
      </w:r>
      <w:r>
        <w:rPr>
          <w:spacing w:val="-2"/>
        </w:rPr>
        <w:t>会计处理，并按比例结转当期损益；因采用权益法核算而确认的被投资单位净资产中除净损益、其他综合收益和利润分配以</w:t>
      </w:r>
      <w:r>
        <w:rPr>
          <w:spacing w:val="-66"/>
        </w:rPr>
        <w:t> </w:t>
      </w:r>
      <w:r>
        <w:rPr>
          <w:spacing w:val="-66"/>
        </w:rPr>
      </w:r>
      <w:r>
        <w:rPr/>
        <w:t>外的其他所有者权益变动按比例结转当期损益。</w:t>
      </w:r>
    </w:p>
    <w:p>
      <w:pPr>
        <w:pStyle w:val="BodyText"/>
        <w:spacing w:line="316" w:lineRule="auto" w:before="19"/>
        <w:ind w:left="154" w:right="1131" w:firstLine="360"/>
        <w:jc w:val="both"/>
      </w:pPr>
      <w:r>
        <w:rPr>
          <w:spacing w:val="-2"/>
        </w:rPr>
        <w:t>本公司因处置部分股权投资丧失了对被投资单位的控制的，在编制个别财务报表时，处置后的剩余股权能够对被投资单</w:t>
      </w:r>
      <w:r>
        <w:rPr/>
        <w:t> </w:t>
      </w:r>
      <w:r>
        <w:rPr>
          <w:spacing w:val="-2"/>
        </w:rPr>
        <w:t>位实施共同控制或施加重大影响的，改按权益法核算，并对该剩余股权视同自取得时即采用权益法核算进行调整；处置后的</w:t>
      </w:r>
      <w:r>
        <w:rPr>
          <w:spacing w:val="-66"/>
        </w:rPr>
        <w:t> </w:t>
      </w:r>
      <w:r>
        <w:rPr>
          <w:spacing w:val="-66"/>
        </w:rPr>
      </w:r>
      <w:r>
        <w:rPr>
          <w:spacing w:val="-2"/>
        </w:rPr>
        <w:t>剩余股权不能对被投资单位实施共同控制或施加重大影响的，改按金融工具确认和计量准则的有关规定进行会计处理，其在</w:t>
      </w:r>
      <w:r>
        <w:rPr>
          <w:spacing w:val="-64"/>
        </w:rPr>
        <w:t> </w:t>
      </w:r>
      <w:r>
        <w:rPr>
          <w:spacing w:val="-64"/>
        </w:rPr>
      </w:r>
      <w:r>
        <w:rPr>
          <w:spacing w:val="-2"/>
        </w:rPr>
        <w:t>丧失控制之日的公允价值与账面价值之间的差额计入当期损益。对于本公司取得对被投资单位的控制之前，因采用权益法核</w:t>
      </w:r>
      <w:r>
        <w:rPr>
          <w:spacing w:val="-64"/>
        </w:rPr>
        <w:t> </w:t>
      </w:r>
      <w:r>
        <w:rPr>
          <w:spacing w:val="-64"/>
        </w:rPr>
      </w:r>
      <w:r>
        <w:rPr>
          <w:spacing w:val="-2"/>
        </w:rPr>
        <w:t>算或金融工具确认和计量准则核算而确认的其他综合收益，在丧失对被投资单位控制时采用与被投资单位直接处置相关资产</w:t>
      </w:r>
      <w:r>
        <w:rPr>
          <w:spacing w:val="-64"/>
        </w:rPr>
        <w:t> </w:t>
      </w:r>
      <w:r>
        <w:rPr>
          <w:spacing w:val="-64"/>
        </w:rPr>
      </w:r>
      <w:r>
        <w:rPr>
          <w:spacing w:val="-2"/>
        </w:rPr>
        <w:t>或负债相同的基础进行会计处理，因采用权益法核算而确认的被投资单位净资产中除净损益、其他综合收益和利润分配以外</w:t>
      </w:r>
    </w:p>
    <w:p>
      <w:pPr>
        <w:spacing w:after="0" w:line="316" w:lineRule="auto"/>
        <w:jc w:val="both"/>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16" w:lineRule="auto" w:before="44"/>
        <w:ind w:right="1132"/>
        <w:jc w:val="both"/>
      </w:pPr>
      <w:r>
        <w:rPr>
          <w:spacing w:val="-2"/>
        </w:rPr>
        <w:t>的其他所有者权益变动在丧失对被投资单位控制时结转入当期损益。其中，处置后的剩余股权采用权益法核算的，其他综合</w:t>
      </w:r>
      <w:r>
        <w:rPr>
          <w:spacing w:val="-66"/>
        </w:rPr>
        <w:t> </w:t>
      </w:r>
      <w:r>
        <w:rPr>
          <w:spacing w:val="-66"/>
        </w:rPr>
      </w:r>
      <w:r>
        <w:rPr>
          <w:spacing w:val="-2"/>
        </w:rPr>
        <w:t>收益和其他所有者权益按比例结转；处置后的剩余股权改按金融工具确认和计量准则进行会计处理的，其他综合收益和其他</w:t>
      </w:r>
      <w:r>
        <w:rPr>
          <w:spacing w:val="-64"/>
        </w:rPr>
        <w:t> </w:t>
      </w:r>
      <w:r>
        <w:rPr>
          <w:spacing w:val="-64"/>
        </w:rPr>
      </w:r>
      <w:r>
        <w:rPr/>
        <w:t>所有者权益全部结转。</w:t>
      </w:r>
    </w:p>
    <w:p>
      <w:pPr>
        <w:pStyle w:val="BodyText"/>
        <w:spacing w:line="319" w:lineRule="auto" w:before="19"/>
        <w:ind w:right="1033" w:firstLine="360"/>
        <w:jc w:val="left"/>
      </w:pPr>
      <w:r>
        <w:rPr>
          <w:spacing w:val="-2"/>
        </w:rPr>
        <w:t>本公司因处置部分股权投资丧失了对被投资单位的共同控制或重大影响的，处置后的剩余股权改按金融工具确认和计量</w:t>
      </w:r>
      <w:r>
        <w:rPr/>
        <w:t> </w:t>
      </w:r>
      <w:r>
        <w:rPr>
          <w:spacing w:val="-2"/>
        </w:rPr>
        <w:t>准则核算，其在丧失共同控制或重大影响之日的公允价值与账面价值之间的差额计入当期损益。原股权投资因采用权益法核</w:t>
      </w:r>
      <w:r>
        <w:rPr>
          <w:spacing w:val="-64"/>
        </w:rPr>
        <w:t> </w:t>
      </w:r>
      <w:r>
        <w:rPr>
          <w:spacing w:val="-64"/>
        </w:rPr>
      </w:r>
      <w:r>
        <w:rPr/>
        <w:t>算而确认的其他综合收益，在终止采用权益法核算时采用与被投资单位直接处置相关资产或负债相同的基础进行会计处理，</w:t>
      </w:r>
      <w:r>
        <w:rPr>
          <w:spacing w:val="-85"/>
        </w:rPr>
        <w:t> </w:t>
      </w:r>
      <w:r>
        <w:rPr>
          <w:spacing w:val="-85"/>
        </w:rPr>
      </w:r>
      <w:r>
        <w:rPr>
          <w:spacing w:val="-2"/>
        </w:rPr>
        <w:t>因被投资方除净损益、其他综合收益和利润分配以外的其他所有者权益变动而确认的所有者权益，在终止采用权益法时全部</w:t>
      </w:r>
      <w:r>
        <w:rPr>
          <w:spacing w:val="-64"/>
        </w:rPr>
        <w:t> </w:t>
      </w:r>
      <w:r>
        <w:rPr>
          <w:spacing w:val="-64"/>
        </w:rPr>
      </w:r>
      <w:r>
        <w:rPr/>
        <w:t>转入当期投资收益。</w:t>
      </w:r>
    </w:p>
    <w:p>
      <w:pPr>
        <w:pStyle w:val="BodyText"/>
        <w:spacing w:line="316" w:lineRule="auto" w:before="17"/>
        <w:ind w:right="1131" w:firstLine="360"/>
        <w:jc w:val="both"/>
      </w:pPr>
      <w:r>
        <w:rPr>
          <w:spacing w:val="-2"/>
        </w:rPr>
        <w:t>本公司通过多次交易分步处置对子公司股权投资直至丧失控制权，如果上述交易属于一揽子交易的，将各项交易作为一</w:t>
      </w:r>
      <w:r>
        <w:rPr/>
        <w:t> </w:t>
      </w:r>
      <w:r>
        <w:rPr>
          <w:spacing w:val="-2"/>
        </w:rPr>
        <w:t>项处置子公司股权投资并丧失控制权的交易进行会计处理，在丧失控制权之前每一次处置价款与所处置的股权对应的长期股</w:t>
      </w:r>
      <w:r>
        <w:rPr>
          <w:spacing w:val="-64"/>
        </w:rPr>
        <w:t> </w:t>
      </w:r>
      <w:r>
        <w:rPr>
          <w:spacing w:val="-64"/>
        </w:rPr>
      </w:r>
      <w:r>
        <w:rPr/>
        <w:t>权投资账面价值之间的差额，先确认为其他综合收益，到丧失控制权时再一并转入丧失控制权的当期损益。</w:t>
      </w:r>
    </w:p>
    <w:p>
      <w:pPr>
        <w:spacing w:line="240" w:lineRule="auto" w:before="7"/>
        <w:rPr>
          <w:rFonts w:ascii="宋体" w:hAnsi="宋体" w:cs="宋体" w:eastAsia="宋体" w:hint="default"/>
          <w:sz w:val="22"/>
          <w:szCs w:val="22"/>
        </w:rPr>
      </w:pPr>
    </w:p>
    <w:p>
      <w:pPr>
        <w:pStyle w:val="Heading3"/>
        <w:spacing w:line="240" w:lineRule="auto"/>
        <w:ind w:left="153" w:right="0"/>
        <w:jc w:val="left"/>
        <w:rPr>
          <w:b w:val="0"/>
          <w:bCs w:val="0"/>
        </w:rPr>
      </w:pPr>
      <w:bookmarkStart w:name="15、投资性房地产" w:id="188"/>
      <w:bookmarkEnd w:id="188"/>
      <w:r>
        <w:rPr>
          <w:b w:val="0"/>
          <w:bCs w:val="0"/>
        </w:rPr>
      </w:r>
      <w:r>
        <w:rPr>
          <w:rFonts w:ascii="Times New Roman" w:hAnsi="Times New Roman" w:cs="Times New Roman" w:eastAsia="Times New Roman" w:hint="default"/>
        </w:rPr>
        <w:t>15</w:t>
      </w:r>
      <w:r>
        <w:rPr/>
        <w:t>、投资性房地产</w:t>
      </w:r>
      <w:r>
        <w:rPr>
          <w:b w:val="0"/>
          <w:bCs w:val="0"/>
        </w:rPr>
      </w:r>
    </w:p>
    <w:p>
      <w:pPr>
        <w:spacing w:line="240" w:lineRule="auto" w:before="8"/>
        <w:rPr>
          <w:rFonts w:ascii="宋体" w:hAnsi="宋体" w:cs="宋体" w:eastAsia="宋体" w:hint="default"/>
          <w:b/>
          <w:bCs/>
          <w:sz w:val="26"/>
          <w:szCs w:val="26"/>
        </w:rPr>
      </w:pPr>
    </w:p>
    <w:p>
      <w:pPr>
        <w:pStyle w:val="BodyText"/>
        <w:spacing w:line="360" w:lineRule="auto"/>
        <w:ind w:left="154" w:right="8952"/>
        <w:jc w:val="left"/>
      </w:pPr>
      <w:r>
        <w:rPr/>
        <w:t>投资性房地产计量模式 成本法计量 折旧或摊销方法</w:t>
      </w:r>
    </w:p>
    <w:p>
      <w:pPr>
        <w:pStyle w:val="BodyText"/>
        <w:spacing w:line="316" w:lineRule="auto" w:before="25"/>
        <w:ind w:left="154" w:right="1043" w:firstLine="360"/>
        <w:jc w:val="both"/>
      </w:pPr>
      <w:r>
        <w:rPr>
          <w:spacing w:val="-2"/>
        </w:rPr>
        <w:t>投资性房地产是指为赚取租金或资本增值，或两者兼有而持有的房地产。包括已出租的土地使用权、持有并准备增值后</w:t>
      </w:r>
      <w:r>
        <w:rPr/>
        <w:t> </w:t>
      </w:r>
      <w:r>
        <w:rPr>
          <w:spacing w:val="-2"/>
        </w:rPr>
        <w:t>转让的土地使用权、已出租的建筑物等。投资性房地产按成本进行初始计量。与投资性房地产有关的后续支出，如果与该资</w:t>
      </w:r>
      <w:r>
        <w:rPr>
          <w:spacing w:val="-65"/>
        </w:rPr>
        <w:t> </w:t>
      </w:r>
      <w:r>
        <w:rPr>
          <w:spacing w:val="-65"/>
        </w:rPr>
      </w:r>
      <w:r>
        <w:rPr/>
        <w:t>产有关的经济利益很可能流入且其成本能可靠地计量，则计入投资性房地产成本。其他后续支出，在发生时计入当期损益。</w:t>
      </w:r>
    </w:p>
    <w:p>
      <w:pPr>
        <w:pStyle w:val="BodyText"/>
        <w:spacing w:line="309" w:lineRule="auto" w:before="19"/>
        <w:ind w:left="513" w:right="0"/>
        <w:jc w:val="left"/>
      </w:pPr>
      <w:r>
        <w:rPr/>
        <w:t>本公司采用成本模式对投资性房地产进行后续计量，并按照与房屋建筑物或土地使用权一致的政策进行折旧或摊销。 投资性房地产的减值测试方法和减值准备计提方法详见附注五、</w:t>
      </w:r>
      <w:r>
        <w:rPr>
          <w:rFonts w:ascii="Times New Roman" w:hAnsi="Times New Roman" w:cs="Times New Roman" w:eastAsia="Times New Roman" w:hint="default"/>
        </w:rPr>
        <w:t>22“</w:t>
      </w:r>
      <w:r>
        <w:rPr/>
        <w:t>长期资产减值</w:t>
      </w:r>
      <w:r>
        <w:rPr>
          <w:rFonts w:ascii="Times New Roman" w:hAnsi="Times New Roman" w:cs="Times New Roman" w:eastAsia="Times New Roman" w:hint="default"/>
        </w:rPr>
        <w:t>”</w:t>
      </w:r>
      <w:r>
        <w:rPr/>
        <w:t>。 </w:t>
      </w:r>
      <w:r>
        <w:rPr>
          <w:spacing w:val="-2"/>
        </w:rPr>
        <w:t>自用房地产或存货转换为投资性房地产或投资性房地产转换为自用房地产时，按转换前的账面价值作为转换后的入账价</w:t>
      </w:r>
    </w:p>
    <w:p>
      <w:pPr>
        <w:pStyle w:val="BodyText"/>
        <w:spacing w:line="240" w:lineRule="auto" w:before="24"/>
        <w:ind w:right="0"/>
        <w:jc w:val="left"/>
      </w:pPr>
      <w:r>
        <w:rPr/>
        <w:t>值。</w:t>
      </w:r>
    </w:p>
    <w:p>
      <w:pPr>
        <w:pStyle w:val="BodyText"/>
        <w:spacing w:line="316" w:lineRule="auto" w:before="76"/>
        <w:ind w:left="154" w:right="1131" w:firstLine="360"/>
        <w:jc w:val="both"/>
      </w:pPr>
      <w:r>
        <w:rPr>
          <w:spacing w:val="-2"/>
        </w:rPr>
        <w:t>投资性房地产的用途改变为自用时，自改变之日起，将该投资性房地产转换为固定资产或无形资产。自用房地产的用途</w:t>
      </w:r>
      <w:r>
        <w:rPr/>
        <w:t> </w:t>
      </w:r>
      <w:r>
        <w:rPr>
          <w:spacing w:val="-2"/>
        </w:rPr>
        <w:t>改变为赚取租金或资本增值时，自改变之日起，将固定资产或无形资产转换为投资性房地产。发生转换时，转换为采用成本</w:t>
      </w:r>
      <w:r>
        <w:rPr>
          <w:spacing w:val="-66"/>
        </w:rPr>
        <w:t> </w:t>
      </w:r>
      <w:r>
        <w:rPr>
          <w:spacing w:val="-66"/>
        </w:rPr>
      </w:r>
      <w:r>
        <w:rPr/>
        <w:t>模式计量的投资性房地产的，以转换前的账面价值作为转换后的入账价值。</w:t>
      </w:r>
    </w:p>
    <w:p>
      <w:pPr>
        <w:pStyle w:val="BodyText"/>
        <w:spacing w:line="316" w:lineRule="auto" w:before="19"/>
        <w:ind w:right="1133" w:firstLine="360"/>
        <w:jc w:val="both"/>
      </w:pPr>
      <w:r>
        <w:rPr>
          <w:spacing w:val="-2"/>
        </w:rPr>
        <w:t>当投资性房地产被处置、或者永久退出使用且预计不能从其处置中取得经济利益时，终止确认该项投资性房地产。投资</w:t>
      </w:r>
      <w:r>
        <w:rPr/>
        <w:t> 性房地产出售、转让、报废或毁损的处置收入扣除其账面价值和相关税费后计入当期损益。</w:t>
      </w:r>
    </w:p>
    <w:p>
      <w:pPr>
        <w:spacing w:line="240" w:lineRule="auto" w:before="7"/>
        <w:rPr>
          <w:rFonts w:ascii="宋体" w:hAnsi="宋体" w:cs="宋体" w:eastAsia="宋体" w:hint="default"/>
          <w:sz w:val="22"/>
          <w:szCs w:val="22"/>
        </w:rPr>
      </w:pPr>
    </w:p>
    <w:p>
      <w:pPr>
        <w:pStyle w:val="Heading3"/>
        <w:spacing w:line="240" w:lineRule="auto"/>
        <w:ind w:left="153" w:right="0"/>
        <w:jc w:val="left"/>
        <w:rPr>
          <w:b w:val="0"/>
          <w:bCs w:val="0"/>
        </w:rPr>
      </w:pPr>
      <w:bookmarkStart w:name="16、固定资产" w:id="189"/>
      <w:bookmarkEnd w:id="189"/>
      <w:r>
        <w:rPr>
          <w:b w:val="0"/>
          <w:bCs w:val="0"/>
        </w:rPr>
      </w:r>
      <w:r>
        <w:rPr>
          <w:rFonts w:ascii="Times New Roman" w:hAnsi="Times New Roman" w:cs="Times New Roman" w:eastAsia="Times New Roman" w:hint="default"/>
        </w:rPr>
        <w:t>16</w:t>
      </w:r>
      <w:r>
        <w:rPr/>
        <w:t>、固定资产</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确认条件" w:id="190"/>
      <w:bookmarkEnd w:id="190"/>
      <w:r>
        <w:rPr>
          <w:b w:val="0"/>
          <w:bCs w:val="0"/>
        </w:rPr>
      </w:r>
      <w:r>
        <w:rPr/>
        <w:t>（</w:t>
      </w:r>
      <w:r>
        <w:rPr>
          <w:rFonts w:ascii="Times New Roman" w:hAnsi="Times New Roman" w:cs="Times New Roman" w:eastAsia="Times New Roman" w:hint="default"/>
        </w:rPr>
        <w:t>1</w:t>
      </w:r>
      <w:r>
        <w:rPr/>
        <w:t>）确认条件</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154" w:right="0"/>
        <w:jc w:val="left"/>
      </w:pPr>
      <w:r>
        <w:rPr/>
        <w:t>固定资产是指为生产商品、提供劳务、出租或经营管理而持有的，使用寿命超过一个会计年度的有形资产。</w:t>
      </w:r>
    </w:p>
    <w:p>
      <w:pPr>
        <w:spacing w:line="240" w:lineRule="auto" w:before="11"/>
        <w:rPr>
          <w:rFonts w:ascii="宋体" w:hAnsi="宋体" w:cs="宋体" w:eastAsia="宋体" w:hint="default"/>
          <w:sz w:val="26"/>
          <w:szCs w:val="26"/>
        </w:rPr>
      </w:pPr>
    </w:p>
    <w:p>
      <w:pPr>
        <w:pStyle w:val="Heading3"/>
        <w:spacing w:line="240" w:lineRule="auto"/>
        <w:ind w:left="153" w:right="0"/>
        <w:jc w:val="left"/>
        <w:rPr>
          <w:b w:val="0"/>
          <w:bCs w:val="0"/>
        </w:rPr>
      </w:pPr>
      <w:bookmarkStart w:name="（2）折旧方法" w:id="191"/>
      <w:bookmarkEnd w:id="191"/>
      <w:r>
        <w:rPr>
          <w:b w:val="0"/>
          <w:bCs w:val="0"/>
        </w:rPr>
      </w:r>
      <w:r>
        <w:rPr/>
        <w:t>（</w:t>
      </w:r>
      <w:r>
        <w:rPr>
          <w:rFonts w:ascii="Times New Roman" w:hAnsi="Times New Roman" w:cs="Times New Roman" w:eastAsia="Times New Roman" w:hint="default"/>
        </w:rPr>
        <w:t>2</w:t>
      </w:r>
      <w:r>
        <w:rPr/>
        <w:t>）折旧方法</w:t>
      </w:r>
      <w:r>
        <w:rPr>
          <w:b w:val="0"/>
          <w:bCs w:val="0"/>
        </w:rPr>
      </w:r>
    </w:p>
    <w:p>
      <w:pPr>
        <w:spacing w:line="240" w:lineRule="auto" w:before="10"/>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401"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折旧方法</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折旧年限</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残值率</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年折旧率</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40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10%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2.25%</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5-10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10%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9-18%</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运输工具</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5-10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10%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9-18%</w:t>
            </w:r>
          </w:p>
        </w:tc>
      </w:tr>
      <w:tr>
        <w:trPr>
          <w:trHeight w:val="403"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电子设备</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10%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18%</w:t>
            </w:r>
          </w:p>
        </w:tc>
      </w:tr>
    </w:tbl>
    <w:p>
      <w:pPr>
        <w:spacing w:after="0" w:line="240" w:lineRule="auto"/>
        <w:jc w:val="lef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b/>
          <w:bCs/>
          <w:sz w:val="28"/>
          <w:szCs w:val="28"/>
        </w:rPr>
      </w:pPr>
    </w:p>
    <w:tbl>
      <w:tblPr>
        <w:tblW w:w="0" w:type="auto"/>
        <w:jc w:val="left"/>
        <w:tblInd w:w="146" w:type="dxa"/>
        <w:tblLayout w:type="fixed"/>
        <w:tblCellMar>
          <w:top w:w="0" w:type="dxa"/>
          <w:left w:w="0" w:type="dxa"/>
          <w:bottom w:w="0" w:type="dxa"/>
          <w:right w:w="0" w:type="dxa"/>
        </w:tblCellMar>
        <w:tblLook w:val="01E0"/>
      </w:tblPr>
      <w:tblGrid>
        <w:gridCol w:w="1917"/>
        <w:gridCol w:w="1914"/>
        <w:gridCol w:w="1914"/>
        <w:gridCol w:w="1914"/>
        <w:gridCol w:w="1914"/>
      </w:tblGrid>
      <w:tr>
        <w:trPr>
          <w:trHeight w:val="402" w:hRule="exact"/>
        </w:trPr>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18%</w:t>
            </w:r>
          </w:p>
        </w:tc>
      </w:tr>
    </w:tbl>
    <w:p>
      <w:pPr>
        <w:pStyle w:val="BodyText"/>
        <w:spacing w:line="240" w:lineRule="auto" w:before="10"/>
        <w:ind w:left="154" w:right="0"/>
        <w:jc w:val="left"/>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3）融资租入固定资产的认定依据、计价和折旧方法" w:id="192"/>
      <w:bookmarkEnd w:id="192"/>
      <w:r>
        <w:rPr>
          <w:b w:val="0"/>
          <w:bCs w:val="0"/>
        </w:rPr>
      </w:r>
      <w:r>
        <w:rPr/>
        <w:t>（</w:t>
      </w:r>
      <w:r>
        <w:rPr>
          <w:rFonts w:ascii="Times New Roman" w:hAnsi="Times New Roman" w:cs="Times New Roman" w:eastAsia="Times New Roman" w:hint="default"/>
        </w:rPr>
        <w:t>3</w:t>
      </w:r>
      <w:r>
        <w:rPr/>
        <w:t>）融资租入固定资产的认定依据、计价和折旧方法</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154" w:right="0"/>
        <w:jc w:val="left"/>
      </w:pPr>
      <w:r>
        <w:rPr/>
        <w:t>不适用。</w:t>
      </w:r>
    </w:p>
    <w:p>
      <w:pPr>
        <w:spacing w:line="240" w:lineRule="auto" w:before="11"/>
        <w:rPr>
          <w:rFonts w:ascii="宋体" w:hAnsi="宋体" w:cs="宋体" w:eastAsia="宋体" w:hint="default"/>
          <w:sz w:val="26"/>
          <w:szCs w:val="26"/>
        </w:rPr>
      </w:pPr>
    </w:p>
    <w:p>
      <w:pPr>
        <w:pStyle w:val="Heading3"/>
        <w:spacing w:line="240" w:lineRule="auto"/>
        <w:ind w:left="153" w:right="0"/>
        <w:jc w:val="left"/>
        <w:rPr>
          <w:b w:val="0"/>
          <w:bCs w:val="0"/>
        </w:rPr>
      </w:pPr>
      <w:bookmarkStart w:name="17、在建工程" w:id="193"/>
      <w:bookmarkEnd w:id="193"/>
      <w:r>
        <w:rPr>
          <w:b w:val="0"/>
          <w:bCs w:val="0"/>
        </w:rPr>
      </w:r>
      <w:r>
        <w:rPr>
          <w:rFonts w:ascii="Times New Roman" w:hAnsi="Times New Roman" w:cs="Times New Roman" w:eastAsia="Times New Roman" w:hint="default"/>
        </w:rPr>
        <w:t>17</w:t>
      </w:r>
      <w:r>
        <w:rPr/>
        <w:t>、在建工程</w:t>
      </w:r>
      <w:r>
        <w:rPr>
          <w:b w:val="0"/>
          <w:bCs w:val="0"/>
        </w:rPr>
      </w:r>
    </w:p>
    <w:p>
      <w:pPr>
        <w:spacing w:line="240" w:lineRule="auto" w:before="8"/>
        <w:rPr>
          <w:rFonts w:ascii="宋体" w:hAnsi="宋体" w:cs="宋体" w:eastAsia="宋体" w:hint="default"/>
          <w:b/>
          <w:bCs/>
          <w:sz w:val="26"/>
          <w:szCs w:val="26"/>
        </w:rPr>
      </w:pPr>
    </w:p>
    <w:p>
      <w:pPr>
        <w:pStyle w:val="BodyText"/>
        <w:spacing w:line="360" w:lineRule="auto"/>
        <w:ind w:left="154" w:right="7692"/>
        <w:jc w:val="left"/>
      </w:pPr>
      <w:r>
        <w:rPr/>
        <w:t>公司是否需要遵守特殊行业的披露要求 否</w:t>
      </w:r>
    </w:p>
    <w:p>
      <w:pPr>
        <w:pStyle w:val="BodyText"/>
        <w:spacing w:line="316" w:lineRule="auto" w:before="25"/>
        <w:ind w:left="154" w:right="1132" w:firstLine="360"/>
        <w:jc w:val="both"/>
      </w:pPr>
      <w:r>
        <w:rPr>
          <w:spacing w:val="-2"/>
        </w:rPr>
        <w:t>在建工程成本按实际工程支出确定，包括在建期间发生的各项工程支出、工程达到预定可使用状态前的资本化的借款费</w:t>
      </w:r>
      <w:r>
        <w:rPr/>
        <w:t> 用以及其他相关费用等。在建工程在达到预定可使用状态后结转为固定资产。</w:t>
      </w:r>
    </w:p>
    <w:p>
      <w:pPr>
        <w:pStyle w:val="BodyText"/>
        <w:spacing w:line="240" w:lineRule="auto" w:before="19"/>
        <w:ind w:left="513" w:right="0"/>
        <w:jc w:val="left"/>
      </w:pPr>
      <w:r>
        <w:rPr/>
        <w:t>在建工程的减值测试方法和减值准备计提方法详见附注五、</w:t>
      </w:r>
      <w:r>
        <w:rPr>
          <w:rFonts w:ascii="Times New Roman" w:hAnsi="Times New Roman" w:cs="Times New Roman" w:eastAsia="Times New Roman" w:hint="default"/>
        </w:rPr>
        <w:t>22</w:t>
      </w:r>
      <w:r>
        <w:rPr>
          <w:rFonts w:ascii="Times New Roman" w:hAnsi="Times New Roman" w:cs="Times New Roman" w:eastAsia="Times New Roman" w:hint="default"/>
        </w:rPr>
        <w:t>“</w:t>
      </w:r>
      <w:r>
        <w:rPr/>
        <w:t>长期资产减值</w:t>
      </w:r>
      <w:r>
        <w:rPr>
          <w:rFonts w:ascii="Times New Roman" w:hAnsi="Times New Roman" w:cs="Times New Roman" w:eastAsia="Times New Roman" w:hint="default"/>
        </w:rPr>
        <w:t>”</w:t>
      </w:r>
      <w:r>
        <w:rPr/>
        <w:t>。</w:t>
      </w:r>
    </w:p>
    <w:p>
      <w:pPr>
        <w:spacing w:line="240" w:lineRule="auto" w:before="11"/>
        <w:rPr>
          <w:rFonts w:ascii="宋体" w:hAnsi="宋体" w:cs="宋体" w:eastAsia="宋体" w:hint="default"/>
          <w:sz w:val="25"/>
          <w:szCs w:val="25"/>
        </w:rPr>
      </w:pPr>
    </w:p>
    <w:p>
      <w:pPr>
        <w:pStyle w:val="Heading3"/>
        <w:spacing w:line="240" w:lineRule="auto"/>
        <w:ind w:left="153" w:right="0"/>
        <w:jc w:val="left"/>
        <w:rPr>
          <w:b w:val="0"/>
          <w:bCs w:val="0"/>
        </w:rPr>
      </w:pPr>
      <w:bookmarkStart w:name="18、借款费用" w:id="194"/>
      <w:bookmarkEnd w:id="194"/>
      <w:r>
        <w:rPr>
          <w:b w:val="0"/>
          <w:bCs w:val="0"/>
        </w:rPr>
      </w:r>
      <w:r>
        <w:rPr>
          <w:rFonts w:ascii="Times New Roman" w:hAnsi="Times New Roman" w:cs="Times New Roman" w:eastAsia="Times New Roman" w:hint="default"/>
        </w:rPr>
        <w:t>18</w:t>
      </w:r>
      <w:r>
        <w:rPr/>
        <w:t>、借款费用</w:t>
      </w:r>
      <w:r>
        <w:rPr>
          <w:b w:val="0"/>
          <w:bCs w:val="0"/>
        </w:rPr>
      </w:r>
    </w:p>
    <w:p>
      <w:pPr>
        <w:spacing w:line="240" w:lineRule="auto" w:before="7"/>
        <w:rPr>
          <w:rFonts w:ascii="宋体" w:hAnsi="宋体" w:cs="宋体" w:eastAsia="宋体" w:hint="default"/>
          <w:b/>
          <w:bCs/>
          <w:sz w:val="26"/>
          <w:szCs w:val="26"/>
        </w:rPr>
      </w:pPr>
    </w:p>
    <w:p>
      <w:pPr>
        <w:pStyle w:val="BodyText"/>
        <w:spacing w:line="316" w:lineRule="auto"/>
        <w:ind w:left="154" w:right="1132" w:firstLine="360"/>
        <w:jc w:val="both"/>
      </w:pPr>
      <w:r>
        <w:rPr>
          <w:spacing w:val="-2"/>
        </w:rPr>
        <w:t>借款费用包括借款利息、折价或溢价的摊销、辅助费用以及因外币借款而发生的汇兑差额等。可直接归属于符合资本化</w:t>
      </w:r>
      <w:r>
        <w:rPr/>
        <w:t> </w:t>
      </w:r>
      <w:r>
        <w:rPr>
          <w:spacing w:val="-2"/>
        </w:rPr>
        <w:t>条件的资产的购建或者生产的借款费用，在资产支出已经发生、借款费用已经发生、为使资产达到预定可使用或可销售状态</w:t>
      </w:r>
      <w:r>
        <w:rPr>
          <w:spacing w:val="-66"/>
        </w:rPr>
        <w:t> </w:t>
      </w:r>
      <w:r>
        <w:rPr>
          <w:spacing w:val="-66"/>
        </w:rPr>
      </w:r>
      <w:r>
        <w:rPr>
          <w:spacing w:val="-2"/>
        </w:rPr>
        <w:t>所必要的购建或生产活动已经开始时，开始资本化；构建或者生产的符合资本化条件的资产达到预定可使用状态或者可销售</w:t>
      </w:r>
      <w:r>
        <w:rPr>
          <w:spacing w:val="-64"/>
        </w:rPr>
        <w:t> </w:t>
      </w:r>
      <w:r>
        <w:rPr>
          <w:spacing w:val="-64"/>
        </w:rPr>
      </w:r>
      <w:r>
        <w:rPr/>
        <w:t>状态时，停止资本化。其余借款费用在发生当期确认为费用。</w:t>
      </w:r>
    </w:p>
    <w:p>
      <w:pPr>
        <w:pStyle w:val="BodyText"/>
        <w:spacing w:line="319" w:lineRule="auto" w:before="19"/>
        <w:ind w:left="154" w:right="1131" w:firstLine="360"/>
        <w:jc w:val="both"/>
      </w:pPr>
      <w:r>
        <w:rPr>
          <w:spacing w:val="-2"/>
        </w:rPr>
        <w:t>专门借款当期实际发生的利息费用，减去尚未动用的借款资金存入银行取得的利息收入或进行暂时性投资取得的投资收</w:t>
      </w:r>
      <w:r>
        <w:rPr/>
        <w:t> </w:t>
      </w:r>
      <w:r>
        <w:rPr>
          <w:spacing w:val="-2"/>
        </w:rPr>
        <w:t>益后的金额予以资本化；一般借款根据累计资产支出超过专门借款部分的资产支出加权平均数乘以所占用一般借款的资本化</w:t>
      </w:r>
      <w:r>
        <w:rPr>
          <w:spacing w:val="-64"/>
        </w:rPr>
        <w:t> </w:t>
      </w:r>
      <w:r>
        <w:rPr>
          <w:spacing w:val="-64"/>
        </w:rPr>
      </w:r>
      <w:r>
        <w:rPr/>
        <w:t>率，确定资本化金额。资本化率根据一般借款的加权平均利率计算确定。</w:t>
      </w:r>
    </w:p>
    <w:p>
      <w:pPr>
        <w:pStyle w:val="BodyText"/>
        <w:spacing w:line="316" w:lineRule="auto" w:before="17"/>
        <w:ind w:left="513" w:right="0"/>
        <w:jc w:val="left"/>
      </w:pPr>
      <w:r>
        <w:rPr/>
        <w:t>资本化期间内，外币专门借款的汇兑差额全部予以资本化；外币一般借款的汇兑差额计入当期损益。 </w:t>
      </w:r>
      <w:r>
        <w:rPr>
          <w:spacing w:val="-2"/>
        </w:rPr>
        <w:t>符合资本化条件的资产指需要经过相当长时间的购建或者生产活动才能达到预定可使用或可销售状态的固定资产、投资</w:t>
      </w:r>
    </w:p>
    <w:p>
      <w:pPr>
        <w:pStyle w:val="BodyText"/>
        <w:spacing w:line="316" w:lineRule="auto" w:before="19"/>
        <w:ind w:left="513" w:right="1123" w:hanging="360"/>
        <w:jc w:val="left"/>
      </w:pPr>
      <w:r>
        <w:rPr/>
        <w:t>性房地产和存货等资产。 如果符合资本化条件的资产在购建或生产过程中发生非正常中断、并且中断时间连续超过</w:t>
      </w:r>
      <w:r>
        <w:rPr>
          <w:rFonts w:ascii="Times New Roman" w:hAnsi="Times New Roman" w:cs="Times New Roman" w:eastAsia="Times New Roman" w:hint="default"/>
        </w:rPr>
        <w:t>3</w:t>
      </w:r>
      <w:r>
        <w:rPr/>
        <w:t>个月的，暂停借款费用的资</w:t>
      </w:r>
    </w:p>
    <w:p>
      <w:pPr>
        <w:pStyle w:val="BodyText"/>
        <w:spacing w:line="235" w:lineRule="exact"/>
        <w:ind w:right="0"/>
        <w:jc w:val="left"/>
      </w:pPr>
      <w:r>
        <w:rPr/>
        <w:t>本化，直至资产的购建或生产活动重新开始。</w:t>
      </w:r>
    </w:p>
    <w:p>
      <w:pPr>
        <w:spacing w:line="240" w:lineRule="auto" w:before="12"/>
        <w:rPr>
          <w:rFonts w:ascii="宋体" w:hAnsi="宋体" w:cs="宋体" w:eastAsia="宋体" w:hint="default"/>
          <w:sz w:val="26"/>
          <w:szCs w:val="26"/>
        </w:rPr>
      </w:pPr>
    </w:p>
    <w:p>
      <w:pPr>
        <w:pStyle w:val="Heading3"/>
        <w:spacing w:line="240" w:lineRule="auto"/>
        <w:ind w:left="153" w:right="0"/>
        <w:jc w:val="left"/>
        <w:rPr>
          <w:b w:val="0"/>
          <w:bCs w:val="0"/>
        </w:rPr>
      </w:pPr>
      <w:bookmarkStart w:name="19、生物资产" w:id="195"/>
      <w:bookmarkEnd w:id="195"/>
      <w:r>
        <w:rPr>
          <w:b w:val="0"/>
          <w:bCs w:val="0"/>
        </w:rPr>
      </w:r>
      <w:r>
        <w:rPr>
          <w:rFonts w:ascii="Times New Roman" w:hAnsi="Times New Roman" w:cs="Times New Roman" w:eastAsia="Times New Roman" w:hint="default"/>
        </w:rPr>
        <w:t>19</w:t>
      </w:r>
      <w:r>
        <w:rPr/>
        <w:t>、生物资产</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154" w:right="0"/>
        <w:jc w:val="left"/>
      </w:pPr>
      <w:r>
        <w:rPr/>
        <w:t>不适用。</w:t>
      </w:r>
    </w:p>
    <w:p>
      <w:pPr>
        <w:spacing w:line="240" w:lineRule="auto" w:before="12"/>
        <w:rPr>
          <w:rFonts w:ascii="宋体" w:hAnsi="宋体" w:cs="宋体" w:eastAsia="宋体" w:hint="default"/>
          <w:sz w:val="26"/>
          <w:szCs w:val="26"/>
        </w:rPr>
      </w:pPr>
    </w:p>
    <w:p>
      <w:pPr>
        <w:pStyle w:val="Heading3"/>
        <w:spacing w:line="240" w:lineRule="auto"/>
        <w:ind w:left="153" w:right="0"/>
        <w:jc w:val="left"/>
        <w:rPr>
          <w:b w:val="0"/>
          <w:bCs w:val="0"/>
        </w:rPr>
      </w:pPr>
      <w:bookmarkStart w:name="20、油气资产" w:id="196"/>
      <w:bookmarkEnd w:id="196"/>
      <w:r>
        <w:rPr>
          <w:b w:val="0"/>
          <w:bCs w:val="0"/>
        </w:rPr>
      </w:r>
      <w:r>
        <w:rPr>
          <w:rFonts w:ascii="Times New Roman" w:hAnsi="Times New Roman" w:cs="Times New Roman" w:eastAsia="Times New Roman" w:hint="default"/>
        </w:rPr>
        <w:t>20</w:t>
      </w:r>
      <w:r>
        <w:rPr/>
        <w:t>、油气资产</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154" w:right="0"/>
        <w:jc w:val="left"/>
      </w:pPr>
      <w:r>
        <w:rPr/>
        <w:t>不适用。</w:t>
      </w:r>
    </w:p>
    <w:p>
      <w:pPr>
        <w:spacing w:line="240" w:lineRule="auto" w:before="12"/>
        <w:rPr>
          <w:rFonts w:ascii="宋体" w:hAnsi="宋体" w:cs="宋体" w:eastAsia="宋体" w:hint="default"/>
          <w:sz w:val="26"/>
          <w:szCs w:val="26"/>
        </w:rPr>
      </w:pPr>
    </w:p>
    <w:p>
      <w:pPr>
        <w:pStyle w:val="Heading3"/>
        <w:spacing w:line="240" w:lineRule="auto"/>
        <w:ind w:left="153" w:right="0"/>
        <w:jc w:val="left"/>
        <w:rPr>
          <w:b w:val="0"/>
          <w:bCs w:val="0"/>
        </w:rPr>
      </w:pPr>
      <w:bookmarkStart w:name="21、无形资产" w:id="197"/>
      <w:bookmarkEnd w:id="197"/>
      <w:r>
        <w:rPr>
          <w:b w:val="0"/>
          <w:bCs w:val="0"/>
        </w:rPr>
      </w:r>
      <w:r>
        <w:rPr>
          <w:rFonts w:ascii="Times New Roman" w:hAnsi="Times New Roman" w:cs="Times New Roman" w:eastAsia="Times New Roman" w:hint="default"/>
        </w:rPr>
        <w:t>21</w:t>
      </w:r>
      <w:r>
        <w:rPr/>
        <w:t>、无形资产</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bookmarkStart w:name="（1）计价方法、使用寿命、减值测试" w:id="198"/>
      <w:bookmarkEnd w:id="198"/>
      <w:r>
        <w:rPr>
          <w:b w:val="0"/>
          <w:bCs w:val="0"/>
        </w:rPr>
      </w:r>
      <w:r>
        <w:rPr/>
        <w:t>（</w:t>
      </w:r>
      <w:r>
        <w:rPr>
          <w:rFonts w:ascii="Times New Roman" w:hAnsi="Times New Roman" w:cs="Times New Roman" w:eastAsia="Times New Roman" w:hint="default"/>
        </w:rPr>
        <w:t>1</w:t>
      </w:r>
      <w:r>
        <w:rPr/>
        <w:t>）计价方法、使用寿命、减值测试</w:t>
      </w:r>
      <w:r>
        <w:rPr>
          <w:b w:val="0"/>
          <w:bCs w:val="0"/>
        </w:rPr>
      </w:r>
    </w:p>
    <w:p>
      <w:pPr>
        <w:spacing w:line="240" w:lineRule="auto" w:before="8"/>
        <w:rPr>
          <w:rFonts w:ascii="宋体" w:hAnsi="宋体" w:cs="宋体" w:eastAsia="宋体" w:hint="default"/>
          <w:b/>
          <w:bCs/>
          <w:sz w:val="26"/>
          <w:szCs w:val="26"/>
        </w:rPr>
      </w:pPr>
    </w:p>
    <w:p>
      <w:pPr>
        <w:pStyle w:val="BodyText"/>
        <w:spacing w:line="300" w:lineRule="auto"/>
        <w:ind w:left="513" w:right="4453"/>
        <w:jc w:val="left"/>
      </w:pPr>
      <w:r>
        <w:rPr/>
        <w:t>（</w:t>
      </w:r>
      <w:r>
        <w:rPr>
          <w:rFonts w:ascii="Times New Roman" w:hAnsi="Times New Roman" w:cs="Times New Roman" w:eastAsia="Times New Roman" w:hint="default"/>
        </w:rPr>
        <w:t>1</w:t>
      </w:r>
      <w:r>
        <w:rPr/>
        <w:t>）无形资产 无形资产是指本公司拥有或者控制的没有实物形态的可辨认非货币性资产。</w:t>
      </w:r>
    </w:p>
    <w:p>
      <w:pPr>
        <w:spacing w:after="0" w:line="300"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16" w:lineRule="auto" w:before="44"/>
        <w:ind w:right="1043" w:firstLine="360"/>
        <w:jc w:val="both"/>
      </w:pPr>
      <w:r>
        <w:rPr>
          <w:spacing w:val="-4"/>
        </w:rPr>
        <w:t>无形资产按成本进行初始计量。与无形资产有关的支出，如果相关的经济利益很可能流入本公司且其成本能可靠地计量，</w:t>
      </w:r>
      <w:r>
        <w:rPr/>
        <w:t> 则计入无形资产成本。除此以外的其他项目的支出，在发生时计入当期损益。</w:t>
      </w:r>
    </w:p>
    <w:p>
      <w:pPr>
        <w:pStyle w:val="BodyText"/>
        <w:spacing w:line="319" w:lineRule="auto" w:before="19"/>
        <w:ind w:right="1132" w:firstLine="360"/>
        <w:jc w:val="both"/>
      </w:pPr>
      <w:r>
        <w:rPr>
          <w:spacing w:val="-2"/>
        </w:rPr>
        <w:t>取得的土地使用权通常作为无形资产核算。自行开发建造厂房等建筑物，相关的土地使用权支出和建筑物建造成本则分</w:t>
      </w:r>
      <w:r>
        <w:rPr/>
        <w:t> </w:t>
      </w:r>
      <w:r>
        <w:rPr>
          <w:spacing w:val="-2"/>
        </w:rPr>
        <w:t>别作为无形资产和固定资产核算。如为外购的房屋及建筑物，则将有关价款在土地使用权和建筑物之间进行分配，难以合理</w:t>
      </w:r>
      <w:r>
        <w:rPr>
          <w:spacing w:val="-66"/>
        </w:rPr>
        <w:t> </w:t>
      </w:r>
      <w:r>
        <w:rPr>
          <w:spacing w:val="-66"/>
        </w:rPr>
      </w:r>
      <w:r>
        <w:rPr/>
        <w:t>分配的，全部作为固定资产处理。</w:t>
      </w:r>
    </w:p>
    <w:p>
      <w:pPr>
        <w:pStyle w:val="BodyText"/>
        <w:spacing w:line="316" w:lineRule="auto" w:before="17"/>
        <w:ind w:right="1132" w:firstLine="360"/>
        <w:jc w:val="both"/>
      </w:pPr>
      <w:r>
        <w:rPr>
          <w:spacing w:val="-2"/>
        </w:rPr>
        <w:t>使用寿命有限的无形资产自可供使用时起，对其原值在其预计使用寿命内采用直线法分期平均摊销。使用寿命不确定的</w:t>
      </w:r>
      <w:r>
        <w:rPr/>
        <w:t> 无形资产不予摊销。</w:t>
      </w:r>
    </w:p>
    <w:p>
      <w:pPr>
        <w:pStyle w:val="BodyText"/>
        <w:spacing w:line="316" w:lineRule="auto" w:before="19"/>
        <w:ind w:right="1132" w:firstLine="420"/>
        <w:jc w:val="both"/>
      </w:pPr>
      <w:r>
        <w:rPr/>
        <w:t>期末，对使用寿命有限的无形资产的使用寿命和摊销方法进行复核，如发生变更则作为会计估计变更处理。此外，还 </w:t>
      </w:r>
      <w:r>
        <w:rPr>
          <w:spacing w:val="-2"/>
        </w:rPr>
        <w:t>对使用寿命不确定的无形资产的使用寿命进行复核，如果有证据表明该无形资产为企业带来经济利益的期限是可预见的，则</w:t>
      </w:r>
      <w:r>
        <w:rPr>
          <w:spacing w:val="-64"/>
        </w:rPr>
        <w:t> </w:t>
      </w:r>
      <w:r>
        <w:rPr>
          <w:spacing w:val="-64"/>
        </w:rPr>
      </w:r>
      <w:r>
        <w:rPr/>
        <w:t>估计其使用寿命并按照使用寿命有限的无形资产的摊销政策进行摊销。</w:t>
      </w:r>
    </w:p>
    <w:p>
      <w:pPr>
        <w:pStyle w:val="BodyText"/>
        <w:spacing w:line="240" w:lineRule="auto" w:before="19"/>
        <w:ind w:left="513" w:right="0"/>
        <w:jc w:val="left"/>
      </w:pPr>
      <w:r>
        <w:rPr/>
        <w:t>土地使用权按</w:t>
      </w:r>
      <w:r>
        <w:rPr>
          <w:rFonts w:ascii="Times New Roman" w:hAnsi="Times New Roman" w:cs="Times New Roman" w:eastAsia="Times New Roman" w:hint="default"/>
        </w:rPr>
        <w:t>50</w:t>
      </w:r>
      <w:r>
        <w:rPr/>
        <w:t>年，专利权按</w:t>
      </w:r>
      <w:r>
        <w:rPr>
          <w:rFonts w:ascii="Times New Roman" w:hAnsi="Times New Roman" w:cs="Times New Roman" w:eastAsia="Times New Roman" w:hint="default"/>
        </w:rPr>
        <w:t>5-10</w:t>
      </w:r>
      <w:r>
        <w:rPr/>
        <w:t>年摊销。</w:t>
      </w:r>
    </w:p>
    <w:p>
      <w:pPr>
        <w:pStyle w:val="BodyText"/>
        <w:spacing w:line="300" w:lineRule="auto" w:before="63"/>
        <w:ind w:left="514" w:right="6432"/>
        <w:jc w:val="left"/>
      </w:pPr>
      <w:r>
        <w:rPr/>
        <w:t>（</w:t>
      </w:r>
      <w:r>
        <w:rPr>
          <w:rFonts w:ascii="Times New Roman" w:hAnsi="Times New Roman" w:cs="Times New Roman" w:eastAsia="Times New Roman" w:hint="default"/>
        </w:rPr>
        <w:t>2</w:t>
      </w:r>
      <w:r>
        <w:rPr/>
        <w:t>）研究与开发支出 本公司内部研究开发项目的支出均计入当期损益。</w:t>
      </w:r>
    </w:p>
    <w:p>
      <w:pPr>
        <w:pStyle w:val="BodyText"/>
        <w:spacing w:line="300" w:lineRule="auto" w:before="31"/>
        <w:ind w:left="514" w:right="4112"/>
        <w:jc w:val="left"/>
      </w:pPr>
      <w:r>
        <w:rPr/>
        <w:t>（</w:t>
      </w:r>
      <w:r>
        <w:rPr>
          <w:rFonts w:ascii="Times New Roman" w:hAnsi="Times New Roman" w:cs="Times New Roman" w:eastAsia="Times New Roman" w:hint="default"/>
        </w:rPr>
        <w:t>3</w:t>
      </w:r>
      <w:r>
        <w:rPr/>
        <w:t>）无形资产的减值测试方法及减值准备计提方法 无形资产的减值测试方法和减值准备计提方法详见附注五、</w:t>
      </w:r>
      <w:r>
        <w:rPr>
          <w:rFonts w:ascii="Times New Roman" w:hAnsi="Times New Roman" w:cs="Times New Roman" w:eastAsia="Times New Roman" w:hint="default"/>
        </w:rPr>
        <w:t>22“</w:t>
      </w:r>
      <w:r>
        <w:rPr/>
        <w:t>长期资产减值</w:t>
      </w:r>
      <w:r>
        <w:rPr>
          <w:rFonts w:ascii="Times New Roman" w:hAnsi="Times New Roman" w:cs="Times New Roman" w:eastAsia="Times New Roman" w:hint="default"/>
        </w:rPr>
        <w:t>”</w:t>
      </w:r>
      <w:r>
        <w:rPr/>
        <w:t>。</w:t>
      </w:r>
    </w:p>
    <w:p>
      <w:pPr>
        <w:spacing w:line="240" w:lineRule="auto" w:before="1"/>
        <w:rPr>
          <w:rFonts w:ascii="宋体" w:hAnsi="宋体" w:cs="宋体" w:eastAsia="宋体" w:hint="default"/>
          <w:sz w:val="22"/>
          <w:szCs w:val="22"/>
        </w:rPr>
      </w:pPr>
    </w:p>
    <w:p>
      <w:pPr>
        <w:pStyle w:val="Heading3"/>
        <w:spacing w:line="240" w:lineRule="auto"/>
        <w:ind w:left="153" w:right="0"/>
        <w:jc w:val="left"/>
        <w:rPr>
          <w:b w:val="0"/>
          <w:bCs w:val="0"/>
        </w:rPr>
      </w:pPr>
      <w:bookmarkStart w:name="（2）内部研究开发支出会计政策" w:id="199"/>
      <w:bookmarkEnd w:id="199"/>
      <w:r>
        <w:rPr>
          <w:b w:val="0"/>
          <w:bCs w:val="0"/>
        </w:rPr>
      </w:r>
      <w:r>
        <w:rPr/>
        <w:t>（</w:t>
      </w:r>
      <w:r>
        <w:rPr>
          <w:rFonts w:ascii="Times New Roman" w:hAnsi="Times New Roman" w:cs="Times New Roman" w:eastAsia="Times New Roman" w:hint="default"/>
        </w:rPr>
        <w:t>2</w:t>
      </w:r>
      <w:r>
        <w:rPr/>
        <w:t>）内部研究开发支出会计政策</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513" w:right="0"/>
        <w:jc w:val="left"/>
      </w:pPr>
      <w:r>
        <w:rPr/>
        <w:t>本公司内部研究开发项目的支出均计入当期损益。</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22、长期资产减值" w:id="200"/>
      <w:bookmarkEnd w:id="200"/>
      <w:r>
        <w:rPr>
          <w:b w:val="0"/>
          <w:bCs w:val="0"/>
        </w:rPr>
      </w:r>
      <w:r>
        <w:rPr>
          <w:rFonts w:ascii="Times New Roman" w:hAnsi="Times New Roman" w:cs="Times New Roman" w:eastAsia="Times New Roman" w:hint="default"/>
        </w:rPr>
        <w:t>22</w:t>
      </w:r>
      <w:r>
        <w:rPr/>
        <w:t>、长期资产减值</w:t>
      </w:r>
      <w:r>
        <w:rPr>
          <w:b w:val="0"/>
          <w:bCs w:val="0"/>
        </w:rPr>
      </w:r>
    </w:p>
    <w:p>
      <w:pPr>
        <w:spacing w:line="240" w:lineRule="auto" w:before="7"/>
        <w:rPr>
          <w:rFonts w:ascii="宋体" w:hAnsi="宋体" w:cs="宋体" w:eastAsia="宋体" w:hint="default"/>
          <w:b/>
          <w:bCs/>
          <w:sz w:val="26"/>
          <w:szCs w:val="26"/>
        </w:rPr>
      </w:pPr>
    </w:p>
    <w:p>
      <w:pPr>
        <w:pStyle w:val="BodyText"/>
        <w:spacing w:line="316" w:lineRule="auto"/>
        <w:ind w:left="154" w:right="1131" w:firstLine="360"/>
        <w:jc w:val="both"/>
      </w:pPr>
      <w:r>
        <w:rPr>
          <w:spacing w:val="-2"/>
        </w:rPr>
        <w:t>对于固定资产、在建工程、使用寿命有限的无形资产、以成本模式计量的投资性房地产及对子公司、合营企业、联营企</w:t>
      </w:r>
      <w:r>
        <w:rPr/>
        <w:t> </w:t>
      </w:r>
      <w:r>
        <w:rPr>
          <w:spacing w:val="-2"/>
        </w:rPr>
        <w:t>业的长期股权投资等非流动非金融资产，本公司于资产负债表日判断是否存在减值迹象。如存在减值迹象的，则估计其可收</w:t>
      </w:r>
      <w:r>
        <w:rPr>
          <w:spacing w:val="-65"/>
        </w:rPr>
        <w:t> </w:t>
      </w:r>
      <w:r>
        <w:rPr>
          <w:spacing w:val="-65"/>
        </w:rPr>
      </w:r>
      <w:r>
        <w:rPr>
          <w:spacing w:val="-2"/>
        </w:rPr>
        <w:t>回金额，进行减值测试。商誉、使用寿命不确定的无形资产和尚未达到可使用状态的无形资产，无论是否存在减值迹象，每</w:t>
      </w:r>
      <w:r>
        <w:rPr>
          <w:spacing w:val="-66"/>
        </w:rPr>
        <w:t> </w:t>
      </w:r>
      <w:r>
        <w:rPr>
          <w:spacing w:val="-66"/>
        </w:rPr>
      </w:r>
      <w:r>
        <w:rPr/>
        <w:t>年均进行减值测试。</w:t>
      </w:r>
    </w:p>
    <w:p>
      <w:pPr>
        <w:pStyle w:val="BodyText"/>
        <w:spacing w:line="316" w:lineRule="auto" w:before="19"/>
        <w:ind w:left="154" w:right="0" w:firstLine="360"/>
        <w:jc w:val="left"/>
      </w:pPr>
      <w:r>
        <w:rPr>
          <w:spacing w:val="-2"/>
        </w:rPr>
        <w:t>减值测试结果表明资产的可收回金额低于其账面价值的，按其差额计提减值准备并计入减值损失。可收回金额为资产的</w:t>
      </w:r>
      <w:r>
        <w:rPr/>
        <w:t> </w:t>
      </w:r>
      <w:r>
        <w:rPr>
          <w:spacing w:val="-2"/>
        </w:rPr>
        <w:t>公允价值减去处置费用后的净额与资产预计未来现金流量的现值两者之间的较高者。资产的公允价值根据公平交易中销售协</w:t>
      </w:r>
      <w:r>
        <w:rPr>
          <w:spacing w:val="-64"/>
        </w:rPr>
        <w:t> </w:t>
      </w:r>
      <w:r>
        <w:rPr>
          <w:spacing w:val="-64"/>
        </w:rPr>
      </w:r>
      <w:r>
        <w:rPr>
          <w:spacing w:val="-2"/>
        </w:rPr>
        <w:t>议价格确定；不存在销售协议但存在资产活跃市场的，公允价值按照该资产的买方出价确定；不存在销售协议和资产活跃市</w:t>
      </w:r>
      <w:r>
        <w:rPr>
          <w:spacing w:val="-66"/>
        </w:rPr>
        <w:t> </w:t>
      </w:r>
      <w:r>
        <w:rPr>
          <w:spacing w:val="-66"/>
        </w:rPr>
      </w:r>
      <w:r>
        <w:rPr>
          <w:spacing w:val="-2"/>
        </w:rPr>
        <w:t>场的，则以可获取的最佳信息为基础估计资产的公允价值。处置费用包括与资产处置有关的法律费用、相关税费、搬运费以</w:t>
      </w:r>
      <w:r>
        <w:rPr>
          <w:spacing w:val="-66"/>
        </w:rPr>
        <w:t> </w:t>
      </w:r>
      <w:r>
        <w:rPr>
          <w:spacing w:val="-66"/>
        </w:rPr>
      </w:r>
      <w:r>
        <w:rPr>
          <w:spacing w:val="-2"/>
        </w:rPr>
        <w:t>及为使资产达到可销售状态所发生的直接费用。资产预计未来现金流量的现值，按照资产在持续使用过程中和最终处置时所</w:t>
      </w:r>
      <w:r>
        <w:rPr>
          <w:spacing w:val="-64"/>
        </w:rPr>
        <w:t> </w:t>
      </w:r>
      <w:r>
        <w:rPr>
          <w:spacing w:val="-64"/>
        </w:rPr>
      </w:r>
      <w:r>
        <w:rPr>
          <w:spacing w:val="-4"/>
        </w:rPr>
        <w:t>产生的预计未来现金流量，选择恰当的折现率对其进行折现后的金额加以确定。资产减值准备按单项资产为基础计算并确认，</w:t>
      </w:r>
      <w:r>
        <w:rPr>
          <w:spacing w:val="-44"/>
        </w:rPr>
        <w:t> </w:t>
      </w:r>
      <w:r>
        <w:rPr>
          <w:spacing w:val="-44"/>
        </w:rPr>
      </w:r>
      <w:r>
        <w:rPr>
          <w:spacing w:val="-2"/>
        </w:rPr>
        <w:t>如果难以对单项资产的可收回金额进行估计的，以该资产所属的资产组确定资产组的可收回金额。资产组是能够独立产生现</w:t>
      </w:r>
      <w:r>
        <w:rPr>
          <w:spacing w:val="-64"/>
        </w:rPr>
        <w:t> </w:t>
      </w:r>
      <w:r>
        <w:rPr>
          <w:spacing w:val="-64"/>
        </w:rPr>
      </w:r>
      <w:r>
        <w:rPr/>
        <w:t>金流入的最小资产组合。</w:t>
      </w:r>
    </w:p>
    <w:p>
      <w:pPr>
        <w:pStyle w:val="BodyText"/>
        <w:spacing w:line="316" w:lineRule="auto" w:before="19"/>
        <w:ind w:left="154" w:right="1130" w:firstLine="360"/>
        <w:jc w:val="both"/>
      </w:pPr>
      <w:r>
        <w:rPr>
          <w:spacing w:val="-2"/>
        </w:rPr>
        <w:t>在财务报表中单独列示的商誉，在进行减值测试时，将商誉的账面价值分摊至预期从企业合并的协同效应中受益的资产</w:t>
      </w:r>
      <w:r>
        <w:rPr/>
        <w:t> </w:t>
      </w:r>
      <w:r>
        <w:rPr>
          <w:spacing w:val="-2"/>
        </w:rPr>
        <w:t>组或资产组组合。测试结果表明包含分摊的商誉的资产组或资产组组合的可收回金额低于其账面价值的，确认相应的减值损</w:t>
      </w:r>
      <w:r>
        <w:rPr>
          <w:spacing w:val="-64"/>
        </w:rPr>
        <w:t> </w:t>
      </w:r>
      <w:r>
        <w:rPr>
          <w:spacing w:val="-64"/>
        </w:rPr>
      </w:r>
      <w:r>
        <w:rPr>
          <w:spacing w:val="-2"/>
        </w:rPr>
        <w:t>失。减值损失金额先抵减分摊至该资产组或资产组组合的商誉的账面价值，再根据资产组或资产组组合中除商誉以外的其他</w:t>
      </w:r>
      <w:r>
        <w:rPr>
          <w:spacing w:val="-64"/>
        </w:rPr>
        <w:t> </w:t>
      </w:r>
      <w:r>
        <w:rPr>
          <w:spacing w:val="-64"/>
        </w:rPr>
      </w:r>
      <w:r>
        <w:rPr/>
        <w:t>各项资产的账面价值所占比重，按比例抵减其他各项资产的账面价值。</w:t>
      </w:r>
    </w:p>
    <w:p>
      <w:pPr>
        <w:pStyle w:val="BodyText"/>
        <w:spacing w:line="240" w:lineRule="auto" w:before="19"/>
        <w:ind w:left="514" w:right="0"/>
        <w:jc w:val="left"/>
      </w:pPr>
      <w:r>
        <w:rPr/>
        <w:t>上述资产减值损失一经确认，以后期间不予转回价值得以恢复的部分。</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23、长期待摊费用" w:id="201"/>
      <w:bookmarkEnd w:id="201"/>
      <w:r>
        <w:rPr>
          <w:b w:val="0"/>
          <w:bCs w:val="0"/>
        </w:rPr>
      </w:r>
      <w:r>
        <w:rPr>
          <w:rFonts w:ascii="Times New Roman" w:hAnsi="Times New Roman" w:cs="Times New Roman" w:eastAsia="Times New Roman" w:hint="default"/>
        </w:rPr>
        <w:t>23</w:t>
      </w:r>
      <w:r>
        <w:rPr/>
        <w:t>、长期待摊费用</w:t>
      </w:r>
      <w:r>
        <w:rPr>
          <w:b w:val="0"/>
          <w:bCs w:val="0"/>
        </w:rPr>
      </w:r>
    </w:p>
    <w:p>
      <w:pPr>
        <w:spacing w:line="240" w:lineRule="auto" w:before="7"/>
        <w:rPr>
          <w:rFonts w:ascii="宋体" w:hAnsi="宋体" w:cs="宋体" w:eastAsia="宋体" w:hint="default"/>
          <w:b/>
          <w:bCs/>
          <w:sz w:val="26"/>
          <w:szCs w:val="26"/>
        </w:rPr>
      </w:pPr>
    </w:p>
    <w:p>
      <w:pPr>
        <w:pStyle w:val="BodyText"/>
        <w:spacing w:line="316" w:lineRule="auto"/>
        <w:ind w:left="154" w:right="1131" w:firstLine="360"/>
        <w:jc w:val="both"/>
      </w:pPr>
      <w:r>
        <w:rPr>
          <w:spacing w:val="-2"/>
        </w:rPr>
        <w:t>长期待摊费用为已经发生但应由报告期和以后各期负担的分摊期限在一年以上的各项费用。本公司的长期待摊费用主要</w:t>
      </w:r>
      <w:r>
        <w:rPr/>
        <w:t> 包括装修费。长期待摊费用在预计受益期间按直线法摊销。</w:t>
      </w:r>
    </w:p>
    <w:p>
      <w:pPr>
        <w:spacing w:after="0" w:line="316" w:lineRule="auto"/>
        <w:jc w:val="both"/>
        <w:sectPr>
          <w:pgSz w:w="11910" w:h="16840"/>
          <w:pgMar w:header="747" w:footer="979"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5"/>
        <w:ind w:left="153" w:right="0"/>
        <w:jc w:val="left"/>
        <w:rPr>
          <w:b w:val="0"/>
          <w:bCs w:val="0"/>
        </w:rPr>
      </w:pPr>
      <w:bookmarkStart w:name="24、职工薪酬" w:id="202"/>
      <w:bookmarkEnd w:id="202"/>
      <w:r>
        <w:rPr>
          <w:b w:val="0"/>
          <w:bCs w:val="0"/>
        </w:rPr>
      </w:r>
      <w:r>
        <w:rPr>
          <w:rFonts w:ascii="Times New Roman" w:hAnsi="Times New Roman" w:cs="Times New Roman" w:eastAsia="Times New Roman" w:hint="default"/>
        </w:rPr>
        <w:t>24</w:t>
      </w:r>
      <w:r>
        <w:rPr/>
        <w:t>、职工薪酬</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短期薪酬的会计处理方法" w:id="203"/>
      <w:bookmarkEnd w:id="203"/>
      <w:r>
        <w:rPr>
          <w:b w:val="0"/>
          <w:bCs w:val="0"/>
        </w:rPr>
      </w:r>
      <w:r>
        <w:rPr/>
        <w:t>（</w:t>
      </w:r>
      <w:r>
        <w:rPr>
          <w:rFonts w:ascii="Times New Roman" w:hAnsi="Times New Roman" w:cs="Times New Roman" w:eastAsia="Times New Roman" w:hint="default"/>
        </w:rPr>
        <w:t>1</w:t>
      </w:r>
      <w:r>
        <w:rPr/>
        <w:t>）短期薪酬的会计处理方法</w:t>
      </w:r>
      <w:r>
        <w:rPr>
          <w:b w:val="0"/>
          <w:bCs w:val="0"/>
        </w:rPr>
      </w:r>
    </w:p>
    <w:p>
      <w:pPr>
        <w:spacing w:line="240" w:lineRule="auto" w:before="7"/>
        <w:rPr>
          <w:rFonts w:ascii="宋体" w:hAnsi="宋体" w:cs="宋体" w:eastAsia="宋体" w:hint="default"/>
          <w:b/>
          <w:bCs/>
          <w:sz w:val="26"/>
          <w:szCs w:val="26"/>
        </w:rPr>
      </w:pPr>
    </w:p>
    <w:p>
      <w:pPr>
        <w:pStyle w:val="BodyText"/>
        <w:spacing w:line="316" w:lineRule="auto"/>
        <w:ind w:left="154" w:right="1132" w:firstLine="360"/>
        <w:jc w:val="both"/>
      </w:pPr>
      <w:r>
        <w:rPr>
          <w:spacing w:val="-6"/>
        </w:rPr>
        <w:t>本公司职工薪酬主要包括短期职工薪酬、离职后福利、辞退福利以及其他长期职工福利。其中：短期薪酬主要包括工资、</w:t>
      </w:r>
      <w:r>
        <w:rPr/>
        <w:t> </w:t>
      </w:r>
      <w:r>
        <w:rPr>
          <w:spacing w:val="-2"/>
        </w:rPr>
        <w:t>奖金、津贴和补贴、职工福利费、医疗保险费、生育保险费、工伤保险费、住房公积金、工会经费和职工教育经费、非货币</w:t>
      </w:r>
      <w:r>
        <w:rPr>
          <w:spacing w:val="-67"/>
        </w:rPr>
        <w:t> </w:t>
      </w:r>
      <w:r>
        <w:rPr>
          <w:spacing w:val="-67"/>
        </w:rPr>
      </w:r>
      <w:r>
        <w:rPr>
          <w:spacing w:val="-2"/>
        </w:rPr>
        <w:t>性福利等。本公司在职工为本公司提供服务的会计期间将实际发生的短期职工薪酬确认为负债，并计入当期损益或相关资产</w:t>
      </w:r>
      <w:r>
        <w:rPr>
          <w:spacing w:val="-64"/>
        </w:rPr>
        <w:t> </w:t>
      </w:r>
      <w:r>
        <w:rPr>
          <w:spacing w:val="-64"/>
        </w:rPr>
      </w:r>
      <w:r>
        <w:rPr/>
        <w:t>成本。其中非货币性福利按公允价值计量。</w:t>
      </w:r>
    </w:p>
    <w:p>
      <w:pPr>
        <w:spacing w:line="240" w:lineRule="auto" w:before="7"/>
        <w:rPr>
          <w:rFonts w:ascii="宋体" w:hAnsi="宋体" w:cs="宋体" w:eastAsia="宋体" w:hint="default"/>
          <w:sz w:val="22"/>
          <w:szCs w:val="22"/>
        </w:rPr>
      </w:pPr>
    </w:p>
    <w:p>
      <w:pPr>
        <w:pStyle w:val="Heading3"/>
        <w:spacing w:line="240" w:lineRule="auto"/>
        <w:ind w:right="0"/>
        <w:jc w:val="left"/>
        <w:rPr>
          <w:b w:val="0"/>
          <w:bCs w:val="0"/>
        </w:rPr>
      </w:pPr>
      <w:bookmarkStart w:name="（2）离职后福利的会计处理方法" w:id="204"/>
      <w:bookmarkEnd w:id="204"/>
      <w:r>
        <w:rPr>
          <w:b w:val="0"/>
          <w:bCs w:val="0"/>
        </w:rPr>
      </w:r>
      <w:r>
        <w:rPr/>
        <w:t>（</w:t>
      </w:r>
      <w:r>
        <w:rPr>
          <w:rFonts w:ascii="Times New Roman" w:hAnsi="Times New Roman" w:cs="Times New Roman" w:eastAsia="Times New Roman" w:hint="default"/>
        </w:rPr>
        <w:t>2</w:t>
      </w:r>
      <w:r>
        <w:rPr/>
        <w:t>）离职后福利的会计处理方法</w:t>
      </w:r>
      <w:r>
        <w:rPr>
          <w:b w:val="0"/>
          <w:bCs w:val="0"/>
        </w:rPr>
      </w:r>
    </w:p>
    <w:p>
      <w:pPr>
        <w:spacing w:line="240" w:lineRule="auto" w:before="7"/>
        <w:rPr>
          <w:rFonts w:ascii="宋体" w:hAnsi="宋体" w:cs="宋体" w:eastAsia="宋体" w:hint="default"/>
          <w:b/>
          <w:bCs/>
          <w:sz w:val="26"/>
          <w:szCs w:val="26"/>
        </w:rPr>
      </w:pPr>
    </w:p>
    <w:p>
      <w:pPr>
        <w:pStyle w:val="BodyText"/>
        <w:spacing w:line="316" w:lineRule="auto"/>
        <w:ind w:left="154" w:right="1132" w:firstLine="360"/>
        <w:jc w:val="both"/>
      </w:pPr>
      <w:r>
        <w:rPr>
          <w:spacing w:val="-2"/>
        </w:rPr>
        <w:t>离职后福利主要包括设定提存计划。设定提存计划主要包括基本养老保险、失业保险以及年金等，相应的应缴存金额于</w:t>
      </w:r>
      <w:r>
        <w:rPr/>
        <w:t> 发生时计入相关资产成本或当期损益。</w:t>
      </w:r>
    </w:p>
    <w:p>
      <w:pPr>
        <w:spacing w:line="240" w:lineRule="auto" w:before="7"/>
        <w:rPr>
          <w:rFonts w:ascii="宋体" w:hAnsi="宋体" w:cs="宋体" w:eastAsia="宋体" w:hint="default"/>
          <w:sz w:val="22"/>
          <w:szCs w:val="22"/>
        </w:rPr>
      </w:pPr>
    </w:p>
    <w:p>
      <w:pPr>
        <w:pStyle w:val="Heading3"/>
        <w:spacing w:line="240" w:lineRule="auto"/>
        <w:ind w:right="0"/>
        <w:jc w:val="left"/>
        <w:rPr>
          <w:b w:val="0"/>
          <w:bCs w:val="0"/>
        </w:rPr>
      </w:pPr>
      <w:bookmarkStart w:name="（3）辞退福利的会计处理方法" w:id="205"/>
      <w:bookmarkEnd w:id="205"/>
      <w:r>
        <w:rPr>
          <w:b w:val="0"/>
          <w:bCs w:val="0"/>
        </w:rPr>
      </w:r>
      <w:r>
        <w:rPr/>
        <w:t>（</w:t>
      </w:r>
      <w:r>
        <w:rPr>
          <w:rFonts w:ascii="Times New Roman" w:hAnsi="Times New Roman" w:cs="Times New Roman" w:eastAsia="Times New Roman" w:hint="default"/>
        </w:rPr>
        <w:t>3</w:t>
      </w:r>
      <w:r>
        <w:rPr/>
        <w:t>）辞退福利的会计处理方法</w:t>
      </w:r>
      <w:r>
        <w:rPr>
          <w:b w:val="0"/>
          <w:bCs w:val="0"/>
        </w:rPr>
      </w:r>
    </w:p>
    <w:p>
      <w:pPr>
        <w:spacing w:line="240" w:lineRule="auto" w:before="7"/>
        <w:rPr>
          <w:rFonts w:ascii="宋体" w:hAnsi="宋体" w:cs="宋体" w:eastAsia="宋体" w:hint="default"/>
          <w:b/>
          <w:bCs/>
          <w:sz w:val="26"/>
          <w:szCs w:val="26"/>
        </w:rPr>
      </w:pPr>
    </w:p>
    <w:p>
      <w:pPr>
        <w:pStyle w:val="BodyText"/>
        <w:spacing w:line="316" w:lineRule="auto"/>
        <w:ind w:left="154" w:right="1131" w:firstLine="360"/>
        <w:jc w:val="both"/>
      </w:pPr>
      <w:r>
        <w:rPr>
          <w:spacing w:val="-2"/>
        </w:rPr>
        <w:t>在职工劳动合同到期之前解除与职工的劳动关系，或为鼓励职工自愿接受裁减而提出给予补偿的建议，在本公司不能单</w:t>
      </w:r>
      <w:r>
        <w:rPr/>
        <w:t> </w:t>
      </w:r>
      <w:r>
        <w:rPr>
          <w:spacing w:val="-2"/>
        </w:rPr>
        <w:t>方面撤回因解除劳动关系计划或裁减建议所提供的辞退福利时，和本公司确认与涉及支付辞退福利的重组相关的成本两者孰</w:t>
      </w:r>
      <w:r>
        <w:rPr>
          <w:spacing w:val="-64"/>
        </w:rPr>
        <w:t> </w:t>
      </w:r>
      <w:r>
        <w:rPr>
          <w:spacing w:val="-64"/>
        </w:rPr>
      </w:r>
      <w:r>
        <w:rPr>
          <w:spacing w:val="-5"/>
        </w:rPr>
        <w:t>早日，确认辞退福利产生的职工薪酬负债，并计入当期损益。但辞退福利预期在年度报告期结束后十二个月不能完全支付的，</w:t>
      </w:r>
      <w:r>
        <w:rPr>
          <w:spacing w:val="-79"/>
        </w:rPr>
        <w:t> </w:t>
      </w:r>
      <w:r>
        <w:rPr>
          <w:spacing w:val="-79"/>
        </w:rPr>
      </w:r>
      <w:r>
        <w:rPr/>
        <w:t>按照其他长期职工薪酬处理。</w:t>
      </w:r>
    </w:p>
    <w:p>
      <w:pPr>
        <w:pStyle w:val="BodyText"/>
        <w:spacing w:line="316" w:lineRule="auto" w:before="19"/>
        <w:ind w:left="154" w:right="1131" w:firstLine="360"/>
        <w:jc w:val="both"/>
      </w:pPr>
      <w:r>
        <w:rPr/>
        <w:t>职工内部退休计划采用上述辞退福利相同的原则处理</w:t>
      </w:r>
      <w:r>
        <w:rPr>
          <w:spacing w:val="-82"/>
        </w:rPr>
        <w:t>。</w:t>
      </w:r>
      <w:r>
        <w:rPr/>
        <w:t>本公司将自职工停止提供服务日至正常退休日的期间拟支付的内</w:t>
      </w:r>
      <w:r>
        <w:rPr/>
        <w:t> 退人员工资和缴纳的社会保险费等，在符合预计负债确认条件时，计入当期损益（辞退福利</w:t>
      </w:r>
      <w:r>
        <w:rPr>
          <w:spacing w:val="-90"/>
        </w:rPr>
        <w:t>）</w:t>
      </w:r>
      <w:r>
        <w:rPr/>
        <w:t>。</w:t>
      </w:r>
    </w:p>
    <w:p>
      <w:pPr>
        <w:spacing w:line="240" w:lineRule="auto" w:before="7"/>
        <w:rPr>
          <w:rFonts w:ascii="宋体" w:hAnsi="宋体" w:cs="宋体" w:eastAsia="宋体" w:hint="default"/>
          <w:sz w:val="22"/>
          <w:szCs w:val="22"/>
        </w:rPr>
      </w:pPr>
    </w:p>
    <w:p>
      <w:pPr>
        <w:pStyle w:val="Heading3"/>
        <w:spacing w:line="240" w:lineRule="auto"/>
        <w:ind w:right="0"/>
        <w:jc w:val="left"/>
        <w:rPr>
          <w:b w:val="0"/>
          <w:bCs w:val="0"/>
        </w:rPr>
      </w:pPr>
      <w:bookmarkStart w:name="（4）其他长期职工福利的会计处理方法" w:id="206"/>
      <w:bookmarkEnd w:id="206"/>
      <w:r>
        <w:rPr>
          <w:b w:val="0"/>
          <w:bCs w:val="0"/>
        </w:rPr>
      </w:r>
      <w:r>
        <w:rPr/>
        <w:t>（</w:t>
      </w:r>
      <w:r>
        <w:rPr>
          <w:rFonts w:ascii="Times New Roman" w:hAnsi="Times New Roman" w:cs="Times New Roman" w:eastAsia="Times New Roman" w:hint="default"/>
        </w:rPr>
        <w:t>4</w:t>
      </w:r>
      <w:r>
        <w:rPr/>
        <w:t>）其他长期职工福利的会计处理方法</w:t>
      </w:r>
      <w:r>
        <w:rPr>
          <w:b w:val="0"/>
          <w:bCs w:val="0"/>
        </w:rPr>
      </w:r>
    </w:p>
    <w:p>
      <w:pPr>
        <w:spacing w:line="240" w:lineRule="auto" w:before="7"/>
        <w:rPr>
          <w:rFonts w:ascii="宋体" w:hAnsi="宋体" w:cs="宋体" w:eastAsia="宋体" w:hint="default"/>
          <w:b/>
          <w:bCs/>
          <w:sz w:val="26"/>
          <w:szCs w:val="26"/>
        </w:rPr>
      </w:pPr>
    </w:p>
    <w:p>
      <w:pPr>
        <w:pStyle w:val="BodyText"/>
        <w:spacing w:line="316" w:lineRule="auto"/>
        <w:ind w:left="154" w:right="1133" w:firstLine="360"/>
        <w:jc w:val="both"/>
      </w:pPr>
      <w:r>
        <w:rPr>
          <w:spacing w:val="-2"/>
        </w:rPr>
        <w:t>本公司向职工提供的其他长期职工福利，符合设定提存计划的，按照设定提存计划进行会计处理，除此之外按照设定收</w:t>
      </w:r>
      <w:r>
        <w:rPr/>
        <w:t> 益计划进行会计处理。</w:t>
      </w:r>
    </w:p>
    <w:p>
      <w:pPr>
        <w:spacing w:line="240" w:lineRule="auto" w:before="7"/>
        <w:rPr>
          <w:rFonts w:ascii="宋体" w:hAnsi="宋体" w:cs="宋体" w:eastAsia="宋体" w:hint="default"/>
          <w:sz w:val="22"/>
          <w:szCs w:val="22"/>
        </w:rPr>
      </w:pPr>
    </w:p>
    <w:p>
      <w:pPr>
        <w:pStyle w:val="Heading3"/>
        <w:spacing w:line="240" w:lineRule="auto"/>
        <w:ind w:right="0"/>
        <w:jc w:val="left"/>
        <w:rPr>
          <w:b w:val="0"/>
          <w:bCs w:val="0"/>
        </w:rPr>
      </w:pPr>
      <w:bookmarkStart w:name="25、预计负债" w:id="207"/>
      <w:bookmarkEnd w:id="207"/>
      <w:r>
        <w:rPr>
          <w:b w:val="0"/>
          <w:bCs w:val="0"/>
        </w:rPr>
      </w:r>
      <w:r>
        <w:rPr>
          <w:rFonts w:ascii="Times New Roman" w:hAnsi="Times New Roman" w:cs="Times New Roman" w:eastAsia="Times New Roman" w:hint="default"/>
        </w:rPr>
        <w:t>25</w:t>
      </w:r>
      <w:r>
        <w:rPr/>
        <w:t>、预计负债</w:t>
      </w:r>
      <w:r>
        <w:rPr>
          <w:b w:val="0"/>
          <w:bCs w:val="0"/>
        </w:rPr>
      </w:r>
    </w:p>
    <w:p>
      <w:pPr>
        <w:spacing w:line="240" w:lineRule="auto" w:before="7"/>
        <w:rPr>
          <w:rFonts w:ascii="宋体" w:hAnsi="宋体" w:cs="宋体" w:eastAsia="宋体" w:hint="default"/>
          <w:b/>
          <w:bCs/>
          <w:sz w:val="26"/>
          <w:szCs w:val="26"/>
        </w:rPr>
      </w:pPr>
    </w:p>
    <w:p>
      <w:pPr>
        <w:pStyle w:val="BodyText"/>
        <w:spacing w:line="300" w:lineRule="auto"/>
        <w:ind w:right="1130" w:firstLine="360"/>
        <w:jc w:val="both"/>
      </w:pPr>
      <w:r>
        <w:rPr/>
        <w:t>当与或有事项相关的义务同时符合以下条件</w:t>
      </w:r>
      <w:r>
        <w:rPr>
          <w:spacing w:val="-17"/>
        </w:rPr>
        <w:t>，</w:t>
      </w:r>
      <w:r>
        <w:rPr/>
        <w:t>确认为预计负债</w:t>
      </w:r>
      <w:r>
        <w:rPr>
          <w:spacing w:val="-107"/>
        </w:rPr>
        <w:t>：</w:t>
      </w:r>
      <w:r>
        <w:rPr/>
        <w:t>（</w:t>
      </w:r>
      <w:r>
        <w:rPr>
          <w:rFonts w:ascii="Times New Roman" w:hAnsi="Times New Roman" w:cs="Times New Roman" w:eastAsia="Times New Roman" w:hint="default"/>
        </w:rPr>
        <w:t>1</w:t>
      </w:r>
      <w:r>
        <w:rPr>
          <w:spacing w:val="-17"/>
        </w:rPr>
        <w:t>）</w:t>
      </w:r>
      <w:r>
        <w:rPr>
          <w:spacing w:val="1"/>
        </w:rPr>
        <w:t>该</w:t>
      </w:r>
      <w:r>
        <w:rPr/>
        <w:t>义务是本公司承担的现时义务</w:t>
      </w:r>
      <w:r>
        <w:rPr>
          <w:spacing w:val="-107"/>
        </w:rPr>
        <w:t>；</w:t>
      </w:r>
      <w:r>
        <w:rPr/>
        <w:t>（</w:t>
      </w:r>
      <w:r>
        <w:rPr>
          <w:rFonts w:ascii="Times New Roman" w:hAnsi="Times New Roman" w:cs="Times New Roman" w:eastAsia="Times New Roman" w:hint="default"/>
        </w:rPr>
        <w:t>2</w:t>
      </w:r>
      <w:r>
        <w:rPr>
          <w:spacing w:val="-17"/>
        </w:rPr>
        <w:t>）</w:t>
      </w:r>
      <w:r>
        <w:rPr/>
        <w:t>履行</w:t>
      </w:r>
      <w:r>
        <w:rPr>
          <w:spacing w:val="1"/>
        </w:rPr>
        <w:t>该</w:t>
      </w:r>
      <w:r>
        <w:rPr/>
        <w:t>义务</w:t>
      </w:r>
      <w:r>
        <w:rPr/>
        <w:t> 很可能导致经济利益流出</w:t>
      </w:r>
      <w:r>
        <w:rPr>
          <w:spacing w:val="-90"/>
        </w:rPr>
        <w:t>；</w:t>
      </w:r>
      <w:r>
        <w:rPr/>
        <w:t>（</w:t>
      </w:r>
      <w:r>
        <w:rPr>
          <w:rFonts w:ascii="Times New Roman" w:hAnsi="Times New Roman" w:cs="Times New Roman" w:eastAsia="Times New Roman" w:hint="default"/>
        </w:rPr>
        <w:t>3</w:t>
      </w:r>
      <w:r>
        <w:rPr/>
        <w:t>）该义务的金额能够可靠地计量。</w:t>
      </w:r>
    </w:p>
    <w:p>
      <w:pPr>
        <w:pStyle w:val="BodyText"/>
        <w:spacing w:line="316" w:lineRule="auto" w:before="13"/>
        <w:ind w:left="513" w:right="0"/>
        <w:jc w:val="left"/>
      </w:pPr>
      <w:r>
        <w:rPr/>
        <w:t>本公司预计负债按履行相关现时义务所需的支出的最佳估计数进行初始计量。 </w:t>
      </w:r>
      <w:r>
        <w:rPr>
          <w:spacing w:val="-2"/>
        </w:rPr>
        <w:t>本公司在确定最佳估计数时，综合考虑与或有事项有关的风险、不确定性和货币时间价值等因素。对于货币时间价值影</w:t>
      </w:r>
    </w:p>
    <w:p>
      <w:pPr>
        <w:pStyle w:val="BodyText"/>
        <w:spacing w:line="316" w:lineRule="auto" w:before="19"/>
        <w:ind w:left="514" w:right="0" w:hanging="360"/>
        <w:jc w:val="left"/>
      </w:pPr>
      <w:r>
        <w:rPr/>
        <w:t>响重大的，通过对相关未来现金流出进行折现后确定最佳估计数。 </w:t>
      </w:r>
      <w:r>
        <w:rPr>
          <w:spacing w:val="-2"/>
        </w:rPr>
        <w:t>最佳估计数分别以下情况处理：所需支出存在一个连续范围（或区间），且该范围内各种结果发生的可能性相同的，则</w:t>
      </w:r>
    </w:p>
    <w:p>
      <w:pPr>
        <w:pStyle w:val="BodyText"/>
        <w:spacing w:line="316" w:lineRule="auto" w:before="19"/>
        <w:ind w:left="514" w:right="0" w:hanging="360"/>
        <w:jc w:val="left"/>
      </w:pPr>
      <w:r>
        <w:rPr/>
        <w:t>最佳估计数按照该范围的中间值即上下限金额的平均数确定。 </w:t>
      </w:r>
      <w:r>
        <w:rPr>
          <w:spacing w:val="-2"/>
        </w:rPr>
        <w:t>所需支出不存在一个连续范围（或区间），或虽然存在一个连续范围但该范围内各种结果发生的可能性不相同的，如或</w:t>
      </w:r>
    </w:p>
    <w:p>
      <w:pPr>
        <w:pStyle w:val="BodyText"/>
        <w:spacing w:line="316" w:lineRule="auto" w:before="19"/>
        <w:ind w:left="154" w:right="0"/>
        <w:jc w:val="left"/>
      </w:pPr>
      <w:r>
        <w:rPr>
          <w:spacing w:val="-2"/>
        </w:rPr>
        <w:t>有事项涉及单个项目的，则最佳估计数按照最可能发生金额确定；如或有事项涉及多个项目的，最佳估计数按各种可能结果</w:t>
      </w:r>
      <w:r>
        <w:rPr>
          <w:spacing w:val="-66"/>
        </w:rPr>
        <w:t> </w:t>
      </w:r>
      <w:r>
        <w:rPr>
          <w:spacing w:val="-66"/>
        </w:rPr>
      </w:r>
      <w:r>
        <w:rPr/>
        <w:t>及相关概率计算确定。</w:t>
      </w:r>
    </w:p>
    <w:p>
      <w:pPr>
        <w:pStyle w:val="BodyText"/>
        <w:spacing w:line="316" w:lineRule="auto" w:before="19"/>
        <w:ind w:left="154" w:right="1041" w:firstLine="360"/>
        <w:jc w:val="both"/>
      </w:pPr>
      <w:r>
        <w:rPr/>
        <w:t>本公司清偿预计负债所需支出全部或部分预期由第三方补偿的，补偿金额在基本确定能够收到时，作为资产单独确认， 确认的补偿金额不超过预计负债的账面价值。</w:t>
      </w:r>
    </w:p>
    <w:p>
      <w:pPr>
        <w:spacing w:after="0" w:line="316" w:lineRule="auto"/>
        <w:jc w:val="both"/>
        <w:sectPr>
          <w:pgSz w:w="11910" w:h="16840"/>
          <w:pgMar w:header="747" w:footer="979"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5"/>
        <w:ind w:left="153" w:right="0"/>
        <w:jc w:val="both"/>
        <w:rPr>
          <w:b w:val="0"/>
          <w:bCs w:val="0"/>
        </w:rPr>
      </w:pPr>
      <w:bookmarkStart w:name="26、股份支付" w:id="208"/>
      <w:bookmarkEnd w:id="208"/>
      <w:r>
        <w:rPr>
          <w:b w:val="0"/>
          <w:bCs w:val="0"/>
        </w:rPr>
      </w:r>
      <w:r>
        <w:rPr>
          <w:rFonts w:ascii="Times New Roman" w:hAnsi="Times New Roman" w:cs="Times New Roman" w:eastAsia="Times New Roman" w:hint="default"/>
        </w:rPr>
        <w:t>26</w:t>
      </w:r>
      <w:r>
        <w:rPr/>
        <w:t>、股份支付</w:t>
      </w:r>
      <w:r>
        <w:rPr>
          <w:b w:val="0"/>
          <w:bCs w:val="0"/>
        </w:rPr>
      </w:r>
    </w:p>
    <w:p>
      <w:pPr>
        <w:spacing w:line="240" w:lineRule="auto" w:before="7"/>
        <w:rPr>
          <w:rFonts w:ascii="宋体" w:hAnsi="宋体" w:cs="宋体" w:eastAsia="宋体" w:hint="default"/>
          <w:b/>
          <w:bCs/>
          <w:sz w:val="26"/>
          <w:szCs w:val="26"/>
        </w:rPr>
      </w:pPr>
    </w:p>
    <w:p>
      <w:pPr>
        <w:pStyle w:val="BodyText"/>
        <w:spacing w:line="300" w:lineRule="auto"/>
        <w:ind w:left="514" w:right="0"/>
        <w:jc w:val="left"/>
      </w:pPr>
      <w:r>
        <w:rPr/>
        <w:t>（</w:t>
      </w:r>
      <w:r>
        <w:rPr>
          <w:rFonts w:ascii="Times New Roman" w:hAnsi="Times New Roman" w:cs="Times New Roman" w:eastAsia="Times New Roman" w:hint="default"/>
        </w:rPr>
        <w:t>1</w:t>
      </w:r>
      <w:r>
        <w:rPr/>
        <w:t>）股份支付的会计处理方法 </w:t>
      </w:r>
      <w:r>
        <w:rPr>
          <w:spacing w:val="-2"/>
        </w:rPr>
        <w:t>股份支付是为了获取职工或其他方提供服务而授予权益工具或者承担以权益工具为基础确定的负债的交易。股份支付分</w:t>
      </w:r>
    </w:p>
    <w:p>
      <w:pPr>
        <w:pStyle w:val="BodyText"/>
        <w:spacing w:line="240" w:lineRule="auto" w:before="32"/>
        <w:ind w:left="154" w:right="0"/>
        <w:jc w:val="both"/>
      </w:pPr>
      <w:r>
        <w:rPr/>
        <w:t>为以权益结算的股份支付和以现金结算的股份支付。</w:t>
      </w:r>
    </w:p>
    <w:p>
      <w:pPr>
        <w:pStyle w:val="BodyText"/>
        <w:spacing w:line="316" w:lineRule="auto" w:before="76"/>
        <w:ind w:left="514" w:right="0"/>
        <w:jc w:val="left"/>
      </w:pPr>
      <w:r>
        <w:rPr/>
        <w:t>①权益结算的股份支付 </w:t>
      </w:r>
      <w:r>
        <w:rPr>
          <w:spacing w:val="-2"/>
        </w:rPr>
        <w:t>用以换取职工提供的服务的权益结算的股份支付，以授予职工权益工具在授予日的公允价值计量。该公允价值的金额在</w:t>
      </w:r>
    </w:p>
    <w:p>
      <w:pPr>
        <w:pStyle w:val="BodyText"/>
        <w:spacing w:line="316" w:lineRule="auto" w:before="19"/>
        <w:ind w:left="154" w:right="1132"/>
        <w:jc w:val="both"/>
      </w:pPr>
      <w:r>
        <w:rPr>
          <w:spacing w:val="-2"/>
        </w:rPr>
        <w:t>完成等待期内的服务或达到规定业绩条件才可行权的情况下，在等待期内以对可行权权益工具数量的最佳估计为基础，按直</w:t>
      </w:r>
      <w:r>
        <w:rPr>
          <w:spacing w:val="-64"/>
        </w:rPr>
        <w:t> </w:t>
      </w:r>
      <w:r>
        <w:rPr>
          <w:spacing w:val="-64"/>
        </w:rPr>
      </w:r>
      <w:r>
        <w:rPr/>
        <w:t>线法计算计入相关成本或费用</w:t>
      </w:r>
      <w:r>
        <w:rPr>
          <w:rFonts w:ascii="Times New Roman" w:hAnsi="Times New Roman" w:cs="Times New Roman" w:eastAsia="Times New Roman" w:hint="default"/>
        </w:rPr>
        <w:t>/</w:t>
      </w:r>
      <w:r>
        <w:rPr/>
        <w:t>在授予后立即可行权时，在授予日计入相关成本或费用，相应增加资本公积。</w:t>
      </w:r>
    </w:p>
    <w:p>
      <w:pPr>
        <w:pStyle w:val="BodyText"/>
        <w:spacing w:line="316" w:lineRule="auto"/>
        <w:ind w:left="154" w:right="1132" w:firstLine="360"/>
        <w:jc w:val="both"/>
      </w:pPr>
      <w:r>
        <w:rPr>
          <w:spacing w:val="-2"/>
        </w:rPr>
        <w:t>在等待期内每个资产负债表日，本公司根据最新取得的可行权职工人数变动等后续信息做出最佳估计，修正预计可行权</w:t>
      </w:r>
      <w:r>
        <w:rPr/>
        <w:t> 的权益工具数量。上述估计的影响计入当期相关成本或费用，并相应调整资本公积。</w:t>
      </w:r>
    </w:p>
    <w:p>
      <w:pPr>
        <w:pStyle w:val="BodyText"/>
        <w:spacing w:line="316" w:lineRule="auto" w:before="19"/>
        <w:ind w:left="154" w:right="1131" w:firstLine="360"/>
        <w:jc w:val="both"/>
      </w:pPr>
      <w:r>
        <w:rPr>
          <w:spacing w:val="-2"/>
        </w:rPr>
        <w:t>用以换取其他方服务的权益结算的股份支付，如果其他方服务的公允价值能够可靠计量，按照其他方服务在取得日的公</w:t>
      </w:r>
      <w:r>
        <w:rPr/>
        <w:t> </w:t>
      </w:r>
      <w:r>
        <w:rPr>
          <w:spacing w:val="-2"/>
        </w:rPr>
        <w:t>允价值计量，如果其他方服务的公允价值不能可靠计量，但权益工具的公允价值能够可靠计量的，按照权益工具在服务取得</w:t>
      </w:r>
      <w:r>
        <w:rPr>
          <w:spacing w:val="-66"/>
        </w:rPr>
        <w:t> </w:t>
      </w:r>
      <w:r>
        <w:rPr>
          <w:spacing w:val="-66"/>
        </w:rPr>
      </w:r>
      <w:r>
        <w:rPr/>
        <w:t>日的公允价值计量，计入相关成本或费用，相应增加股东权益。</w:t>
      </w:r>
    </w:p>
    <w:p>
      <w:pPr>
        <w:pStyle w:val="BodyText"/>
        <w:spacing w:line="316" w:lineRule="auto" w:before="19"/>
        <w:ind w:left="514" w:right="0"/>
        <w:jc w:val="left"/>
      </w:pPr>
      <w:r>
        <w:rPr/>
        <w:t>②以现金结算的股份支付 </w:t>
      </w:r>
      <w:r>
        <w:rPr>
          <w:spacing w:val="-2"/>
        </w:rPr>
        <w:t>以现金结算的股份支付，按照本公司承担的以股份或其他权益工具为基础确定的负债的公允价值计量。如授予后立即可</w:t>
      </w:r>
    </w:p>
    <w:p>
      <w:pPr>
        <w:pStyle w:val="BodyText"/>
        <w:spacing w:line="316" w:lineRule="auto" w:before="19"/>
        <w:ind w:left="154" w:right="1131"/>
        <w:jc w:val="both"/>
      </w:pPr>
      <w:r>
        <w:rPr>
          <w:spacing w:val="-2"/>
        </w:rPr>
        <w:t>行权，在授予日计入相关成本或费用，相应增加负债；如须完成等待期内的服务或达到规定业绩条件以后才可行权，在等待</w:t>
      </w:r>
      <w:r>
        <w:rPr>
          <w:spacing w:val="-66"/>
        </w:rPr>
        <w:t> </w:t>
      </w:r>
      <w:r>
        <w:rPr>
          <w:spacing w:val="-66"/>
        </w:rPr>
      </w:r>
      <w:r>
        <w:rPr>
          <w:spacing w:val="-2"/>
        </w:rPr>
        <w:t>期的每个资产负债表日，以对可行权情况的最佳估计为基础，按照本公司承担负债的公允价值金额，将当期取得的服务计入</w:t>
      </w:r>
      <w:r>
        <w:rPr>
          <w:spacing w:val="-66"/>
        </w:rPr>
        <w:t> </w:t>
      </w:r>
      <w:r>
        <w:rPr>
          <w:spacing w:val="-66"/>
        </w:rPr>
      </w:r>
      <w:r>
        <w:rPr/>
        <w:t>成本或费用，相应增加负债。</w:t>
      </w:r>
    </w:p>
    <w:p>
      <w:pPr>
        <w:pStyle w:val="BodyText"/>
        <w:spacing w:line="240" w:lineRule="auto" w:before="19"/>
        <w:ind w:left="514" w:right="0"/>
        <w:jc w:val="left"/>
      </w:pPr>
      <w:r>
        <w:rPr/>
        <w:t>在相关负债结算前的每个资产负债表日以及结算日，对负债的公允价值重新计量，其变动计入当期损益。</w:t>
      </w:r>
    </w:p>
    <w:p>
      <w:pPr>
        <w:pStyle w:val="BodyText"/>
        <w:spacing w:line="300" w:lineRule="auto" w:before="76"/>
        <w:ind w:left="514" w:right="0"/>
        <w:jc w:val="left"/>
      </w:pPr>
      <w:r>
        <w:rPr/>
        <w:t>（</w:t>
      </w:r>
      <w:r>
        <w:rPr>
          <w:rFonts w:ascii="Times New Roman" w:hAnsi="Times New Roman" w:cs="Times New Roman" w:eastAsia="Times New Roman" w:hint="default"/>
        </w:rPr>
        <w:t>2</w:t>
      </w:r>
      <w:r>
        <w:rPr/>
        <w:t>）修改、终止股份支付计划的相关会计处理 </w:t>
      </w:r>
      <w:r>
        <w:rPr>
          <w:spacing w:val="-2"/>
        </w:rPr>
        <w:t>本公司对股份支付计划进行修改时，若修改增加了所授予权益工具的公允价值，按照权益工具公允价值的增加相应确认</w:t>
      </w:r>
    </w:p>
    <w:p>
      <w:pPr>
        <w:pStyle w:val="BodyText"/>
        <w:spacing w:line="316" w:lineRule="auto" w:before="32"/>
        <w:ind w:left="154" w:right="1132"/>
        <w:jc w:val="both"/>
      </w:pPr>
      <w:r>
        <w:rPr>
          <w:spacing w:val="-2"/>
        </w:rPr>
        <w:t>取得服务的增加。权益工具公允价值的增加是指修改前后的权益工具在修改日的公允价值之间的差额。若修改减少了股份支</w:t>
      </w:r>
      <w:r>
        <w:rPr>
          <w:spacing w:val="-64"/>
        </w:rPr>
        <w:t> </w:t>
      </w:r>
      <w:r>
        <w:rPr>
          <w:spacing w:val="-64"/>
        </w:rPr>
      </w:r>
      <w:r>
        <w:rPr>
          <w:spacing w:val="-2"/>
        </w:rPr>
        <w:t>付公允价值总额或采用了其他不利于职工的方式，则仍继续对取得的服务进行会计处理，视同该变更从未发生，除非本公司</w:t>
      </w:r>
      <w:r>
        <w:rPr>
          <w:spacing w:val="-66"/>
        </w:rPr>
        <w:t> </w:t>
      </w:r>
      <w:r>
        <w:rPr>
          <w:spacing w:val="-66"/>
        </w:rPr>
      </w:r>
      <w:r>
        <w:rPr/>
        <w:t>取消了部分或全部已授予的权益工具。</w:t>
      </w:r>
    </w:p>
    <w:p>
      <w:pPr>
        <w:pStyle w:val="BodyText"/>
        <w:spacing w:line="316" w:lineRule="auto" w:before="19"/>
        <w:ind w:left="154" w:right="1132" w:firstLine="360"/>
        <w:jc w:val="both"/>
      </w:pPr>
      <w:r>
        <w:rPr>
          <w:spacing w:val="-2"/>
        </w:rPr>
        <w:t>在等待期内，如果取消了授予的权益工具，本公司对取消所授予的权益性工具作为加速行权处理，将剩余等待期内应确</w:t>
      </w:r>
      <w:r>
        <w:rPr/>
        <w:t> </w:t>
      </w:r>
      <w:r>
        <w:rPr>
          <w:spacing w:val="-2"/>
        </w:rPr>
        <w:t>认的金额立即计入当期损益，同时确认资本公积。职工或其他方能够选择满足非可行权条件但在等待期内未满足的，本公司</w:t>
      </w:r>
      <w:r>
        <w:rPr>
          <w:spacing w:val="-66"/>
        </w:rPr>
        <w:t> </w:t>
      </w:r>
      <w:r>
        <w:rPr>
          <w:spacing w:val="-66"/>
        </w:rPr>
      </w:r>
      <w:r>
        <w:rPr/>
        <w:t>将其作为授予权益工具的取消处理。</w:t>
      </w:r>
    </w:p>
    <w:p>
      <w:pPr>
        <w:pStyle w:val="BodyText"/>
        <w:spacing w:line="300" w:lineRule="auto" w:before="19"/>
        <w:ind w:left="513" w:right="0"/>
        <w:jc w:val="left"/>
      </w:pPr>
      <w:r>
        <w:rPr/>
        <w:t>（</w:t>
      </w:r>
      <w:r>
        <w:rPr>
          <w:rFonts w:ascii="Times New Roman" w:hAnsi="Times New Roman" w:cs="Times New Roman" w:eastAsia="Times New Roman" w:hint="default"/>
        </w:rPr>
        <w:t>3</w:t>
      </w:r>
      <w:r>
        <w:rPr/>
        <w:t>）涉及本公司与本公司股东或实际控制人的股份支付交易的会计处理 </w:t>
      </w:r>
      <w:r>
        <w:rPr>
          <w:spacing w:val="-2"/>
        </w:rPr>
        <w:t>涉及本公司与本公司股东或实际控制人的股份支付交易，结算企业与接受服务企业中其一在本公司内，另一在本公司外</w:t>
      </w:r>
    </w:p>
    <w:p>
      <w:pPr>
        <w:pStyle w:val="BodyText"/>
        <w:spacing w:line="240" w:lineRule="auto" w:before="31"/>
        <w:ind w:right="0"/>
        <w:jc w:val="both"/>
      </w:pPr>
      <w:r>
        <w:rPr/>
        <w:t>的，在本公司合并财务报表中按照以下规定进行会计处理：</w:t>
      </w:r>
    </w:p>
    <w:p>
      <w:pPr>
        <w:pStyle w:val="BodyText"/>
        <w:spacing w:line="316" w:lineRule="auto" w:before="76"/>
        <w:ind w:left="154" w:right="1133" w:firstLine="360"/>
        <w:jc w:val="both"/>
      </w:pPr>
      <w:r>
        <w:rPr>
          <w:spacing w:val="-2"/>
        </w:rPr>
        <w:t>①结算企业以其本身权益工具结算的，将该股份支付交易作为权益结算的股份支付处理；除此之外，作为现金结算的股</w:t>
      </w:r>
      <w:r>
        <w:rPr/>
        <w:t> 份支付处理。</w:t>
      </w:r>
    </w:p>
    <w:p>
      <w:pPr>
        <w:pStyle w:val="BodyText"/>
        <w:spacing w:line="316" w:lineRule="auto" w:before="19"/>
        <w:ind w:left="154" w:right="1131" w:firstLine="360"/>
        <w:jc w:val="both"/>
      </w:pPr>
      <w:r>
        <w:rPr>
          <w:spacing w:val="-2"/>
        </w:rPr>
        <w:t>结算企业是接受服务企业的投资者的，按照授予日权益工具的公允价值或应承担负债的公允价值确认为对接受服务企业</w:t>
      </w:r>
      <w:r>
        <w:rPr/>
        <w:t> 的长期股权投资，同时确认资本公积（其他资本公积）或负债。</w:t>
      </w:r>
    </w:p>
    <w:p>
      <w:pPr>
        <w:pStyle w:val="BodyText"/>
        <w:spacing w:line="316" w:lineRule="auto" w:before="19"/>
        <w:ind w:left="154" w:right="1131" w:firstLine="360"/>
        <w:jc w:val="both"/>
      </w:pPr>
      <w:r>
        <w:rPr>
          <w:spacing w:val="-2"/>
        </w:rPr>
        <w:t>②接受服务企业没有结算义务或授予本企业职工的是其本身权益工具的，将该股份支付交易作为权益结算的股份支付处</w:t>
      </w:r>
      <w:r>
        <w:rPr/>
        <w:t> </w:t>
      </w:r>
      <w:r>
        <w:rPr>
          <w:spacing w:val="-2"/>
        </w:rPr>
        <w:t>理；接受服务企业具有结算义务且授予本企业职工的并非其本身权益工具的，将该股份支付交易作为现金结算的股份支付处</w:t>
      </w:r>
      <w:r>
        <w:rPr>
          <w:spacing w:val="-64"/>
        </w:rPr>
        <w:t> </w:t>
      </w:r>
      <w:r>
        <w:rPr>
          <w:spacing w:val="-64"/>
        </w:rPr>
      </w:r>
      <w:r>
        <w:rPr/>
        <w:t>理。</w:t>
      </w:r>
    </w:p>
    <w:p>
      <w:pPr>
        <w:pStyle w:val="BodyText"/>
        <w:spacing w:line="316" w:lineRule="auto" w:before="19"/>
        <w:ind w:left="154" w:right="1132" w:firstLine="360"/>
        <w:jc w:val="both"/>
      </w:pPr>
      <w:r>
        <w:rPr>
          <w:spacing w:val="-2"/>
        </w:rPr>
        <w:t>本公司内各企业之间发生的股份支付交易，接受服务企业和结算企业不是同一企业的，在接受服务企业和结算企业各自</w:t>
      </w:r>
      <w:r>
        <w:rPr/>
        <w:t> 的个别财务报表中对该股份支付交易的确认和计量，比照上述原则处理。</w:t>
      </w:r>
    </w:p>
    <w:p>
      <w:pPr>
        <w:spacing w:line="240" w:lineRule="auto" w:before="7"/>
        <w:rPr>
          <w:rFonts w:ascii="宋体" w:hAnsi="宋体" w:cs="宋体" w:eastAsia="宋体" w:hint="default"/>
          <w:sz w:val="22"/>
          <w:szCs w:val="22"/>
        </w:rPr>
      </w:pPr>
    </w:p>
    <w:p>
      <w:pPr>
        <w:pStyle w:val="Heading3"/>
        <w:spacing w:line="240" w:lineRule="auto"/>
        <w:ind w:left="153" w:right="0"/>
        <w:jc w:val="both"/>
        <w:rPr>
          <w:b w:val="0"/>
          <w:bCs w:val="0"/>
        </w:rPr>
      </w:pPr>
      <w:bookmarkStart w:name="27、优先股、永续债等其他金融工具" w:id="209"/>
      <w:bookmarkEnd w:id="209"/>
      <w:r>
        <w:rPr>
          <w:b w:val="0"/>
          <w:bCs w:val="0"/>
        </w:rPr>
      </w:r>
      <w:r>
        <w:rPr>
          <w:rFonts w:ascii="Times New Roman" w:hAnsi="Times New Roman" w:cs="Times New Roman" w:eastAsia="Times New Roman" w:hint="default"/>
        </w:rPr>
        <w:t>27</w:t>
      </w:r>
      <w:r>
        <w:rPr/>
        <w:t>、优先股、永续债等其他金融工具</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both"/>
      </w:pPr>
      <w:r>
        <w:rPr/>
        <w:t>不适用。</w:t>
      </w:r>
    </w:p>
    <w:p>
      <w:pPr>
        <w:spacing w:after="0" w:line="240" w:lineRule="auto"/>
        <w:jc w:val="both"/>
        <w:sectPr>
          <w:pgSz w:w="11910" w:h="16840"/>
          <w:pgMar w:header="747" w:footer="979"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5"/>
        <w:ind w:left="153" w:right="0"/>
        <w:jc w:val="left"/>
        <w:rPr>
          <w:b w:val="0"/>
          <w:bCs w:val="0"/>
        </w:rPr>
      </w:pPr>
      <w:bookmarkStart w:name="28、收入" w:id="210"/>
      <w:bookmarkEnd w:id="210"/>
      <w:r>
        <w:rPr>
          <w:b w:val="0"/>
          <w:bCs w:val="0"/>
        </w:rPr>
      </w:r>
      <w:r>
        <w:rPr>
          <w:rFonts w:ascii="Times New Roman" w:hAnsi="Times New Roman" w:cs="Times New Roman" w:eastAsia="Times New Roman" w:hint="default"/>
        </w:rPr>
        <w:t>28</w:t>
      </w:r>
      <w:r>
        <w:rPr/>
        <w:t>、收入</w:t>
      </w:r>
      <w:r>
        <w:rPr>
          <w:b w:val="0"/>
          <w:bCs w:val="0"/>
        </w:rPr>
      </w:r>
    </w:p>
    <w:p>
      <w:pPr>
        <w:spacing w:line="240" w:lineRule="auto" w:before="8"/>
        <w:rPr>
          <w:rFonts w:ascii="宋体" w:hAnsi="宋体" w:cs="宋体" w:eastAsia="宋体" w:hint="default"/>
          <w:b/>
          <w:bCs/>
          <w:sz w:val="26"/>
          <w:szCs w:val="26"/>
        </w:rPr>
      </w:pPr>
    </w:p>
    <w:p>
      <w:pPr>
        <w:pStyle w:val="BodyText"/>
        <w:spacing w:line="357" w:lineRule="auto"/>
        <w:ind w:left="154" w:right="7692"/>
        <w:jc w:val="left"/>
      </w:pPr>
      <w:r>
        <w:rPr/>
        <w:t>公司是否需要遵守特殊行业的披露要求 否</w:t>
      </w:r>
    </w:p>
    <w:p>
      <w:pPr>
        <w:pStyle w:val="BodyText"/>
        <w:spacing w:line="300" w:lineRule="auto" w:before="28"/>
        <w:ind w:left="514" w:right="0"/>
        <w:jc w:val="left"/>
      </w:pPr>
      <w:r>
        <w:rPr/>
        <w:t>（</w:t>
      </w:r>
      <w:r>
        <w:rPr>
          <w:rFonts w:ascii="Times New Roman" w:hAnsi="Times New Roman" w:cs="Times New Roman" w:eastAsia="Times New Roman" w:hint="default"/>
        </w:rPr>
        <w:t>1</w:t>
      </w:r>
      <w:r>
        <w:rPr/>
        <w:t>）商品销售收入 </w:t>
      </w:r>
      <w:r>
        <w:rPr>
          <w:spacing w:val="-2"/>
        </w:rPr>
        <w:t>在已将商品所有权上的主要风险和报酬转移给买方，既没有保留通常与所有权相联系的继续管理权，也没有对已售商品</w:t>
      </w:r>
    </w:p>
    <w:p>
      <w:pPr>
        <w:pStyle w:val="BodyText"/>
        <w:spacing w:line="316" w:lineRule="auto" w:before="31"/>
        <w:ind w:left="154" w:right="0"/>
        <w:jc w:val="left"/>
      </w:pPr>
      <w:r>
        <w:rPr>
          <w:spacing w:val="-2"/>
        </w:rPr>
        <w:t>实施有效控制，收入的金额能够可靠地计量，相关的经济利益很可能流入企业，相关的已发生或将发生的成本能够可靠地计</w:t>
      </w:r>
      <w:r>
        <w:rPr>
          <w:spacing w:val="-66"/>
        </w:rPr>
        <w:t> </w:t>
      </w:r>
      <w:r>
        <w:rPr>
          <w:spacing w:val="-66"/>
        </w:rPr>
      </w:r>
      <w:r>
        <w:rPr/>
        <w:t>量时，确认商品销售收入的实现。</w:t>
      </w:r>
    </w:p>
    <w:p>
      <w:pPr>
        <w:pStyle w:val="BodyText"/>
        <w:spacing w:line="316" w:lineRule="auto" w:before="19"/>
        <w:ind w:left="154" w:right="1131" w:firstLine="360"/>
        <w:jc w:val="both"/>
      </w:pPr>
      <w:r>
        <w:rPr>
          <w:spacing w:val="-2"/>
        </w:rPr>
        <w:t>境内销售：通常于取得客户验收单时点确认销售收入；境外销售：根据销售合同约定，在所有权的风险和报酬转移的时</w:t>
      </w:r>
      <w:r>
        <w:rPr/>
        <w:t> 点确认产品销售收入，通常于客户验收确认或完成出口报关手续，根据报关单据上记载的有效时点确认销售收入。</w:t>
      </w:r>
    </w:p>
    <w:p>
      <w:pPr>
        <w:pStyle w:val="BodyText"/>
        <w:spacing w:line="300" w:lineRule="auto" w:before="19"/>
        <w:ind w:left="514" w:right="0"/>
        <w:jc w:val="left"/>
      </w:pPr>
      <w:r>
        <w:rPr/>
        <w:t>（</w:t>
      </w:r>
      <w:r>
        <w:rPr>
          <w:rFonts w:ascii="Times New Roman" w:hAnsi="Times New Roman" w:cs="Times New Roman" w:eastAsia="Times New Roman" w:hint="default"/>
        </w:rPr>
        <w:t>2</w:t>
      </w:r>
      <w:r>
        <w:rPr/>
        <w:t>）提供劳务收入 </w:t>
      </w:r>
      <w:r>
        <w:rPr>
          <w:spacing w:val="-2"/>
        </w:rPr>
        <w:t>在提供劳务交易的结果能够可靠估计的情况下，于资产负债表日按照完工百分比法确认提供的劳务收入。劳务交易的完</w:t>
      </w:r>
    </w:p>
    <w:p>
      <w:pPr>
        <w:pStyle w:val="BodyText"/>
        <w:spacing w:line="316" w:lineRule="auto" w:before="31"/>
        <w:ind w:left="514" w:right="1032" w:hanging="360"/>
        <w:jc w:val="left"/>
      </w:pPr>
      <w:r>
        <w:rPr/>
        <w:t>工进度按已经发生的劳务成本占估计总成本的比例确定。 提供劳务交易的结果能够可靠估计是指同时满足：①收入的金额能够可靠地计量；②相关的经济利益很可能流入企业；</w:t>
      </w:r>
    </w:p>
    <w:p>
      <w:pPr>
        <w:pStyle w:val="BodyText"/>
        <w:spacing w:line="316" w:lineRule="auto" w:before="19"/>
        <w:ind w:left="513" w:right="0" w:hanging="360"/>
        <w:jc w:val="left"/>
      </w:pPr>
      <w:r>
        <w:rPr/>
        <w:t>③交易的完工程度能够可靠地确定；④交易中已发生和将发生的成本能够可靠地计量。 </w:t>
      </w:r>
      <w:r>
        <w:rPr>
          <w:spacing w:val="-2"/>
        </w:rPr>
        <w:t>如果提供劳务交易的结果不能够可靠估计，则按已经发生并预计能够得到补偿的劳务成本金额确认提供的劳务收入，并</w:t>
      </w:r>
    </w:p>
    <w:p>
      <w:pPr>
        <w:pStyle w:val="BodyText"/>
        <w:spacing w:line="316" w:lineRule="auto" w:before="19"/>
        <w:ind w:left="513" w:right="0" w:hanging="360"/>
        <w:jc w:val="left"/>
      </w:pPr>
      <w:r>
        <w:rPr/>
        <w:t>将已发生的劳务成本作为当期费用。已经发生的劳务成本如预计不能得到补偿的，则不确认收入。 </w:t>
      </w:r>
      <w:r>
        <w:rPr>
          <w:spacing w:val="-2"/>
        </w:rPr>
        <w:t>本公司与其他企业签订的合同或协议包括销售商品和提供劳务时，如销售商品部分和提供劳务部分能够区分并单独计量</w:t>
      </w:r>
    </w:p>
    <w:p>
      <w:pPr>
        <w:pStyle w:val="BodyText"/>
        <w:spacing w:line="316" w:lineRule="auto" w:before="19"/>
        <w:ind w:right="0"/>
        <w:jc w:val="left"/>
      </w:pPr>
      <w:r>
        <w:rPr>
          <w:spacing w:val="-2"/>
        </w:rPr>
        <w:t>的，将销售商品部分和提供劳务部分分别处理；如销售商品部分和提供劳务部分不能够区分，或虽能区分但不能够单独计量</w:t>
      </w:r>
      <w:r>
        <w:rPr>
          <w:spacing w:val="-66"/>
        </w:rPr>
        <w:t> </w:t>
      </w:r>
      <w:r>
        <w:rPr>
          <w:spacing w:val="-66"/>
        </w:rPr>
      </w:r>
      <w:r>
        <w:rPr/>
        <w:t>的，将该合同全部作为销售商品处理。</w:t>
      </w:r>
    </w:p>
    <w:p>
      <w:pPr>
        <w:pStyle w:val="BodyText"/>
        <w:spacing w:line="300" w:lineRule="auto" w:before="19"/>
        <w:ind w:left="514" w:right="0"/>
        <w:jc w:val="left"/>
      </w:pPr>
      <w:r>
        <w:rPr/>
        <w:t>（</w:t>
      </w:r>
      <w:r>
        <w:rPr>
          <w:rFonts w:ascii="Times New Roman" w:hAnsi="Times New Roman" w:cs="Times New Roman" w:eastAsia="Times New Roman" w:hint="default"/>
        </w:rPr>
        <w:t>3</w:t>
      </w:r>
      <w:r>
        <w:rPr/>
        <w:t>）建造合同收入 </w:t>
      </w:r>
      <w:r>
        <w:rPr>
          <w:spacing w:val="-2"/>
        </w:rPr>
        <w:t>在建造合同的结果能够可靠估计的情况下，于资产负债表日按照完工百分比法确认合同收入和合同费用。合同完工进度</w:t>
      </w:r>
    </w:p>
    <w:p>
      <w:pPr>
        <w:pStyle w:val="BodyText"/>
        <w:spacing w:line="316" w:lineRule="auto" w:before="32"/>
        <w:ind w:left="514" w:right="0" w:hanging="360"/>
        <w:jc w:val="left"/>
      </w:pPr>
      <w:r>
        <w:rPr/>
        <w:t>按累计实际发生的合同成本占合同预计总成本的比例确定。 </w:t>
      </w:r>
      <w:r>
        <w:rPr>
          <w:spacing w:val="-4"/>
        </w:rPr>
        <w:t>建造合同的结果能够可靠估计是指同时满足：①合同总收入能够可靠地计量；②与合同相关的经济利益很可能流入企业；</w:t>
      </w:r>
    </w:p>
    <w:p>
      <w:pPr>
        <w:pStyle w:val="BodyText"/>
        <w:spacing w:line="316" w:lineRule="auto" w:before="19"/>
        <w:ind w:left="513" w:right="0" w:hanging="360"/>
        <w:jc w:val="left"/>
      </w:pPr>
      <w:r>
        <w:rPr/>
        <w:t>③实际发生的合同成本能够清楚地区分和可靠地计量；④合同完工进度和为完成合同尚需发生的成本能够可靠地确定。 </w:t>
      </w:r>
      <w:r>
        <w:rPr>
          <w:spacing w:val="-2"/>
        </w:rPr>
        <w:t>如建造合同的结果不能可靠地估计，但合同成本能够收回的，合同收入根据能够收回的实际合同成本予以确认，合同成</w:t>
      </w:r>
    </w:p>
    <w:p>
      <w:pPr>
        <w:pStyle w:val="BodyText"/>
        <w:spacing w:line="316" w:lineRule="auto" w:before="19"/>
        <w:ind w:right="0"/>
        <w:jc w:val="left"/>
      </w:pPr>
      <w:r>
        <w:rPr>
          <w:spacing w:val="-2"/>
        </w:rPr>
        <w:t>本在其发生的当期确认为合同费用；合同成本不可能收回的，在发生时立即确认为合同费用，不确认合同收入。使建造合同</w:t>
      </w:r>
      <w:r>
        <w:rPr>
          <w:spacing w:val="-66"/>
        </w:rPr>
        <w:t> </w:t>
      </w:r>
      <w:r>
        <w:rPr>
          <w:spacing w:val="-66"/>
        </w:rPr>
      </w:r>
      <w:r>
        <w:rPr/>
        <w:t>的结果不能可靠估计的不确定因素不复存在的，按照完工百分比法确定与建造合同有关的收入和费用。</w:t>
      </w:r>
    </w:p>
    <w:p>
      <w:pPr>
        <w:pStyle w:val="BodyText"/>
        <w:spacing w:line="316" w:lineRule="auto" w:before="19"/>
        <w:ind w:left="513" w:right="0"/>
        <w:jc w:val="left"/>
      </w:pPr>
      <w:r>
        <w:rPr/>
        <w:t>合同预计总成本超过合同总收入的，将预计损失确认为当期费用。 </w:t>
      </w:r>
      <w:r>
        <w:rPr>
          <w:spacing w:val="-1"/>
        </w:rPr>
        <w:t>在建合同累计已发生的成本和累计已确认的毛利</w:t>
      </w:r>
      <w:r>
        <w:rPr>
          <w:rFonts w:ascii="Times New Roman" w:hAnsi="Times New Roman" w:cs="Times New Roman" w:eastAsia="Times New Roman" w:hint="default"/>
          <w:spacing w:val="-1"/>
        </w:rPr>
        <w:t>(</w:t>
      </w:r>
      <w:r>
        <w:rPr>
          <w:spacing w:val="-1"/>
        </w:rPr>
        <w:t>亏损</w:t>
      </w:r>
      <w:r>
        <w:rPr>
          <w:rFonts w:ascii="Times New Roman" w:hAnsi="Times New Roman" w:cs="Times New Roman" w:eastAsia="Times New Roman" w:hint="default"/>
          <w:spacing w:val="-1"/>
        </w:rPr>
        <w:t>)</w:t>
      </w:r>
      <w:r>
        <w:rPr>
          <w:spacing w:val="-1"/>
        </w:rPr>
        <w:t>与已结算的价款在资产负债表中以抵销后的净额列示。在建合同</w:t>
      </w:r>
    </w:p>
    <w:p>
      <w:pPr>
        <w:pStyle w:val="BodyText"/>
        <w:spacing w:line="300" w:lineRule="auto"/>
        <w:ind w:right="0"/>
        <w:jc w:val="left"/>
      </w:pPr>
      <w:r>
        <w:rPr>
          <w:spacing w:val="-1"/>
        </w:rPr>
        <w:t>累计已发生的成本和累计已确认的毛利</w:t>
      </w:r>
      <w:r>
        <w:rPr>
          <w:rFonts w:ascii="Times New Roman" w:hAnsi="Times New Roman" w:cs="Times New Roman" w:eastAsia="Times New Roman" w:hint="default"/>
          <w:spacing w:val="-1"/>
        </w:rPr>
        <w:t>(</w:t>
      </w:r>
      <w:r>
        <w:rPr>
          <w:spacing w:val="-1"/>
        </w:rPr>
        <w:t>亏损</w:t>
      </w:r>
      <w:r>
        <w:rPr>
          <w:rFonts w:ascii="Times New Roman" w:hAnsi="Times New Roman" w:cs="Times New Roman" w:eastAsia="Times New Roman" w:hint="default"/>
          <w:spacing w:val="-1"/>
        </w:rPr>
        <w:t>)</w:t>
      </w:r>
      <w:r>
        <w:rPr>
          <w:spacing w:val="-1"/>
        </w:rPr>
        <w:t>之和超过已结算价款的部分作为存货列示；在建合同已结算的价款超过累计已</w:t>
      </w:r>
      <w:r>
        <w:rPr>
          <w:spacing w:val="-57"/>
        </w:rPr>
        <w:t> </w:t>
      </w:r>
      <w:r>
        <w:rPr>
          <w:spacing w:val="-57"/>
        </w:rPr>
      </w:r>
      <w:r>
        <w:rPr/>
        <w:t>发生的成本与累计已确认的毛利</w:t>
      </w:r>
      <w:r>
        <w:rPr>
          <w:rFonts w:ascii="Times New Roman" w:hAnsi="Times New Roman" w:cs="Times New Roman" w:eastAsia="Times New Roman" w:hint="default"/>
        </w:rPr>
        <w:t>(</w:t>
      </w:r>
      <w:r>
        <w:rPr/>
        <w:t>亏损</w:t>
      </w:r>
      <w:r>
        <w:rPr>
          <w:rFonts w:ascii="Times New Roman" w:hAnsi="Times New Roman" w:cs="Times New Roman" w:eastAsia="Times New Roman" w:hint="default"/>
        </w:rPr>
        <w:t>)</w:t>
      </w:r>
      <w:r>
        <w:rPr/>
        <w:t>之和的部分作为预收款项列示。</w:t>
      </w:r>
    </w:p>
    <w:p>
      <w:pPr>
        <w:spacing w:line="240" w:lineRule="auto" w:before="1"/>
        <w:rPr>
          <w:rFonts w:ascii="宋体" w:hAnsi="宋体" w:cs="宋体" w:eastAsia="宋体" w:hint="default"/>
          <w:sz w:val="22"/>
          <w:szCs w:val="22"/>
        </w:rPr>
      </w:pPr>
    </w:p>
    <w:p>
      <w:pPr>
        <w:pStyle w:val="Heading3"/>
        <w:spacing w:line="240" w:lineRule="auto"/>
        <w:ind w:left="153" w:right="0"/>
        <w:jc w:val="left"/>
        <w:rPr>
          <w:b w:val="0"/>
          <w:bCs w:val="0"/>
        </w:rPr>
      </w:pPr>
      <w:bookmarkStart w:name="29、政府补助" w:id="211"/>
      <w:bookmarkEnd w:id="211"/>
      <w:r>
        <w:rPr>
          <w:b w:val="0"/>
          <w:bCs w:val="0"/>
        </w:rPr>
      </w:r>
      <w:r>
        <w:rPr>
          <w:rFonts w:ascii="Times New Roman" w:hAnsi="Times New Roman" w:cs="Times New Roman" w:eastAsia="Times New Roman" w:hint="default"/>
        </w:rPr>
        <w:t>29</w:t>
      </w:r>
      <w:r>
        <w:rPr/>
        <w:t>、政府补助</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与资产相关的政府补助判断依据及会计处理方法" w:id="212"/>
      <w:bookmarkEnd w:id="212"/>
      <w:r>
        <w:rPr>
          <w:b w:val="0"/>
          <w:bCs w:val="0"/>
        </w:rPr>
      </w:r>
      <w:r>
        <w:rPr/>
        <w:t>（</w:t>
      </w:r>
      <w:r>
        <w:rPr>
          <w:rFonts w:ascii="Times New Roman" w:hAnsi="Times New Roman" w:cs="Times New Roman" w:eastAsia="Times New Roman" w:hint="default"/>
        </w:rPr>
        <w:t>1</w:t>
      </w:r>
      <w:r>
        <w:rPr/>
        <w:t>）与资产相关的政府补助判断依据及会计处理方法</w:t>
      </w:r>
      <w:r>
        <w:rPr>
          <w:b w:val="0"/>
          <w:bCs w:val="0"/>
        </w:rPr>
      </w:r>
    </w:p>
    <w:p>
      <w:pPr>
        <w:spacing w:line="240" w:lineRule="auto" w:before="7"/>
        <w:rPr>
          <w:rFonts w:ascii="宋体" w:hAnsi="宋体" w:cs="宋体" w:eastAsia="宋体" w:hint="default"/>
          <w:b/>
          <w:bCs/>
          <w:sz w:val="26"/>
          <w:szCs w:val="26"/>
        </w:rPr>
      </w:pPr>
    </w:p>
    <w:p>
      <w:pPr>
        <w:pStyle w:val="BodyText"/>
        <w:spacing w:line="314" w:lineRule="auto"/>
        <w:ind w:left="154" w:right="1131" w:firstLine="360"/>
        <w:jc w:val="both"/>
      </w:pPr>
      <w:r>
        <w:rPr>
          <w:spacing w:val="-2"/>
        </w:rPr>
        <w:t>政府补助是指本公司从政府无偿取得货币性资产和非货币性资产，不包括政府作为所有者投入的资本。政府补助分为与</w:t>
      </w:r>
      <w:r>
        <w:rPr/>
        <w:t> </w:t>
      </w:r>
      <w:r>
        <w:rPr>
          <w:spacing w:val="-2"/>
        </w:rPr>
        <w:t>资产相关的政府补助和与收益相关的政府补助。本公司将所取得的用于购建或以其他方式形成长期资产的政府补助界定为与</w:t>
      </w:r>
      <w:r>
        <w:rPr>
          <w:spacing w:val="-64"/>
        </w:rPr>
        <w:t> </w:t>
      </w:r>
      <w:r>
        <w:rPr>
          <w:spacing w:val="-64"/>
        </w:rPr>
      </w:r>
      <w:r>
        <w:rPr>
          <w:spacing w:val="-2"/>
        </w:rPr>
        <w:t>资产相关的政府补助；其余政府补助界定为与收益相关的政府补助。若政府文件未明确规定补助对象，则采用以下方式将补</w:t>
      </w:r>
      <w:r>
        <w:rPr>
          <w:spacing w:val="-65"/>
        </w:rPr>
        <w:t> </w:t>
      </w:r>
      <w:r>
        <w:rPr>
          <w:spacing w:val="-65"/>
        </w:rPr>
      </w:r>
      <w:r>
        <w:rPr>
          <w:spacing w:val="-4"/>
        </w:rPr>
        <w:t>助款划分为与收益相关的政府补助和与资产相关的政府补助：（</w:t>
      </w:r>
      <w:r>
        <w:rPr>
          <w:rFonts w:ascii="Times New Roman" w:hAnsi="Times New Roman" w:cs="Times New Roman" w:eastAsia="Times New Roman" w:hint="default"/>
          <w:spacing w:val="-4"/>
        </w:rPr>
        <w:t>1</w:t>
      </w:r>
      <w:r>
        <w:rPr>
          <w:spacing w:val="-4"/>
        </w:rPr>
        <w:t>）政府文件明确了补助所针对的特定项目的，根据该特定项</w:t>
      </w:r>
      <w:r>
        <w:rPr>
          <w:spacing w:val="-44"/>
        </w:rPr>
        <w:t> </w:t>
      </w:r>
      <w:r>
        <w:rPr>
          <w:spacing w:val="-44"/>
        </w:rPr>
      </w:r>
      <w:r>
        <w:rPr>
          <w:spacing w:val="-2"/>
        </w:rPr>
        <w:t>目的预算中将形成资产的支出金额和计入费用的支出金额的相对比例进行划分，对该划分比例需在每个资产负债表日进行复</w:t>
      </w:r>
      <w:r>
        <w:rPr>
          <w:spacing w:val="-64"/>
        </w:rPr>
        <w:t> </w:t>
      </w:r>
      <w:r>
        <w:rPr>
          <w:spacing w:val="-64"/>
        </w:rPr>
      </w:r>
      <w:r>
        <w:rPr>
          <w:spacing w:val="-2"/>
        </w:rPr>
        <w:t>核，必要时进行变更；（</w:t>
      </w:r>
      <w:r>
        <w:rPr>
          <w:rFonts w:ascii="Times New Roman" w:hAnsi="Times New Roman" w:cs="Times New Roman" w:eastAsia="Times New Roman" w:hint="default"/>
          <w:spacing w:val="-2"/>
        </w:rPr>
        <w:t>2</w:t>
      </w:r>
      <w:r>
        <w:rPr>
          <w:spacing w:val="-2"/>
        </w:rPr>
        <w:t>）政府文件中对用途仅作一般性表述，没有指明特定项目的，作为与收益相关的政府补助。</w:t>
      </w:r>
    </w:p>
    <w:p>
      <w:pPr>
        <w:pStyle w:val="BodyText"/>
        <w:spacing w:line="240" w:lineRule="auto" w:before="1"/>
        <w:ind w:left="513" w:right="0"/>
        <w:jc w:val="left"/>
      </w:pPr>
      <w:r>
        <w:rPr/>
        <w:t>政府补助为货币性资产的，按照收到或应收的金额计量。政府补助为非货币性资产的，按照公允价值计量；公允价值不</w:t>
      </w:r>
    </w:p>
    <w:p>
      <w:pPr>
        <w:spacing w:after="0" w:line="240"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16" w:lineRule="auto" w:before="44"/>
        <w:ind w:left="513" w:right="0" w:hanging="360"/>
        <w:jc w:val="left"/>
      </w:pPr>
      <w:r>
        <w:rPr/>
        <w:t>能够可靠取得的，按照名义金额计量。按照名义金额计量的政府补助，直接计入当期损益。 </w:t>
      </w:r>
      <w:r>
        <w:rPr>
          <w:spacing w:val="-2"/>
        </w:rPr>
        <w:t>本公司对于政府补助通常在实际收到时，按照实收金额予以确认和计量。但对于期末有确凿证据表明能够符合财政扶持</w:t>
      </w:r>
    </w:p>
    <w:p>
      <w:pPr>
        <w:pStyle w:val="BodyText"/>
        <w:spacing w:line="240" w:lineRule="auto" w:before="19"/>
        <w:ind w:right="0"/>
        <w:jc w:val="left"/>
      </w:pPr>
      <w:r>
        <w:rPr/>
        <w:t>政策规定的相关条件预计能够收到财政扶持资金</w:t>
      </w:r>
      <w:r>
        <w:rPr>
          <w:spacing w:val="-87"/>
        </w:rPr>
        <w:t>，</w:t>
      </w:r>
      <w:r>
        <w:rPr/>
        <w:t>按照应收的金额计量</w:t>
      </w:r>
      <w:r>
        <w:rPr>
          <w:spacing w:val="-87"/>
        </w:rPr>
        <w:t>。</w:t>
      </w:r>
      <w:r>
        <w:rPr/>
        <w:t>按照应收金额计量的政府补助应同时符合以下条件：</w:t>
      </w:r>
    </w:p>
    <w:p>
      <w:pPr>
        <w:pStyle w:val="BodyText"/>
        <w:spacing w:line="304" w:lineRule="auto" w:before="76"/>
        <w:ind w:right="1027"/>
        <w:jc w:val="left"/>
      </w:pPr>
      <w:r>
        <w:rPr/>
        <w:t>（</w:t>
      </w:r>
      <w:r>
        <w:rPr>
          <w:rFonts w:ascii="Times New Roman" w:hAnsi="Times New Roman" w:cs="Times New Roman" w:eastAsia="Times New Roman" w:hint="default"/>
        </w:rPr>
        <w:t>1</w:t>
      </w:r>
      <w:r>
        <w:rPr>
          <w:spacing w:val="-87"/>
        </w:rPr>
        <w:t>）</w:t>
      </w:r>
      <w:r>
        <w:rPr/>
        <w:t>应收补助款的金额已经过有权政府部门发文确认</w:t>
      </w:r>
      <w:r>
        <w:rPr>
          <w:spacing w:val="-87"/>
        </w:rPr>
        <w:t>，</w:t>
      </w:r>
      <w:r>
        <w:rPr/>
        <w:t>或者可根据正式发布的财政资金管理办法的有关规定自行合理测算，</w:t>
      </w:r>
      <w:r>
        <w:rPr/>
        <w:t> 且预计其金额不存在重大不确定性</w:t>
      </w:r>
      <w:r>
        <w:rPr>
          <w:spacing w:val="-111"/>
        </w:rPr>
        <w:t>；</w:t>
      </w:r>
      <w:r>
        <w:rPr/>
        <w:t>（</w:t>
      </w:r>
      <w:r>
        <w:rPr>
          <w:rFonts w:ascii="Times New Roman" w:hAnsi="Times New Roman" w:cs="Times New Roman" w:eastAsia="Times New Roman" w:hint="default"/>
        </w:rPr>
        <w:t>2</w:t>
      </w:r>
      <w:r>
        <w:rPr>
          <w:spacing w:val="-21"/>
        </w:rPr>
        <w:t>）</w:t>
      </w:r>
      <w:r>
        <w:rPr/>
        <w:t>所依据的是当地财政部门正式发布并按</w:t>
      </w:r>
      <w:r>
        <w:rPr>
          <w:spacing w:val="-21"/>
        </w:rPr>
        <w:t>照</w:t>
      </w:r>
      <w:r>
        <w:rPr/>
        <w:t>《政府信息公开条例</w:t>
      </w:r>
      <w:r>
        <w:rPr>
          <w:spacing w:val="-21"/>
        </w:rPr>
        <w:t>》</w:t>
      </w:r>
      <w:r>
        <w:rPr/>
        <w:t>的规定予以主动公</w:t>
      </w:r>
      <w:r>
        <w:rPr/>
        <w:t> 开的财政扶</w:t>
      </w:r>
      <w:r>
        <w:rPr>
          <w:spacing w:val="1"/>
        </w:rPr>
        <w:t>持</w:t>
      </w:r>
      <w:r>
        <w:rPr/>
        <w:t>项目及其财</w:t>
      </w:r>
      <w:r>
        <w:rPr>
          <w:spacing w:val="1"/>
        </w:rPr>
        <w:t>政</w:t>
      </w:r>
      <w:r>
        <w:rPr/>
        <w:t>资金管理办</w:t>
      </w:r>
      <w:r>
        <w:rPr>
          <w:spacing w:val="1"/>
        </w:rPr>
        <w:t>法</w:t>
      </w:r>
      <w:r>
        <w:rPr/>
        <w:t>，且该管理</w:t>
      </w:r>
      <w:r>
        <w:rPr>
          <w:spacing w:val="1"/>
        </w:rPr>
        <w:t>办</w:t>
      </w:r>
      <w:r>
        <w:rPr/>
        <w:t>法应当是普</w:t>
      </w:r>
      <w:r>
        <w:rPr>
          <w:spacing w:val="1"/>
        </w:rPr>
        <w:t>惠</w:t>
      </w:r>
      <w:r>
        <w:rPr/>
        <w:t>性的（任何</w:t>
      </w:r>
      <w:r>
        <w:rPr>
          <w:spacing w:val="2"/>
        </w:rPr>
        <w:t>符</w:t>
      </w:r>
      <w:r>
        <w:rPr/>
        <w:t>合规定条件</w:t>
      </w:r>
      <w:r>
        <w:rPr>
          <w:spacing w:val="1"/>
        </w:rPr>
        <w:t>的</w:t>
      </w:r>
      <w:r>
        <w:rPr/>
        <w:t>企业均可申请</w:t>
      </w:r>
      <w:r>
        <w:rPr>
          <w:spacing w:val="-89"/>
        </w:rPr>
        <w:t>）</w:t>
      </w:r>
      <w:r>
        <w:rPr/>
        <w:t>，而不是专</w:t>
      </w:r>
      <w:r>
        <w:rPr/>
        <w:t> 门针对特定</w:t>
      </w:r>
      <w:r>
        <w:rPr>
          <w:spacing w:val="1"/>
        </w:rPr>
        <w:t>企</w:t>
      </w:r>
      <w:r>
        <w:rPr/>
        <w:t>业制定的</w:t>
      </w:r>
      <w:r>
        <w:rPr>
          <w:spacing w:val="-90"/>
        </w:rPr>
        <w:t>；</w:t>
      </w:r>
      <w:r>
        <w:rPr/>
        <w:t>（</w:t>
      </w:r>
      <w:r>
        <w:rPr>
          <w:rFonts w:ascii="Times New Roman" w:hAnsi="Times New Roman" w:cs="Times New Roman" w:eastAsia="Times New Roman" w:hint="default"/>
          <w:spacing w:val="1"/>
        </w:rPr>
        <w:t>3</w:t>
      </w:r>
      <w:r>
        <w:rPr/>
        <w:t>）相关的补</w:t>
      </w:r>
      <w:r>
        <w:rPr>
          <w:spacing w:val="1"/>
        </w:rPr>
        <w:t>助</w:t>
      </w:r>
      <w:r>
        <w:rPr/>
        <w:t>款批文中已</w:t>
      </w:r>
      <w:r>
        <w:rPr>
          <w:spacing w:val="1"/>
        </w:rPr>
        <w:t>明</w:t>
      </w:r>
      <w:r>
        <w:rPr/>
        <w:t>确承诺了拨</w:t>
      </w:r>
      <w:r>
        <w:rPr>
          <w:spacing w:val="1"/>
        </w:rPr>
        <w:t>付</w:t>
      </w:r>
      <w:r>
        <w:rPr/>
        <w:t>期限，且该</w:t>
      </w:r>
      <w:r>
        <w:rPr>
          <w:spacing w:val="1"/>
        </w:rPr>
        <w:t>款</w:t>
      </w:r>
      <w:r>
        <w:rPr/>
        <w:t>项的拨付是</w:t>
      </w:r>
      <w:r>
        <w:rPr>
          <w:spacing w:val="1"/>
        </w:rPr>
        <w:t>有</w:t>
      </w:r>
      <w:r>
        <w:rPr/>
        <w:t>相应财政预</w:t>
      </w:r>
      <w:r>
        <w:rPr>
          <w:spacing w:val="1"/>
        </w:rPr>
        <w:t>算</w:t>
      </w:r>
      <w:r>
        <w:rPr/>
        <w:t>作为保障</w:t>
      </w:r>
      <w:r>
        <w:rPr>
          <w:spacing w:val="-2"/>
        </w:rPr>
        <w:t>的</w:t>
      </w:r>
      <w:r>
        <w:rPr/>
        <w:t>，</w:t>
      </w:r>
      <w:r>
        <w:rPr/>
        <w:t> 因而可以合理保证其可在规定期限内收到</w:t>
      </w:r>
      <w:r>
        <w:rPr>
          <w:spacing w:val="-90"/>
        </w:rPr>
        <w:t>；</w:t>
      </w:r>
      <w:r>
        <w:rPr/>
        <w:t>（</w:t>
      </w:r>
      <w:r>
        <w:rPr>
          <w:rFonts w:ascii="Times New Roman" w:hAnsi="Times New Roman" w:cs="Times New Roman" w:eastAsia="Times New Roman" w:hint="default"/>
        </w:rPr>
        <w:t>4</w:t>
      </w:r>
      <w:r>
        <w:rPr/>
        <w:t>）根据本公司和该补助事项的具体情况，应满足的其他相关条件（如有</w:t>
      </w:r>
      <w:r>
        <w:rPr>
          <w:spacing w:val="-90"/>
        </w:rPr>
        <w:t>）</w:t>
      </w:r>
      <w:r>
        <w:rPr/>
        <w:t>。</w:t>
      </w:r>
    </w:p>
    <w:p>
      <w:pPr>
        <w:pStyle w:val="BodyText"/>
        <w:spacing w:line="316" w:lineRule="auto" w:before="9"/>
        <w:ind w:right="1043" w:firstLine="360"/>
        <w:jc w:val="both"/>
      </w:pPr>
      <w:r>
        <w:rPr>
          <w:spacing w:val="-2"/>
        </w:rPr>
        <w:t>与资产相关的政府补助，确认为递延收益，并在相关资产的使用寿命内平均分配计入当期损益。同时包含与资产相关部</w:t>
      </w:r>
      <w:r>
        <w:rPr/>
        <w:t> 分和与收益相关部分的政府补助，区分不同部分分别进行会计处理；难以区分的，将其整体归类为与收益相关的政府补助。</w:t>
      </w:r>
    </w:p>
    <w:p>
      <w:pPr>
        <w:pStyle w:val="BodyText"/>
        <w:spacing w:line="316" w:lineRule="auto" w:before="19"/>
        <w:ind w:left="154" w:right="1132" w:firstLine="360"/>
        <w:jc w:val="both"/>
      </w:pPr>
      <w:r>
        <w:rPr>
          <w:spacing w:val="-2"/>
        </w:rPr>
        <w:t>与本公司日常活动相关的政府补助，按照经济业务的实质，计入其他收益或冲减相关成本费用；与日常活动无关的政府</w:t>
      </w:r>
      <w:r>
        <w:rPr/>
        <w:t> 补助，计入营业外收支。</w:t>
      </w:r>
    </w:p>
    <w:p>
      <w:pPr>
        <w:pStyle w:val="BodyText"/>
        <w:spacing w:line="316" w:lineRule="auto" w:before="19"/>
        <w:ind w:left="154" w:right="1131" w:firstLine="360"/>
        <w:jc w:val="both"/>
      </w:pPr>
      <w:r>
        <w:rPr>
          <w:spacing w:val="-2"/>
        </w:rPr>
        <w:t>已确认的政府补助需要返还时，存在相关递延收益余额的，冲减相关递延收益账面余额，超出部分计入当期损益；不存</w:t>
      </w:r>
      <w:r>
        <w:rPr/>
        <w:t> 在相关递延收益的，直接计入当期损益。</w:t>
      </w:r>
    </w:p>
    <w:p>
      <w:pPr>
        <w:spacing w:line="240" w:lineRule="auto" w:before="7"/>
        <w:rPr>
          <w:rFonts w:ascii="宋体" w:hAnsi="宋体" w:cs="宋体" w:eastAsia="宋体" w:hint="default"/>
          <w:sz w:val="22"/>
          <w:szCs w:val="22"/>
        </w:rPr>
      </w:pPr>
    </w:p>
    <w:p>
      <w:pPr>
        <w:pStyle w:val="Heading3"/>
        <w:spacing w:line="240" w:lineRule="auto"/>
        <w:ind w:right="0"/>
        <w:jc w:val="left"/>
        <w:rPr>
          <w:b w:val="0"/>
          <w:bCs w:val="0"/>
        </w:rPr>
      </w:pPr>
      <w:bookmarkStart w:name="（2）与收益相关的政府补助判断依据及会计处理方法" w:id="213"/>
      <w:bookmarkEnd w:id="213"/>
      <w:r>
        <w:rPr>
          <w:b w:val="0"/>
          <w:bCs w:val="0"/>
        </w:rPr>
      </w:r>
      <w:r>
        <w:rPr/>
        <w:t>（</w:t>
      </w:r>
      <w:r>
        <w:rPr>
          <w:rFonts w:ascii="Times New Roman" w:hAnsi="Times New Roman" w:cs="Times New Roman" w:eastAsia="Times New Roman" w:hint="default"/>
        </w:rPr>
        <w:t>2</w:t>
      </w:r>
      <w:r>
        <w:rPr/>
        <w:t>）与收益相关的政府补助判断依据及会计处理方法</w:t>
      </w:r>
      <w:r>
        <w:rPr>
          <w:b w:val="0"/>
          <w:bCs w:val="0"/>
        </w:rPr>
      </w:r>
    </w:p>
    <w:p>
      <w:pPr>
        <w:spacing w:line="240" w:lineRule="auto" w:before="7"/>
        <w:rPr>
          <w:rFonts w:ascii="宋体" w:hAnsi="宋体" w:cs="宋体" w:eastAsia="宋体" w:hint="default"/>
          <w:b/>
          <w:bCs/>
          <w:sz w:val="26"/>
          <w:szCs w:val="26"/>
        </w:rPr>
      </w:pPr>
    </w:p>
    <w:p>
      <w:pPr>
        <w:pStyle w:val="BodyText"/>
        <w:spacing w:line="314" w:lineRule="auto"/>
        <w:ind w:left="154" w:right="1131" w:firstLine="360"/>
        <w:jc w:val="both"/>
      </w:pPr>
      <w:r>
        <w:rPr>
          <w:spacing w:val="-2"/>
        </w:rPr>
        <w:t>政府补助是指本公司从政府无偿取得货币性资产和非货币性资产，不包括政府作为所有者投入的资本。政府补助分为与</w:t>
      </w:r>
      <w:r>
        <w:rPr/>
        <w:t> </w:t>
      </w:r>
      <w:r>
        <w:rPr>
          <w:spacing w:val="-2"/>
        </w:rPr>
        <w:t>资产相关的政府补助和与收益相关的政府补助。本公司将所取得的用于购建或以其他方式形成长期资产的政府补助界定为与</w:t>
      </w:r>
      <w:r>
        <w:rPr>
          <w:spacing w:val="-64"/>
        </w:rPr>
        <w:t> </w:t>
      </w:r>
      <w:r>
        <w:rPr>
          <w:spacing w:val="-64"/>
        </w:rPr>
      </w:r>
      <w:r>
        <w:rPr>
          <w:spacing w:val="-2"/>
        </w:rPr>
        <w:t>资产相关的政府补助；其余政府补助界定为与收益相关的政府补助。若政府文件未明确规定补助对象，则采用以下方式将补</w:t>
      </w:r>
      <w:r>
        <w:rPr>
          <w:spacing w:val="-66"/>
        </w:rPr>
        <w:t> </w:t>
      </w:r>
      <w:r>
        <w:rPr>
          <w:spacing w:val="-66"/>
        </w:rPr>
      </w:r>
      <w:r>
        <w:rPr>
          <w:spacing w:val="-4"/>
        </w:rPr>
        <w:t>助款划分为与收益相关的政府补助和与资产相关的政府补助：（</w:t>
      </w:r>
      <w:r>
        <w:rPr>
          <w:rFonts w:ascii="Times New Roman" w:hAnsi="Times New Roman" w:cs="Times New Roman" w:eastAsia="Times New Roman" w:hint="default"/>
          <w:spacing w:val="-4"/>
        </w:rPr>
        <w:t>1</w:t>
      </w:r>
      <w:r>
        <w:rPr>
          <w:spacing w:val="-4"/>
        </w:rPr>
        <w:t>）政府文件明确了补助所针对的特定项目的，根据该特定项</w:t>
      </w:r>
      <w:r>
        <w:rPr>
          <w:spacing w:val="-44"/>
        </w:rPr>
        <w:t> </w:t>
      </w:r>
      <w:r>
        <w:rPr>
          <w:spacing w:val="-44"/>
        </w:rPr>
      </w:r>
      <w:r>
        <w:rPr>
          <w:spacing w:val="-2"/>
        </w:rPr>
        <w:t>目的预算中将形成资产的支出金额和计入费用的支出金额的相对比例进行划分，对该划分比例需在每个资产负债表日进行复</w:t>
      </w:r>
      <w:r>
        <w:rPr>
          <w:spacing w:val="-64"/>
        </w:rPr>
        <w:t> </w:t>
      </w:r>
      <w:r>
        <w:rPr>
          <w:spacing w:val="-64"/>
        </w:rPr>
      </w:r>
      <w:r>
        <w:rPr>
          <w:spacing w:val="-2"/>
        </w:rPr>
        <w:t>核，必要时进行变更；（</w:t>
      </w:r>
      <w:r>
        <w:rPr>
          <w:rFonts w:ascii="Times New Roman" w:hAnsi="Times New Roman" w:cs="Times New Roman" w:eastAsia="Times New Roman" w:hint="default"/>
          <w:spacing w:val="-2"/>
        </w:rPr>
        <w:t>2</w:t>
      </w:r>
      <w:r>
        <w:rPr>
          <w:spacing w:val="-2"/>
        </w:rPr>
        <w:t>）政府文件中对用途仅作一般性表述，没有指明特定项目的，作为与收益相关的政府补助。</w:t>
      </w:r>
    </w:p>
    <w:p>
      <w:pPr>
        <w:pStyle w:val="BodyText"/>
        <w:spacing w:line="316" w:lineRule="auto" w:before="1"/>
        <w:ind w:right="1130" w:firstLine="360"/>
        <w:jc w:val="both"/>
      </w:pPr>
      <w:r>
        <w:rPr>
          <w:spacing w:val="-2"/>
        </w:rPr>
        <w:t>政府补助为货币性资产的，按照收到或应收的金额计量。政府补助为非货币性资产的，按照公允价值计量；公允价值不</w:t>
      </w:r>
      <w:r>
        <w:rPr/>
        <w:t> 能够可靠取得的，按照名义金额计量。按照名义金额计量的政府补助，直接计入当期损益。</w:t>
      </w:r>
    </w:p>
    <w:p>
      <w:pPr>
        <w:pStyle w:val="BodyText"/>
        <w:spacing w:line="316" w:lineRule="auto" w:before="19"/>
        <w:ind w:right="1043" w:firstLine="360"/>
        <w:jc w:val="both"/>
      </w:pPr>
      <w:r>
        <w:rPr>
          <w:spacing w:val="-2"/>
        </w:rPr>
        <w:t>本公司对于政府补助通常在实际收到时，按照实收金额予以确认和计量。但对于期末有确凿证据表明能够符合财政扶持</w:t>
      </w:r>
      <w:r>
        <w:rPr/>
        <w:t> </w:t>
      </w:r>
      <w:r>
        <w:rPr>
          <w:spacing w:val="-4"/>
        </w:rPr>
        <w:t>政策规定的相关条件预计能够收到财政扶持资金，按照应收的金额计量。按照应收金额计量的政府补助应同时符合以下条件：</w:t>
      </w:r>
    </w:p>
    <w:p>
      <w:pPr>
        <w:pStyle w:val="BodyText"/>
        <w:spacing w:line="304" w:lineRule="auto" w:before="19"/>
        <w:ind w:right="1027"/>
        <w:jc w:val="left"/>
      </w:pPr>
      <w:r>
        <w:rPr/>
        <w:t>（</w:t>
      </w:r>
      <w:r>
        <w:rPr>
          <w:rFonts w:ascii="Times New Roman" w:hAnsi="Times New Roman" w:cs="Times New Roman" w:eastAsia="Times New Roman" w:hint="default"/>
        </w:rPr>
        <w:t>1</w:t>
      </w:r>
      <w:r>
        <w:rPr>
          <w:spacing w:val="-87"/>
        </w:rPr>
        <w:t>）</w:t>
      </w:r>
      <w:r>
        <w:rPr/>
        <w:t>应收补助款的金额已经过有权政府部门发文确认</w:t>
      </w:r>
      <w:r>
        <w:rPr>
          <w:spacing w:val="-87"/>
        </w:rPr>
        <w:t>，</w:t>
      </w:r>
      <w:r>
        <w:rPr/>
        <w:t>或者可根据正式发布的财政资金管理办法的有关规定自行合理测算，</w:t>
      </w:r>
      <w:r>
        <w:rPr/>
        <w:t> 且预计其金额不存在重大不确定性</w:t>
      </w:r>
      <w:r>
        <w:rPr>
          <w:spacing w:val="-111"/>
        </w:rPr>
        <w:t>；</w:t>
      </w:r>
      <w:r>
        <w:rPr/>
        <w:t>（</w:t>
      </w:r>
      <w:r>
        <w:rPr>
          <w:rFonts w:ascii="Times New Roman" w:hAnsi="Times New Roman" w:cs="Times New Roman" w:eastAsia="Times New Roman" w:hint="default"/>
        </w:rPr>
        <w:t>2</w:t>
      </w:r>
      <w:r>
        <w:rPr>
          <w:spacing w:val="-21"/>
        </w:rPr>
        <w:t>）</w:t>
      </w:r>
      <w:r>
        <w:rPr/>
        <w:t>所依据的是当地财政部门正式发布并按</w:t>
      </w:r>
      <w:r>
        <w:rPr>
          <w:spacing w:val="-21"/>
        </w:rPr>
        <w:t>照</w:t>
      </w:r>
      <w:r>
        <w:rPr/>
        <w:t>《政府信息公开条例</w:t>
      </w:r>
      <w:r>
        <w:rPr>
          <w:spacing w:val="-21"/>
        </w:rPr>
        <w:t>》</w:t>
      </w:r>
      <w:r>
        <w:rPr/>
        <w:t>的规定予以主动公</w:t>
      </w:r>
      <w:r>
        <w:rPr/>
        <w:t> 开的财政扶</w:t>
      </w:r>
      <w:r>
        <w:rPr>
          <w:spacing w:val="1"/>
        </w:rPr>
        <w:t>持</w:t>
      </w:r>
      <w:r>
        <w:rPr/>
        <w:t>项目及其财</w:t>
      </w:r>
      <w:r>
        <w:rPr>
          <w:spacing w:val="1"/>
        </w:rPr>
        <w:t>政</w:t>
      </w:r>
      <w:r>
        <w:rPr/>
        <w:t>资金管理办</w:t>
      </w:r>
      <w:r>
        <w:rPr>
          <w:spacing w:val="1"/>
        </w:rPr>
        <w:t>法</w:t>
      </w:r>
      <w:r>
        <w:rPr/>
        <w:t>，且该管理</w:t>
      </w:r>
      <w:r>
        <w:rPr>
          <w:spacing w:val="1"/>
        </w:rPr>
        <w:t>办</w:t>
      </w:r>
      <w:r>
        <w:rPr/>
        <w:t>法应当是普</w:t>
      </w:r>
      <w:r>
        <w:rPr>
          <w:spacing w:val="1"/>
        </w:rPr>
        <w:t>惠</w:t>
      </w:r>
      <w:r>
        <w:rPr/>
        <w:t>性的（任何</w:t>
      </w:r>
      <w:r>
        <w:rPr>
          <w:spacing w:val="1"/>
        </w:rPr>
        <w:t>符</w:t>
      </w:r>
      <w:r>
        <w:rPr/>
        <w:t>合规定条件</w:t>
      </w:r>
      <w:r>
        <w:rPr>
          <w:spacing w:val="1"/>
        </w:rPr>
        <w:t>的</w:t>
      </w:r>
      <w:r>
        <w:rPr/>
        <w:t>企业均可申请</w:t>
      </w:r>
      <w:r>
        <w:rPr>
          <w:spacing w:val="-89"/>
        </w:rPr>
        <w:t>）</w:t>
      </w:r>
      <w:r>
        <w:rPr/>
        <w:t>，而不是专</w:t>
      </w:r>
      <w:r>
        <w:rPr/>
        <w:t> 门针对特定</w:t>
      </w:r>
      <w:r>
        <w:rPr>
          <w:spacing w:val="1"/>
        </w:rPr>
        <w:t>企</w:t>
      </w:r>
      <w:r>
        <w:rPr/>
        <w:t>业制定的</w:t>
      </w:r>
      <w:r>
        <w:rPr>
          <w:spacing w:val="-90"/>
        </w:rPr>
        <w:t>；</w:t>
      </w:r>
      <w:r>
        <w:rPr/>
        <w:t>（</w:t>
      </w:r>
      <w:r>
        <w:rPr>
          <w:rFonts w:ascii="Times New Roman" w:hAnsi="Times New Roman" w:cs="Times New Roman" w:eastAsia="Times New Roman" w:hint="default"/>
          <w:spacing w:val="1"/>
        </w:rPr>
        <w:t>3</w:t>
      </w:r>
      <w:r>
        <w:rPr/>
        <w:t>）相关的补</w:t>
      </w:r>
      <w:r>
        <w:rPr>
          <w:spacing w:val="1"/>
        </w:rPr>
        <w:t>助</w:t>
      </w:r>
      <w:r>
        <w:rPr/>
        <w:t>款批文中已</w:t>
      </w:r>
      <w:r>
        <w:rPr>
          <w:spacing w:val="1"/>
        </w:rPr>
        <w:t>明</w:t>
      </w:r>
      <w:r>
        <w:rPr/>
        <w:t>确承诺了拨</w:t>
      </w:r>
      <w:r>
        <w:rPr>
          <w:spacing w:val="1"/>
        </w:rPr>
        <w:t>付</w:t>
      </w:r>
      <w:r>
        <w:rPr/>
        <w:t>期限，且该</w:t>
      </w:r>
      <w:r>
        <w:rPr>
          <w:spacing w:val="1"/>
        </w:rPr>
        <w:t>款</w:t>
      </w:r>
      <w:r>
        <w:rPr/>
        <w:t>项的拨付是</w:t>
      </w:r>
      <w:r>
        <w:rPr>
          <w:spacing w:val="1"/>
        </w:rPr>
        <w:t>有</w:t>
      </w:r>
      <w:r>
        <w:rPr/>
        <w:t>相应财政预</w:t>
      </w:r>
      <w:r>
        <w:rPr>
          <w:spacing w:val="1"/>
        </w:rPr>
        <w:t>算</w:t>
      </w:r>
      <w:r>
        <w:rPr/>
        <w:t>作为保障</w:t>
      </w:r>
      <w:r>
        <w:rPr>
          <w:spacing w:val="-2"/>
        </w:rPr>
        <w:t>的</w:t>
      </w:r>
      <w:r>
        <w:rPr/>
        <w:t>，</w:t>
      </w:r>
      <w:r>
        <w:rPr/>
        <w:t> 因而可以合理保证其可在规定期限内收到</w:t>
      </w:r>
      <w:r>
        <w:rPr>
          <w:spacing w:val="-90"/>
        </w:rPr>
        <w:t>；</w:t>
      </w:r>
      <w:r>
        <w:rPr/>
        <w:t>（</w:t>
      </w:r>
      <w:r>
        <w:rPr>
          <w:rFonts w:ascii="Times New Roman" w:hAnsi="Times New Roman" w:cs="Times New Roman" w:eastAsia="Times New Roman" w:hint="default"/>
        </w:rPr>
        <w:t>4</w:t>
      </w:r>
      <w:r>
        <w:rPr/>
        <w:t>）根据本公司和该补助事项的具体情况，应满足的其他相关条件（如有</w:t>
      </w:r>
      <w:r>
        <w:rPr>
          <w:spacing w:val="-90"/>
        </w:rPr>
        <w:t>）</w:t>
      </w:r>
      <w:r>
        <w:rPr/>
        <w:t>。</w:t>
      </w:r>
    </w:p>
    <w:p>
      <w:pPr>
        <w:pStyle w:val="BodyText"/>
        <w:spacing w:line="316" w:lineRule="auto" w:before="9"/>
        <w:ind w:right="1133" w:firstLine="360"/>
        <w:jc w:val="both"/>
      </w:pPr>
      <w:r>
        <w:rPr>
          <w:spacing w:val="-2"/>
        </w:rPr>
        <w:t>与收益相关的政府补助，用于补偿以后期间的相关费用和损失的，确认为递延收益，并在确认相关费用的期间计入当期</w:t>
      </w:r>
      <w:r>
        <w:rPr/>
        <w:t> 损益；用于补偿已经发生的相关费用和损失的，直接计入当期损益。</w:t>
      </w:r>
    </w:p>
    <w:p>
      <w:pPr>
        <w:pStyle w:val="BodyText"/>
        <w:spacing w:line="316" w:lineRule="auto" w:before="19"/>
        <w:ind w:left="154" w:right="1132" w:firstLine="360"/>
        <w:jc w:val="both"/>
      </w:pPr>
      <w:r>
        <w:rPr>
          <w:spacing w:val="-2"/>
        </w:rPr>
        <w:t>同时包含与资产相关部分和与收益相关部分的政府补助，区分不同部分分别进行会计处理；难以区分的，将其整体归类</w:t>
      </w:r>
      <w:r>
        <w:rPr/>
        <w:t> 为与收益相关的政府补助。</w:t>
      </w:r>
    </w:p>
    <w:p>
      <w:pPr>
        <w:pStyle w:val="BodyText"/>
        <w:spacing w:line="316" w:lineRule="auto" w:before="19"/>
        <w:ind w:left="154" w:right="1133" w:firstLine="360"/>
        <w:jc w:val="both"/>
      </w:pPr>
      <w:r>
        <w:rPr>
          <w:spacing w:val="-2"/>
        </w:rPr>
        <w:t>与本公司日常活动相关的政府补助，按照经济业务的实质，计入其他收益或冲减相关成本费用；与日常活动无关的政府</w:t>
      </w:r>
      <w:r>
        <w:rPr/>
        <w:t> 补助，计入营业外收支。</w:t>
      </w:r>
    </w:p>
    <w:p>
      <w:pPr>
        <w:pStyle w:val="BodyText"/>
        <w:spacing w:line="316" w:lineRule="auto" w:before="19"/>
        <w:ind w:left="154" w:right="1131" w:firstLine="360"/>
        <w:jc w:val="both"/>
      </w:pPr>
      <w:r>
        <w:rPr>
          <w:spacing w:val="-2"/>
        </w:rPr>
        <w:t>已确认的政府补助需要返还时，存在相关递延收益余额的，冲减相关递延收益账面余额，超出部分计入当期损益；不存</w:t>
      </w:r>
      <w:r>
        <w:rPr/>
        <w:t> 在相关递延收益的，直接计入当期损益。</w:t>
      </w:r>
    </w:p>
    <w:p>
      <w:pPr>
        <w:spacing w:line="240" w:lineRule="auto" w:before="7"/>
        <w:rPr>
          <w:rFonts w:ascii="宋体" w:hAnsi="宋体" w:cs="宋体" w:eastAsia="宋体" w:hint="default"/>
          <w:sz w:val="22"/>
          <w:szCs w:val="22"/>
        </w:rPr>
      </w:pPr>
    </w:p>
    <w:p>
      <w:pPr>
        <w:pStyle w:val="Heading3"/>
        <w:spacing w:line="240" w:lineRule="auto"/>
        <w:ind w:right="0"/>
        <w:jc w:val="left"/>
        <w:rPr>
          <w:b w:val="0"/>
          <w:bCs w:val="0"/>
        </w:rPr>
      </w:pPr>
      <w:bookmarkStart w:name="30、递延所得税资产/递延所得税负债" w:id="214"/>
      <w:bookmarkEnd w:id="214"/>
      <w:r>
        <w:rPr>
          <w:b w:val="0"/>
          <w:bCs w:val="0"/>
        </w:rPr>
      </w:r>
      <w:r>
        <w:rPr>
          <w:rFonts w:ascii="Times New Roman" w:hAnsi="Times New Roman" w:cs="Times New Roman" w:eastAsia="Times New Roman" w:hint="default"/>
        </w:rPr>
        <w:t>30</w:t>
      </w:r>
      <w:r>
        <w:rPr/>
        <w:t>、递延所得税资产</w:t>
      </w:r>
      <w:r>
        <w:rPr>
          <w:rFonts w:ascii="Times New Roman" w:hAnsi="Times New Roman" w:cs="Times New Roman" w:eastAsia="Times New Roman" w:hint="default"/>
        </w:rPr>
        <w:t>/</w:t>
      </w:r>
      <w:r>
        <w:rPr/>
        <w:t>递延所得税负债</w:t>
      </w:r>
      <w:r>
        <w:rPr>
          <w:b w:val="0"/>
          <w:bCs w:val="0"/>
        </w:rPr>
      </w:r>
    </w:p>
    <w:p>
      <w:pPr>
        <w:spacing w:line="240" w:lineRule="auto" w:before="7"/>
        <w:rPr>
          <w:rFonts w:ascii="宋体" w:hAnsi="宋体" w:cs="宋体" w:eastAsia="宋体" w:hint="default"/>
          <w:b/>
          <w:bCs/>
          <w:sz w:val="26"/>
          <w:szCs w:val="26"/>
        </w:rPr>
      </w:pPr>
    </w:p>
    <w:p>
      <w:pPr>
        <w:pStyle w:val="BodyText"/>
        <w:spacing w:line="300" w:lineRule="auto"/>
        <w:ind w:left="514" w:right="0"/>
        <w:jc w:val="left"/>
      </w:pPr>
      <w:r>
        <w:rPr/>
        <w:t>（</w:t>
      </w:r>
      <w:r>
        <w:rPr>
          <w:rFonts w:ascii="Times New Roman" w:hAnsi="Times New Roman" w:cs="Times New Roman" w:eastAsia="Times New Roman" w:hint="default"/>
        </w:rPr>
        <w:t>1</w:t>
      </w:r>
      <w:r>
        <w:rPr/>
        <w:t>）当期所得税 </w:t>
      </w:r>
      <w:r>
        <w:rPr>
          <w:spacing w:val="-2"/>
        </w:rPr>
        <w:t>资产负债表日，对于当期和以前期间形成的当期所得税负债（或资产），以按照税法规定计算的预期应交纳（或返还）</w:t>
      </w:r>
    </w:p>
    <w:p>
      <w:pPr>
        <w:spacing w:after="0" w:line="300"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16" w:lineRule="auto" w:before="44"/>
        <w:ind w:right="1131"/>
        <w:jc w:val="both"/>
      </w:pPr>
      <w:r>
        <w:rPr>
          <w:spacing w:val="-2"/>
        </w:rPr>
        <w:t>的所得税金额计量。计算当期所得税费用所依据的应纳税所得额系根据有关税法规定对本报告期税前会计利润作相应调整后</w:t>
      </w:r>
      <w:r>
        <w:rPr>
          <w:spacing w:val="-64"/>
        </w:rPr>
        <w:t> </w:t>
      </w:r>
      <w:r>
        <w:rPr>
          <w:spacing w:val="-64"/>
        </w:rPr>
      </w:r>
      <w:r>
        <w:rPr/>
        <w:t>计算得出。</w:t>
      </w:r>
    </w:p>
    <w:p>
      <w:pPr>
        <w:pStyle w:val="BodyText"/>
        <w:spacing w:line="300" w:lineRule="auto" w:before="19"/>
        <w:ind w:left="513" w:right="0"/>
        <w:jc w:val="left"/>
      </w:pPr>
      <w:r>
        <w:rPr/>
        <w:t>（</w:t>
      </w:r>
      <w:r>
        <w:rPr>
          <w:rFonts w:ascii="Times New Roman" w:hAnsi="Times New Roman" w:cs="Times New Roman" w:eastAsia="Times New Roman" w:hint="default"/>
        </w:rPr>
        <w:t>2</w:t>
      </w:r>
      <w:r>
        <w:rPr/>
        <w:t>）递延所得税资产及递延所得税负债 </w:t>
      </w:r>
      <w:r>
        <w:rPr>
          <w:spacing w:val="-2"/>
        </w:rPr>
        <w:t>某些资产、负债项目的账面价值与其计税基础之间的差额，以及未作为资产和负债确认但按照税法规定可以确定其计税</w:t>
      </w:r>
    </w:p>
    <w:p>
      <w:pPr>
        <w:pStyle w:val="BodyText"/>
        <w:spacing w:line="316" w:lineRule="auto" w:before="32"/>
        <w:ind w:right="1131"/>
        <w:jc w:val="both"/>
      </w:pPr>
      <w:r>
        <w:rPr>
          <w:spacing w:val="-2"/>
        </w:rPr>
        <w:t>基础的项目的账面价值与计税基础之间的差额产生的暂时性差异，采用资产负债表债务法确认递延所得税资产及递延所得税</w:t>
      </w:r>
      <w:r>
        <w:rPr>
          <w:spacing w:val="-64"/>
        </w:rPr>
        <w:t> </w:t>
      </w:r>
      <w:r>
        <w:rPr>
          <w:spacing w:val="-64"/>
        </w:rPr>
      </w:r>
      <w:r>
        <w:rPr/>
        <w:t>负债。</w:t>
      </w:r>
    </w:p>
    <w:p>
      <w:pPr>
        <w:pStyle w:val="BodyText"/>
        <w:spacing w:line="316" w:lineRule="auto" w:before="19"/>
        <w:ind w:right="1131" w:firstLine="360"/>
        <w:jc w:val="both"/>
      </w:pPr>
      <w:r>
        <w:rPr>
          <w:spacing w:val="-2"/>
        </w:rPr>
        <w:t>与商誉的初始确认有关，以及与既不是企业合并、发生时也不影响会计利润和应纳税所得额（或可抵扣亏损）的交易中</w:t>
      </w:r>
      <w:r>
        <w:rPr/>
        <w:t> </w:t>
      </w:r>
      <w:r>
        <w:rPr>
          <w:spacing w:val="-2"/>
        </w:rPr>
        <w:t>产生的资产或负债的初始确认有关的应纳税暂时性差异，不予确认有关的递延所得税负债。此外，对与子公司、联营企业及</w:t>
      </w:r>
      <w:r>
        <w:rPr>
          <w:spacing w:val="-66"/>
        </w:rPr>
        <w:t> </w:t>
      </w:r>
      <w:r>
        <w:rPr>
          <w:spacing w:val="-66"/>
        </w:rPr>
      </w:r>
      <w:r>
        <w:rPr>
          <w:spacing w:val="-2"/>
        </w:rPr>
        <w:t>合营企业投资相关的应纳税暂时性差异，如果本公司能够控制暂时性差异转回的时间，而且该暂时性差异在可预见的未来很</w:t>
      </w:r>
      <w:r>
        <w:rPr>
          <w:spacing w:val="-64"/>
        </w:rPr>
        <w:t> </w:t>
      </w:r>
      <w:r>
        <w:rPr>
          <w:spacing w:val="-64"/>
        </w:rPr>
      </w:r>
      <w:r>
        <w:rPr>
          <w:spacing w:val="-2"/>
        </w:rPr>
        <w:t>可能不会转回，也不予确认有关的递延所得税负债。除上述例外情况，本公司确认其他所有应纳税暂时性差异产生的递延所</w:t>
      </w:r>
      <w:r>
        <w:rPr>
          <w:spacing w:val="-66"/>
        </w:rPr>
        <w:t> </w:t>
      </w:r>
      <w:r>
        <w:rPr>
          <w:spacing w:val="-66"/>
        </w:rPr>
      </w:r>
      <w:r>
        <w:rPr/>
        <w:t>得税负债。</w:t>
      </w:r>
    </w:p>
    <w:p>
      <w:pPr>
        <w:pStyle w:val="BodyText"/>
        <w:spacing w:line="316" w:lineRule="auto" w:before="19"/>
        <w:ind w:left="154" w:right="1131" w:firstLine="360"/>
        <w:jc w:val="both"/>
      </w:pPr>
      <w:r>
        <w:rPr>
          <w:spacing w:val="-2"/>
        </w:rPr>
        <w:t>与既不是企业合并、发生时也不影响会计利润和应纳税所得额（或可抵扣亏损）的交易中产生的资产或负债的初始确认</w:t>
      </w:r>
      <w:r>
        <w:rPr/>
        <w:t> </w:t>
      </w:r>
      <w:r>
        <w:rPr>
          <w:spacing w:val="-2"/>
        </w:rPr>
        <w:t>有关的可抵扣暂时性差异，不予确认有关的递延所得税资产。此外，对与子公司、联营企业及合营企业投资相关的可抵扣暂</w:t>
      </w:r>
      <w:r>
        <w:rPr>
          <w:spacing w:val="-66"/>
        </w:rPr>
        <w:t> </w:t>
      </w:r>
      <w:r>
        <w:rPr>
          <w:spacing w:val="-66"/>
        </w:rPr>
      </w:r>
      <w:r>
        <w:rPr>
          <w:spacing w:val="-2"/>
        </w:rPr>
        <w:t>时性差异，如果暂时性差异在可预见的未来不是很可能转回，或者未来不是很可能获得用来抵扣可抵扣暂时性差异的应纳税</w:t>
      </w:r>
      <w:r>
        <w:rPr>
          <w:spacing w:val="-64"/>
        </w:rPr>
        <w:t> </w:t>
      </w:r>
      <w:r>
        <w:rPr>
          <w:spacing w:val="-64"/>
        </w:rPr>
      </w:r>
      <w:r>
        <w:rPr>
          <w:spacing w:val="-2"/>
        </w:rPr>
        <w:t>所得额，不予确认有关的递延所得税资产。除上述例外情况，本公司以很可能取得用来抵扣可抵扣暂时性差异的应纳税所得</w:t>
      </w:r>
      <w:r>
        <w:rPr>
          <w:spacing w:val="-66"/>
        </w:rPr>
        <w:t> </w:t>
      </w:r>
      <w:r>
        <w:rPr>
          <w:spacing w:val="-66"/>
        </w:rPr>
      </w:r>
      <w:r>
        <w:rPr/>
        <w:t>额为限，确认其他可抵扣暂时性差异产生的递延所得税资产。</w:t>
      </w:r>
    </w:p>
    <w:p>
      <w:pPr>
        <w:pStyle w:val="BodyText"/>
        <w:spacing w:line="316" w:lineRule="auto" w:before="19"/>
        <w:ind w:left="154" w:right="1131" w:firstLine="360"/>
        <w:jc w:val="both"/>
      </w:pPr>
      <w:r>
        <w:rPr>
          <w:spacing w:val="-2"/>
        </w:rPr>
        <w:t>对于能够结转以后年度的可抵扣亏损和税款抵减，以很可能获得用来抵扣可抵扣亏损和税款抵减的未来应纳税所得额为</w:t>
      </w:r>
      <w:r>
        <w:rPr/>
        <w:t> 限，确认相应的递延所得税资产。</w:t>
      </w:r>
    </w:p>
    <w:p>
      <w:pPr>
        <w:pStyle w:val="BodyText"/>
        <w:spacing w:line="316" w:lineRule="auto" w:before="19"/>
        <w:ind w:left="154" w:right="1133" w:firstLine="360"/>
        <w:jc w:val="both"/>
      </w:pPr>
      <w:r>
        <w:rPr>
          <w:spacing w:val="-2"/>
        </w:rPr>
        <w:t>资产负债表日，对于递延所得税资产和递延所得税负债，根据税法规定，按照预期收回相关资产或清偿相关负债期间的</w:t>
      </w:r>
      <w:r>
        <w:rPr/>
        <w:t> 适用税率计量。</w:t>
      </w:r>
    </w:p>
    <w:p>
      <w:pPr>
        <w:pStyle w:val="BodyText"/>
        <w:spacing w:line="316" w:lineRule="auto" w:before="19"/>
        <w:ind w:right="1132" w:firstLine="360"/>
        <w:jc w:val="both"/>
      </w:pPr>
      <w:r>
        <w:rPr>
          <w:spacing w:val="-2"/>
        </w:rPr>
        <w:t>于资产负债表日，对递延所得税资产的账面价值进行复核，如果未来很可能无法获得足够的应纳税所得额用以抵扣递延</w:t>
      </w:r>
      <w:r>
        <w:rPr/>
        <w:t> 所得税资产的利益，则减记递延所得税资产的账面价值。在很可能获得足够的应纳税所得额时，减记的金额予以转回。</w:t>
      </w:r>
    </w:p>
    <w:p>
      <w:pPr>
        <w:pStyle w:val="BodyText"/>
        <w:spacing w:line="300" w:lineRule="auto" w:before="19"/>
        <w:ind w:left="514" w:right="6972"/>
        <w:jc w:val="left"/>
      </w:pPr>
      <w:r>
        <w:rPr/>
        <w:t>（</w:t>
      </w:r>
      <w:r>
        <w:rPr>
          <w:rFonts w:ascii="Times New Roman" w:hAnsi="Times New Roman" w:cs="Times New Roman" w:eastAsia="Times New Roman" w:hint="default"/>
        </w:rPr>
        <w:t>3</w:t>
      </w:r>
      <w:r>
        <w:rPr/>
        <w:t>）所得税费用 所得税费用包括当期所得税和递延所得税。</w:t>
      </w:r>
    </w:p>
    <w:p>
      <w:pPr>
        <w:pStyle w:val="BodyText"/>
        <w:spacing w:line="316" w:lineRule="auto" w:before="31"/>
        <w:ind w:left="154" w:right="1139" w:firstLine="360"/>
        <w:jc w:val="both"/>
      </w:pPr>
      <w:r>
        <w:rPr/>
        <w:t>除确认为其他综合收益或直接计入股东权益的交易和事项相关的当期所得税和递延所得税计入其他综合收益或股东权 益，以及企业合并产生的递延所得税调整商誉的账面价值外，其余当期所得税和递延所得税费用或收益计入当期损益。</w:t>
      </w:r>
    </w:p>
    <w:p>
      <w:pPr>
        <w:pStyle w:val="BodyText"/>
        <w:spacing w:line="300" w:lineRule="auto" w:before="19"/>
        <w:ind w:left="514" w:right="0"/>
        <w:jc w:val="left"/>
      </w:pPr>
      <w:r>
        <w:rPr/>
        <w:t>（</w:t>
      </w:r>
      <w:r>
        <w:rPr>
          <w:rFonts w:ascii="Times New Roman" w:hAnsi="Times New Roman" w:cs="Times New Roman" w:eastAsia="Times New Roman" w:hint="default"/>
        </w:rPr>
        <w:t>4</w:t>
      </w:r>
      <w:r>
        <w:rPr/>
        <w:t>）所得税的抵销 </w:t>
      </w:r>
      <w:r>
        <w:rPr>
          <w:spacing w:val="-2"/>
        </w:rPr>
        <w:t>当拥有以净额结算的法定权利，且意图以净额结算或取得资产、清偿负债同时进行时，本公司当期所得税资产及当期所</w:t>
      </w:r>
    </w:p>
    <w:p>
      <w:pPr>
        <w:pStyle w:val="BodyText"/>
        <w:spacing w:line="316" w:lineRule="auto" w:before="31"/>
        <w:ind w:left="514" w:right="0" w:hanging="360"/>
        <w:jc w:val="left"/>
      </w:pPr>
      <w:r>
        <w:rPr/>
        <w:t>得税负债以抵销后的净额列报。 </w:t>
      </w:r>
      <w:r>
        <w:rPr>
          <w:spacing w:val="-2"/>
        </w:rPr>
        <w:t>当拥有以净额结算当期所得税资产及当期所得税负债的法定权利，且递延所得税资产及递延所得税负债是与同一税收征</w:t>
      </w:r>
    </w:p>
    <w:p>
      <w:pPr>
        <w:pStyle w:val="BodyText"/>
        <w:spacing w:line="316" w:lineRule="auto" w:before="19"/>
        <w:ind w:left="154" w:right="1131"/>
        <w:jc w:val="both"/>
      </w:pPr>
      <w:r>
        <w:rPr>
          <w:spacing w:val="-2"/>
        </w:rPr>
        <w:t>管部门对同一纳税主体征收的所得税相关或者是对不同的纳税主体相关，但在未来每一具有重要性的递延所得税资产及负债</w:t>
      </w:r>
      <w:r>
        <w:rPr>
          <w:spacing w:val="-64"/>
        </w:rPr>
        <w:t> </w:t>
      </w:r>
      <w:r>
        <w:rPr>
          <w:spacing w:val="-64"/>
        </w:rPr>
      </w:r>
      <w:r>
        <w:rPr>
          <w:spacing w:val="-2"/>
        </w:rPr>
        <w:t>转回的期间内，涉及的纳税主体意图以净额结算当期所得税资产和负债或是同时取得资产、清偿负债时，本公司递延所得税</w:t>
      </w:r>
      <w:r>
        <w:rPr>
          <w:spacing w:val="-66"/>
        </w:rPr>
        <w:t> </w:t>
      </w:r>
      <w:r>
        <w:rPr>
          <w:spacing w:val="-66"/>
        </w:rPr>
      </w:r>
      <w:r>
        <w:rPr/>
        <w:t>资产及递延所得税负债以抵销后的净额列报。</w:t>
      </w:r>
    </w:p>
    <w:p>
      <w:pPr>
        <w:spacing w:line="240" w:lineRule="auto" w:before="7"/>
        <w:rPr>
          <w:rFonts w:ascii="宋体" w:hAnsi="宋体" w:cs="宋体" w:eastAsia="宋体" w:hint="default"/>
          <w:sz w:val="22"/>
          <w:szCs w:val="22"/>
        </w:rPr>
      </w:pPr>
    </w:p>
    <w:p>
      <w:pPr>
        <w:pStyle w:val="Heading3"/>
        <w:spacing w:line="240" w:lineRule="auto"/>
        <w:ind w:right="0"/>
        <w:jc w:val="both"/>
        <w:rPr>
          <w:b w:val="0"/>
          <w:bCs w:val="0"/>
        </w:rPr>
      </w:pPr>
      <w:bookmarkStart w:name="31、租赁" w:id="215"/>
      <w:bookmarkEnd w:id="215"/>
      <w:r>
        <w:rPr>
          <w:b w:val="0"/>
          <w:bCs w:val="0"/>
        </w:rPr>
      </w:r>
      <w:r>
        <w:rPr>
          <w:rFonts w:ascii="Times New Roman" w:hAnsi="Times New Roman" w:cs="Times New Roman" w:eastAsia="Times New Roman" w:hint="default"/>
        </w:rPr>
        <w:t>31</w:t>
      </w:r>
      <w:r>
        <w:rPr/>
        <w:t>、租赁</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both"/>
        <w:rPr>
          <w:b w:val="0"/>
          <w:bCs w:val="0"/>
        </w:rPr>
      </w:pPr>
      <w:bookmarkStart w:name="（1）经营租赁的会计处理方法" w:id="216"/>
      <w:bookmarkEnd w:id="216"/>
      <w:r>
        <w:rPr>
          <w:b w:val="0"/>
          <w:bCs w:val="0"/>
        </w:rPr>
      </w:r>
      <w:r>
        <w:rPr/>
        <w:t>（</w:t>
      </w:r>
      <w:r>
        <w:rPr>
          <w:rFonts w:ascii="Times New Roman" w:hAnsi="Times New Roman" w:cs="Times New Roman" w:eastAsia="Times New Roman" w:hint="default"/>
        </w:rPr>
        <w:t>1</w:t>
      </w:r>
      <w:r>
        <w:rPr/>
        <w:t>）经营租赁的会计处理方法</w:t>
      </w:r>
      <w:r>
        <w:rPr>
          <w:b w:val="0"/>
          <w:bCs w:val="0"/>
        </w:rPr>
      </w:r>
    </w:p>
    <w:p>
      <w:pPr>
        <w:spacing w:line="240" w:lineRule="auto" w:before="7"/>
        <w:rPr>
          <w:rFonts w:ascii="宋体" w:hAnsi="宋体" w:cs="宋体" w:eastAsia="宋体" w:hint="default"/>
          <w:b/>
          <w:bCs/>
          <w:sz w:val="26"/>
          <w:szCs w:val="26"/>
        </w:rPr>
      </w:pPr>
    </w:p>
    <w:p>
      <w:pPr>
        <w:pStyle w:val="BodyText"/>
        <w:spacing w:line="316" w:lineRule="auto"/>
        <w:ind w:left="154" w:right="1133" w:firstLine="360"/>
        <w:jc w:val="both"/>
      </w:pPr>
      <w:r>
        <w:rPr>
          <w:spacing w:val="-2"/>
        </w:rPr>
        <w:t>融资租赁为实质上转移了与资产所有权有关的全部风险和报酬的租赁，其所有权最终可能转移，也可能不转移。融资租</w:t>
      </w:r>
      <w:r>
        <w:rPr/>
        <w:t> 赁以外的其他租赁为经营租赁。本公司的租赁为作为承租人的经营租赁。</w:t>
      </w:r>
    </w:p>
    <w:p>
      <w:pPr>
        <w:pStyle w:val="BodyText"/>
        <w:spacing w:line="316" w:lineRule="auto" w:before="19"/>
        <w:ind w:right="1132" w:firstLine="360"/>
        <w:jc w:val="both"/>
      </w:pPr>
      <w:r>
        <w:rPr>
          <w:spacing w:val="-2"/>
        </w:rPr>
        <w:t>经营租赁的租金支出在租赁期内的各个期间按直线法计入相关资产成本或当期损益。初始直接费用计入当期损益。或有</w:t>
      </w:r>
      <w:r>
        <w:rPr/>
        <w:t> 租金于实际发生时计入当期损益。</w:t>
      </w:r>
    </w:p>
    <w:p>
      <w:pPr>
        <w:spacing w:after="0" w:line="316" w:lineRule="auto"/>
        <w:jc w:val="both"/>
        <w:sectPr>
          <w:pgSz w:w="11910" w:h="16840"/>
          <w:pgMar w:header="747" w:footer="979"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5"/>
        <w:ind w:left="153" w:right="0"/>
        <w:jc w:val="left"/>
        <w:rPr>
          <w:b w:val="0"/>
          <w:bCs w:val="0"/>
        </w:rPr>
      </w:pPr>
      <w:bookmarkStart w:name="（2）融资租赁的会计处理方法" w:id="217"/>
      <w:bookmarkEnd w:id="217"/>
      <w:r>
        <w:rPr>
          <w:b w:val="0"/>
          <w:bCs w:val="0"/>
        </w:rPr>
      </w:r>
      <w:r>
        <w:rPr/>
        <w:t>（</w:t>
      </w:r>
      <w:r>
        <w:rPr>
          <w:rFonts w:ascii="Times New Roman" w:hAnsi="Times New Roman" w:cs="Times New Roman" w:eastAsia="Times New Roman" w:hint="default"/>
        </w:rPr>
        <w:t>2</w:t>
      </w:r>
      <w:r>
        <w:rPr/>
        <w:t>）融资租赁的会计处理方法</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不适用。</w:t>
      </w:r>
    </w:p>
    <w:p>
      <w:pPr>
        <w:spacing w:line="240" w:lineRule="auto" w:before="12"/>
        <w:rPr>
          <w:rFonts w:ascii="宋体" w:hAnsi="宋体" w:cs="宋体" w:eastAsia="宋体" w:hint="default"/>
          <w:sz w:val="26"/>
          <w:szCs w:val="26"/>
        </w:rPr>
      </w:pPr>
    </w:p>
    <w:p>
      <w:pPr>
        <w:pStyle w:val="Heading3"/>
        <w:spacing w:line="240" w:lineRule="auto"/>
        <w:ind w:left="153" w:right="0"/>
        <w:jc w:val="left"/>
        <w:rPr>
          <w:b w:val="0"/>
          <w:bCs w:val="0"/>
        </w:rPr>
      </w:pPr>
      <w:bookmarkStart w:name="32、其他重要的会计政策和会计估计" w:id="218"/>
      <w:bookmarkEnd w:id="218"/>
      <w:r>
        <w:rPr>
          <w:b w:val="0"/>
          <w:bCs w:val="0"/>
        </w:rPr>
      </w:r>
      <w:r>
        <w:rPr>
          <w:rFonts w:ascii="Times New Roman" w:hAnsi="Times New Roman" w:cs="Times New Roman" w:eastAsia="Times New Roman" w:hint="default"/>
        </w:rPr>
        <w:t>32</w:t>
      </w:r>
      <w:r>
        <w:rPr/>
        <w:t>、其他重要的会计政策和会计估计</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不适用。</w:t>
      </w:r>
    </w:p>
    <w:p>
      <w:pPr>
        <w:spacing w:line="240" w:lineRule="auto" w:before="12"/>
        <w:rPr>
          <w:rFonts w:ascii="宋体" w:hAnsi="宋体" w:cs="宋体" w:eastAsia="宋体" w:hint="default"/>
          <w:sz w:val="26"/>
          <w:szCs w:val="26"/>
        </w:rPr>
      </w:pPr>
    </w:p>
    <w:p>
      <w:pPr>
        <w:pStyle w:val="Heading3"/>
        <w:spacing w:line="240" w:lineRule="auto"/>
        <w:ind w:left="153" w:right="0"/>
        <w:jc w:val="left"/>
        <w:rPr>
          <w:b w:val="0"/>
          <w:bCs w:val="0"/>
        </w:rPr>
      </w:pPr>
      <w:bookmarkStart w:name="33、重要会计政策和会计估计变更" w:id="219"/>
      <w:bookmarkEnd w:id="219"/>
      <w:r>
        <w:rPr>
          <w:b w:val="0"/>
          <w:bCs w:val="0"/>
        </w:rPr>
      </w:r>
      <w:r>
        <w:rPr>
          <w:rFonts w:ascii="Times New Roman" w:hAnsi="Times New Roman" w:cs="Times New Roman" w:eastAsia="Times New Roman" w:hint="default"/>
        </w:rPr>
        <w:t>33</w:t>
      </w:r>
      <w:r>
        <w:rPr/>
        <w:t>、重要会计政策和会计估计变更</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53" w:right="0"/>
        <w:jc w:val="left"/>
        <w:rPr>
          <w:b w:val="0"/>
          <w:bCs w:val="0"/>
        </w:rPr>
      </w:pPr>
      <w:bookmarkStart w:name="（1）重要会计政策变更" w:id="220"/>
      <w:bookmarkEnd w:id="220"/>
      <w:r>
        <w:rPr>
          <w:b w:val="0"/>
          <w:bCs w:val="0"/>
        </w:rPr>
      </w:r>
      <w:r>
        <w:rPr/>
        <w:t>（</w:t>
      </w:r>
      <w:r>
        <w:rPr>
          <w:rFonts w:ascii="Times New Roman" w:hAnsi="Times New Roman" w:cs="Times New Roman" w:eastAsia="Times New Roman" w:hint="default"/>
        </w:rPr>
        <w:t>1</w:t>
      </w:r>
      <w:r>
        <w:rPr/>
        <w:t>）重要会计政策变更</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0"/>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91"/>
        <w:gridCol w:w="3190"/>
        <w:gridCol w:w="3189"/>
      </w:tblGrid>
      <w:tr>
        <w:trPr>
          <w:trHeight w:val="402"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10" w:right="0"/>
              <w:jc w:val="left"/>
              <w:rPr>
                <w:rFonts w:ascii="宋体" w:hAnsi="宋体" w:cs="宋体" w:eastAsia="宋体" w:hint="default"/>
                <w:sz w:val="18"/>
                <w:szCs w:val="18"/>
              </w:rPr>
            </w:pPr>
            <w:r>
              <w:rPr>
                <w:rFonts w:ascii="宋体" w:hAnsi="宋体" w:cs="宋体" w:eastAsia="宋体" w:hint="default"/>
                <w:sz w:val="18"/>
                <w:szCs w:val="18"/>
              </w:rPr>
              <w:t>会计政策变更的内容和原因</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审批程序</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备注</w:t>
            </w:r>
          </w:p>
        </w:tc>
      </w:tr>
      <w:tr>
        <w:trPr>
          <w:trHeight w:val="1338"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日</w:t>
            </w:r>
            <w:r>
              <w:rPr>
                <w:rFonts w:ascii="宋体" w:hAnsi="宋体" w:cs="宋体" w:eastAsia="宋体" w:hint="default"/>
                <w:spacing w:val="-90"/>
                <w:sz w:val="18"/>
                <w:szCs w:val="18"/>
              </w:rPr>
              <w:t>，</w:t>
            </w:r>
            <w:r>
              <w:rPr>
                <w:rFonts w:ascii="宋体" w:hAnsi="宋体" w:cs="宋体" w:eastAsia="宋体" w:hint="default"/>
                <w:sz w:val="18"/>
                <w:szCs w:val="18"/>
              </w:rPr>
              <w:t>财政部以财会</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z w:val="18"/>
                <w:szCs w:val="18"/>
              </w:rPr>
              <w:t>13</w:t>
            </w:r>
          </w:p>
          <w:p>
            <w:pPr>
              <w:pStyle w:val="TableParagraph"/>
              <w:spacing w:line="309" w:lineRule="auto" w:before="61"/>
              <w:ind w:left="22" w:right="23"/>
              <w:jc w:val="left"/>
              <w:rPr>
                <w:rFonts w:ascii="宋体" w:hAnsi="宋体" w:cs="宋体" w:eastAsia="宋体" w:hint="default"/>
                <w:sz w:val="18"/>
                <w:szCs w:val="18"/>
              </w:rPr>
            </w:pPr>
            <w:r>
              <w:rPr>
                <w:rFonts w:ascii="宋体" w:hAnsi="宋体" w:cs="宋体" w:eastAsia="宋体" w:hint="default"/>
                <w:sz w:val="18"/>
                <w:szCs w:val="18"/>
              </w:rPr>
              <w:t>号发布了《企业会计准则第</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42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持 有待售的非流动资产、处置组和终止经 </w:t>
            </w:r>
            <w:r>
              <w:rPr>
                <w:rFonts w:ascii="宋体" w:hAnsi="宋体" w:cs="宋体" w:eastAsia="宋体" w:hint="default"/>
                <w:spacing w:val="-23"/>
                <w:sz w:val="18"/>
                <w:szCs w:val="18"/>
              </w:rPr>
              <w:t>营》，自</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日起实施。</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本公司第三届董事会第二十四次会议于</w:t>
            </w:r>
          </w:p>
          <w:p>
            <w:pPr>
              <w:pStyle w:val="TableParagraph"/>
              <w:spacing w:line="240" w:lineRule="auto" w:before="76"/>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 </w:t>
            </w:r>
            <w:r>
              <w:rPr>
                <w:rFonts w:ascii="宋体" w:hAnsi="宋体" w:cs="宋体" w:eastAsia="宋体" w:hint="default"/>
                <w:sz w:val="18"/>
                <w:szCs w:val="18"/>
              </w:rPr>
              <w:t>日决议通过</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日</w:t>
            </w:r>
            <w:r>
              <w:rPr>
                <w:rFonts w:ascii="宋体" w:hAnsi="宋体" w:cs="宋体" w:eastAsia="宋体" w:hint="default"/>
                <w:spacing w:val="-90"/>
                <w:sz w:val="18"/>
                <w:szCs w:val="18"/>
              </w:rPr>
              <w:t>，</w:t>
            </w:r>
            <w:r>
              <w:rPr>
                <w:rFonts w:ascii="宋体" w:hAnsi="宋体" w:cs="宋体" w:eastAsia="宋体" w:hint="default"/>
                <w:sz w:val="18"/>
                <w:szCs w:val="18"/>
              </w:rPr>
              <w:t>财政部以财会</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z w:val="18"/>
                <w:szCs w:val="18"/>
              </w:rPr>
              <w:t>15</w:t>
            </w:r>
          </w:p>
          <w:p>
            <w:pPr>
              <w:pStyle w:val="TableParagraph"/>
              <w:spacing w:line="240" w:lineRule="auto" w:before="61"/>
              <w:ind w:left="22" w:right="0"/>
              <w:jc w:val="left"/>
              <w:rPr>
                <w:rFonts w:ascii="宋体" w:hAnsi="宋体" w:cs="宋体" w:eastAsia="宋体" w:hint="default"/>
                <w:sz w:val="18"/>
                <w:szCs w:val="18"/>
              </w:rPr>
            </w:pPr>
            <w:r>
              <w:rPr>
                <w:rFonts w:ascii="宋体" w:hAnsi="宋体" w:cs="宋体" w:eastAsia="宋体" w:hint="default"/>
                <w:sz w:val="18"/>
                <w:szCs w:val="18"/>
              </w:rPr>
              <w:t>号发布了《企业会计准则第</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政</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府补</w:t>
            </w:r>
            <w:r>
              <w:rPr>
                <w:rFonts w:ascii="宋体" w:hAnsi="宋体" w:cs="宋体" w:eastAsia="宋体" w:hint="default"/>
                <w:spacing w:val="-31"/>
                <w:sz w:val="18"/>
                <w:szCs w:val="18"/>
              </w:rPr>
              <w:t>助</w:t>
            </w:r>
            <w:r>
              <w:rPr>
                <w:rFonts w:ascii="宋体" w:hAnsi="宋体" w:cs="宋体" w:eastAsia="宋体" w:hint="default"/>
                <w:sz w:val="18"/>
                <w:szCs w:val="18"/>
              </w:rPr>
              <w:t>（</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年修订</w:t>
            </w:r>
            <w:r>
              <w:rPr>
                <w:rFonts w:ascii="宋体" w:hAnsi="宋体" w:cs="宋体" w:eastAsia="宋体" w:hint="default"/>
                <w:spacing w:val="-90"/>
                <w:sz w:val="18"/>
                <w:szCs w:val="18"/>
              </w:rPr>
              <w:t>）》</w:t>
            </w:r>
            <w:r>
              <w:rPr>
                <w:rFonts w:ascii="宋体" w:hAnsi="宋体" w:cs="宋体" w:eastAsia="宋体" w:hint="default"/>
                <w:spacing w:val="-31"/>
                <w:sz w:val="18"/>
                <w:szCs w:val="18"/>
              </w:rPr>
              <w:t>，</w:t>
            </w:r>
            <w:r>
              <w:rPr>
                <w:rFonts w:ascii="宋体" w:hAnsi="宋体" w:cs="宋体" w:eastAsia="宋体" w:hint="default"/>
                <w:sz w:val="18"/>
                <w:szCs w:val="18"/>
              </w:rPr>
              <w:t>自</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日起实施。</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本公司第三届董事会第二十四次会议于</w:t>
            </w:r>
          </w:p>
          <w:p>
            <w:pPr>
              <w:pStyle w:val="TableParagraph"/>
              <w:spacing w:line="240" w:lineRule="auto" w:before="76"/>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 </w:t>
            </w:r>
            <w:r>
              <w:rPr>
                <w:rFonts w:ascii="宋体" w:hAnsi="宋体" w:cs="宋体" w:eastAsia="宋体" w:hint="default"/>
                <w:sz w:val="18"/>
                <w:szCs w:val="18"/>
              </w:rPr>
              <w:t>日决议通过</w:t>
            </w:r>
          </w:p>
        </w:tc>
        <w:tc>
          <w:tcPr>
            <w:tcW w:w="3189" w:type="dxa"/>
            <w:tcBorders>
              <w:top w:val="single" w:sz="4" w:space="0" w:color="000000"/>
              <w:left w:val="single" w:sz="4" w:space="0" w:color="000000"/>
              <w:bottom w:val="single" w:sz="4" w:space="0" w:color="000000"/>
              <w:right w:val="single" w:sz="4" w:space="0" w:color="000000"/>
            </w:tcBorders>
          </w:tcPr>
          <w:p>
            <w:pPr/>
          </w:p>
        </w:tc>
      </w:tr>
    </w:tbl>
    <w:p>
      <w:pPr>
        <w:pStyle w:val="BodyText"/>
        <w:spacing w:line="300" w:lineRule="auto" w:before="10"/>
        <w:ind w:left="154" w:right="1130" w:firstLine="360"/>
        <w:jc w:val="both"/>
      </w:pPr>
      <w:r>
        <w:rPr>
          <w:spacing w:val="-2"/>
        </w:rPr>
        <w:t>执行《企业会计准则第</w:t>
      </w:r>
      <w:r>
        <w:rPr>
          <w:rFonts w:ascii="Times New Roman" w:hAnsi="Times New Roman" w:cs="Times New Roman" w:eastAsia="Times New Roman" w:hint="default"/>
          <w:spacing w:val="-2"/>
        </w:rPr>
        <w:t>16</w:t>
      </w:r>
      <w:r>
        <w:rPr>
          <w:spacing w:val="-2"/>
        </w:rPr>
        <w:t>号</w:t>
      </w:r>
      <w:r>
        <w:rPr>
          <w:rFonts w:ascii="Times New Roman" w:hAnsi="Times New Roman" w:cs="Times New Roman" w:eastAsia="Times New Roman" w:hint="default"/>
          <w:spacing w:val="-2"/>
        </w:rPr>
        <w:t>——</w:t>
      </w:r>
      <w:r>
        <w:rPr>
          <w:spacing w:val="-2"/>
        </w:rPr>
        <w:t>政府补助（</w:t>
      </w:r>
      <w:r>
        <w:rPr>
          <w:rFonts w:ascii="Times New Roman" w:hAnsi="Times New Roman" w:cs="Times New Roman" w:eastAsia="Times New Roman" w:hint="default"/>
          <w:spacing w:val="-2"/>
        </w:rPr>
        <w:t>2017</w:t>
      </w:r>
      <w:r>
        <w:rPr>
          <w:spacing w:val="-2"/>
        </w:rPr>
        <w:t>年修订）》之前，本公司将取得的政府补助计入营业外收入执行《企业</w:t>
      </w:r>
      <w:r>
        <w:rPr/>
        <w:t> </w:t>
      </w:r>
      <w:r>
        <w:rPr>
          <w:spacing w:val="-2"/>
        </w:rPr>
        <w:t>会计准则第</w:t>
      </w:r>
      <w:r>
        <w:rPr>
          <w:rFonts w:ascii="Times New Roman" w:hAnsi="Times New Roman" w:cs="Times New Roman" w:eastAsia="Times New Roman" w:hint="default"/>
          <w:spacing w:val="-2"/>
        </w:rPr>
        <w:t>16</w:t>
      </w:r>
      <w:r>
        <w:rPr>
          <w:spacing w:val="-2"/>
        </w:rPr>
        <w:t>号</w:t>
      </w:r>
      <w:r>
        <w:rPr>
          <w:rFonts w:ascii="Times New Roman" w:hAnsi="Times New Roman" w:cs="Times New Roman" w:eastAsia="Times New Roman" w:hint="default"/>
          <w:spacing w:val="-2"/>
        </w:rPr>
        <w:t>——</w:t>
      </w:r>
      <w:r>
        <w:rPr>
          <w:spacing w:val="-2"/>
        </w:rPr>
        <w:t>政府补助（</w:t>
      </w:r>
      <w:r>
        <w:rPr>
          <w:rFonts w:ascii="Times New Roman" w:hAnsi="Times New Roman" w:cs="Times New Roman" w:eastAsia="Times New Roman" w:hint="default"/>
          <w:spacing w:val="-2"/>
        </w:rPr>
        <w:t>2017</w:t>
      </w:r>
      <w:r>
        <w:rPr>
          <w:spacing w:val="-2"/>
        </w:rPr>
        <w:t>年修订）》之后，对</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1</w:t>
      </w:r>
      <w:r>
        <w:rPr>
          <w:spacing w:val="-2"/>
        </w:rPr>
        <w:t>月</w:t>
      </w:r>
      <w:r>
        <w:rPr>
          <w:rFonts w:ascii="Times New Roman" w:hAnsi="Times New Roman" w:cs="Times New Roman" w:eastAsia="Times New Roman" w:hint="default"/>
          <w:spacing w:val="-2"/>
        </w:rPr>
        <w:t>1</w:t>
      </w:r>
      <w:r>
        <w:rPr>
          <w:spacing w:val="-2"/>
        </w:rPr>
        <w:t>日之后发生的与日常活动相关的政府补助，计入其他收</w:t>
      </w:r>
      <w:r>
        <w:rPr>
          <w:spacing w:val="-53"/>
        </w:rPr>
        <w:t> </w:t>
      </w:r>
      <w:r>
        <w:rPr>
          <w:spacing w:val="-53"/>
        </w:rPr>
      </w:r>
      <w:r>
        <w:rPr/>
        <w:t>益；与日常活动无关的政府补助，计入营业外收支。</w:t>
      </w:r>
    </w:p>
    <w:p>
      <w:pPr>
        <w:pStyle w:val="BodyText"/>
        <w:spacing w:line="240" w:lineRule="auto" w:before="31"/>
        <w:ind w:left="514" w:right="0"/>
        <w:jc w:val="left"/>
      </w:pPr>
      <w:r>
        <w:rPr/>
        <w:t>影响报表其他综合收益金额</w:t>
      </w:r>
      <w:r>
        <w:rPr>
          <w:rFonts w:ascii="Times New Roman" w:hAnsi="Times New Roman" w:cs="Times New Roman" w:eastAsia="Times New Roman" w:hint="default"/>
        </w:rPr>
        <w:t>1,839.94</w:t>
      </w:r>
      <w:r>
        <w:rPr/>
        <w:t>万元。</w:t>
      </w:r>
    </w:p>
    <w:p>
      <w:pPr>
        <w:spacing w:line="240" w:lineRule="auto" w:before="11"/>
        <w:rPr>
          <w:rFonts w:ascii="宋体" w:hAnsi="宋体" w:cs="宋体" w:eastAsia="宋体" w:hint="default"/>
          <w:sz w:val="25"/>
          <w:szCs w:val="25"/>
        </w:rPr>
      </w:pPr>
    </w:p>
    <w:p>
      <w:pPr>
        <w:pStyle w:val="Heading3"/>
        <w:spacing w:line="240" w:lineRule="auto"/>
        <w:ind w:left="153" w:right="0"/>
        <w:jc w:val="left"/>
        <w:rPr>
          <w:b w:val="0"/>
          <w:bCs w:val="0"/>
        </w:rPr>
      </w:pPr>
      <w:bookmarkStart w:name="（2）重要会计估计变更" w:id="221"/>
      <w:bookmarkEnd w:id="221"/>
      <w:r>
        <w:rPr>
          <w:b w:val="0"/>
          <w:bCs w:val="0"/>
        </w:rPr>
      </w:r>
      <w:r>
        <w:rPr/>
        <w:t>（</w:t>
      </w:r>
      <w:r>
        <w:rPr>
          <w:rFonts w:ascii="Times New Roman" w:hAnsi="Times New Roman" w:cs="Times New Roman" w:eastAsia="Times New Roman" w:hint="default"/>
        </w:rPr>
        <w:t>2</w:t>
      </w:r>
      <w:r>
        <w:rPr/>
        <w:t>）重要会计估计变更</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9"/>
        <w:rPr>
          <w:rFonts w:ascii="宋体" w:hAnsi="宋体" w:cs="宋体" w:eastAsia="宋体" w:hint="default"/>
          <w:sz w:val="25"/>
          <w:szCs w:val="25"/>
        </w:rPr>
      </w:pPr>
    </w:p>
    <w:p>
      <w:pPr>
        <w:pStyle w:val="Heading3"/>
        <w:spacing w:line="240" w:lineRule="auto"/>
        <w:ind w:left="153" w:right="0"/>
        <w:jc w:val="left"/>
        <w:rPr>
          <w:b w:val="0"/>
          <w:bCs w:val="0"/>
        </w:rPr>
      </w:pPr>
      <w:bookmarkStart w:name="34、其他" w:id="222"/>
      <w:bookmarkEnd w:id="222"/>
      <w:r>
        <w:rPr>
          <w:b w:val="0"/>
          <w:bCs w:val="0"/>
        </w:rPr>
      </w:r>
      <w:r>
        <w:rPr>
          <w:rFonts w:ascii="Times New Roman" w:hAnsi="Times New Roman" w:cs="Times New Roman" w:eastAsia="Times New Roman" w:hint="default"/>
        </w:rPr>
        <w:t>34</w:t>
      </w:r>
      <w:r>
        <w:rPr/>
        <w:t>、其他</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154" w:right="0"/>
        <w:jc w:val="left"/>
      </w:pPr>
      <w:r>
        <w:rPr/>
        <w:t>无。</w:t>
      </w:r>
    </w:p>
    <w:p>
      <w:pPr>
        <w:spacing w:line="240" w:lineRule="auto" w:before="2"/>
        <w:rPr>
          <w:rFonts w:ascii="宋体" w:hAnsi="宋体" w:cs="宋体" w:eastAsia="宋体" w:hint="default"/>
          <w:sz w:val="25"/>
          <w:szCs w:val="25"/>
        </w:rPr>
      </w:pPr>
    </w:p>
    <w:p>
      <w:pPr>
        <w:pStyle w:val="Heading2"/>
        <w:spacing w:line="240" w:lineRule="auto"/>
        <w:ind w:left="154" w:right="0"/>
        <w:jc w:val="left"/>
        <w:rPr>
          <w:b w:val="0"/>
          <w:bCs w:val="0"/>
        </w:rPr>
      </w:pPr>
      <w:bookmarkStart w:name="六、税项" w:id="223"/>
      <w:bookmarkEnd w:id="223"/>
      <w:r>
        <w:rPr>
          <w:b w:val="0"/>
          <w:bCs w:val="0"/>
        </w:rPr>
      </w:r>
      <w:r>
        <w:rPr/>
        <w:t>六、税项</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主要税种及税率" w:id="224"/>
      <w:bookmarkEnd w:id="224"/>
      <w:r>
        <w:rPr>
          <w:b w:val="0"/>
          <w:bCs w:val="0"/>
        </w:rPr>
      </w:r>
      <w:r>
        <w:rPr>
          <w:rFonts w:ascii="Times New Roman" w:hAnsi="Times New Roman" w:cs="Times New Roman" w:eastAsia="Times New Roman" w:hint="default"/>
        </w:rPr>
        <w:t>1</w:t>
      </w:r>
      <w:r>
        <w:rPr/>
        <w:t>、主要税种及税率</w:t>
      </w:r>
      <w:r>
        <w:rPr>
          <w:b w:val="0"/>
          <w:bCs w:val="0"/>
        </w:rPr>
      </w:r>
    </w:p>
    <w:p>
      <w:pPr>
        <w:spacing w:line="240" w:lineRule="auto" w:before="9"/>
        <w:rPr>
          <w:rFonts w:ascii="宋体" w:hAnsi="宋体" w:cs="宋体" w:eastAsia="宋体" w:hint="default"/>
          <w:b/>
          <w:bCs/>
          <w:sz w:val="25"/>
          <w:szCs w:val="25"/>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 w:right="1"/>
              <w:jc w:val="center"/>
              <w:rPr>
                <w:rFonts w:ascii="宋体" w:hAnsi="宋体" w:cs="宋体" w:eastAsia="宋体" w:hint="default"/>
                <w:sz w:val="18"/>
                <w:szCs w:val="18"/>
              </w:rPr>
            </w:pPr>
            <w:r>
              <w:rPr>
                <w:rFonts w:ascii="宋体" w:hAnsi="宋体" w:cs="宋体" w:eastAsia="宋体" w:hint="default"/>
                <w:sz w:val="18"/>
                <w:szCs w:val="18"/>
              </w:rPr>
              <w:t>税种</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center"/>
              <w:rPr>
                <w:rFonts w:ascii="宋体" w:hAnsi="宋体" w:cs="宋体" w:eastAsia="宋体" w:hint="default"/>
                <w:sz w:val="18"/>
                <w:szCs w:val="18"/>
              </w:rPr>
            </w:pPr>
            <w:r>
              <w:rPr>
                <w:rFonts w:ascii="宋体" w:hAnsi="宋体" w:cs="宋体" w:eastAsia="宋体" w:hint="default"/>
                <w:sz w:val="18"/>
                <w:szCs w:val="18"/>
              </w:rPr>
              <w:t>计税依据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税率</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销售货物及租赁业务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17%</w:t>
            </w:r>
          </w:p>
        </w:tc>
      </w:tr>
      <w:tr>
        <w:trPr>
          <w:trHeight w:val="403"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按实际缴纳的流转税计缴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7%</w:t>
            </w:r>
          </w:p>
        </w:tc>
      </w:tr>
    </w:tbl>
    <w:p>
      <w:pPr>
        <w:spacing w:after="0" w:line="240" w:lineRule="auto"/>
        <w:jc w:val="lef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b/>
          <w:bCs/>
          <w:sz w:val="28"/>
          <w:szCs w:val="28"/>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按应纳税所得额计缴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25%</w:t>
            </w:r>
            <w:r>
              <w:rPr>
                <w:rFonts w:ascii="宋体" w:hAnsi="宋体" w:cs="宋体" w:eastAsia="宋体" w:hint="default"/>
                <w:sz w:val="18"/>
                <w:szCs w:val="18"/>
              </w:rPr>
              <w:t>、</w:t>
            </w:r>
            <w:r>
              <w:rPr>
                <w:rFonts w:ascii="Times New Roman" w:hAnsi="Times New Roman" w:cs="Times New Roman" w:eastAsia="Times New Roman" w:hint="default"/>
                <w:sz w:val="18"/>
                <w:szCs w:val="18"/>
              </w:rPr>
              <w:t>15%</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建筑安装服务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pacing w:val="-3"/>
                <w:sz w:val="18"/>
              </w:rPr>
              <w:t>11%</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维护业务、设计业务、软件服务业务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6%</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按实际缴纳的流转税计缴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3%</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地方教育附加</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按实际缴纳的流转税计缴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w:t>
            </w:r>
          </w:p>
        </w:tc>
      </w:tr>
    </w:tbl>
    <w:p>
      <w:pPr>
        <w:pStyle w:val="BodyText"/>
        <w:spacing w:line="240" w:lineRule="auto" w:before="51"/>
        <w:ind w:left="154" w:right="0"/>
        <w:jc w:val="left"/>
      </w:pPr>
      <w:r>
        <w:rPr/>
        <w:t>存在不同企业所得税税率纳税主体的，披露情况说明</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783"/>
        <w:gridCol w:w="4786"/>
      </w:tblGrid>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纳税主体名称</w:t>
            </w:r>
          </w:p>
        </w:tc>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所得税税率</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深圳市奥拓软件技术有限公司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深圳市奥拓光电科技有限公司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深圳前海奥拓投资有限公司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深圳市奥拓体育文化发展有限公司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北京市奥拓电子科技有限公司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上海瀚明计算机科技有限公司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深圳市奥拓电子股份有限公司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南京奥拓电子科技有限公司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惠州市奥拓电子科技有限公司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深圳市千百辉照明工程有限公司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深圳市奥拓立翔光电科技有限公司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深圳前海奥拓体育文化投资有限公司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25%</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税收优惠" w:id="225"/>
      <w:bookmarkEnd w:id="225"/>
      <w:r>
        <w:rPr>
          <w:b w:val="0"/>
          <w:bCs w:val="0"/>
        </w:rPr>
      </w:r>
      <w:r>
        <w:rPr>
          <w:rFonts w:ascii="Times New Roman" w:hAnsi="Times New Roman" w:cs="Times New Roman" w:eastAsia="Times New Roman" w:hint="default"/>
        </w:rPr>
        <w:t>2</w:t>
      </w:r>
      <w:r>
        <w:rPr/>
        <w:t>、税收优惠</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514" w:right="0"/>
        <w:jc w:val="left"/>
      </w:pPr>
      <w:r>
        <w:rPr/>
        <w:t>（</w:t>
      </w:r>
      <w:r>
        <w:rPr>
          <w:rFonts w:ascii="Times New Roman" w:hAnsi="Times New Roman" w:cs="Times New Roman" w:eastAsia="Times New Roman" w:hint="default"/>
        </w:rPr>
        <w:t>1</w:t>
      </w:r>
      <w:r>
        <w:rPr/>
        <w:t>）企业所得税</w:t>
      </w:r>
    </w:p>
    <w:p>
      <w:pPr>
        <w:pStyle w:val="BodyText"/>
        <w:spacing w:line="300" w:lineRule="auto" w:before="63"/>
        <w:ind w:right="1130" w:firstLine="360"/>
        <w:jc w:val="both"/>
      </w:pPr>
      <w:r>
        <w:rPr>
          <w:rFonts w:ascii="Times New Roman" w:hAnsi="Times New Roman" w:cs="Times New Roman" w:eastAsia="Times New Roman" w:hint="default"/>
          <w:spacing w:val="-1"/>
        </w:rPr>
        <w:t>2017</w:t>
      </w:r>
      <w:r>
        <w:rPr>
          <w:spacing w:val="-1"/>
        </w:rPr>
        <w:t>年</w:t>
      </w:r>
      <w:r>
        <w:rPr>
          <w:rFonts w:ascii="Times New Roman" w:hAnsi="Times New Roman" w:cs="Times New Roman" w:eastAsia="Times New Roman" w:hint="default"/>
          <w:spacing w:val="-1"/>
        </w:rPr>
        <w:t>10</w:t>
      </w:r>
      <w:r>
        <w:rPr>
          <w:spacing w:val="-1"/>
        </w:rPr>
        <w:t>月</w:t>
      </w:r>
      <w:r>
        <w:rPr>
          <w:rFonts w:ascii="Times New Roman" w:hAnsi="Times New Roman" w:cs="Times New Roman" w:eastAsia="Times New Roman" w:hint="default"/>
          <w:spacing w:val="-1"/>
        </w:rPr>
        <w:t>31</w:t>
      </w:r>
      <w:r>
        <w:rPr>
          <w:spacing w:val="-1"/>
        </w:rPr>
        <w:t>日本公司经重新认定为高新技术企业，有效期三年，企业所得税率为</w:t>
      </w:r>
      <w:r>
        <w:rPr>
          <w:rFonts w:ascii="Times New Roman" w:hAnsi="Times New Roman" w:cs="Times New Roman" w:eastAsia="Times New Roman" w:hint="default"/>
          <w:spacing w:val="-1"/>
        </w:rPr>
        <w:t>15%</w:t>
      </w:r>
      <w:r>
        <w:rPr>
          <w:spacing w:val="-1"/>
        </w:rPr>
        <w:t>，已向深圳市南山区地方税务局</w:t>
      </w:r>
      <w:r>
        <w:rPr/>
        <w:t> 备案。</w:t>
      </w:r>
    </w:p>
    <w:p>
      <w:pPr>
        <w:pStyle w:val="BodyText"/>
        <w:spacing w:line="300" w:lineRule="auto" w:before="31"/>
        <w:ind w:left="154" w:right="1132" w:firstLine="360"/>
        <w:jc w:val="both"/>
      </w:pPr>
      <w:r>
        <w:rPr>
          <w:rFonts w:ascii="Times New Roman" w:hAnsi="Times New Roman" w:cs="Times New Roman" w:eastAsia="Times New Roman" w:hint="default"/>
          <w:spacing w:val="-1"/>
        </w:rPr>
        <w:t>2016</w:t>
      </w:r>
      <w:r>
        <w:rPr>
          <w:spacing w:val="-1"/>
        </w:rPr>
        <w:t>年</w:t>
      </w:r>
      <w:r>
        <w:rPr>
          <w:rFonts w:ascii="Times New Roman" w:hAnsi="Times New Roman" w:cs="Times New Roman" w:eastAsia="Times New Roman" w:hint="default"/>
          <w:spacing w:val="-1"/>
        </w:rPr>
        <w:t>11</w:t>
      </w:r>
      <w:r>
        <w:rPr>
          <w:spacing w:val="-1"/>
        </w:rPr>
        <w:t>月</w:t>
      </w:r>
      <w:r>
        <w:rPr>
          <w:rFonts w:ascii="Times New Roman" w:hAnsi="Times New Roman" w:cs="Times New Roman" w:eastAsia="Times New Roman" w:hint="default"/>
          <w:spacing w:val="-1"/>
        </w:rPr>
        <w:t>30</w:t>
      </w:r>
      <w:r>
        <w:rPr>
          <w:spacing w:val="-1"/>
        </w:rPr>
        <w:t>日本公司之全资子公司惠州奥拓经认定为高新技术企业，有效期三年，企业所得税率</w:t>
      </w:r>
      <w:r>
        <w:rPr>
          <w:rFonts w:ascii="Times New Roman" w:hAnsi="Times New Roman" w:cs="Times New Roman" w:eastAsia="Times New Roman" w:hint="default"/>
          <w:spacing w:val="-1"/>
        </w:rPr>
        <w:t>15%</w:t>
      </w:r>
      <w:r>
        <w:rPr>
          <w:spacing w:val="-1"/>
        </w:rPr>
        <w:t>，已向惠州市大</w:t>
      </w:r>
      <w:r>
        <w:rPr/>
        <w:t> 亚湾经济技术开发区国税局备案。</w:t>
      </w:r>
    </w:p>
    <w:p>
      <w:pPr>
        <w:pStyle w:val="BodyText"/>
        <w:spacing w:line="300" w:lineRule="auto" w:before="31"/>
        <w:ind w:left="154" w:right="1130" w:firstLine="360"/>
        <w:jc w:val="both"/>
      </w:pPr>
      <w:r>
        <w:rPr>
          <w:rFonts w:ascii="Times New Roman" w:hAnsi="Times New Roman" w:cs="Times New Roman" w:eastAsia="Times New Roman" w:hint="default"/>
          <w:spacing w:val="-1"/>
        </w:rPr>
        <w:t>2017</w:t>
      </w:r>
      <w:r>
        <w:rPr>
          <w:spacing w:val="-1"/>
        </w:rPr>
        <w:t>年</w:t>
      </w:r>
      <w:r>
        <w:rPr>
          <w:rFonts w:ascii="Times New Roman" w:hAnsi="Times New Roman" w:cs="Times New Roman" w:eastAsia="Times New Roman" w:hint="default"/>
          <w:spacing w:val="-1"/>
        </w:rPr>
        <w:t>12</w:t>
      </w:r>
      <w:r>
        <w:rPr>
          <w:spacing w:val="-1"/>
        </w:rPr>
        <w:t>月</w:t>
      </w:r>
      <w:r>
        <w:rPr>
          <w:rFonts w:ascii="Times New Roman" w:hAnsi="Times New Roman" w:cs="Times New Roman" w:eastAsia="Times New Roman" w:hint="default"/>
          <w:spacing w:val="-1"/>
        </w:rPr>
        <w:t>27</w:t>
      </w:r>
      <w:r>
        <w:rPr>
          <w:spacing w:val="-1"/>
        </w:rPr>
        <w:t>日本公司之全资子公司南京奥拓经重新认定为高新技术企业，有效期三年，企业所得税率</w:t>
      </w:r>
      <w:r>
        <w:rPr>
          <w:rFonts w:ascii="Times New Roman" w:hAnsi="Times New Roman" w:cs="Times New Roman" w:eastAsia="Times New Roman" w:hint="default"/>
          <w:spacing w:val="-1"/>
        </w:rPr>
        <w:t>15%</w:t>
      </w:r>
      <w:r>
        <w:rPr>
          <w:spacing w:val="-1"/>
        </w:rPr>
        <w:t>，已由南京</w:t>
      </w:r>
      <w:r>
        <w:rPr/>
        <w:t> 雨花区国税局核准备案；</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9</w:t>
      </w:r>
      <w:r>
        <w:rPr/>
        <w:t>月南京奥拓经认定为科技型中小企业，有效期三年，研发费用按</w:t>
      </w:r>
      <w:r>
        <w:rPr>
          <w:rFonts w:ascii="Times New Roman" w:hAnsi="Times New Roman" w:cs="Times New Roman" w:eastAsia="Times New Roman" w:hint="default"/>
        </w:rPr>
        <w:t>75%</w:t>
      </w:r>
      <w:r>
        <w:rPr/>
        <w:t>加计扣除。</w:t>
      </w:r>
    </w:p>
    <w:p>
      <w:pPr>
        <w:pStyle w:val="BodyText"/>
        <w:spacing w:line="240" w:lineRule="auto" w:before="13"/>
        <w:ind w:left="513" w:right="0"/>
        <w:jc w:val="left"/>
      </w:pPr>
      <w:r>
        <w:rPr/>
        <w:t>本公司之全资孙公司南京奥拓软件企业所得税享受两免三减半优惠政策，已由南京雨花区国税局核准备案。</w:t>
      </w:r>
    </w:p>
    <w:p>
      <w:pPr>
        <w:pStyle w:val="BodyText"/>
        <w:spacing w:line="300" w:lineRule="auto" w:before="76"/>
        <w:ind w:right="1130" w:firstLine="360"/>
        <w:jc w:val="both"/>
      </w:pPr>
      <w:r>
        <w:rPr>
          <w:rFonts w:ascii="Times New Roman" w:hAnsi="Times New Roman" w:cs="Times New Roman" w:eastAsia="Times New Roman" w:hint="default"/>
          <w:spacing w:val="-1"/>
        </w:rPr>
        <w:t>2017</w:t>
      </w:r>
      <w:r>
        <w:rPr>
          <w:spacing w:val="-1"/>
        </w:rPr>
        <w:t>年</w:t>
      </w:r>
      <w:r>
        <w:rPr>
          <w:rFonts w:ascii="Times New Roman" w:hAnsi="Times New Roman" w:cs="Times New Roman" w:eastAsia="Times New Roman" w:hint="default"/>
          <w:spacing w:val="-1"/>
        </w:rPr>
        <w:t>11</w:t>
      </w:r>
      <w:r>
        <w:rPr>
          <w:spacing w:val="-1"/>
        </w:rPr>
        <w:t>月</w:t>
      </w:r>
      <w:r>
        <w:rPr>
          <w:rFonts w:ascii="Times New Roman" w:hAnsi="Times New Roman" w:cs="Times New Roman" w:eastAsia="Times New Roman" w:hint="default"/>
          <w:spacing w:val="-1"/>
        </w:rPr>
        <w:t>23</w:t>
      </w:r>
      <w:r>
        <w:rPr>
          <w:spacing w:val="-1"/>
        </w:rPr>
        <w:t>日子公司上海翰明经复审认定为国家高新技术企业，有效期三年，企业所得税率</w:t>
      </w:r>
      <w:r>
        <w:rPr>
          <w:rFonts w:ascii="Times New Roman" w:hAnsi="Times New Roman" w:cs="Times New Roman" w:eastAsia="Times New Roman" w:hint="default"/>
          <w:spacing w:val="-1"/>
        </w:rPr>
        <w:t>15%</w:t>
      </w:r>
      <w:r>
        <w:rPr>
          <w:spacing w:val="-1"/>
        </w:rPr>
        <w:t>，已由上海市地方税</w:t>
      </w:r>
      <w:r>
        <w:rPr/>
        <w:t> </w:t>
      </w:r>
      <w:r>
        <w:rPr>
          <w:spacing w:val="-1"/>
        </w:rPr>
        <w:t>务局长宁区分局第七税务所核准备案；</w:t>
      </w:r>
      <w:r>
        <w:rPr>
          <w:rFonts w:ascii="Times New Roman" w:hAnsi="Times New Roman" w:cs="Times New Roman" w:eastAsia="Times New Roman" w:hint="default"/>
          <w:spacing w:val="-1"/>
        </w:rPr>
        <w:t>2017</w:t>
      </w:r>
      <w:r>
        <w:rPr>
          <w:spacing w:val="-1"/>
        </w:rPr>
        <w:t>年</w:t>
      </w:r>
      <w:r>
        <w:rPr>
          <w:rFonts w:ascii="Times New Roman" w:hAnsi="Times New Roman" w:cs="Times New Roman" w:eastAsia="Times New Roman" w:hint="default"/>
          <w:spacing w:val="-1"/>
        </w:rPr>
        <w:t>12</w:t>
      </w:r>
      <w:r>
        <w:rPr>
          <w:spacing w:val="-1"/>
        </w:rPr>
        <w:t>月上海翰明经认定为科技型中小企业，有效期三年，研发费用按</w:t>
      </w:r>
      <w:r>
        <w:rPr>
          <w:rFonts w:ascii="Times New Roman" w:hAnsi="Times New Roman" w:cs="Times New Roman" w:eastAsia="Times New Roman" w:hint="default"/>
          <w:spacing w:val="-1"/>
        </w:rPr>
        <w:t>75%</w:t>
      </w:r>
      <w:r>
        <w:rPr>
          <w:spacing w:val="-1"/>
        </w:rPr>
        <w:t>加计扣</w:t>
      </w:r>
      <w:r>
        <w:rPr>
          <w:spacing w:val="-84"/>
        </w:rPr>
        <w:t> </w:t>
      </w:r>
      <w:r>
        <w:rPr>
          <w:spacing w:val="-30"/>
        </w:rPr>
        <w:t>除，。</w:t>
      </w:r>
    </w:p>
    <w:p>
      <w:pPr>
        <w:pStyle w:val="BodyText"/>
        <w:spacing w:line="300" w:lineRule="auto" w:before="31"/>
        <w:ind w:left="154" w:right="1132" w:firstLine="360"/>
        <w:jc w:val="both"/>
      </w:pPr>
      <w:r>
        <w:rPr>
          <w:rFonts w:ascii="Times New Roman" w:hAnsi="Times New Roman" w:cs="Times New Roman" w:eastAsia="Times New Roman" w:hint="default"/>
          <w:spacing w:val="-1"/>
        </w:rPr>
        <w:t>2016</w:t>
      </w:r>
      <w:r>
        <w:rPr>
          <w:spacing w:val="-1"/>
        </w:rPr>
        <w:t>年</w:t>
      </w:r>
      <w:r>
        <w:rPr>
          <w:rFonts w:ascii="Times New Roman" w:hAnsi="Times New Roman" w:cs="Times New Roman" w:eastAsia="Times New Roman" w:hint="default"/>
          <w:spacing w:val="-1"/>
        </w:rPr>
        <w:t>11</w:t>
      </w:r>
      <w:r>
        <w:rPr>
          <w:spacing w:val="-1"/>
        </w:rPr>
        <w:t>月</w:t>
      </w:r>
      <w:r>
        <w:rPr>
          <w:rFonts w:ascii="Times New Roman" w:hAnsi="Times New Roman" w:cs="Times New Roman" w:eastAsia="Times New Roman" w:hint="default"/>
          <w:spacing w:val="-1"/>
        </w:rPr>
        <w:t>15</w:t>
      </w:r>
      <w:r>
        <w:rPr>
          <w:spacing w:val="-1"/>
        </w:rPr>
        <w:t>日本公司之全资子公司千百辉经认定为国家高新技术企业，有效期三年，企业所得税率</w:t>
      </w:r>
      <w:r>
        <w:rPr>
          <w:rFonts w:ascii="Times New Roman" w:hAnsi="Times New Roman" w:cs="Times New Roman" w:eastAsia="Times New Roman" w:hint="default"/>
          <w:spacing w:val="-1"/>
        </w:rPr>
        <w:t>15%</w:t>
      </w:r>
      <w:r>
        <w:rPr>
          <w:spacing w:val="-1"/>
        </w:rPr>
        <w:t>，已向深圳市</w:t>
      </w:r>
      <w:r>
        <w:rPr/>
        <w:t> 福田区地方税务局备案。</w:t>
      </w:r>
    </w:p>
    <w:p>
      <w:pPr>
        <w:pStyle w:val="BodyText"/>
        <w:spacing w:line="240" w:lineRule="auto" w:before="32"/>
        <w:ind w:left="514" w:right="0"/>
        <w:jc w:val="left"/>
      </w:pPr>
      <w:r>
        <w:rPr/>
        <w:t>（</w:t>
      </w:r>
      <w:r>
        <w:rPr>
          <w:rFonts w:ascii="Times New Roman" w:hAnsi="Times New Roman" w:cs="Times New Roman" w:eastAsia="Times New Roman" w:hint="default"/>
        </w:rPr>
        <w:t>2</w:t>
      </w:r>
      <w:r>
        <w:rPr/>
        <w:t>）增值税</w:t>
      </w:r>
    </w:p>
    <w:p>
      <w:pPr>
        <w:pStyle w:val="BodyText"/>
        <w:spacing w:line="300" w:lineRule="auto" w:before="63"/>
        <w:ind w:right="1131" w:firstLine="360"/>
        <w:jc w:val="both"/>
      </w:pPr>
      <w:r>
        <w:rPr>
          <w:rFonts w:ascii="Times New Roman" w:hAnsi="Times New Roman" w:cs="Times New Roman" w:eastAsia="Times New Roman" w:hint="default"/>
          <w:spacing w:val="-2"/>
        </w:rPr>
        <w:t>2005</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30</w:t>
      </w:r>
      <w:r>
        <w:rPr>
          <w:spacing w:val="-2"/>
        </w:rPr>
        <w:t>日，深圳市奥拓软件技术有限公司（以下简称</w:t>
      </w:r>
      <w:r>
        <w:rPr>
          <w:rFonts w:ascii="Times New Roman" w:hAnsi="Times New Roman" w:cs="Times New Roman" w:eastAsia="Times New Roman" w:hint="default"/>
          <w:spacing w:val="-2"/>
        </w:rPr>
        <w:t>“</w:t>
      </w:r>
      <w:r>
        <w:rPr>
          <w:spacing w:val="-2"/>
        </w:rPr>
        <w:t>奥拓软件</w:t>
      </w:r>
      <w:r>
        <w:rPr>
          <w:rFonts w:ascii="Times New Roman" w:hAnsi="Times New Roman" w:cs="Times New Roman" w:eastAsia="Times New Roman" w:hint="default"/>
          <w:spacing w:val="-2"/>
        </w:rPr>
        <w:t>”</w:t>
      </w:r>
      <w:r>
        <w:rPr>
          <w:spacing w:val="-2"/>
        </w:rPr>
        <w:t>）经深圳市科技和信息局认定为软件企业。根据</w:t>
      </w:r>
      <w:r>
        <w:rPr/>
        <w:t> 国发</w:t>
      </w:r>
      <w:r>
        <w:rPr>
          <w:rFonts w:ascii="Times New Roman" w:hAnsi="Times New Roman" w:cs="Times New Roman" w:eastAsia="Times New Roman" w:hint="default"/>
        </w:rPr>
        <w:t>[2011]4</w:t>
      </w:r>
      <w:r>
        <w:rPr/>
        <w:t>号《国务院关于印发进一步鼓励软件产业和集成电路产业发展若干政策的通知》及财税</w:t>
      </w:r>
      <w:r>
        <w:rPr>
          <w:rFonts w:ascii="Times New Roman" w:hAnsi="Times New Roman" w:cs="Times New Roman" w:eastAsia="Times New Roman" w:hint="default"/>
        </w:rPr>
        <w:t>[2011]100</w:t>
      </w:r>
      <w:r>
        <w:rPr/>
        <w:t>号文件，奥拓</w:t>
      </w:r>
      <w:r>
        <w:rPr>
          <w:spacing w:val="-62"/>
        </w:rPr>
        <w:t> </w:t>
      </w:r>
      <w:r>
        <w:rPr>
          <w:spacing w:val="-62"/>
        </w:rPr>
      </w:r>
      <w:r>
        <w:rPr/>
        <w:t>软件销售其自行开发生产的软件产品，对增值税实际税负超过</w:t>
      </w:r>
      <w:r>
        <w:rPr>
          <w:rFonts w:ascii="Times New Roman" w:hAnsi="Times New Roman" w:cs="Times New Roman" w:eastAsia="Times New Roman" w:hint="default"/>
        </w:rPr>
        <w:t>3%</w:t>
      </w:r>
      <w:r>
        <w:rPr/>
        <w:t>的部分继续享受软件行业增值税即征即退的优惠政策。</w:t>
      </w:r>
    </w:p>
    <w:p>
      <w:pPr>
        <w:spacing w:after="0" w:line="300" w:lineRule="auto"/>
        <w:jc w:val="both"/>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00" w:lineRule="auto" w:before="44"/>
        <w:ind w:right="1131" w:firstLine="360"/>
        <w:jc w:val="both"/>
      </w:pPr>
      <w:r>
        <w:rPr>
          <w:rFonts w:ascii="Times New Roman" w:hAnsi="Times New Roman" w:cs="Times New Roman" w:eastAsia="Times New Roman" w:hint="default"/>
        </w:rPr>
        <w:t>2016</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18</w:t>
      </w:r>
      <w:r>
        <w:rPr/>
        <w:t>日，南京奥拓软件技术有限公司（以下简称</w:t>
      </w:r>
      <w:r>
        <w:rPr>
          <w:rFonts w:ascii="Times New Roman" w:hAnsi="Times New Roman" w:cs="Times New Roman" w:eastAsia="Times New Roman" w:hint="default"/>
        </w:rPr>
        <w:t>“</w:t>
      </w:r>
      <w:r>
        <w:rPr/>
        <w:t>南京软件</w:t>
      </w:r>
      <w:r>
        <w:rPr>
          <w:rFonts w:ascii="Times New Roman" w:hAnsi="Times New Roman" w:cs="Times New Roman" w:eastAsia="Times New Roman" w:hint="default"/>
        </w:rPr>
        <w:t>”</w:t>
      </w:r>
      <w:r>
        <w:rPr/>
        <w:t>）经江苏省软件行业协会认定为软件企业。根据国 发</w:t>
      </w:r>
      <w:r>
        <w:rPr>
          <w:rFonts w:ascii="Times New Roman" w:hAnsi="Times New Roman" w:cs="Times New Roman" w:eastAsia="Times New Roman" w:hint="default"/>
        </w:rPr>
        <w:t>[2011]4</w:t>
      </w:r>
      <w:r>
        <w:rPr/>
        <w:t>号《国务院关于印发进一步鼓励软件产业和集成电路产业发展若干政策的通知》及财税</w:t>
      </w:r>
      <w:r>
        <w:rPr>
          <w:rFonts w:ascii="Times New Roman" w:hAnsi="Times New Roman" w:cs="Times New Roman" w:eastAsia="Times New Roman" w:hint="default"/>
        </w:rPr>
        <w:t>[2011]100</w:t>
      </w:r>
      <w:r>
        <w:rPr/>
        <w:t>号文件，南京软</w:t>
      </w:r>
      <w:r>
        <w:rPr>
          <w:spacing w:val="-63"/>
        </w:rPr>
        <w:t> </w:t>
      </w:r>
      <w:r>
        <w:rPr>
          <w:spacing w:val="-63"/>
        </w:rPr>
      </w:r>
      <w:r>
        <w:rPr/>
        <w:t>件销售其自行开发生产的软件产品，对增值税实际税负超过</w:t>
      </w:r>
      <w:r>
        <w:rPr>
          <w:rFonts w:ascii="Times New Roman" w:hAnsi="Times New Roman" w:cs="Times New Roman" w:eastAsia="Times New Roman" w:hint="default"/>
        </w:rPr>
        <w:t>3%</w:t>
      </w:r>
      <w:r>
        <w:rPr/>
        <w:t>的部分享受软件行业增值税即征即退的优惠政策。</w:t>
      </w:r>
    </w:p>
    <w:p>
      <w:pPr>
        <w:spacing w:line="240" w:lineRule="auto" w:before="1"/>
        <w:rPr>
          <w:rFonts w:ascii="宋体" w:hAnsi="宋体" w:cs="宋体" w:eastAsia="宋体" w:hint="default"/>
          <w:sz w:val="22"/>
          <w:szCs w:val="22"/>
        </w:rPr>
      </w:pPr>
    </w:p>
    <w:p>
      <w:pPr>
        <w:pStyle w:val="Heading3"/>
        <w:spacing w:line="240" w:lineRule="auto"/>
        <w:ind w:left="153" w:right="0"/>
        <w:jc w:val="left"/>
        <w:rPr>
          <w:b w:val="0"/>
          <w:bCs w:val="0"/>
        </w:rPr>
      </w:pPr>
      <w:bookmarkStart w:name="3、其他" w:id="226"/>
      <w:bookmarkEnd w:id="226"/>
      <w:r>
        <w:rPr>
          <w:b w:val="0"/>
          <w:bCs w:val="0"/>
        </w:rPr>
      </w:r>
      <w:r>
        <w:rPr>
          <w:rFonts w:ascii="Times New Roman" w:hAnsi="Times New Roman" w:cs="Times New Roman" w:eastAsia="Times New Roman" w:hint="default"/>
        </w:rPr>
        <w:t>3</w:t>
      </w:r>
      <w:r>
        <w:rPr/>
        <w:t>、其他</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13"/>
        <w:rPr>
          <w:rFonts w:ascii="宋体" w:hAnsi="宋体" w:cs="宋体" w:eastAsia="宋体" w:hint="default"/>
          <w:sz w:val="24"/>
          <w:szCs w:val="24"/>
        </w:rPr>
      </w:pPr>
    </w:p>
    <w:p>
      <w:pPr>
        <w:pStyle w:val="Heading2"/>
        <w:spacing w:line="240" w:lineRule="auto"/>
        <w:ind w:left="154" w:right="0"/>
        <w:jc w:val="left"/>
        <w:rPr>
          <w:b w:val="0"/>
          <w:bCs w:val="0"/>
        </w:rPr>
      </w:pPr>
      <w:bookmarkStart w:name="七、合并财务报表项目注释" w:id="227"/>
      <w:bookmarkEnd w:id="227"/>
      <w:r>
        <w:rPr>
          <w:b w:val="0"/>
          <w:bCs w:val="0"/>
        </w:rPr>
      </w:r>
      <w:r>
        <w:rPr/>
        <w:t>七、合并财务报表项目注释</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left="153" w:right="0"/>
        <w:jc w:val="left"/>
        <w:rPr>
          <w:b w:val="0"/>
          <w:bCs w:val="0"/>
        </w:rPr>
      </w:pPr>
      <w:bookmarkStart w:name="1、货币资金" w:id="228"/>
      <w:bookmarkEnd w:id="228"/>
      <w:r>
        <w:rPr>
          <w:b w:val="0"/>
          <w:bCs w:val="0"/>
        </w:rPr>
      </w:r>
      <w:r>
        <w:rPr>
          <w:rFonts w:ascii="Times New Roman" w:hAnsi="Times New Roman" w:cs="Times New Roman" w:eastAsia="Times New Roman" w:hint="default"/>
        </w:rPr>
        <w:t>1</w:t>
      </w:r>
      <w:r>
        <w:rPr/>
        <w:t>、货币资金</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库存现金</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234,091.31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156,926.17</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320,231,374.88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365,115,876.51</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其他货币资金</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7,689,654.52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2,955,398.29</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328,155,120.71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368,228,200.97</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91" w:right="0"/>
              <w:jc w:val="left"/>
              <w:rPr>
                <w:rFonts w:ascii="宋体" w:hAnsi="宋体" w:cs="宋体" w:eastAsia="宋体" w:hint="default"/>
                <w:sz w:val="18"/>
                <w:szCs w:val="18"/>
              </w:rPr>
            </w:pPr>
            <w:r>
              <w:rPr>
                <w:rFonts w:ascii="宋体" w:hAnsi="宋体" w:cs="宋体" w:eastAsia="宋体" w:hint="default"/>
                <w:sz w:val="18"/>
                <w:szCs w:val="18"/>
              </w:rPr>
              <w:t>其中：存放在境外的款项总额</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33,840,451.01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5,191,564.31</w:t>
            </w:r>
          </w:p>
        </w:tc>
      </w:tr>
    </w:tbl>
    <w:p>
      <w:pPr>
        <w:pStyle w:val="BodyText"/>
        <w:spacing w:line="240" w:lineRule="auto" w:before="51"/>
        <w:ind w:left="154" w:right="0"/>
        <w:jc w:val="left"/>
      </w:pPr>
      <w:r>
        <w:rPr/>
        <w:t>其他说明</w:t>
      </w:r>
    </w:p>
    <w:p>
      <w:pPr>
        <w:pStyle w:val="BodyText"/>
        <w:spacing w:line="300" w:lineRule="auto" w:before="116"/>
        <w:ind w:left="154" w:right="0"/>
        <w:jc w:val="left"/>
      </w:pPr>
      <w:r>
        <w:rPr>
          <w:spacing w:val="4"/>
        </w:rPr>
        <w:t>期末其他货币资金均为受限资金；期初受限货币资金为</w:t>
      </w:r>
      <w:r>
        <w:rPr>
          <w:rFonts w:ascii="Times New Roman" w:hAnsi="Times New Roman" w:cs="Times New Roman" w:eastAsia="Times New Roman" w:hint="default"/>
          <w:spacing w:val="4"/>
        </w:rPr>
        <w:t>3,548,347.16</w:t>
      </w:r>
      <w:r>
        <w:rPr>
          <w:spacing w:val="4"/>
        </w:rPr>
        <w:t>元，其中银行存款为</w:t>
      </w:r>
      <w:r>
        <w:rPr>
          <w:rFonts w:ascii="Times New Roman" w:hAnsi="Times New Roman" w:cs="Times New Roman" w:eastAsia="Times New Roman" w:hint="default"/>
          <w:spacing w:val="4"/>
        </w:rPr>
        <w:t>592,948.87</w:t>
      </w:r>
      <w:r>
        <w:rPr>
          <w:spacing w:val="4"/>
        </w:rPr>
        <w:t>元，其他货币资金为</w:t>
      </w:r>
      <w:r>
        <w:rPr>
          <w:spacing w:val="-32"/>
        </w:rPr>
        <w:t> </w:t>
      </w:r>
      <w:r>
        <w:rPr>
          <w:spacing w:val="-32"/>
        </w:rPr>
      </w:r>
      <w:r>
        <w:rPr>
          <w:rFonts w:ascii="Times New Roman" w:hAnsi="Times New Roman" w:cs="Times New Roman" w:eastAsia="Times New Roman" w:hint="default"/>
        </w:rPr>
        <w:t>2,955,398.29</w:t>
      </w:r>
      <w:r>
        <w:rPr/>
        <w:t>元。</w:t>
      </w:r>
    </w:p>
    <w:p>
      <w:pPr>
        <w:spacing w:line="240" w:lineRule="auto" w:before="1"/>
        <w:rPr>
          <w:rFonts w:ascii="宋体" w:hAnsi="宋体" w:cs="宋体" w:eastAsia="宋体" w:hint="default"/>
          <w:sz w:val="22"/>
          <w:szCs w:val="22"/>
        </w:rPr>
      </w:pPr>
    </w:p>
    <w:p>
      <w:pPr>
        <w:pStyle w:val="Heading3"/>
        <w:spacing w:line="240" w:lineRule="auto"/>
        <w:ind w:right="0"/>
        <w:jc w:val="left"/>
        <w:rPr>
          <w:b w:val="0"/>
          <w:bCs w:val="0"/>
        </w:rPr>
      </w:pPr>
      <w:bookmarkStart w:name="2、以公允价值计量且其变动计入当期损益的金融资产" w:id="229"/>
      <w:bookmarkEnd w:id="229"/>
      <w:r>
        <w:rPr>
          <w:b w:val="0"/>
          <w:bCs w:val="0"/>
        </w:rPr>
      </w:r>
      <w:r>
        <w:rPr>
          <w:rFonts w:ascii="Times New Roman" w:hAnsi="Times New Roman" w:cs="Times New Roman" w:eastAsia="Times New Roman" w:hint="default"/>
        </w:rPr>
        <w:t>2</w:t>
      </w:r>
      <w:r>
        <w:rPr/>
        <w:t>、以公允价值计量且其变动计入当期损益的金融资产</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79"/>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357" w:lineRule="auto" w:before="51"/>
        <w:ind w:right="9853"/>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3、衍生金融资产" w:id="230"/>
      <w:bookmarkEnd w:id="230"/>
      <w:r>
        <w:rPr>
          <w:b w:val="0"/>
          <w:bCs w:val="0"/>
        </w:rPr>
      </w:r>
      <w:r>
        <w:rPr>
          <w:rFonts w:ascii="Times New Roman" w:hAnsi="Times New Roman" w:cs="Times New Roman" w:eastAsia="Times New Roman" w:hint="default"/>
        </w:rPr>
        <w:t>3</w:t>
      </w:r>
      <w:r>
        <w:rPr/>
        <w:t>、衍生金融资产</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154"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9"/>
        <w:rPr>
          <w:rFonts w:ascii="宋体" w:hAnsi="宋体" w:cs="宋体" w:eastAsia="宋体" w:hint="default"/>
          <w:sz w:val="25"/>
          <w:szCs w:val="25"/>
        </w:rPr>
      </w:pPr>
    </w:p>
    <w:p>
      <w:pPr>
        <w:pStyle w:val="Heading3"/>
        <w:spacing w:line="240" w:lineRule="auto"/>
        <w:ind w:left="153" w:right="0"/>
        <w:jc w:val="left"/>
        <w:rPr>
          <w:b w:val="0"/>
          <w:bCs w:val="0"/>
        </w:rPr>
      </w:pPr>
      <w:bookmarkStart w:name="4、应收票据" w:id="231"/>
      <w:bookmarkEnd w:id="231"/>
      <w:r>
        <w:rPr>
          <w:b w:val="0"/>
          <w:bCs w:val="0"/>
        </w:rPr>
      </w:r>
      <w:r>
        <w:rPr>
          <w:rFonts w:ascii="Times New Roman" w:hAnsi="Times New Roman" w:cs="Times New Roman" w:eastAsia="Times New Roman" w:hint="default"/>
        </w:rPr>
        <w:t>4</w:t>
      </w:r>
      <w:r>
        <w:rPr/>
        <w:t>、应收票据</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left="153" w:right="0"/>
        <w:jc w:val="left"/>
        <w:rPr>
          <w:b w:val="0"/>
          <w:bCs w:val="0"/>
        </w:rPr>
      </w:pPr>
      <w:bookmarkStart w:name="（1）应收票据分类列示" w:id="232"/>
      <w:bookmarkEnd w:id="232"/>
      <w:r>
        <w:rPr>
          <w:b w:val="0"/>
          <w:bCs w:val="0"/>
        </w:rPr>
      </w:r>
      <w:r>
        <w:rPr/>
        <w:t>（</w:t>
      </w:r>
      <w:r>
        <w:rPr>
          <w:rFonts w:ascii="Times New Roman" w:hAnsi="Times New Roman" w:cs="Times New Roman" w:eastAsia="Times New Roman" w:hint="default"/>
        </w:rPr>
        <w:t>1</w:t>
      </w:r>
      <w:r>
        <w:rPr/>
        <w:t>）应收票据分类列示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银行承兑票据</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2,630,660.00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1,627,000.00</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89"/>
        <w:gridCol w:w="3191"/>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商业承兑票据</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5,638,462.33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577,336.91</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8,269,122.33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2,204,336.91</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期末公司已质押的应收票据" w:id="233"/>
      <w:bookmarkEnd w:id="233"/>
      <w:r>
        <w:rPr>
          <w:b w:val="0"/>
          <w:bCs w:val="0"/>
        </w:rPr>
      </w:r>
      <w:r>
        <w:rPr/>
        <w:t>（</w:t>
      </w:r>
      <w:r>
        <w:rPr>
          <w:rFonts w:ascii="Times New Roman" w:hAnsi="Times New Roman" w:cs="Times New Roman" w:eastAsia="Times New Roman" w:hint="default"/>
        </w:rPr>
        <w:t>2</w:t>
      </w:r>
      <w:r>
        <w:rPr/>
        <w:t>）期末公司已质押的应收票据</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785"/>
        <w:gridCol w:w="4784"/>
      </w:tblGrid>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期末已质押金额</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3）期末公司已背书或贴现且在资产负债表日尚未到期的应收票据" w:id="234"/>
      <w:bookmarkEnd w:id="234"/>
      <w:r>
        <w:rPr>
          <w:b w:val="0"/>
          <w:bCs w:val="0"/>
        </w:rPr>
      </w:r>
      <w:r>
        <w:rPr/>
        <w:t>（</w:t>
      </w:r>
      <w:r>
        <w:rPr>
          <w:rFonts w:ascii="Times New Roman" w:hAnsi="Times New Roman" w:cs="Times New Roman" w:eastAsia="Times New Roman" w:hint="default"/>
        </w:rPr>
        <w:t>3</w:t>
      </w:r>
      <w:r>
        <w:rPr/>
        <w:t>）期末公司已背书或贴现且在资产负债表日尚未到期的应收票据</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882" w:right="0"/>
              <w:jc w:val="left"/>
              <w:rPr>
                <w:rFonts w:ascii="宋体" w:hAnsi="宋体" w:cs="宋体" w:eastAsia="宋体" w:hint="default"/>
                <w:sz w:val="18"/>
                <w:szCs w:val="18"/>
              </w:rPr>
            </w:pPr>
            <w:r>
              <w:rPr>
                <w:rFonts w:ascii="宋体" w:hAnsi="宋体" w:cs="宋体" w:eastAsia="宋体" w:hint="default"/>
                <w:sz w:val="18"/>
                <w:szCs w:val="18"/>
              </w:rPr>
              <w:t>期末终止确认金额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80" w:right="0"/>
              <w:jc w:val="left"/>
              <w:rPr>
                <w:rFonts w:ascii="宋体" w:hAnsi="宋体" w:cs="宋体" w:eastAsia="宋体" w:hint="default"/>
                <w:sz w:val="18"/>
                <w:szCs w:val="18"/>
              </w:rPr>
            </w:pPr>
            <w:r>
              <w:rPr>
                <w:rFonts w:ascii="宋体" w:hAnsi="宋体" w:cs="宋体" w:eastAsia="宋体" w:hint="default"/>
                <w:sz w:val="18"/>
                <w:szCs w:val="18"/>
              </w:rPr>
              <w:t>期末未终止确认金额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银行承兑票据</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36,345,023.08</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商业承兑票据</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200,000.00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36,545,023.08</w:t>
            </w:r>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4）期末公司因出票人未履约而将其转应收账款的票据" w:id="235"/>
      <w:bookmarkEnd w:id="235"/>
      <w:r>
        <w:rPr>
          <w:b w:val="0"/>
          <w:bCs w:val="0"/>
        </w:rPr>
      </w:r>
      <w:r>
        <w:rPr/>
        <w:t>（</w:t>
      </w:r>
      <w:r>
        <w:rPr>
          <w:rFonts w:ascii="Times New Roman" w:hAnsi="Times New Roman" w:cs="Times New Roman" w:eastAsia="Times New Roman" w:hint="default"/>
        </w:rPr>
        <w:t>4</w:t>
      </w:r>
      <w:r>
        <w:rPr/>
        <w:t>）期末公司因出票人未履约而将其转应收账款的票据</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785"/>
        <w:gridCol w:w="4784"/>
      </w:tblGrid>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576" w:right="0"/>
              <w:jc w:val="left"/>
              <w:rPr>
                <w:rFonts w:ascii="宋体" w:hAnsi="宋体" w:cs="宋体" w:eastAsia="宋体" w:hint="default"/>
                <w:sz w:val="18"/>
                <w:szCs w:val="18"/>
              </w:rPr>
            </w:pPr>
            <w:r>
              <w:rPr>
                <w:rFonts w:ascii="宋体" w:hAnsi="宋体" w:cs="宋体" w:eastAsia="宋体" w:hint="default"/>
                <w:sz w:val="18"/>
                <w:szCs w:val="18"/>
              </w:rPr>
              <w:t>期末转应收账款金额</w:t>
            </w:r>
          </w:p>
        </w:tc>
      </w:tr>
    </w:tbl>
    <w:p>
      <w:pPr>
        <w:pStyle w:val="BodyText"/>
        <w:spacing w:line="357" w:lineRule="auto" w:before="52"/>
        <w:ind w:right="10033"/>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5、应收账款" w:id="236"/>
      <w:bookmarkEnd w:id="236"/>
      <w:r>
        <w:rPr>
          <w:b w:val="0"/>
          <w:bCs w:val="0"/>
        </w:rPr>
      </w:r>
      <w:r>
        <w:rPr>
          <w:rFonts w:ascii="Times New Roman" w:hAnsi="Times New Roman" w:cs="Times New Roman" w:eastAsia="Times New Roman" w:hint="default"/>
        </w:rPr>
        <w:t>5</w:t>
      </w:r>
      <w:r>
        <w:rPr/>
        <w:t>、应收账款</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应收账款分类披露" w:id="237"/>
      <w:bookmarkEnd w:id="237"/>
      <w:r>
        <w:rPr>
          <w:b w:val="0"/>
          <w:bCs w:val="0"/>
        </w:rPr>
      </w:r>
      <w:r>
        <w:rPr/>
        <w:t>（</w:t>
      </w:r>
      <w:r>
        <w:rPr>
          <w:rFonts w:ascii="Times New Roman" w:hAnsi="Times New Roman" w:cs="Times New Roman" w:eastAsia="Times New Roman" w:hint="default"/>
        </w:rPr>
        <w:t>1</w:t>
      </w:r>
      <w:r>
        <w:rPr/>
        <w:t>）应收账款分类披露</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635"/>
        <w:gridCol w:w="763"/>
        <w:gridCol w:w="762"/>
        <w:gridCol w:w="762"/>
        <w:gridCol w:w="762"/>
        <w:gridCol w:w="790"/>
        <w:gridCol w:w="654"/>
        <w:gridCol w:w="762"/>
        <w:gridCol w:w="813"/>
        <w:gridCol w:w="932"/>
        <w:gridCol w:w="932"/>
      </w:tblGrid>
      <w:tr>
        <w:trPr>
          <w:trHeight w:val="397" w:hRule="exact"/>
        </w:trPr>
        <w:tc>
          <w:tcPr>
            <w:tcW w:w="1635" w:type="dxa"/>
            <w:vMerge w:val="restart"/>
            <w:tcBorders>
              <w:top w:val="single" w:sz="4" w:space="0" w:color="000000"/>
              <w:left w:val="single" w:sz="4" w:space="0" w:color="000000"/>
              <w:right w:val="single" w:sz="4" w:space="0" w:color="000000"/>
            </w:tcBorders>
            <w:shd w:val="clear" w:color="auto" w:fill="D2D2D2"/>
          </w:tcPr>
          <w:p>
            <w:pPr/>
          </w:p>
        </w:tc>
        <w:tc>
          <w:tcPr>
            <w:tcW w:w="383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4"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66" w:hRule="exact"/>
        </w:trPr>
        <w:tc>
          <w:tcPr>
            <w:tcW w:w="1635" w:type="dxa"/>
            <w:vMerge/>
            <w:tcBorders>
              <w:left w:val="single" w:sz="4" w:space="0" w:color="000000"/>
              <w:bottom w:val="nil" w:sz="6" w:space="0" w:color="auto"/>
              <w:right w:val="single" w:sz="4" w:space="0" w:color="000000"/>
            </w:tcBorders>
            <w:shd w:val="clear" w:color="auto" w:fill="D2D2D2"/>
          </w:tcPr>
          <w:p>
            <w:pPr/>
          </w:p>
        </w:tc>
        <w:tc>
          <w:tcPr>
            <w:tcW w:w="152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0" w:type="dxa"/>
            <w:vMerge w:val="restart"/>
            <w:tcBorders>
              <w:top w:val="single" w:sz="4" w:space="0" w:color="000000"/>
              <w:left w:val="single" w:sz="4" w:space="0" w:color="000000"/>
              <w:right w:val="single" w:sz="4" w:space="0" w:color="000000"/>
            </w:tcBorders>
            <w:shd w:val="clear" w:color="auto" w:fill="D2D2D2"/>
          </w:tcPr>
          <w:p>
            <w:pPr/>
          </w:p>
        </w:tc>
        <w:tc>
          <w:tcPr>
            <w:tcW w:w="141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4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50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2" w:type="dxa"/>
            <w:vMerge w:val="restart"/>
            <w:tcBorders>
              <w:top w:val="single" w:sz="4" w:space="0" w:color="000000"/>
              <w:left w:val="single" w:sz="4" w:space="0" w:color="000000"/>
              <w:right w:val="single" w:sz="4" w:space="0" w:color="000000"/>
            </w:tcBorders>
            <w:shd w:val="clear" w:color="auto" w:fill="D2D2D2"/>
          </w:tcPr>
          <w:p>
            <w:pPr/>
          </w:p>
        </w:tc>
      </w:tr>
      <w:tr>
        <w:trPr>
          <w:trHeight w:val="241" w:hRule="exact"/>
        </w:trPr>
        <w:tc>
          <w:tcPr>
            <w:tcW w:w="163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1525" w:type="dxa"/>
            <w:gridSpan w:val="2"/>
            <w:vMerge/>
            <w:tcBorders>
              <w:left w:val="single" w:sz="4" w:space="0" w:color="000000"/>
              <w:bottom w:val="single" w:sz="4" w:space="0" w:color="000000"/>
              <w:right w:val="single" w:sz="4" w:space="0" w:color="000000"/>
            </w:tcBorders>
            <w:shd w:val="clear" w:color="auto" w:fill="D2D2D2"/>
          </w:tcPr>
          <w:p>
            <w:pPr/>
          </w:p>
        </w:tc>
        <w:tc>
          <w:tcPr>
            <w:tcW w:w="1524" w:type="dxa"/>
            <w:gridSpan w:val="2"/>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1416" w:type="dxa"/>
            <w:gridSpan w:val="2"/>
            <w:vMerge/>
            <w:tcBorders>
              <w:left w:val="single" w:sz="4" w:space="0" w:color="000000"/>
              <w:bottom w:val="single" w:sz="4" w:space="0" w:color="000000"/>
              <w:right w:val="single" w:sz="4" w:space="0" w:color="000000"/>
            </w:tcBorders>
            <w:shd w:val="clear" w:color="auto" w:fill="D2D2D2"/>
          </w:tcPr>
          <w:p>
            <w:pPr/>
          </w:p>
        </w:tc>
        <w:tc>
          <w:tcPr>
            <w:tcW w:w="1745" w:type="dxa"/>
            <w:gridSpan w:val="2"/>
            <w:vMerge/>
            <w:tcBorders>
              <w:left w:val="single" w:sz="4" w:space="0" w:color="000000"/>
              <w:bottom w:val="single" w:sz="4" w:space="0" w:color="000000"/>
              <w:right w:val="single" w:sz="4" w:space="0" w:color="000000"/>
            </w:tcBorders>
            <w:shd w:val="clear" w:color="auto" w:fill="D2D2D2"/>
          </w:tcPr>
          <w:p>
            <w:pPr/>
          </w:p>
        </w:tc>
        <w:tc>
          <w:tcPr>
            <w:tcW w:w="932" w:type="dxa"/>
            <w:vMerge/>
            <w:tcBorders>
              <w:left w:val="single" w:sz="4" w:space="0" w:color="000000"/>
              <w:bottom w:val="nil" w:sz="6" w:space="0" w:color="auto"/>
              <w:right w:val="single" w:sz="4" w:space="0" w:color="000000"/>
            </w:tcBorders>
            <w:shd w:val="clear" w:color="auto" w:fill="D2D2D2"/>
          </w:tcPr>
          <w:p>
            <w:pPr/>
          </w:p>
        </w:tc>
      </w:tr>
      <w:tr>
        <w:trPr>
          <w:trHeight w:val="158" w:hRule="exact"/>
        </w:trPr>
        <w:tc>
          <w:tcPr>
            <w:tcW w:w="1635" w:type="dxa"/>
            <w:vMerge/>
            <w:tcBorders>
              <w:left w:val="single" w:sz="4" w:space="0" w:color="000000"/>
              <w:bottom w:val="single" w:sz="4" w:space="0" w:color="FFFFFF"/>
              <w:right w:val="single" w:sz="4" w:space="0" w:color="000000"/>
            </w:tcBorders>
            <w:shd w:val="clear" w:color="auto" w:fill="D2D2D2"/>
          </w:tcPr>
          <w:p>
            <w:pPr/>
          </w:p>
        </w:tc>
        <w:tc>
          <w:tcPr>
            <w:tcW w:w="763"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285" w:right="104"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9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30"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654" w:type="dxa"/>
            <w:tcBorders>
              <w:top w:val="single" w:sz="4" w:space="0" w:color="000000"/>
              <w:left w:val="single" w:sz="4" w:space="0" w:color="000000"/>
              <w:bottom w:val="nil" w:sz="6" w:space="0" w:color="auto"/>
              <w:right w:val="single" w:sz="4" w:space="0" w:color="000000"/>
            </w:tcBorders>
            <w:shd w:val="clear" w:color="auto" w:fill="D2D2D2"/>
          </w:tcPr>
          <w:p>
            <w:pPr/>
          </w:p>
        </w:tc>
        <w:tc>
          <w:tcPr>
            <w:tcW w:w="762" w:type="dxa"/>
            <w:tcBorders>
              <w:top w:val="single" w:sz="4" w:space="0" w:color="000000"/>
              <w:left w:val="single" w:sz="4" w:space="0" w:color="000000"/>
              <w:bottom w:val="nil" w:sz="6" w:space="0" w:color="auto"/>
              <w:right w:val="single" w:sz="4" w:space="0" w:color="000000"/>
            </w:tcBorders>
            <w:shd w:val="clear" w:color="auto" w:fill="D2D2D2"/>
          </w:tcPr>
          <w:p>
            <w:pPr/>
          </w:p>
        </w:tc>
        <w:tc>
          <w:tcPr>
            <w:tcW w:w="813" w:type="dxa"/>
            <w:tcBorders>
              <w:top w:val="single" w:sz="4" w:space="0" w:color="000000"/>
              <w:left w:val="single" w:sz="4" w:space="0" w:color="000000"/>
              <w:bottom w:val="nil" w:sz="6" w:space="0" w:color="auto"/>
              <w:right w:val="single" w:sz="4" w:space="0" w:color="000000"/>
            </w:tcBorders>
            <w:shd w:val="clear" w:color="auto" w:fill="D2D2D2"/>
          </w:tcPr>
          <w:p>
            <w:pPr/>
          </w:p>
        </w:tc>
        <w:tc>
          <w:tcPr>
            <w:tcW w:w="932" w:type="dxa"/>
            <w:tcBorders>
              <w:top w:val="single" w:sz="4" w:space="0" w:color="000000"/>
              <w:left w:val="single" w:sz="4" w:space="0" w:color="000000"/>
              <w:bottom w:val="nil" w:sz="6" w:space="0" w:color="auto"/>
              <w:right w:val="single" w:sz="4" w:space="0" w:color="000000"/>
            </w:tcBorders>
            <w:shd w:val="clear" w:color="auto" w:fill="D2D2D2"/>
          </w:tcPr>
          <w:p>
            <w:pPr/>
          </w:p>
        </w:tc>
        <w:tc>
          <w:tcPr>
            <w:tcW w:w="93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93" w:hRule="exact"/>
        </w:trPr>
        <w:tc>
          <w:tcPr>
            <w:tcW w:w="1635" w:type="dxa"/>
            <w:vMerge w:val="restart"/>
            <w:tcBorders>
              <w:top w:val="single" w:sz="4" w:space="0" w:color="FFFFFF"/>
              <w:left w:val="single" w:sz="4" w:space="0" w:color="000000"/>
              <w:right w:val="single" w:sz="4" w:space="0" w:color="000000"/>
            </w:tcBorders>
            <w:shd w:val="clear" w:color="auto" w:fill="D2D2D2"/>
          </w:tcPr>
          <w:p>
            <w:pPr/>
          </w:p>
        </w:tc>
        <w:tc>
          <w:tcPr>
            <w:tcW w:w="763"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tcBorders>
              <w:left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65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4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22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0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2" w:type="dxa"/>
            <w:vMerge/>
            <w:tcBorders>
              <w:left w:val="single" w:sz="4" w:space="0" w:color="000000"/>
              <w:bottom w:val="nil" w:sz="6" w:space="0" w:color="auto"/>
              <w:right w:val="single" w:sz="4" w:space="0" w:color="000000"/>
            </w:tcBorders>
            <w:shd w:val="clear" w:color="auto" w:fill="D2D2D2"/>
          </w:tcPr>
          <w:p>
            <w:pPr/>
          </w:p>
        </w:tc>
      </w:tr>
      <w:tr>
        <w:trPr>
          <w:trHeight w:val="202" w:hRule="exact"/>
        </w:trPr>
        <w:tc>
          <w:tcPr>
            <w:tcW w:w="1635" w:type="dxa"/>
            <w:vMerge/>
            <w:tcBorders>
              <w:left w:val="single" w:sz="4" w:space="0" w:color="000000"/>
              <w:right w:val="single" w:sz="4" w:space="0" w:color="000000"/>
            </w:tcBorders>
            <w:shd w:val="clear" w:color="auto" w:fill="D2D2D2"/>
          </w:tcPr>
          <w:p>
            <w:pPr/>
          </w:p>
        </w:tc>
        <w:tc>
          <w:tcPr>
            <w:tcW w:w="763"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right w:val="single" w:sz="4" w:space="0" w:color="000000"/>
            </w:tcBorders>
            <w:shd w:val="clear" w:color="auto" w:fill="D2D2D2"/>
          </w:tcPr>
          <w:p>
            <w:pPr/>
          </w:p>
        </w:tc>
        <w:tc>
          <w:tcPr>
            <w:tcW w:w="790" w:type="dxa"/>
            <w:vMerge w:val="restart"/>
            <w:tcBorders>
              <w:top w:val="nil" w:sz="6" w:space="0" w:color="auto"/>
              <w:left w:val="single" w:sz="4" w:space="0" w:color="000000"/>
              <w:right w:val="single" w:sz="4" w:space="0" w:color="000000"/>
            </w:tcBorders>
            <w:shd w:val="clear" w:color="auto" w:fill="D2D2D2"/>
          </w:tcPr>
          <w:p>
            <w:pPr/>
          </w:p>
        </w:tc>
        <w:tc>
          <w:tcPr>
            <w:tcW w:w="654"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813" w:type="dxa"/>
            <w:vMerge/>
            <w:tcBorders>
              <w:left w:val="single" w:sz="4" w:space="0" w:color="000000"/>
              <w:bottom w:val="nil" w:sz="6" w:space="0" w:color="auto"/>
              <w:right w:val="single" w:sz="4" w:space="0" w:color="000000"/>
            </w:tcBorders>
            <w:shd w:val="clear" w:color="auto" w:fill="D2D2D2"/>
          </w:tcPr>
          <w:p>
            <w:pPr/>
          </w:p>
        </w:tc>
        <w:tc>
          <w:tcPr>
            <w:tcW w:w="932" w:type="dxa"/>
            <w:vMerge/>
            <w:tcBorders>
              <w:left w:val="single" w:sz="4" w:space="0" w:color="000000"/>
              <w:bottom w:val="nil" w:sz="6" w:space="0" w:color="auto"/>
              <w:right w:val="single" w:sz="4" w:space="0" w:color="000000"/>
            </w:tcBorders>
            <w:shd w:val="clear" w:color="auto" w:fill="D2D2D2"/>
          </w:tcPr>
          <w:p>
            <w:pPr/>
          </w:p>
        </w:tc>
        <w:tc>
          <w:tcPr>
            <w:tcW w:w="932"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635" w:type="dxa"/>
            <w:vMerge/>
            <w:tcBorders>
              <w:left w:val="single" w:sz="4" w:space="0" w:color="000000"/>
              <w:bottom w:val="single" w:sz="4" w:space="0" w:color="000000"/>
              <w:right w:val="single" w:sz="4" w:space="0" w:color="000000"/>
            </w:tcBorders>
            <w:shd w:val="clear" w:color="auto" w:fill="D2D2D2"/>
          </w:tcPr>
          <w:p>
            <w:pPr/>
          </w:p>
        </w:tc>
        <w:tc>
          <w:tcPr>
            <w:tcW w:w="76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single" w:sz="4" w:space="0" w:color="000000"/>
              <w:right w:val="single" w:sz="4" w:space="0" w:color="000000"/>
            </w:tcBorders>
            <w:shd w:val="clear" w:color="auto" w:fill="D2D2D2"/>
          </w:tcPr>
          <w:p>
            <w:pPr/>
          </w:p>
        </w:tc>
        <w:tc>
          <w:tcPr>
            <w:tcW w:w="654"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813" w:type="dxa"/>
            <w:tcBorders>
              <w:top w:val="nil" w:sz="6" w:space="0" w:color="auto"/>
              <w:left w:val="single" w:sz="4" w:space="0" w:color="000000"/>
              <w:bottom w:val="single" w:sz="4" w:space="0" w:color="000000"/>
              <w:right w:val="single" w:sz="4" w:space="0" w:color="000000"/>
            </w:tcBorders>
            <w:shd w:val="clear" w:color="auto" w:fill="D2D2D2"/>
          </w:tcPr>
          <w:p>
            <w:pPr/>
          </w:p>
        </w:tc>
        <w:tc>
          <w:tcPr>
            <w:tcW w:w="932" w:type="dxa"/>
            <w:tcBorders>
              <w:top w:val="nil" w:sz="6" w:space="0" w:color="auto"/>
              <w:left w:val="single" w:sz="4" w:space="0" w:color="000000"/>
              <w:bottom w:val="single" w:sz="4" w:space="0" w:color="000000"/>
              <w:right w:val="single" w:sz="4" w:space="0" w:color="000000"/>
            </w:tcBorders>
            <w:shd w:val="clear" w:color="auto" w:fill="D2D2D2"/>
          </w:tcPr>
          <w:p>
            <w:pPr/>
          </w:p>
        </w:tc>
        <w:tc>
          <w:tcPr>
            <w:tcW w:w="932"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160"/>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应收账款</w:t>
            </w:r>
          </w:p>
        </w:tc>
        <w:tc>
          <w:tcPr>
            <w:tcW w:w="76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3" w:right="0"/>
              <w:jc w:val="center"/>
              <w:rPr>
                <w:rFonts w:ascii="Times New Roman" w:hAnsi="Times New Roman" w:cs="Times New Roman" w:eastAsia="Times New Roman" w:hint="default"/>
                <w:sz w:val="18"/>
                <w:szCs w:val="18"/>
              </w:rPr>
            </w:pPr>
            <w:r>
              <w:rPr>
                <w:rFonts w:ascii="Times New Roman"/>
                <w:sz w:val="18"/>
              </w:rPr>
              <w:t>550,883,</w:t>
            </w:r>
          </w:p>
          <w:p>
            <w:pPr>
              <w:pStyle w:val="TableParagraph"/>
              <w:spacing w:line="240" w:lineRule="auto" w:before="105"/>
              <w:ind w:left="200" w:right="0"/>
              <w:jc w:val="center"/>
              <w:rPr>
                <w:rFonts w:ascii="Times New Roman" w:hAnsi="Times New Roman" w:cs="Times New Roman" w:eastAsia="Times New Roman" w:hint="default"/>
                <w:sz w:val="18"/>
                <w:szCs w:val="18"/>
              </w:rPr>
            </w:pPr>
            <w:r>
              <w:rPr>
                <w:rFonts w:ascii="Times New Roman"/>
                <w:sz w:val="18"/>
              </w:rPr>
              <w:t>636.87</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44,598,3</w:t>
            </w:r>
          </w:p>
          <w:p>
            <w:pPr>
              <w:pStyle w:val="TableParagraph"/>
              <w:spacing w:line="240" w:lineRule="auto" w:before="105"/>
              <w:ind w:left="323" w:right="0"/>
              <w:jc w:val="left"/>
              <w:rPr>
                <w:rFonts w:ascii="Times New Roman" w:hAnsi="Times New Roman" w:cs="Times New Roman" w:eastAsia="Times New Roman" w:hint="default"/>
                <w:sz w:val="18"/>
                <w:szCs w:val="18"/>
              </w:rPr>
            </w:pPr>
            <w:r>
              <w:rPr>
                <w:rFonts w:ascii="Times New Roman"/>
                <w:sz w:val="18"/>
              </w:rPr>
              <w:t>84.55</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65" w:right="0"/>
              <w:jc w:val="left"/>
              <w:rPr>
                <w:rFonts w:ascii="Times New Roman" w:hAnsi="Times New Roman" w:cs="Times New Roman" w:eastAsia="Times New Roman" w:hint="default"/>
                <w:sz w:val="18"/>
                <w:szCs w:val="18"/>
              </w:rPr>
            </w:pPr>
            <w:r>
              <w:rPr>
                <w:rFonts w:ascii="Times New Roman"/>
                <w:sz w:val="18"/>
              </w:rPr>
              <w:t>8.10%</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7" w:right="0"/>
              <w:jc w:val="left"/>
              <w:rPr>
                <w:rFonts w:ascii="Times New Roman" w:hAnsi="Times New Roman" w:cs="Times New Roman" w:eastAsia="Times New Roman" w:hint="default"/>
                <w:sz w:val="18"/>
                <w:szCs w:val="18"/>
              </w:rPr>
            </w:pPr>
            <w:r>
              <w:rPr>
                <w:rFonts w:ascii="Times New Roman"/>
                <w:sz w:val="18"/>
              </w:rPr>
              <w:t>506,285,2</w:t>
            </w:r>
          </w:p>
          <w:p>
            <w:pPr>
              <w:pStyle w:val="TableParagraph"/>
              <w:spacing w:line="240" w:lineRule="auto" w:before="105"/>
              <w:ind w:left="352" w:right="0"/>
              <w:jc w:val="left"/>
              <w:rPr>
                <w:rFonts w:ascii="Times New Roman" w:hAnsi="Times New Roman" w:cs="Times New Roman" w:eastAsia="Times New Roman" w:hint="default"/>
                <w:sz w:val="18"/>
                <w:szCs w:val="18"/>
              </w:rPr>
            </w:pPr>
            <w:r>
              <w:rPr>
                <w:rFonts w:ascii="Times New Roman"/>
                <w:sz w:val="18"/>
              </w:rPr>
              <w:t>52.32</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5" w:right="0"/>
              <w:jc w:val="left"/>
              <w:rPr>
                <w:rFonts w:ascii="Times New Roman" w:hAnsi="Times New Roman" w:cs="Times New Roman" w:eastAsia="Times New Roman" w:hint="default"/>
                <w:sz w:val="18"/>
                <w:szCs w:val="18"/>
              </w:rPr>
            </w:pPr>
            <w:r>
              <w:rPr>
                <w:rFonts w:ascii="Times New Roman"/>
                <w:sz w:val="18"/>
              </w:rPr>
              <w:t>254,431</w:t>
            </w:r>
          </w:p>
          <w:p>
            <w:pPr>
              <w:pStyle w:val="TableParagraph"/>
              <w:spacing w:line="240" w:lineRule="auto" w:before="105"/>
              <w:ind w:left="80" w:right="0"/>
              <w:jc w:val="left"/>
              <w:rPr>
                <w:rFonts w:ascii="Times New Roman" w:hAnsi="Times New Roman" w:cs="Times New Roman" w:eastAsia="Times New Roman" w:hint="default"/>
                <w:sz w:val="18"/>
                <w:szCs w:val="18"/>
              </w:rPr>
            </w:pPr>
            <w:r>
              <w:rPr>
                <w:rFonts w:ascii="Times New Roman"/>
                <w:sz w:val="18"/>
              </w:rPr>
              <w:t>,897.43</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0" w:right="0"/>
              <w:jc w:val="left"/>
              <w:rPr>
                <w:rFonts w:ascii="Times New Roman" w:hAnsi="Times New Roman" w:cs="Times New Roman" w:eastAsia="Times New Roman" w:hint="default"/>
                <w:sz w:val="18"/>
                <w:szCs w:val="18"/>
              </w:rPr>
            </w:pPr>
            <w:r>
              <w:rPr>
                <w:rFonts w:ascii="Times New Roman"/>
                <w:sz w:val="18"/>
              </w:rPr>
              <w:t>23,061,13</w:t>
            </w:r>
          </w:p>
          <w:p>
            <w:pPr>
              <w:pStyle w:val="TableParagraph"/>
              <w:spacing w:line="240" w:lineRule="auto" w:before="105"/>
              <w:ind w:left="466" w:right="0"/>
              <w:jc w:val="left"/>
              <w:rPr>
                <w:rFonts w:ascii="Times New Roman" w:hAnsi="Times New Roman" w:cs="Times New Roman" w:eastAsia="Times New Roman" w:hint="default"/>
                <w:sz w:val="18"/>
                <w:szCs w:val="18"/>
              </w:rPr>
            </w:pPr>
            <w:r>
              <w:rPr>
                <w:rFonts w:ascii="Times New Roman"/>
                <w:sz w:val="18"/>
              </w:rPr>
              <w:t>2.14</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35" w:right="0"/>
              <w:jc w:val="left"/>
              <w:rPr>
                <w:rFonts w:ascii="Times New Roman" w:hAnsi="Times New Roman" w:cs="Times New Roman" w:eastAsia="Times New Roman" w:hint="default"/>
                <w:sz w:val="18"/>
                <w:szCs w:val="18"/>
              </w:rPr>
            </w:pPr>
            <w:r>
              <w:rPr>
                <w:rFonts w:ascii="Times New Roman"/>
                <w:sz w:val="18"/>
              </w:rPr>
              <w:t>9.06%</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8" w:right="0"/>
              <w:jc w:val="left"/>
              <w:rPr>
                <w:rFonts w:ascii="Times New Roman" w:hAnsi="Times New Roman" w:cs="Times New Roman" w:eastAsia="Times New Roman" w:hint="default"/>
                <w:sz w:val="18"/>
                <w:szCs w:val="18"/>
              </w:rPr>
            </w:pPr>
            <w:r>
              <w:rPr>
                <w:rFonts w:ascii="Times New Roman"/>
                <w:sz w:val="18"/>
              </w:rPr>
              <w:t>231,370,76</w:t>
            </w:r>
          </w:p>
          <w:p>
            <w:pPr>
              <w:pStyle w:val="TableParagraph"/>
              <w:spacing w:line="240" w:lineRule="auto" w:before="105"/>
              <w:ind w:left="584" w:right="0"/>
              <w:jc w:val="left"/>
              <w:rPr>
                <w:rFonts w:ascii="Times New Roman" w:hAnsi="Times New Roman" w:cs="Times New Roman" w:eastAsia="Times New Roman" w:hint="default"/>
                <w:sz w:val="18"/>
                <w:szCs w:val="18"/>
              </w:rPr>
            </w:pPr>
            <w:r>
              <w:rPr>
                <w:rFonts w:ascii="Times New Roman"/>
                <w:sz w:val="18"/>
              </w:rPr>
              <w:t>5.29</w:t>
            </w:r>
          </w:p>
        </w:tc>
      </w:tr>
      <w:tr>
        <w:trPr>
          <w:trHeight w:val="161" w:hRule="exact"/>
        </w:trPr>
        <w:tc>
          <w:tcPr>
            <w:tcW w:w="1635" w:type="dxa"/>
            <w:tcBorders>
              <w:top w:val="single" w:sz="4" w:space="0" w:color="000000"/>
              <w:left w:val="single" w:sz="4" w:space="0" w:color="000000"/>
              <w:bottom w:val="nil" w:sz="6" w:space="0" w:color="auto"/>
              <w:right w:val="single" w:sz="4" w:space="0" w:color="000000"/>
            </w:tcBorders>
            <w:shd w:val="clear" w:color="auto" w:fill="D2D2D2"/>
          </w:tcPr>
          <w:p>
            <w:pPr/>
          </w:p>
        </w:tc>
        <w:tc>
          <w:tcPr>
            <w:tcW w:w="763" w:type="dxa"/>
            <w:vMerge w:val="restart"/>
            <w:tcBorders>
              <w:top w:val="single" w:sz="4" w:space="0" w:color="000000"/>
              <w:left w:val="single" w:sz="9" w:space="0" w:color="D2D2D2"/>
              <w:right w:val="single" w:sz="4" w:space="0" w:color="000000"/>
            </w:tcBorders>
          </w:tcPr>
          <w:p>
            <w:pPr>
              <w:pStyle w:val="TableParagraph"/>
              <w:spacing w:line="240" w:lineRule="auto" w:before="91"/>
              <w:ind w:left="69" w:right="0"/>
              <w:jc w:val="center"/>
              <w:rPr>
                <w:rFonts w:ascii="Times New Roman" w:hAnsi="Times New Roman" w:cs="Times New Roman" w:eastAsia="Times New Roman" w:hint="default"/>
                <w:sz w:val="18"/>
                <w:szCs w:val="18"/>
              </w:rPr>
            </w:pPr>
            <w:r>
              <w:rPr>
                <w:rFonts w:ascii="Times New Roman"/>
                <w:sz w:val="18"/>
              </w:rPr>
              <w:t>550,883,</w:t>
            </w:r>
          </w:p>
          <w:p>
            <w:pPr>
              <w:pStyle w:val="TableParagraph"/>
              <w:spacing w:line="240" w:lineRule="auto" w:before="105"/>
              <w:ind w:left="205" w:right="0"/>
              <w:jc w:val="center"/>
              <w:rPr>
                <w:rFonts w:ascii="Times New Roman" w:hAnsi="Times New Roman" w:cs="Times New Roman" w:eastAsia="Times New Roman" w:hint="default"/>
                <w:sz w:val="18"/>
                <w:szCs w:val="18"/>
              </w:rPr>
            </w:pPr>
            <w:r>
              <w:rPr>
                <w:rFonts w:ascii="Times New Roman"/>
                <w:sz w:val="18"/>
              </w:rPr>
              <w:t>636.87</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91"/>
              <w:ind w:left="98" w:right="0"/>
              <w:jc w:val="left"/>
              <w:rPr>
                <w:rFonts w:ascii="Times New Roman" w:hAnsi="Times New Roman" w:cs="Times New Roman" w:eastAsia="Times New Roman" w:hint="default"/>
                <w:sz w:val="18"/>
                <w:szCs w:val="18"/>
              </w:rPr>
            </w:pPr>
            <w:r>
              <w:rPr>
                <w:rFonts w:ascii="Times New Roman"/>
                <w:sz w:val="18"/>
              </w:rPr>
              <w:t>44,598,3</w:t>
            </w:r>
          </w:p>
          <w:p>
            <w:pPr>
              <w:pStyle w:val="TableParagraph"/>
              <w:spacing w:line="240" w:lineRule="auto" w:before="105"/>
              <w:ind w:left="323" w:right="0"/>
              <w:jc w:val="left"/>
              <w:rPr>
                <w:rFonts w:ascii="Times New Roman" w:hAnsi="Times New Roman" w:cs="Times New Roman" w:eastAsia="Times New Roman" w:hint="default"/>
                <w:sz w:val="18"/>
                <w:szCs w:val="18"/>
              </w:rPr>
            </w:pPr>
            <w:r>
              <w:rPr>
                <w:rFonts w:ascii="Times New Roman"/>
                <w:sz w:val="18"/>
              </w:rPr>
              <w:t>84.55</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65" w:right="0"/>
              <w:jc w:val="left"/>
              <w:rPr>
                <w:rFonts w:ascii="Times New Roman" w:hAnsi="Times New Roman" w:cs="Times New Roman" w:eastAsia="Times New Roman" w:hint="default"/>
                <w:sz w:val="18"/>
                <w:szCs w:val="18"/>
              </w:rPr>
            </w:pPr>
            <w:r>
              <w:rPr>
                <w:rFonts w:ascii="Times New Roman"/>
                <w:sz w:val="18"/>
              </w:rPr>
              <w:t>8.10%</w:t>
            </w:r>
          </w:p>
        </w:tc>
        <w:tc>
          <w:tcPr>
            <w:tcW w:w="790" w:type="dxa"/>
            <w:vMerge w:val="restart"/>
            <w:tcBorders>
              <w:top w:val="single" w:sz="4" w:space="0" w:color="000000"/>
              <w:left w:val="single" w:sz="4" w:space="0" w:color="000000"/>
              <w:right w:val="single" w:sz="4" w:space="0" w:color="000000"/>
            </w:tcBorders>
          </w:tcPr>
          <w:p>
            <w:pPr>
              <w:pStyle w:val="TableParagraph"/>
              <w:spacing w:line="240" w:lineRule="auto" w:before="91"/>
              <w:ind w:left="37" w:right="0"/>
              <w:jc w:val="left"/>
              <w:rPr>
                <w:rFonts w:ascii="Times New Roman" w:hAnsi="Times New Roman" w:cs="Times New Roman" w:eastAsia="Times New Roman" w:hint="default"/>
                <w:sz w:val="18"/>
                <w:szCs w:val="18"/>
              </w:rPr>
            </w:pPr>
            <w:r>
              <w:rPr>
                <w:rFonts w:ascii="Times New Roman"/>
                <w:sz w:val="18"/>
              </w:rPr>
              <w:t>506,285,2</w:t>
            </w:r>
          </w:p>
          <w:p>
            <w:pPr>
              <w:pStyle w:val="TableParagraph"/>
              <w:spacing w:line="240" w:lineRule="auto" w:before="105"/>
              <w:ind w:left="352" w:right="0"/>
              <w:jc w:val="left"/>
              <w:rPr>
                <w:rFonts w:ascii="Times New Roman" w:hAnsi="Times New Roman" w:cs="Times New Roman" w:eastAsia="Times New Roman" w:hint="default"/>
                <w:sz w:val="18"/>
                <w:szCs w:val="18"/>
              </w:rPr>
            </w:pPr>
            <w:r>
              <w:rPr>
                <w:rFonts w:ascii="Times New Roman"/>
                <w:sz w:val="18"/>
              </w:rPr>
              <w:t>52.32</w:t>
            </w:r>
          </w:p>
        </w:tc>
        <w:tc>
          <w:tcPr>
            <w:tcW w:w="654" w:type="dxa"/>
            <w:vMerge w:val="restart"/>
            <w:tcBorders>
              <w:top w:val="single" w:sz="4" w:space="0" w:color="000000"/>
              <w:left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254,431</w:t>
            </w:r>
          </w:p>
          <w:p>
            <w:pPr>
              <w:pStyle w:val="TableParagraph"/>
              <w:spacing w:line="240" w:lineRule="auto" w:before="105"/>
              <w:ind w:left="80" w:right="0"/>
              <w:jc w:val="left"/>
              <w:rPr>
                <w:rFonts w:ascii="Times New Roman" w:hAnsi="Times New Roman" w:cs="Times New Roman" w:eastAsia="Times New Roman" w:hint="default"/>
                <w:sz w:val="18"/>
                <w:szCs w:val="18"/>
              </w:rPr>
            </w:pPr>
            <w:r>
              <w:rPr>
                <w:rFonts w:ascii="Times New Roman"/>
                <w:sz w:val="18"/>
              </w:rPr>
              <w:t>,897.43</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3" w:type="dxa"/>
            <w:vMerge w:val="restart"/>
            <w:tcBorders>
              <w:top w:val="single" w:sz="4" w:space="0" w:color="000000"/>
              <w:left w:val="single" w:sz="4" w:space="0" w:color="000000"/>
              <w:right w:val="single" w:sz="4" w:space="0" w:color="000000"/>
            </w:tcBorders>
          </w:tcPr>
          <w:p>
            <w:pPr>
              <w:pStyle w:val="TableParagraph"/>
              <w:spacing w:line="240" w:lineRule="auto" w:before="91"/>
              <w:ind w:left="60" w:right="0"/>
              <w:jc w:val="left"/>
              <w:rPr>
                <w:rFonts w:ascii="Times New Roman" w:hAnsi="Times New Roman" w:cs="Times New Roman" w:eastAsia="Times New Roman" w:hint="default"/>
                <w:sz w:val="18"/>
                <w:szCs w:val="18"/>
              </w:rPr>
            </w:pPr>
            <w:r>
              <w:rPr>
                <w:rFonts w:ascii="Times New Roman"/>
                <w:sz w:val="18"/>
              </w:rPr>
              <w:t>23,061,13</w:t>
            </w:r>
          </w:p>
          <w:p>
            <w:pPr>
              <w:pStyle w:val="TableParagraph"/>
              <w:spacing w:line="240" w:lineRule="auto" w:before="105"/>
              <w:ind w:left="466" w:right="0"/>
              <w:jc w:val="left"/>
              <w:rPr>
                <w:rFonts w:ascii="Times New Roman" w:hAnsi="Times New Roman" w:cs="Times New Roman" w:eastAsia="Times New Roman" w:hint="default"/>
                <w:sz w:val="18"/>
                <w:szCs w:val="18"/>
              </w:rPr>
            </w:pPr>
            <w:r>
              <w:rPr>
                <w:rFonts w:ascii="Times New Roman"/>
                <w:sz w:val="18"/>
              </w:rPr>
              <w:t>2.14</w:t>
            </w:r>
          </w:p>
        </w:tc>
        <w:tc>
          <w:tcPr>
            <w:tcW w:w="93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35" w:right="0"/>
              <w:jc w:val="left"/>
              <w:rPr>
                <w:rFonts w:ascii="Times New Roman" w:hAnsi="Times New Roman" w:cs="Times New Roman" w:eastAsia="Times New Roman" w:hint="default"/>
                <w:sz w:val="18"/>
                <w:szCs w:val="18"/>
              </w:rPr>
            </w:pPr>
            <w:r>
              <w:rPr>
                <w:rFonts w:ascii="Times New Roman"/>
                <w:sz w:val="18"/>
              </w:rPr>
              <w:t>9.06%</w:t>
            </w:r>
          </w:p>
        </w:tc>
        <w:tc>
          <w:tcPr>
            <w:tcW w:w="932" w:type="dxa"/>
            <w:vMerge w:val="restart"/>
            <w:tcBorders>
              <w:top w:val="single" w:sz="4" w:space="0" w:color="000000"/>
              <w:left w:val="single" w:sz="4" w:space="0" w:color="000000"/>
              <w:right w:val="single" w:sz="4" w:space="0" w:color="000000"/>
            </w:tcBorders>
          </w:tcPr>
          <w:p>
            <w:pPr>
              <w:pStyle w:val="TableParagraph"/>
              <w:spacing w:line="240" w:lineRule="auto" w:before="91"/>
              <w:ind w:left="88" w:right="0"/>
              <w:jc w:val="left"/>
              <w:rPr>
                <w:rFonts w:ascii="Times New Roman" w:hAnsi="Times New Roman" w:cs="Times New Roman" w:eastAsia="Times New Roman" w:hint="default"/>
                <w:sz w:val="18"/>
                <w:szCs w:val="18"/>
              </w:rPr>
            </w:pPr>
            <w:r>
              <w:rPr>
                <w:rFonts w:ascii="Times New Roman"/>
                <w:sz w:val="18"/>
              </w:rPr>
              <w:t>231,370,76</w:t>
            </w:r>
          </w:p>
          <w:p>
            <w:pPr>
              <w:pStyle w:val="TableParagraph"/>
              <w:spacing w:line="240" w:lineRule="auto" w:before="105"/>
              <w:ind w:left="584" w:right="0"/>
              <w:jc w:val="left"/>
              <w:rPr>
                <w:rFonts w:ascii="Times New Roman" w:hAnsi="Times New Roman" w:cs="Times New Roman" w:eastAsia="Times New Roman" w:hint="default"/>
                <w:sz w:val="18"/>
                <w:szCs w:val="18"/>
              </w:rPr>
            </w:pPr>
            <w:r>
              <w:rPr>
                <w:rFonts w:ascii="Times New Roman"/>
                <w:sz w:val="18"/>
              </w:rPr>
              <w:t>5.29</w:t>
            </w:r>
          </w:p>
        </w:tc>
      </w:tr>
      <w:tr>
        <w:trPr>
          <w:trHeight w:val="393" w:hRule="exact"/>
        </w:trPr>
        <w:tc>
          <w:tcPr>
            <w:tcW w:w="163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vMerge/>
            <w:tcBorders>
              <w:left w:val="single" w:sz="9" w:space="0" w:color="D2D2D2"/>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90" w:type="dxa"/>
            <w:vMerge/>
            <w:tcBorders>
              <w:left w:val="single" w:sz="4" w:space="0" w:color="000000"/>
              <w:right w:val="single" w:sz="4" w:space="0" w:color="000000"/>
            </w:tcBorders>
          </w:tcPr>
          <w:p>
            <w:pPr/>
          </w:p>
        </w:tc>
        <w:tc>
          <w:tcPr>
            <w:tcW w:w="654"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813" w:type="dxa"/>
            <w:vMerge/>
            <w:tcBorders>
              <w:left w:val="single" w:sz="4" w:space="0" w:color="000000"/>
              <w:right w:val="single" w:sz="4" w:space="0" w:color="000000"/>
            </w:tcBorders>
          </w:tcPr>
          <w:p>
            <w:pPr/>
          </w:p>
        </w:tc>
        <w:tc>
          <w:tcPr>
            <w:tcW w:w="932" w:type="dxa"/>
            <w:vMerge/>
            <w:tcBorders>
              <w:left w:val="single" w:sz="4" w:space="0" w:color="000000"/>
              <w:right w:val="single" w:sz="4" w:space="0" w:color="000000"/>
            </w:tcBorders>
          </w:tcPr>
          <w:p>
            <w:pPr/>
          </w:p>
        </w:tc>
        <w:tc>
          <w:tcPr>
            <w:tcW w:w="932" w:type="dxa"/>
            <w:vMerge/>
            <w:tcBorders>
              <w:left w:val="single" w:sz="4" w:space="0" w:color="000000"/>
              <w:right w:val="single" w:sz="4" w:space="0" w:color="000000"/>
            </w:tcBorders>
          </w:tcPr>
          <w:p>
            <w:pPr/>
          </w:p>
        </w:tc>
      </w:tr>
      <w:tr>
        <w:trPr>
          <w:trHeight w:val="161" w:hRule="exact"/>
        </w:trPr>
        <w:tc>
          <w:tcPr>
            <w:tcW w:w="1635"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vMerge/>
            <w:tcBorders>
              <w:left w:val="single" w:sz="9" w:space="0" w:color="D2D2D2"/>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90" w:type="dxa"/>
            <w:vMerge/>
            <w:tcBorders>
              <w:left w:val="single" w:sz="4" w:space="0" w:color="000000"/>
              <w:bottom w:val="single" w:sz="4" w:space="0" w:color="000000"/>
              <w:right w:val="single" w:sz="4" w:space="0" w:color="000000"/>
            </w:tcBorders>
          </w:tcPr>
          <w:p>
            <w:pPr/>
          </w:p>
        </w:tc>
        <w:tc>
          <w:tcPr>
            <w:tcW w:w="654"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813" w:type="dxa"/>
            <w:vMerge/>
            <w:tcBorders>
              <w:left w:val="single" w:sz="4" w:space="0" w:color="000000"/>
              <w:bottom w:val="single" w:sz="4" w:space="0" w:color="000000"/>
              <w:right w:val="single" w:sz="4" w:space="0" w:color="000000"/>
            </w:tcBorders>
          </w:tcPr>
          <w:p>
            <w:pPr/>
          </w:p>
        </w:tc>
        <w:tc>
          <w:tcPr>
            <w:tcW w:w="932" w:type="dxa"/>
            <w:vMerge/>
            <w:tcBorders>
              <w:left w:val="single" w:sz="4" w:space="0" w:color="000000"/>
              <w:bottom w:val="single" w:sz="4" w:space="0" w:color="000000"/>
              <w:right w:val="single" w:sz="4" w:space="0" w:color="000000"/>
            </w:tcBorders>
          </w:tcPr>
          <w:p>
            <w:pPr/>
          </w:p>
        </w:tc>
        <w:tc>
          <w:tcPr>
            <w:tcW w:w="932" w:type="dxa"/>
            <w:vMerge/>
            <w:tcBorders>
              <w:left w:val="single" w:sz="4" w:space="0" w:color="000000"/>
              <w:bottom w:val="single" w:sz="4" w:space="0" w:color="000000"/>
              <w:right w:val="single" w:sz="4" w:space="0" w:color="000000"/>
            </w:tcBorders>
          </w:tcPr>
          <w:p>
            <w:pPr/>
          </w:p>
        </w:tc>
      </w:tr>
    </w:tbl>
    <w:p>
      <w:pPr>
        <w:pStyle w:val="BodyText"/>
        <w:spacing w:line="240" w:lineRule="auto" w:before="51"/>
        <w:ind w:left="154" w:right="0"/>
        <w:jc w:val="left"/>
      </w:pPr>
      <w:r>
        <w:rPr/>
        <w:t>期末单项金额重大并单项计提坏账准备的应收账款：</w:t>
      </w:r>
    </w:p>
    <w:p>
      <w:pPr>
        <w:pStyle w:val="BodyText"/>
        <w:spacing w:line="338" w:lineRule="auto" w:before="117"/>
        <w:ind w:right="679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组合中，按账龄分析法计提坏账准备的应收账款：</w:t>
      </w:r>
    </w:p>
    <w:p>
      <w:pPr>
        <w:spacing w:after="0" w:line="338" w:lineRule="auto"/>
        <w:jc w:val="left"/>
        <w:sectPr>
          <w:pgSz w:w="11910" w:h="16840"/>
          <w:pgMar w:header="747" w:footer="979" w:top="1060" w:bottom="1160" w:left="980" w:right="0"/>
        </w:sectPr>
      </w:pPr>
    </w:p>
    <w:p>
      <w:pPr>
        <w:spacing w:line="240" w:lineRule="auto" w:before="13"/>
        <w:rPr>
          <w:rFonts w:ascii="宋体" w:hAnsi="宋体" w:cs="宋体" w:eastAsia="宋体" w:hint="default"/>
          <w:sz w:val="25"/>
          <w:szCs w:val="25"/>
        </w:rPr>
      </w:pPr>
    </w:p>
    <w:p>
      <w:pPr>
        <w:pStyle w:val="BodyText"/>
        <w:spacing w:line="240" w:lineRule="auto" w:before="44"/>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240" w:lineRule="auto" w:before="102"/>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375"/>
        <w:gridCol w:w="2398"/>
        <w:gridCol w:w="2392"/>
        <w:gridCol w:w="2392"/>
      </w:tblGrid>
      <w:tr>
        <w:trPr>
          <w:trHeight w:val="205" w:hRule="exact"/>
        </w:trPr>
        <w:tc>
          <w:tcPr>
            <w:tcW w:w="2375" w:type="dxa"/>
            <w:tcBorders>
              <w:top w:val="single" w:sz="4" w:space="0" w:color="000000"/>
              <w:left w:val="single" w:sz="4" w:space="0" w:color="000000"/>
              <w:bottom w:val="nil" w:sz="6" w:space="0" w:color="auto"/>
              <w:right w:val="single" w:sz="4" w:space="0" w:color="000000"/>
            </w:tcBorders>
            <w:shd w:val="clear" w:color="auto" w:fill="D2D2D2"/>
          </w:tcPr>
          <w:p>
            <w:pPr/>
          </w:p>
        </w:tc>
        <w:tc>
          <w:tcPr>
            <w:tcW w:w="718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5"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2" w:hRule="exact"/>
        </w:trPr>
        <w:tc>
          <w:tcPr>
            <w:tcW w:w="237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4"/>
              <w:jc w:val="center"/>
              <w:rPr>
                <w:rFonts w:ascii="宋体" w:hAnsi="宋体" w:cs="宋体" w:eastAsia="宋体" w:hint="default"/>
                <w:sz w:val="18"/>
                <w:szCs w:val="18"/>
              </w:rPr>
            </w:pPr>
            <w:r>
              <w:rPr>
                <w:rFonts w:ascii="宋体" w:hAnsi="宋体" w:cs="宋体" w:eastAsia="宋体" w:hint="default"/>
                <w:sz w:val="18"/>
                <w:szCs w:val="18"/>
              </w:rPr>
              <w:t>账龄</w:t>
            </w:r>
          </w:p>
        </w:tc>
        <w:tc>
          <w:tcPr>
            <w:tcW w:w="7182" w:type="dxa"/>
            <w:gridSpan w:val="3"/>
            <w:vMerge/>
            <w:tcBorders>
              <w:left w:val="single" w:sz="4" w:space="0" w:color="000000"/>
              <w:bottom w:val="single" w:sz="4" w:space="0" w:color="000000"/>
              <w:right w:val="single" w:sz="4" w:space="0" w:color="000000"/>
            </w:tcBorders>
            <w:shd w:val="clear" w:color="auto" w:fill="D2D2D2"/>
          </w:tcPr>
          <w:p>
            <w:pPr/>
          </w:p>
        </w:tc>
      </w:tr>
      <w:tr>
        <w:trPr>
          <w:trHeight w:val="200" w:hRule="exact"/>
        </w:trPr>
        <w:tc>
          <w:tcPr>
            <w:tcW w:w="2375" w:type="dxa"/>
            <w:vMerge/>
            <w:tcBorders>
              <w:left w:val="single" w:sz="4" w:space="0" w:color="000000"/>
              <w:bottom w:val="nil" w:sz="6" w:space="0" w:color="auto"/>
              <w:right w:val="single" w:sz="4" w:space="0" w:color="000000"/>
            </w:tcBorders>
            <w:shd w:val="clear" w:color="auto" w:fill="D2D2D2"/>
          </w:tcPr>
          <w:p>
            <w:pPr/>
          </w:p>
        </w:tc>
        <w:tc>
          <w:tcPr>
            <w:tcW w:w="23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5"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212" w:hRule="exact"/>
        </w:trPr>
        <w:tc>
          <w:tcPr>
            <w:tcW w:w="2375"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8" w:type="dxa"/>
            <w:vMerge/>
            <w:tcBorders>
              <w:left w:val="single" w:sz="4" w:space="0" w:color="000000"/>
              <w:bottom w:val="single" w:sz="4" w:space="0" w:color="000000"/>
              <w:right w:val="single" w:sz="4" w:space="0" w:color="000000"/>
            </w:tcBorders>
            <w:shd w:val="clear" w:color="auto" w:fill="D2D2D2"/>
          </w:tcPr>
          <w:p>
            <w:pPr/>
          </w:p>
        </w:tc>
        <w:tc>
          <w:tcPr>
            <w:tcW w:w="2392" w:type="dxa"/>
            <w:vMerge/>
            <w:tcBorders>
              <w:left w:val="single" w:sz="4" w:space="0" w:color="000000"/>
              <w:bottom w:val="single" w:sz="4" w:space="0" w:color="000000"/>
              <w:right w:val="single" w:sz="4" w:space="0" w:color="000000"/>
            </w:tcBorders>
            <w:shd w:val="clear" w:color="auto" w:fill="D2D2D2"/>
          </w:tcPr>
          <w:p>
            <w:pPr/>
          </w:p>
        </w:tc>
        <w:tc>
          <w:tcPr>
            <w:tcW w:w="2392" w:type="dxa"/>
            <w:vMerge/>
            <w:tcBorders>
              <w:left w:val="single" w:sz="4" w:space="0" w:color="000000"/>
              <w:bottom w:val="single" w:sz="4" w:space="0" w:color="000000"/>
              <w:right w:val="single" w:sz="4" w:space="0" w:color="000000"/>
            </w:tcBorders>
            <w:shd w:val="clear" w:color="auto" w:fill="D2D2D2"/>
          </w:tcPr>
          <w:p>
            <w:pPr/>
          </w:p>
        </w:tc>
      </w:tr>
      <w:tr>
        <w:trPr>
          <w:trHeight w:val="397" w:hRule="exact"/>
        </w:trPr>
        <w:tc>
          <w:tcPr>
            <w:tcW w:w="9557"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年以内分项</w:t>
            </w:r>
          </w:p>
        </w:tc>
      </w:tr>
      <w:tr>
        <w:trPr>
          <w:trHeight w:val="402" w:hRule="exact"/>
        </w:trPr>
        <w:tc>
          <w:tcPr>
            <w:tcW w:w="23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239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456,432,675.58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22,821,633.77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23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51,586,399.64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5,158,639.96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w:t>
            </w:r>
          </w:p>
        </w:tc>
      </w:tr>
      <w:tr>
        <w:trPr>
          <w:trHeight w:val="402" w:hRule="exact"/>
        </w:trPr>
        <w:tc>
          <w:tcPr>
            <w:tcW w:w="23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24,070,850.08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7,221,255.03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30.00%</w:t>
            </w:r>
          </w:p>
        </w:tc>
      </w:tr>
      <w:tr>
        <w:trPr>
          <w:trHeight w:val="402" w:hRule="exact"/>
        </w:trPr>
        <w:tc>
          <w:tcPr>
            <w:tcW w:w="23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9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18,793,711.57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9,396,855.79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50.00%</w:t>
            </w:r>
          </w:p>
        </w:tc>
      </w:tr>
      <w:tr>
        <w:trPr>
          <w:trHeight w:val="402" w:hRule="exact"/>
        </w:trPr>
        <w:tc>
          <w:tcPr>
            <w:tcW w:w="23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550,883,636.87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44,598,384.55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8.10%</w:t>
            </w:r>
          </w:p>
        </w:tc>
      </w:tr>
    </w:tbl>
    <w:p>
      <w:pPr>
        <w:pStyle w:val="BodyText"/>
        <w:spacing w:line="357" w:lineRule="auto" w:before="51"/>
        <w:ind w:left="154" w:right="8772"/>
        <w:jc w:val="left"/>
      </w:pPr>
      <w:r>
        <w:rPr/>
        <w:t>确定该组合依据的说明： 无。</w:t>
      </w:r>
    </w:p>
    <w:p>
      <w:pPr>
        <w:pStyle w:val="BodyText"/>
        <w:spacing w:line="240" w:lineRule="auto" w:before="29"/>
        <w:ind w:left="154" w:right="0"/>
        <w:jc w:val="left"/>
      </w:pPr>
      <w:r>
        <w:rPr/>
        <w:t>组合中，采用余额百分比法计提坏账准备的应收账款：</w:t>
      </w:r>
    </w:p>
    <w:p>
      <w:pPr>
        <w:pStyle w:val="BodyText"/>
        <w:spacing w:line="348" w:lineRule="auto" w:before="116"/>
        <w:ind w:right="679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组合中，采用其他方法计提坏账准备的应收账款： 无。</w:t>
      </w:r>
    </w:p>
    <w:p>
      <w:pPr>
        <w:spacing w:line="240" w:lineRule="auto" w:before="9"/>
        <w:rPr>
          <w:rFonts w:ascii="宋体" w:hAnsi="宋体" w:cs="宋体" w:eastAsia="宋体" w:hint="default"/>
          <w:sz w:val="20"/>
          <w:szCs w:val="20"/>
        </w:rPr>
      </w:pPr>
    </w:p>
    <w:p>
      <w:pPr>
        <w:pStyle w:val="Heading3"/>
        <w:spacing w:line="240" w:lineRule="auto"/>
        <w:ind w:right="0"/>
        <w:jc w:val="left"/>
        <w:rPr>
          <w:b w:val="0"/>
          <w:bCs w:val="0"/>
        </w:rPr>
      </w:pPr>
      <w:bookmarkStart w:name="（2）本期计提、收回或转回的坏账准备情况" w:id="238"/>
      <w:bookmarkEnd w:id="238"/>
      <w:r>
        <w:rPr>
          <w:b w:val="0"/>
          <w:bCs w:val="0"/>
        </w:rPr>
      </w:r>
      <w:r>
        <w:rPr/>
        <w:t>（</w:t>
      </w:r>
      <w:r>
        <w:rPr>
          <w:rFonts w:ascii="Times New Roman" w:hAnsi="Times New Roman" w:cs="Times New Roman" w:eastAsia="Times New Roman" w:hint="default"/>
        </w:rPr>
        <w:t>2</w:t>
      </w:r>
      <w:r>
        <w:rPr/>
        <w:t>）本期计提、收回或转回的坏账准备情况</w:t>
      </w:r>
      <w:r>
        <w:rPr>
          <w:b w:val="0"/>
          <w:bCs w:val="0"/>
        </w:rPr>
      </w:r>
    </w:p>
    <w:p>
      <w:pPr>
        <w:spacing w:line="240" w:lineRule="auto" w:before="3"/>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747" w:footer="979" w:top="1060" w:bottom="1160" w:left="980" w:right="0"/>
        </w:sectPr>
      </w:pPr>
    </w:p>
    <w:p>
      <w:pPr>
        <w:pStyle w:val="BodyText"/>
        <w:spacing w:line="338" w:lineRule="auto" w:before="44"/>
        <w:ind w:right="-13"/>
        <w:jc w:val="left"/>
      </w:pPr>
      <w:r>
        <w:rPr/>
        <w:t>本期计提坏账准备金额</w:t>
      </w:r>
      <w:r>
        <w:rPr>
          <w:spacing w:val="-47"/>
        </w:rPr>
        <w:t> </w:t>
      </w:r>
      <w:r>
        <w:rPr>
          <w:rFonts w:ascii="Times New Roman" w:hAnsi="Times New Roman" w:cs="Times New Roman" w:eastAsia="Times New Roman" w:hint="default"/>
        </w:rPr>
        <w:t>21,664,921.30</w:t>
      </w:r>
      <w:r>
        <w:rPr>
          <w:rFonts w:ascii="Times New Roman" w:hAnsi="Times New Roman" w:cs="Times New Roman" w:eastAsia="Times New Roman" w:hint="default"/>
          <w:spacing w:val="-1"/>
        </w:rPr>
        <w:t> </w:t>
      </w:r>
      <w:r>
        <w:rPr/>
        <w:t>元；本期收回或转回坏账准备金额</w:t>
      </w:r>
      <w:r>
        <w:rPr>
          <w:spacing w:val="-47"/>
        </w:rPr>
        <w:t> </w:t>
      </w:r>
      <w:r>
        <w:rPr>
          <w:rFonts w:ascii="Times New Roman" w:hAnsi="Times New Roman" w:cs="Times New Roman" w:eastAsia="Times New Roman" w:hint="default"/>
        </w:rPr>
        <w:t>0.00</w:t>
      </w:r>
      <w:r>
        <w:rPr>
          <w:rFonts w:ascii="Times New Roman" w:hAnsi="Times New Roman" w:cs="Times New Roman" w:eastAsia="Times New Roman" w:hint="default"/>
          <w:spacing w:val="-2"/>
        </w:rPr>
        <w:t> </w:t>
      </w:r>
      <w:r>
        <w:rPr/>
        <w:t>元。 其中本期坏账准备收回或转回金额重要的：</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pStyle w:val="BodyText"/>
        <w:spacing w:line="240" w:lineRule="auto"/>
        <w:ind w:right="0"/>
        <w:jc w:val="left"/>
      </w:pPr>
      <w:r>
        <w:rPr/>
        <w:t>单位： 元</w:t>
      </w:r>
    </w:p>
    <w:p>
      <w:pPr>
        <w:spacing w:after="0" w:line="240" w:lineRule="auto"/>
        <w:jc w:val="left"/>
        <w:sectPr>
          <w:type w:val="continuous"/>
          <w:pgSz w:w="11910" w:h="16840"/>
          <w:pgMar w:top="1060" w:bottom="1160" w:left="980" w:right="0"/>
          <w:cols w:num="2" w:equalWidth="0">
            <w:col w:w="6544" w:space="2285"/>
            <w:col w:w="2101"/>
          </w:cols>
        </w:sectPr>
      </w:pP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79"/>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60" w:right="0"/>
              <w:jc w:val="left"/>
              <w:rPr>
                <w:rFonts w:ascii="宋体" w:hAnsi="宋体" w:cs="宋体" w:eastAsia="宋体" w:hint="default"/>
                <w:sz w:val="18"/>
                <w:szCs w:val="18"/>
              </w:rPr>
            </w:pPr>
            <w:r>
              <w:rPr>
                <w:rFonts w:ascii="宋体" w:hAnsi="宋体" w:cs="宋体" w:eastAsia="宋体" w:hint="default"/>
                <w:sz w:val="18"/>
                <w:szCs w:val="18"/>
              </w:rPr>
              <w:t>收回或转回金额</w:t>
            </w:r>
          </w:p>
        </w:tc>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收回方式</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3）本期实际核销的应收账款情况" w:id="239"/>
      <w:bookmarkEnd w:id="239"/>
      <w:r>
        <w:rPr>
          <w:b w:val="0"/>
          <w:bCs w:val="0"/>
        </w:rPr>
      </w:r>
      <w:r>
        <w:rPr/>
        <w:t>（</w:t>
      </w:r>
      <w:r>
        <w:rPr>
          <w:rFonts w:ascii="Times New Roman" w:hAnsi="Times New Roman" w:cs="Times New Roman" w:eastAsia="Times New Roman" w:hint="default"/>
        </w:rPr>
        <w:t>3</w:t>
      </w:r>
      <w:r>
        <w:rPr/>
        <w:t>）本期实际核销的应收账款情况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785"/>
        <w:gridCol w:w="4784"/>
      </w:tblGrid>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核销金额</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127,668.89</w:t>
            </w:r>
          </w:p>
        </w:tc>
      </w:tr>
    </w:tbl>
    <w:p>
      <w:pPr>
        <w:pStyle w:val="BodyText"/>
        <w:spacing w:line="240" w:lineRule="auto" w:before="51"/>
        <w:ind w:left="154" w:right="0"/>
        <w:jc w:val="left"/>
      </w:pPr>
      <w:r>
        <w:rPr/>
        <w:t>其中重要的应收账款核销情况：</w:t>
      </w:r>
    </w:p>
    <w:p>
      <w:pPr>
        <w:pStyle w:val="BodyText"/>
        <w:spacing w:line="240" w:lineRule="auto" w:before="117"/>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596"/>
        <w:gridCol w:w="1594"/>
        <w:gridCol w:w="1595"/>
        <w:gridCol w:w="1594"/>
        <w:gridCol w:w="1594"/>
        <w:gridCol w:w="1595"/>
      </w:tblGrid>
      <w:tr>
        <w:trPr>
          <w:trHeight w:val="714"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52" w:right="0"/>
              <w:jc w:val="left"/>
              <w:rPr>
                <w:rFonts w:ascii="宋体" w:hAnsi="宋体" w:cs="宋体" w:eastAsia="宋体" w:hint="default"/>
                <w:sz w:val="18"/>
                <w:szCs w:val="18"/>
              </w:rPr>
            </w:pPr>
            <w:r>
              <w:rPr>
                <w:rFonts w:ascii="宋体" w:hAnsi="宋体" w:cs="宋体" w:eastAsia="宋体" w:hint="default"/>
                <w:sz w:val="18"/>
                <w:szCs w:val="18"/>
              </w:rPr>
              <w:t>应收账款性质</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33"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2" w:right="0"/>
              <w:jc w:val="left"/>
              <w:rPr>
                <w:rFonts w:ascii="宋体" w:hAnsi="宋体" w:cs="宋体" w:eastAsia="宋体" w:hint="default"/>
                <w:sz w:val="18"/>
                <w:szCs w:val="18"/>
              </w:rPr>
            </w:pPr>
            <w:r>
              <w:rPr>
                <w:rFonts w:ascii="宋体" w:hAnsi="宋体" w:cs="宋体" w:eastAsia="宋体" w:hint="default"/>
                <w:sz w:val="18"/>
                <w:szCs w:val="18"/>
              </w:rPr>
              <w:t>履行的核销程序</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523" w:right="71" w:hanging="450"/>
              <w:jc w:val="left"/>
              <w:rPr>
                <w:rFonts w:ascii="宋体" w:hAnsi="宋体" w:cs="宋体" w:eastAsia="宋体" w:hint="default"/>
                <w:sz w:val="18"/>
                <w:szCs w:val="18"/>
              </w:rPr>
            </w:pPr>
            <w:r>
              <w:rPr>
                <w:rFonts w:ascii="宋体" w:hAnsi="宋体" w:cs="宋体" w:eastAsia="宋体" w:hint="default"/>
                <w:sz w:val="18"/>
                <w:szCs w:val="18"/>
              </w:rPr>
              <w:t>款项是否由关联交 易产生</w:t>
            </w:r>
          </w:p>
        </w:tc>
      </w:tr>
    </w:tbl>
    <w:p>
      <w:pPr>
        <w:pStyle w:val="BodyText"/>
        <w:spacing w:line="357" w:lineRule="auto" w:before="51"/>
        <w:ind w:left="154" w:right="9132"/>
        <w:jc w:val="left"/>
      </w:pPr>
      <w:r>
        <w:rPr/>
        <w:t>应收账款核销说明：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4）按欠款方归集的期末余额前五名的应收账款情况" w:id="240"/>
      <w:bookmarkEnd w:id="240"/>
      <w:r>
        <w:rPr>
          <w:b w:val="0"/>
          <w:bCs w:val="0"/>
        </w:rPr>
      </w:r>
      <w:r>
        <w:rPr/>
        <w:t>（</w:t>
      </w:r>
      <w:r>
        <w:rPr>
          <w:rFonts w:ascii="Times New Roman" w:hAnsi="Times New Roman" w:cs="Times New Roman" w:eastAsia="Times New Roman" w:hint="default"/>
        </w:rPr>
        <w:t>4</w:t>
      </w:r>
      <w:r>
        <w:rPr/>
        <w:t>）按欠款方归集的期末余额前五名的应收账款情况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154" w:right="0"/>
        <w:jc w:val="left"/>
      </w:pPr>
      <w:r>
        <w:rPr/>
        <w:t>本公司本年按欠款方归集的年末余额前五名应收账款汇总金额为</w:t>
      </w:r>
      <w:r>
        <w:rPr>
          <w:spacing w:val="-46"/>
        </w:rPr>
        <w:t> </w:t>
      </w:r>
      <w:r>
        <w:rPr>
          <w:rFonts w:ascii="Times New Roman" w:hAnsi="Times New Roman" w:cs="Times New Roman" w:eastAsia="Times New Roman" w:hint="default"/>
        </w:rPr>
        <w:t>173,107,361.42</w:t>
      </w:r>
      <w:r>
        <w:rPr>
          <w:rFonts w:ascii="Times New Roman" w:hAnsi="Times New Roman" w:cs="Times New Roman" w:eastAsia="Times New Roman" w:hint="default"/>
          <w:spacing w:val="-1"/>
        </w:rPr>
        <w:t> </w:t>
      </w:r>
      <w:r>
        <w:rPr/>
        <w:t>元，占应收账款年末余额合计数的比例为</w:t>
      </w:r>
    </w:p>
    <w:p>
      <w:pPr>
        <w:spacing w:after="0" w:line="240" w:lineRule="auto"/>
        <w:jc w:val="left"/>
        <w:sectPr>
          <w:type w:val="continuous"/>
          <w:pgSz w:w="11910" w:h="16840"/>
          <w:pgMar w:top="1060" w:bottom="1160" w:left="980" w:right="0"/>
        </w:sectPr>
      </w:pPr>
    </w:p>
    <w:p>
      <w:pPr>
        <w:spacing w:line="240" w:lineRule="auto" w:before="13"/>
        <w:rPr>
          <w:rFonts w:ascii="宋体" w:hAnsi="宋体" w:cs="宋体" w:eastAsia="宋体" w:hint="default"/>
          <w:sz w:val="25"/>
          <w:szCs w:val="25"/>
        </w:rPr>
      </w:pPr>
    </w:p>
    <w:p>
      <w:pPr>
        <w:pStyle w:val="BodyText"/>
        <w:spacing w:line="240" w:lineRule="auto" w:before="44"/>
        <w:ind w:right="0"/>
        <w:jc w:val="left"/>
      </w:pPr>
      <w:r>
        <w:rPr>
          <w:rFonts w:ascii="Times New Roman" w:hAnsi="Times New Roman" w:cs="Times New Roman" w:eastAsia="Times New Roman" w:hint="default"/>
        </w:rPr>
        <w:t>31.42%</w:t>
      </w:r>
      <w:r>
        <w:rPr/>
        <w:t>，相应计提的坏账准备年末余额汇总金额为</w:t>
      </w:r>
      <w:r>
        <w:rPr>
          <w:spacing w:val="-48"/>
        </w:rPr>
        <w:t> </w:t>
      </w:r>
      <w:r>
        <w:rPr>
          <w:rFonts w:ascii="Times New Roman" w:hAnsi="Times New Roman" w:cs="Times New Roman" w:eastAsia="Times New Roman" w:hint="default"/>
        </w:rPr>
        <w:t>8,655,368.07</w:t>
      </w:r>
      <w:r>
        <w:rPr>
          <w:rFonts w:ascii="Times New Roman" w:hAnsi="Times New Roman" w:cs="Times New Roman" w:eastAsia="Times New Roman" w:hint="default"/>
          <w:spacing w:val="-3"/>
        </w:rPr>
        <w:t> </w:t>
      </w:r>
      <w:r>
        <w:rPr/>
        <w:t>元。</w:t>
      </w:r>
    </w:p>
    <w:p>
      <w:pPr>
        <w:spacing w:line="240" w:lineRule="auto" w:before="9"/>
        <w:rPr>
          <w:rFonts w:ascii="宋体" w:hAnsi="宋体" w:cs="宋体" w:eastAsia="宋体" w:hint="default"/>
          <w:sz w:val="25"/>
          <w:szCs w:val="25"/>
        </w:rPr>
      </w:pPr>
    </w:p>
    <w:p>
      <w:pPr>
        <w:pStyle w:val="Heading3"/>
        <w:spacing w:line="240" w:lineRule="auto"/>
        <w:ind w:left="153" w:right="0"/>
        <w:jc w:val="left"/>
        <w:rPr>
          <w:b w:val="0"/>
          <w:bCs w:val="0"/>
        </w:rPr>
      </w:pPr>
      <w:bookmarkStart w:name="（5）因金融资产转移而终止确认的应收账款" w:id="241"/>
      <w:bookmarkEnd w:id="241"/>
      <w:r>
        <w:rPr>
          <w:b w:val="0"/>
          <w:bCs w:val="0"/>
        </w:rPr>
      </w:r>
      <w:r>
        <w:rPr/>
        <w:t>（</w:t>
      </w:r>
      <w:r>
        <w:rPr>
          <w:rFonts w:ascii="Times New Roman" w:hAnsi="Times New Roman" w:cs="Times New Roman" w:eastAsia="Times New Roman" w:hint="default"/>
        </w:rPr>
        <w:t>5</w:t>
      </w:r>
      <w:r>
        <w:rPr/>
        <w:t>）因金融资产转移而终止确认的应收账款</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154" w:right="0"/>
        <w:jc w:val="left"/>
      </w:pPr>
      <w:r>
        <w:rPr/>
        <w:t>本年无因金融资产转移而终止确认的应收账款。</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6）转移应收账款且继续涉入形成的资产、负债金额" w:id="242"/>
      <w:bookmarkEnd w:id="242"/>
      <w:r>
        <w:rPr>
          <w:b w:val="0"/>
          <w:bCs w:val="0"/>
        </w:rPr>
      </w:r>
      <w:r>
        <w:rPr/>
        <w:t>（</w:t>
      </w:r>
      <w:r>
        <w:rPr>
          <w:rFonts w:ascii="Times New Roman" w:hAnsi="Times New Roman" w:cs="Times New Roman" w:eastAsia="Times New Roman" w:hint="default"/>
        </w:rPr>
        <w:t>6</w:t>
      </w:r>
      <w:r>
        <w:rPr/>
        <w:t>）转移应收账款且继续涉入形成的资产、负债金额</w:t>
      </w:r>
      <w:r>
        <w:rPr>
          <w:b w:val="0"/>
          <w:bCs w:val="0"/>
        </w:rPr>
      </w:r>
    </w:p>
    <w:p>
      <w:pPr>
        <w:spacing w:line="240" w:lineRule="auto" w:before="7"/>
        <w:rPr>
          <w:rFonts w:ascii="宋体" w:hAnsi="宋体" w:cs="宋体" w:eastAsia="宋体" w:hint="default"/>
          <w:b/>
          <w:bCs/>
          <w:sz w:val="26"/>
          <w:szCs w:val="26"/>
        </w:rPr>
      </w:pPr>
    </w:p>
    <w:p>
      <w:pPr>
        <w:pStyle w:val="BodyText"/>
        <w:spacing w:line="360" w:lineRule="auto"/>
        <w:ind w:left="154" w:right="6252"/>
        <w:jc w:val="left"/>
      </w:pPr>
      <w:r>
        <w:rPr/>
        <w:t>本年无转移应收账款且继续涉入形成的资产、负债金额。 其他说明：</w:t>
      </w:r>
    </w:p>
    <w:p>
      <w:pPr>
        <w:spacing w:line="240" w:lineRule="auto" w:before="12"/>
        <w:rPr>
          <w:rFonts w:ascii="宋体" w:hAnsi="宋体" w:cs="宋体" w:eastAsia="宋体" w:hint="default"/>
          <w:sz w:val="19"/>
          <w:szCs w:val="19"/>
        </w:rPr>
      </w:pPr>
    </w:p>
    <w:p>
      <w:pPr>
        <w:pStyle w:val="Heading3"/>
        <w:spacing w:line="240" w:lineRule="auto"/>
        <w:ind w:right="0"/>
        <w:jc w:val="left"/>
        <w:rPr>
          <w:b w:val="0"/>
          <w:bCs w:val="0"/>
        </w:rPr>
      </w:pPr>
      <w:bookmarkStart w:name="6、预付款项" w:id="243"/>
      <w:bookmarkEnd w:id="243"/>
      <w:r>
        <w:rPr>
          <w:b w:val="0"/>
          <w:bCs w:val="0"/>
        </w:rPr>
      </w:r>
      <w:r>
        <w:rPr>
          <w:rFonts w:ascii="Times New Roman" w:hAnsi="Times New Roman" w:cs="Times New Roman" w:eastAsia="Times New Roman" w:hint="default"/>
        </w:rPr>
        <w:t>6</w:t>
      </w:r>
      <w:r>
        <w:rPr/>
        <w:t>、预付款项</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1）预付款项按账龄列示" w:id="244"/>
      <w:bookmarkEnd w:id="244"/>
      <w:r>
        <w:rPr>
          <w:b w:val="0"/>
          <w:bCs w:val="0"/>
        </w:rPr>
      </w:r>
      <w:r>
        <w:rPr/>
        <w:t>（</w:t>
      </w:r>
      <w:r>
        <w:rPr>
          <w:rFonts w:ascii="Times New Roman" w:hAnsi="Times New Roman" w:cs="Times New Roman" w:eastAsia="Times New Roman" w:hint="default"/>
        </w:rPr>
        <w:t>1</w:t>
      </w:r>
      <w:r>
        <w:rPr/>
        <w:t>）预付款项按账龄列示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889"/>
        <w:gridCol w:w="1927"/>
        <w:gridCol w:w="1914"/>
        <w:gridCol w:w="1914"/>
        <w:gridCol w:w="1915"/>
      </w:tblGrid>
      <w:tr>
        <w:trPr>
          <w:trHeight w:val="206" w:hRule="exact"/>
        </w:trPr>
        <w:tc>
          <w:tcPr>
            <w:tcW w:w="1889" w:type="dxa"/>
            <w:tcBorders>
              <w:top w:val="single" w:sz="4" w:space="0" w:color="000000"/>
              <w:left w:val="single" w:sz="4" w:space="0" w:color="000000"/>
              <w:bottom w:val="nil" w:sz="6" w:space="0" w:color="auto"/>
              <w:right w:val="single" w:sz="4" w:space="0" w:color="000000"/>
            </w:tcBorders>
            <w:shd w:val="clear" w:color="auto" w:fill="D2D2D2"/>
          </w:tcPr>
          <w:p>
            <w:pPr/>
          </w:p>
        </w:tc>
        <w:tc>
          <w:tcPr>
            <w:tcW w:w="384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30"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1" w:hRule="exact"/>
        </w:trPr>
        <w:tc>
          <w:tcPr>
            <w:tcW w:w="188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3841" w:type="dxa"/>
            <w:gridSpan w:val="2"/>
            <w:vMerge/>
            <w:tcBorders>
              <w:left w:val="single" w:sz="4" w:space="0" w:color="000000"/>
              <w:bottom w:val="single" w:sz="4" w:space="0" w:color="000000"/>
              <w:right w:val="single" w:sz="4" w:space="0" w:color="000000"/>
            </w:tcBorders>
            <w:shd w:val="clear" w:color="auto" w:fill="D2D2D2"/>
          </w:tcPr>
          <w:p>
            <w:pPr/>
          </w:p>
        </w:tc>
        <w:tc>
          <w:tcPr>
            <w:tcW w:w="3830" w:type="dxa"/>
            <w:gridSpan w:val="2"/>
            <w:vMerge/>
            <w:tcBorders>
              <w:left w:val="single" w:sz="4" w:space="0" w:color="000000"/>
              <w:bottom w:val="single" w:sz="4" w:space="0" w:color="000000"/>
              <w:right w:val="single" w:sz="4" w:space="0" w:color="000000"/>
            </w:tcBorders>
            <w:shd w:val="clear" w:color="auto" w:fill="D2D2D2"/>
          </w:tcPr>
          <w:p>
            <w:pPr/>
          </w:p>
        </w:tc>
      </w:tr>
      <w:tr>
        <w:trPr>
          <w:trHeight w:val="200" w:hRule="exact"/>
        </w:trPr>
        <w:tc>
          <w:tcPr>
            <w:tcW w:w="1889" w:type="dxa"/>
            <w:vMerge/>
            <w:tcBorders>
              <w:left w:val="single" w:sz="4" w:space="0" w:color="000000"/>
              <w:bottom w:val="nil" w:sz="6" w:space="0" w:color="auto"/>
              <w:right w:val="single" w:sz="4" w:space="0" w:color="000000"/>
            </w:tcBorders>
            <w:shd w:val="clear" w:color="auto" w:fill="D2D2D2"/>
          </w:tcPr>
          <w:p>
            <w:pPr/>
          </w:p>
        </w:tc>
        <w:tc>
          <w:tcPr>
            <w:tcW w:w="192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11"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比例</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91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比例</w:t>
            </w:r>
          </w:p>
        </w:tc>
      </w:tr>
      <w:tr>
        <w:trPr>
          <w:trHeight w:val="206" w:hRule="exact"/>
        </w:trPr>
        <w:tc>
          <w:tcPr>
            <w:tcW w:w="1889" w:type="dxa"/>
            <w:tcBorders>
              <w:top w:val="nil" w:sz="6" w:space="0" w:color="auto"/>
              <w:left w:val="single" w:sz="4" w:space="0" w:color="000000"/>
              <w:bottom w:val="single" w:sz="4" w:space="0" w:color="000000"/>
              <w:right w:val="single" w:sz="4" w:space="0" w:color="000000"/>
            </w:tcBorders>
            <w:shd w:val="clear" w:color="auto" w:fill="D2D2D2"/>
          </w:tcPr>
          <w:p>
            <w:pPr/>
          </w:p>
        </w:tc>
        <w:tc>
          <w:tcPr>
            <w:tcW w:w="1927"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5"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92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20,775,849.65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98.73%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10,634,127.34</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99.45%</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2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228,322.83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1,460.00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0.01%</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27"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18,150.31</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0.17%</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92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0.19%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40,000.00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0.37%</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7" w:type="dxa"/>
            <w:tcBorders>
              <w:top w:val="single" w:sz="4" w:space="0" w:color="000000"/>
              <w:left w:val="single" w:sz="13" w:space="0" w:color="D2D2D2"/>
              <w:bottom w:val="single" w:sz="4" w:space="0" w:color="000000"/>
              <w:right w:val="single" w:sz="13" w:space="0" w:color="D2D2D2"/>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pacing w:val="-1"/>
                <w:sz w:val="18"/>
              </w:rPr>
              <w:t>21,044,172.48</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9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10,693,737.65</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51"/>
        <w:ind w:left="154" w:right="0"/>
        <w:jc w:val="left"/>
      </w:pPr>
      <w:r>
        <w:rPr/>
        <w:t>账龄超过</w:t>
      </w:r>
      <w:r>
        <w:rPr>
          <w:spacing w:val="-46"/>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年且金额重要的预付款项未及时结算原因的说明：</w:t>
      </w:r>
    </w:p>
    <w:p>
      <w:pPr>
        <w:spacing w:line="240" w:lineRule="auto" w:before="10"/>
        <w:rPr>
          <w:rFonts w:ascii="宋体" w:hAnsi="宋体" w:cs="宋体" w:eastAsia="宋体" w:hint="default"/>
          <w:sz w:val="25"/>
          <w:szCs w:val="25"/>
        </w:rPr>
      </w:pPr>
    </w:p>
    <w:p>
      <w:pPr>
        <w:pStyle w:val="Heading3"/>
        <w:spacing w:line="240" w:lineRule="auto"/>
        <w:ind w:right="0"/>
        <w:jc w:val="left"/>
        <w:rPr>
          <w:b w:val="0"/>
          <w:bCs w:val="0"/>
        </w:rPr>
      </w:pPr>
      <w:bookmarkStart w:name="（2）按预付对象归集的期末余额前五名的预付款情况" w:id="245"/>
      <w:bookmarkEnd w:id="245"/>
      <w:r>
        <w:rPr>
          <w:b w:val="0"/>
          <w:bCs w:val="0"/>
        </w:rPr>
      </w:r>
      <w:r>
        <w:rPr/>
        <w:t>（</w:t>
      </w:r>
      <w:r>
        <w:rPr>
          <w:rFonts w:ascii="Times New Roman" w:hAnsi="Times New Roman" w:cs="Times New Roman" w:eastAsia="Times New Roman" w:hint="default"/>
        </w:rPr>
        <w:t>2</w:t>
      </w:r>
      <w:r>
        <w:rPr/>
        <w:t>）按预付对象归集的期末余额前五名的预付款情况</w:t>
      </w:r>
      <w:r>
        <w:rPr>
          <w:b w:val="0"/>
          <w:bCs w:val="0"/>
        </w:rPr>
      </w:r>
    </w:p>
    <w:p>
      <w:pPr>
        <w:spacing w:line="240" w:lineRule="auto" w:before="8"/>
        <w:rPr>
          <w:rFonts w:ascii="宋体" w:hAnsi="宋体" w:cs="宋体" w:eastAsia="宋体" w:hint="default"/>
          <w:b/>
          <w:bCs/>
          <w:sz w:val="26"/>
          <w:szCs w:val="26"/>
        </w:rPr>
      </w:pPr>
    </w:p>
    <w:p>
      <w:pPr>
        <w:pStyle w:val="BodyText"/>
        <w:spacing w:line="340" w:lineRule="auto"/>
        <w:ind w:right="948"/>
        <w:jc w:val="left"/>
      </w:pPr>
      <w:r>
        <w:rPr>
          <w:spacing w:val="-1"/>
        </w:rPr>
        <w:t>本公司按预付对象归集的年末余额前五名预付账款汇总金额为</w:t>
      </w:r>
      <w:r>
        <w:rPr>
          <w:rFonts w:ascii="Times New Roman" w:hAnsi="Times New Roman" w:cs="Times New Roman" w:eastAsia="Times New Roman" w:hint="default"/>
          <w:spacing w:val="-1"/>
        </w:rPr>
        <w:t>10,795,197.60</w:t>
      </w:r>
      <w:r>
        <w:rPr>
          <w:spacing w:val="-1"/>
        </w:rPr>
        <w:t>元，占预付账款年末余额合计数的比例为</w:t>
      </w:r>
      <w:r>
        <w:rPr>
          <w:rFonts w:ascii="Times New Roman" w:hAnsi="Times New Roman" w:cs="Times New Roman" w:eastAsia="Times New Roman" w:hint="default"/>
          <w:spacing w:val="-1"/>
        </w:rPr>
        <w:t>51.30%</w:t>
      </w:r>
      <w:r>
        <w:rPr>
          <w:spacing w:val="-1"/>
        </w:rPr>
        <w:t>。</w:t>
      </w:r>
      <w:r>
        <w:rPr>
          <w:spacing w:val="-81"/>
        </w:rPr>
        <w:t> </w:t>
      </w:r>
      <w:r>
        <w:rPr/>
        <w:t>其他说明：</w:t>
      </w:r>
    </w:p>
    <w:p>
      <w:pPr>
        <w:pStyle w:val="BodyText"/>
        <w:spacing w:line="240" w:lineRule="auto" w:before="39"/>
        <w:ind w:right="0"/>
        <w:jc w:val="left"/>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7、应收利息" w:id="246"/>
      <w:bookmarkEnd w:id="246"/>
      <w:r>
        <w:rPr>
          <w:b w:val="0"/>
          <w:bCs w:val="0"/>
        </w:rPr>
      </w:r>
      <w:r>
        <w:rPr>
          <w:rFonts w:ascii="Times New Roman" w:hAnsi="Times New Roman" w:cs="Times New Roman" w:eastAsia="Times New Roman" w:hint="default"/>
        </w:rPr>
        <w:t>7</w:t>
      </w:r>
      <w:r>
        <w:rPr/>
        <w:t>、应收利息</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应收利息分类" w:id="247"/>
      <w:bookmarkEnd w:id="247"/>
      <w:r>
        <w:rPr>
          <w:b w:val="0"/>
          <w:bCs w:val="0"/>
        </w:rPr>
      </w:r>
      <w:r>
        <w:rPr/>
        <w:t>（</w:t>
      </w:r>
      <w:r>
        <w:rPr>
          <w:rFonts w:ascii="Times New Roman" w:hAnsi="Times New Roman" w:cs="Times New Roman" w:eastAsia="Times New Roman" w:hint="default"/>
        </w:rPr>
        <w:t>1</w:t>
      </w:r>
      <w:r>
        <w:rPr/>
        <w:t>）应收利息分类</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7"/>
        <w:gridCol w:w="3203"/>
        <w:gridCol w:w="3189"/>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3"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定期存款</w:t>
            </w:r>
          </w:p>
        </w:tc>
        <w:tc>
          <w:tcPr>
            <w:tcW w:w="32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152,566.47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321,535.19</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152,566.47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321,535.19</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5"/>
        <w:ind w:left="153" w:right="0"/>
        <w:jc w:val="left"/>
        <w:rPr>
          <w:b w:val="0"/>
          <w:bCs w:val="0"/>
        </w:rPr>
      </w:pPr>
      <w:bookmarkStart w:name="（2）重要逾期利息" w:id="248"/>
      <w:bookmarkEnd w:id="248"/>
      <w:r>
        <w:rPr>
          <w:b w:val="0"/>
          <w:bCs w:val="0"/>
        </w:rPr>
      </w:r>
      <w:r>
        <w:rPr/>
        <w:t>（</w:t>
      </w:r>
      <w:r>
        <w:rPr>
          <w:rFonts w:ascii="Times New Roman" w:hAnsi="Times New Roman" w:cs="Times New Roman" w:eastAsia="Times New Roman" w:hint="default"/>
        </w:rPr>
        <w:t>2</w:t>
      </w:r>
      <w:r>
        <w:rPr/>
        <w:t>）重要逾期利息</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1914"/>
        <w:gridCol w:w="1914"/>
        <w:gridCol w:w="1914"/>
        <w:gridCol w:w="1914"/>
        <w:gridCol w:w="1903"/>
      </w:tblGrid>
      <w:tr>
        <w:trPr>
          <w:trHeight w:val="714"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借款单位</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逾期时间</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逾期原因</w:t>
            </w:r>
          </w:p>
        </w:tc>
        <w:tc>
          <w:tcPr>
            <w:tcW w:w="19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771" w:right="39" w:hanging="720"/>
              <w:jc w:val="left"/>
              <w:rPr>
                <w:rFonts w:ascii="宋体" w:hAnsi="宋体" w:cs="宋体" w:eastAsia="宋体" w:hint="default"/>
                <w:sz w:val="18"/>
                <w:szCs w:val="18"/>
              </w:rPr>
            </w:pPr>
            <w:r>
              <w:rPr>
                <w:rFonts w:ascii="宋体" w:hAnsi="宋体" w:cs="宋体" w:eastAsia="宋体" w:hint="default"/>
                <w:sz w:val="18"/>
                <w:szCs w:val="18"/>
              </w:rPr>
              <w:t>是否发生减值及其判断 依据</w:t>
            </w:r>
          </w:p>
        </w:tc>
      </w:tr>
    </w:tbl>
    <w:p>
      <w:pPr>
        <w:pStyle w:val="BodyText"/>
        <w:spacing w:line="357" w:lineRule="auto" w:before="51"/>
        <w:ind w:right="9533"/>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8、应收股利" w:id="249"/>
      <w:bookmarkEnd w:id="249"/>
      <w:r>
        <w:rPr>
          <w:b w:val="0"/>
          <w:bCs w:val="0"/>
        </w:rPr>
      </w:r>
      <w:r>
        <w:rPr>
          <w:rFonts w:ascii="Times New Roman" w:hAnsi="Times New Roman" w:cs="Times New Roman" w:eastAsia="Times New Roman" w:hint="default"/>
        </w:rPr>
        <w:t>8</w:t>
      </w:r>
      <w:r>
        <w:rPr/>
        <w:t>、应收股利</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应收股利" w:id="250"/>
      <w:bookmarkEnd w:id="250"/>
      <w:r>
        <w:rPr>
          <w:b w:val="0"/>
          <w:bCs w:val="0"/>
        </w:rPr>
      </w:r>
      <w:r>
        <w:rPr/>
        <w:t>（</w:t>
      </w:r>
      <w:r>
        <w:rPr>
          <w:rFonts w:ascii="Times New Roman" w:hAnsi="Times New Roman" w:cs="Times New Roman" w:eastAsia="Times New Roman" w:hint="default"/>
        </w:rPr>
        <w:t>1</w:t>
      </w:r>
      <w:r>
        <w:rPr/>
        <w:t>）应收股利</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1"/>
        <w:gridCol w:w="3177"/>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1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项目</w:t>
            </w:r>
            <w:r>
              <w:rPr>
                <w:rFonts w:ascii="Times New Roman" w:hAnsi="Times New Roman" w:cs="Times New Roman" w:eastAsia="Times New Roman" w:hint="default"/>
                <w:sz w:val="18"/>
                <w:szCs w:val="18"/>
              </w:rPr>
              <w:t>(</w:t>
            </w:r>
            <w:r>
              <w:rPr>
                <w:rFonts w:ascii="宋体" w:hAnsi="宋体" w:cs="宋体" w:eastAsia="宋体" w:hint="default"/>
                <w:sz w:val="18"/>
                <w:szCs w:val="18"/>
              </w:rPr>
              <w:t>或被投资单位</w:t>
            </w:r>
            <w:r>
              <w:rPr>
                <w:rFonts w:ascii="Times New Roman" w:hAnsi="Times New Roman" w:cs="Times New Roman" w:eastAsia="Times New Roman" w:hint="default"/>
                <w:sz w:val="18"/>
                <w:szCs w:val="18"/>
              </w:rPr>
              <w:t>)</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重要的账龄超过1年的应收股利" w:id="251"/>
      <w:bookmarkEnd w:id="251"/>
      <w:r>
        <w:rPr>
          <w:b w:val="0"/>
          <w:bCs w:val="0"/>
        </w:rPr>
      </w:r>
      <w:r>
        <w:rPr/>
        <w:t>（</w:t>
      </w:r>
      <w:r>
        <w:rPr>
          <w:rFonts w:ascii="Times New Roman" w:hAnsi="Times New Roman" w:cs="Times New Roman" w:eastAsia="Times New Roman" w:hint="default"/>
        </w:rPr>
        <w:t>2</w:t>
      </w:r>
      <w:r>
        <w:rPr/>
        <w:t>）重要的账龄超过</w:t>
      </w:r>
      <w:r>
        <w:rPr>
          <w:spacing w:val="-54"/>
        </w:rPr>
        <w:t> </w:t>
      </w:r>
      <w:r>
        <w:rPr>
          <w:rFonts w:ascii="Times New Roman" w:hAnsi="Times New Roman" w:cs="Times New Roman" w:eastAsia="Times New Roman" w:hint="default"/>
        </w:rPr>
        <w:t>1</w:t>
      </w:r>
      <w:r>
        <w:rPr>
          <w:rFonts w:ascii="Times New Roman" w:hAnsi="Times New Roman" w:cs="Times New Roman" w:eastAsia="Times New Roman" w:hint="default"/>
          <w:spacing w:val="-3"/>
        </w:rPr>
        <w:t> </w:t>
      </w:r>
      <w:r>
        <w:rPr/>
        <w:t>年的应收股利</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4"/>
        <w:gridCol w:w="1914"/>
        <w:gridCol w:w="1914"/>
        <w:gridCol w:w="1914"/>
        <w:gridCol w:w="1903"/>
      </w:tblGrid>
      <w:tr>
        <w:trPr>
          <w:trHeight w:val="714"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7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项目</w:t>
            </w:r>
            <w:r>
              <w:rPr>
                <w:rFonts w:ascii="Times New Roman" w:hAnsi="Times New Roman" w:cs="Times New Roman" w:eastAsia="Times New Roman" w:hint="default"/>
                <w:sz w:val="18"/>
                <w:szCs w:val="18"/>
              </w:rPr>
              <w:t>(</w:t>
            </w:r>
            <w:r>
              <w:rPr>
                <w:rFonts w:ascii="宋体" w:hAnsi="宋体" w:cs="宋体" w:eastAsia="宋体" w:hint="default"/>
                <w:sz w:val="18"/>
                <w:szCs w:val="18"/>
              </w:rPr>
              <w:t>或被投资单位</w:t>
            </w:r>
            <w:r>
              <w:rPr>
                <w:rFonts w:ascii="Times New Roman" w:hAnsi="Times New Roman" w:cs="Times New Roman" w:eastAsia="Times New Roman" w:hint="default"/>
                <w:sz w:val="18"/>
                <w:szCs w:val="18"/>
              </w:rPr>
              <w:t>)</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11" w:right="0"/>
              <w:jc w:val="left"/>
              <w:rPr>
                <w:rFonts w:ascii="宋体" w:hAnsi="宋体" w:cs="宋体" w:eastAsia="宋体" w:hint="default"/>
                <w:sz w:val="18"/>
                <w:szCs w:val="18"/>
              </w:rPr>
            </w:pPr>
            <w:r>
              <w:rPr>
                <w:rFonts w:ascii="宋体" w:hAnsi="宋体" w:cs="宋体" w:eastAsia="宋体" w:hint="default"/>
                <w:sz w:val="18"/>
                <w:szCs w:val="18"/>
              </w:rPr>
              <w:t>未收回的原因</w:t>
            </w:r>
          </w:p>
        </w:tc>
        <w:tc>
          <w:tcPr>
            <w:tcW w:w="19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771" w:right="39" w:hanging="720"/>
              <w:jc w:val="left"/>
              <w:rPr>
                <w:rFonts w:ascii="宋体" w:hAnsi="宋体" w:cs="宋体" w:eastAsia="宋体" w:hint="default"/>
                <w:sz w:val="18"/>
                <w:szCs w:val="18"/>
              </w:rPr>
            </w:pPr>
            <w:r>
              <w:rPr>
                <w:rFonts w:ascii="宋体" w:hAnsi="宋体" w:cs="宋体" w:eastAsia="宋体" w:hint="default"/>
                <w:sz w:val="18"/>
                <w:szCs w:val="18"/>
              </w:rPr>
              <w:t>是否发生减值及其判断 依据</w:t>
            </w:r>
          </w:p>
        </w:tc>
      </w:tr>
    </w:tbl>
    <w:p>
      <w:pPr>
        <w:pStyle w:val="BodyText"/>
        <w:spacing w:line="357" w:lineRule="auto" w:before="52"/>
        <w:ind w:right="9853"/>
        <w:jc w:val="left"/>
      </w:pPr>
      <w:r>
        <w:rPr/>
        <w:t>其他说明： 无。</w:t>
      </w:r>
    </w:p>
    <w:p>
      <w:pPr>
        <w:spacing w:line="240" w:lineRule="auto" w:before="3"/>
        <w:rPr>
          <w:rFonts w:ascii="宋体" w:hAnsi="宋体" w:cs="宋体" w:eastAsia="宋体" w:hint="default"/>
          <w:sz w:val="20"/>
          <w:szCs w:val="20"/>
        </w:rPr>
      </w:pPr>
    </w:p>
    <w:p>
      <w:pPr>
        <w:pStyle w:val="Heading3"/>
        <w:spacing w:line="240" w:lineRule="auto"/>
        <w:ind w:right="0"/>
        <w:jc w:val="left"/>
        <w:rPr>
          <w:b w:val="0"/>
          <w:bCs w:val="0"/>
        </w:rPr>
      </w:pPr>
      <w:bookmarkStart w:name="9、其他应收款" w:id="252"/>
      <w:bookmarkEnd w:id="252"/>
      <w:r>
        <w:rPr>
          <w:b w:val="0"/>
          <w:bCs w:val="0"/>
        </w:rPr>
      </w:r>
      <w:r>
        <w:rPr>
          <w:rFonts w:ascii="Times New Roman" w:hAnsi="Times New Roman" w:cs="Times New Roman" w:eastAsia="Times New Roman" w:hint="default"/>
        </w:rPr>
        <w:t>9</w:t>
      </w:r>
      <w:r>
        <w:rPr/>
        <w:t>、其他应收款</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其他应收款分类披露" w:id="253"/>
      <w:bookmarkEnd w:id="253"/>
      <w:r>
        <w:rPr>
          <w:b w:val="0"/>
          <w:bCs w:val="0"/>
        </w:rPr>
      </w:r>
      <w:r>
        <w:rPr/>
        <w:t>（</w:t>
      </w:r>
      <w:r>
        <w:rPr>
          <w:rFonts w:ascii="Times New Roman" w:hAnsi="Times New Roman" w:cs="Times New Roman" w:eastAsia="Times New Roman" w:hint="default"/>
        </w:rPr>
        <w:t>1</w:t>
      </w:r>
      <w:r>
        <w:rPr/>
        <w:t>）其他应收款分类披露</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611"/>
        <w:gridCol w:w="775"/>
        <w:gridCol w:w="762"/>
        <w:gridCol w:w="762"/>
        <w:gridCol w:w="762"/>
        <w:gridCol w:w="790"/>
        <w:gridCol w:w="654"/>
        <w:gridCol w:w="762"/>
        <w:gridCol w:w="813"/>
        <w:gridCol w:w="932"/>
        <w:gridCol w:w="932"/>
      </w:tblGrid>
      <w:tr>
        <w:trPr>
          <w:trHeight w:val="397" w:hRule="exact"/>
        </w:trPr>
        <w:tc>
          <w:tcPr>
            <w:tcW w:w="1611" w:type="dxa"/>
            <w:vMerge w:val="restart"/>
            <w:tcBorders>
              <w:top w:val="single" w:sz="4" w:space="0" w:color="000000"/>
              <w:left w:val="single" w:sz="4" w:space="0" w:color="000000"/>
              <w:right w:val="single" w:sz="4" w:space="0" w:color="000000"/>
            </w:tcBorders>
            <w:shd w:val="clear" w:color="auto" w:fill="D2D2D2"/>
          </w:tcPr>
          <w:p>
            <w:pPr/>
          </w:p>
        </w:tc>
        <w:tc>
          <w:tcPr>
            <w:tcW w:w="3851"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4"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66" w:hRule="exact"/>
        </w:trPr>
        <w:tc>
          <w:tcPr>
            <w:tcW w:w="1611" w:type="dxa"/>
            <w:vMerge/>
            <w:tcBorders>
              <w:left w:val="single" w:sz="4" w:space="0" w:color="000000"/>
              <w:bottom w:val="nil" w:sz="6" w:space="0" w:color="auto"/>
              <w:right w:val="single" w:sz="4" w:space="0" w:color="000000"/>
            </w:tcBorders>
            <w:shd w:val="clear" w:color="auto" w:fill="D2D2D2"/>
          </w:tcPr>
          <w:p>
            <w:pPr/>
          </w:p>
        </w:tc>
        <w:tc>
          <w:tcPr>
            <w:tcW w:w="1537"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40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0" w:type="dxa"/>
            <w:vMerge w:val="restart"/>
            <w:tcBorders>
              <w:top w:val="single" w:sz="4" w:space="0" w:color="000000"/>
              <w:left w:val="single" w:sz="4" w:space="0" w:color="000000"/>
              <w:right w:val="single" w:sz="4" w:space="0" w:color="000000"/>
            </w:tcBorders>
            <w:shd w:val="clear" w:color="auto" w:fill="D2D2D2"/>
          </w:tcPr>
          <w:p>
            <w:pPr/>
          </w:p>
        </w:tc>
        <w:tc>
          <w:tcPr>
            <w:tcW w:w="141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4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50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2" w:type="dxa"/>
            <w:vMerge w:val="restart"/>
            <w:tcBorders>
              <w:top w:val="single" w:sz="4" w:space="0" w:color="000000"/>
              <w:left w:val="single" w:sz="4" w:space="0" w:color="000000"/>
              <w:right w:val="single" w:sz="4" w:space="0" w:color="000000"/>
            </w:tcBorders>
            <w:shd w:val="clear" w:color="auto" w:fill="D2D2D2"/>
          </w:tcPr>
          <w:p>
            <w:pPr/>
          </w:p>
        </w:tc>
      </w:tr>
      <w:tr>
        <w:trPr>
          <w:trHeight w:val="241" w:hRule="exact"/>
        </w:trPr>
        <w:tc>
          <w:tcPr>
            <w:tcW w:w="161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1537" w:type="dxa"/>
            <w:gridSpan w:val="2"/>
            <w:vMerge/>
            <w:tcBorders>
              <w:left w:val="single" w:sz="4" w:space="0" w:color="000000"/>
              <w:bottom w:val="single" w:sz="4" w:space="0" w:color="000000"/>
              <w:right w:val="single" w:sz="4" w:space="0" w:color="000000"/>
            </w:tcBorders>
            <w:shd w:val="clear" w:color="auto" w:fill="D2D2D2"/>
          </w:tcPr>
          <w:p>
            <w:pPr/>
          </w:p>
        </w:tc>
        <w:tc>
          <w:tcPr>
            <w:tcW w:w="1524" w:type="dxa"/>
            <w:gridSpan w:val="2"/>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1416" w:type="dxa"/>
            <w:gridSpan w:val="2"/>
            <w:vMerge/>
            <w:tcBorders>
              <w:left w:val="single" w:sz="4" w:space="0" w:color="000000"/>
              <w:bottom w:val="single" w:sz="4" w:space="0" w:color="000000"/>
              <w:right w:val="single" w:sz="4" w:space="0" w:color="000000"/>
            </w:tcBorders>
            <w:shd w:val="clear" w:color="auto" w:fill="D2D2D2"/>
          </w:tcPr>
          <w:p>
            <w:pPr/>
          </w:p>
        </w:tc>
        <w:tc>
          <w:tcPr>
            <w:tcW w:w="1745" w:type="dxa"/>
            <w:gridSpan w:val="2"/>
            <w:vMerge/>
            <w:tcBorders>
              <w:left w:val="single" w:sz="4" w:space="0" w:color="000000"/>
              <w:bottom w:val="single" w:sz="4" w:space="0" w:color="000000"/>
              <w:right w:val="single" w:sz="4" w:space="0" w:color="000000"/>
            </w:tcBorders>
            <w:shd w:val="clear" w:color="auto" w:fill="D2D2D2"/>
          </w:tcPr>
          <w:p>
            <w:pPr/>
          </w:p>
        </w:tc>
        <w:tc>
          <w:tcPr>
            <w:tcW w:w="932" w:type="dxa"/>
            <w:vMerge/>
            <w:tcBorders>
              <w:left w:val="single" w:sz="4" w:space="0" w:color="000000"/>
              <w:bottom w:val="nil" w:sz="6" w:space="0" w:color="auto"/>
              <w:right w:val="single" w:sz="4" w:space="0" w:color="000000"/>
            </w:tcBorders>
            <w:shd w:val="clear" w:color="auto" w:fill="D2D2D2"/>
          </w:tcPr>
          <w:p>
            <w:pPr/>
          </w:p>
        </w:tc>
      </w:tr>
      <w:tr>
        <w:trPr>
          <w:trHeight w:val="158" w:hRule="exact"/>
        </w:trPr>
        <w:tc>
          <w:tcPr>
            <w:tcW w:w="1611" w:type="dxa"/>
            <w:vMerge/>
            <w:tcBorders>
              <w:left w:val="single" w:sz="4" w:space="0" w:color="000000"/>
              <w:bottom w:val="single" w:sz="4" w:space="0" w:color="FFFFFF"/>
              <w:right w:val="single" w:sz="4" w:space="0" w:color="000000"/>
            </w:tcBorders>
            <w:shd w:val="clear" w:color="auto" w:fill="D2D2D2"/>
          </w:tcPr>
          <w:p>
            <w:pPr/>
          </w:p>
        </w:tc>
        <w:tc>
          <w:tcPr>
            <w:tcW w:w="775"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285" w:right="104"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9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30"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654" w:type="dxa"/>
            <w:tcBorders>
              <w:top w:val="single" w:sz="4" w:space="0" w:color="000000"/>
              <w:left w:val="single" w:sz="4" w:space="0" w:color="000000"/>
              <w:bottom w:val="nil" w:sz="6" w:space="0" w:color="auto"/>
              <w:right w:val="single" w:sz="4" w:space="0" w:color="000000"/>
            </w:tcBorders>
            <w:shd w:val="clear" w:color="auto" w:fill="D2D2D2"/>
          </w:tcPr>
          <w:p>
            <w:pPr/>
          </w:p>
        </w:tc>
        <w:tc>
          <w:tcPr>
            <w:tcW w:w="762" w:type="dxa"/>
            <w:tcBorders>
              <w:top w:val="single" w:sz="4" w:space="0" w:color="000000"/>
              <w:left w:val="single" w:sz="4" w:space="0" w:color="000000"/>
              <w:bottom w:val="nil" w:sz="6" w:space="0" w:color="auto"/>
              <w:right w:val="single" w:sz="4" w:space="0" w:color="000000"/>
            </w:tcBorders>
            <w:shd w:val="clear" w:color="auto" w:fill="D2D2D2"/>
          </w:tcPr>
          <w:p>
            <w:pPr/>
          </w:p>
        </w:tc>
        <w:tc>
          <w:tcPr>
            <w:tcW w:w="813" w:type="dxa"/>
            <w:tcBorders>
              <w:top w:val="single" w:sz="4" w:space="0" w:color="000000"/>
              <w:left w:val="single" w:sz="4" w:space="0" w:color="000000"/>
              <w:bottom w:val="nil" w:sz="6" w:space="0" w:color="auto"/>
              <w:right w:val="single" w:sz="4" w:space="0" w:color="000000"/>
            </w:tcBorders>
            <w:shd w:val="clear" w:color="auto" w:fill="D2D2D2"/>
          </w:tcPr>
          <w:p>
            <w:pPr/>
          </w:p>
        </w:tc>
        <w:tc>
          <w:tcPr>
            <w:tcW w:w="932" w:type="dxa"/>
            <w:tcBorders>
              <w:top w:val="single" w:sz="4" w:space="0" w:color="000000"/>
              <w:left w:val="single" w:sz="4" w:space="0" w:color="000000"/>
              <w:bottom w:val="nil" w:sz="6" w:space="0" w:color="auto"/>
              <w:right w:val="single" w:sz="4" w:space="0" w:color="000000"/>
            </w:tcBorders>
            <w:shd w:val="clear" w:color="auto" w:fill="D2D2D2"/>
          </w:tcPr>
          <w:p>
            <w:pPr/>
          </w:p>
        </w:tc>
        <w:tc>
          <w:tcPr>
            <w:tcW w:w="93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93" w:hRule="exact"/>
        </w:trPr>
        <w:tc>
          <w:tcPr>
            <w:tcW w:w="1611" w:type="dxa"/>
            <w:vMerge w:val="restart"/>
            <w:tcBorders>
              <w:top w:val="single" w:sz="4" w:space="0" w:color="FFFFFF"/>
              <w:left w:val="single" w:sz="4" w:space="0" w:color="000000"/>
              <w:right w:val="single" w:sz="4" w:space="0" w:color="000000"/>
            </w:tcBorders>
            <w:shd w:val="clear" w:color="auto" w:fill="D2D2D2"/>
          </w:tcPr>
          <w:p>
            <w:pPr/>
          </w:p>
        </w:tc>
        <w:tc>
          <w:tcPr>
            <w:tcW w:w="775"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207"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tcBorders>
              <w:left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65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4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22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0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2" w:type="dxa"/>
            <w:vMerge/>
            <w:tcBorders>
              <w:left w:val="single" w:sz="4" w:space="0" w:color="000000"/>
              <w:bottom w:val="nil" w:sz="6" w:space="0" w:color="auto"/>
              <w:right w:val="single" w:sz="4" w:space="0" w:color="000000"/>
            </w:tcBorders>
            <w:shd w:val="clear" w:color="auto" w:fill="D2D2D2"/>
          </w:tcPr>
          <w:p>
            <w:pPr/>
          </w:p>
        </w:tc>
      </w:tr>
      <w:tr>
        <w:trPr>
          <w:trHeight w:val="202" w:hRule="exact"/>
        </w:trPr>
        <w:tc>
          <w:tcPr>
            <w:tcW w:w="1611" w:type="dxa"/>
            <w:vMerge/>
            <w:tcBorders>
              <w:left w:val="single" w:sz="4" w:space="0" w:color="000000"/>
              <w:right w:val="single" w:sz="4" w:space="0" w:color="000000"/>
            </w:tcBorders>
            <w:shd w:val="clear" w:color="auto" w:fill="D2D2D2"/>
          </w:tcPr>
          <w:p>
            <w:pPr/>
          </w:p>
        </w:tc>
        <w:tc>
          <w:tcPr>
            <w:tcW w:w="775"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right w:val="single" w:sz="4" w:space="0" w:color="000000"/>
            </w:tcBorders>
            <w:shd w:val="clear" w:color="auto" w:fill="D2D2D2"/>
          </w:tcPr>
          <w:p>
            <w:pPr/>
          </w:p>
        </w:tc>
        <w:tc>
          <w:tcPr>
            <w:tcW w:w="790" w:type="dxa"/>
            <w:vMerge w:val="restart"/>
            <w:tcBorders>
              <w:top w:val="nil" w:sz="6" w:space="0" w:color="auto"/>
              <w:left w:val="single" w:sz="4" w:space="0" w:color="000000"/>
              <w:right w:val="single" w:sz="4" w:space="0" w:color="000000"/>
            </w:tcBorders>
            <w:shd w:val="clear" w:color="auto" w:fill="D2D2D2"/>
          </w:tcPr>
          <w:p>
            <w:pPr/>
          </w:p>
        </w:tc>
        <w:tc>
          <w:tcPr>
            <w:tcW w:w="654"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813" w:type="dxa"/>
            <w:vMerge/>
            <w:tcBorders>
              <w:left w:val="single" w:sz="4" w:space="0" w:color="000000"/>
              <w:bottom w:val="nil" w:sz="6" w:space="0" w:color="auto"/>
              <w:right w:val="single" w:sz="4" w:space="0" w:color="000000"/>
            </w:tcBorders>
            <w:shd w:val="clear" w:color="auto" w:fill="D2D2D2"/>
          </w:tcPr>
          <w:p>
            <w:pPr/>
          </w:p>
        </w:tc>
        <w:tc>
          <w:tcPr>
            <w:tcW w:w="932" w:type="dxa"/>
            <w:vMerge/>
            <w:tcBorders>
              <w:left w:val="single" w:sz="4" w:space="0" w:color="000000"/>
              <w:bottom w:val="nil" w:sz="6" w:space="0" w:color="auto"/>
              <w:right w:val="single" w:sz="4" w:space="0" w:color="000000"/>
            </w:tcBorders>
            <w:shd w:val="clear" w:color="auto" w:fill="D2D2D2"/>
          </w:tcPr>
          <w:p>
            <w:pPr/>
          </w:p>
        </w:tc>
        <w:tc>
          <w:tcPr>
            <w:tcW w:w="932"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611" w:type="dxa"/>
            <w:vMerge/>
            <w:tcBorders>
              <w:left w:val="single" w:sz="4" w:space="0" w:color="000000"/>
              <w:bottom w:val="single" w:sz="4" w:space="0" w:color="000000"/>
              <w:right w:val="single" w:sz="4" w:space="0" w:color="000000"/>
            </w:tcBorders>
            <w:shd w:val="clear" w:color="auto" w:fill="D2D2D2"/>
          </w:tcPr>
          <w:p>
            <w:pPr/>
          </w:p>
        </w:tc>
        <w:tc>
          <w:tcPr>
            <w:tcW w:w="775"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single" w:sz="4" w:space="0" w:color="000000"/>
              <w:right w:val="single" w:sz="4" w:space="0" w:color="000000"/>
            </w:tcBorders>
            <w:shd w:val="clear" w:color="auto" w:fill="D2D2D2"/>
          </w:tcPr>
          <w:p>
            <w:pPr/>
          </w:p>
        </w:tc>
        <w:tc>
          <w:tcPr>
            <w:tcW w:w="654"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813" w:type="dxa"/>
            <w:tcBorders>
              <w:top w:val="nil" w:sz="6" w:space="0" w:color="auto"/>
              <w:left w:val="single" w:sz="4" w:space="0" w:color="000000"/>
              <w:bottom w:val="single" w:sz="4" w:space="0" w:color="000000"/>
              <w:right w:val="single" w:sz="4" w:space="0" w:color="000000"/>
            </w:tcBorders>
            <w:shd w:val="clear" w:color="auto" w:fill="D2D2D2"/>
          </w:tcPr>
          <w:p>
            <w:pPr/>
          </w:p>
        </w:tc>
        <w:tc>
          <w:tcPr>
            <w:tcW w:w="932" w:type="dxa"/>
            <w:tcBorders>
              <w:top w:val="nil" w:sz="6" w:space="0" w:color="auto"/>
              <w:left w:val="single" w:sz="4" w:space="0" w:color="000000"/>
              <w:bottom w:val="single" w:sz="4" w:space="0" w:color="000000"/>
              <w:right w:val="single" w:sz="4" w:space="0" w:color="000000"/>
            </w:tcBorders>
            <w:shd w:val="clear" w:color="auto" w:fill="D2D2D2"/>
          </w:tcPr>
          <w:p>
            <w:pPr/>
          </w:p>
        </w:tc>
        <w:tc>
          <w:tcPr>
            <w:tcW w:w="932"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16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148"/>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其他应收款</w:t>
            </w:r>
          </w:p>
        </w:tc>
        <w:tc>
          <w:tcPr>
            <w:tcW w:w="77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9" w:right="0"/>
              <w:jc w:val="left"/>
              <w:rPr>
                <w:rFonts w:ascii="Times New Roman" w:hAnsi="Times New Roman" w:cs="Times New Roman" w:eastAsia="Times New Roman" w:hint="default"/>
                <w:sz w:val="18"/>
                <w:szCs w:val="18"/>
              </w:rPr>
            </w:pPr>
            <w:r>
              <w:rPr>
                <w:rFonts w:ascii="Times New Roman"/>
                <w:sz w:val="18"/>
              </w:rPr>
              <w:t>44,438,4</w:t>
            </w:r>
          </w:p>
          <w:p>
            <w:pPr>
              <w:pStyle w:val="TableParagraph"/>
              <w:spacing w:line="240" w:lineRule="auto" w:before="105"/>
              <w:ind w:left="325" w:right="0"/>
              <w:jc w:val="left"/>
              <w:rPr>
                <w:rFonts w:ascii="Times New Roman" w:hAnsi="Times New Roman" w:cs="Times New Roman" w:eastAsia="Times New Roman" w:hint="default"/>
                <w:sz w:val="18"/>
                <w:szCs w:val="18"/>
              </w:rPr>
            </w:pPr>
            <w:r>
              <w:rPr>
                <w:rFonts w:ascii="Times New Roman"/>
                <w:sz w:val="18"/>
              </w:rPr>
              <w:t>87.96</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99.80%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3,420,82</w:t>
            </w:r>
          </w:p>
          <w:p>
            <w:pPr>
              <w:pStyle w:val="TableParagraph"/>
              <w:spacing w:line="240" w:lineRule="auto" w:before="105"/>
              <w:ind w:left="413" w:right="0"/>
              <w:jc w:val="left"/>
              <w:rPr>
                <w:rFonts w:ascii="Times New Roman" w:hAnsi="Times New Roman" w:cs="Times New Roman" w:eastAsia="Times New Roman" w:hint="default"/>
                <w:sz w:val="18"/>
                <w:szCs w:val="18"/>
              </w:rPr>
            </w:pPr>
            <w:r>
              <w:rPr>
                <w:rFonts w:ascii="Times New Roman"/>
                <w:sz w:val="18"/>
              </w:rPr>
              <w:t>0.80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7.70%</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7" w:right="0"/>
              <w:jc w:val="left"/>
              <w:rPr>
                <w:rFonts w:ascii="Times New Roman" w:hAnsi="Times New Roman" w:cs="Times New Roman" w:eastAsia="Times New Roman" w:hint="default"/>
                <w:sz w:val="18"/>
                <w:szCs w:val="18"/>
              </w:rPr>
            </w:pPr>
            <w:r>
              <w:rPr>
                <w:rFonts w:ascii="Times New Roman"/>
                <w:sz w:val="18"/>
              </w:rPr>
              <w:t>41,017,66</w:t>
            </w:r>
          </w:p>
          <w:p>
            <w:pPr>
              <w:pStyle w:val="TableParagraph"/>
              <w:spacing w:line="240" w:lineRule="auto" w:before="105"/>
              <w:ind w:left="442" w:right="0"/>
              <w:jc w:val="left"/>
              <w:rPr>
                <w:rFonts w:ascii="Times New Roman" w:hAnsi="Times New Roman" w:cs="Times New Roman" w:eastAsia="Times New Roman" w:hint="default"/>
                <w:sz w:val="18"/>
                <w:szCs w:val="18"/>
              </w:rPr>
            </w:pPr>
            <w:r>
              <w:rPr>
                <w:rFonts w:ascii="Times New Roman"/>
                <w:sz w:val="18"/>
              </w:rPr>
              <w:t>7.16</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0" w:right="0"/>
              <w:jc w:val="left"/>
              <w:rPr>
                <w:rFonts w:ascii="Times New Roman" w:hAnsi="Times New Roman" w:cs="Times New Roman" w:eastAsia="Times New Roman" w:hint="default"/>
                <w:sz w:val="18"/>
                <w:szCs w:val="18"/>
              </w:rPr>
            </w:pPr>
            <w:r>
              <w:rPr>
                <w:rFonts w:ascii="Times New Roman"/>
                <w:sz w:val="18"/>
              </w:rPr>
              <w:t>24,270,</w:t>
            </w:r>
          </w:p>
          <w:p>
            <w:pPr>
              <w:pStyle w:val="TableParagraph"/>
              <w:spacing w:line="240" w:lineRule="auto" w:before="105"/>
              <w:ind w:left="125" w:right="0"/>
              <w:jc w:val="left"/>
              <w:rPr>
                <w:rFonts w:ascii="Times New Roman" w:hAnsi="Times New Roman" w:cs="Times New Roman" w:eastAsia="Times New Roman" w:hint="default"/>
                <w:sz w:val="18"/>
                <w:szCs w:val="18"/>
              </w:rPr>
            </w:pPr>
            <w:r>
              <w:rPr>
                <w:rFonts w:ascii="Times New Roman"/>
                <w:sz w:val="18"/>
              </w:rPr>
              <w:t>233.42</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99.64%</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1,792,934</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.32</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7.39%</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22,477,299.</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10</w:t>
            </w:r>
          </w:p>
        </w:tc>
      </w:tr>
      <w:tr>
        <w:trPr>
          <w:trHeight w:val="1026" w:hRule="exact"/>
        </w:trPr>
        <w:tc>
          <w:tcPr>
            <w:tcW w:w="16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148"/>
              <w:jc w:val="both"/>
              <w:rPr>
                <w:rFonts w:ascii="宋体" w:hAnsi="宋体" w:cs="宋体" w:eastAsia="宋体" w:hint="default"/>
                <w:sz w:val="18"/>
                <w:szCs w:val="18"/>
              </w:rPr>
            </w:pPr>
            <w:r>
              <w:rPr>
                <w:rFonts w:ascii="宋体" w:hAnsi="宋体" w:cs="宋体" w:eastAsia="宋体" w:hint="default"/>
                <w:sz w:val="18"/>
                <w:szCs w:val="18"/>
              </w:rPr>
              <w:t>单项金额不重大但 单独计提坏账准备 的其他应收款</w:t>
            </w:r>
          </w:p>
        </w:tc>
        <w:tc>
          <w:tcPr>
            <w:tcW w:w="77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87,990.0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0.20%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87,990.0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42" w:right="0"/>
              <w:jc w:val="left"/>
              <w:rPr>
                <w:rFonts w:ascii="Times New Roman" w:hAnsi="Times New Roman" w:cs="Times New Roman" w:eastAsia="Times New Roman" w:hint="default"/>
                <w:sz w:val="18"/>
                <w:szCs w:val="18"/>
              </w:rPr>
            </w:pPr>
            <w:r>
              <w:rPr>
                <w:rFonts w:ascii="Times New Roman"/>
                <w:sz w:val="18"/>
              </w:rPr>
              <w:t>0.00</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87,990.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0.36%</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0" w:right="0"/>
              <w:jc w:val="left"/>
              <w:rPr>
                <w:rFonts w:ascii="Times New Roman" w:hAnsi="Times New Roman" w:cs="Times New Roman" w:eastAsia="Times New Roman" w:hint="default"/>
                <w:sz w:val="18"/>
                <w:szCs w:val="18"/>
              </w:rPr>
            </w:pPr>
            <w:r>
              <w:rPr>
                <w:rFonts w:ascii="Times New Roman"/>
                <w:sz w:val="18"/>
              </w:rPr>
              <w:t>87,990.00</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584" w:right="0"/>
              <w:jc w:val="left"/>
              <w:rPr>
                <w:rFonts w:ascii="Times New Roman" w:hAnsi="Times New Roman" w:cs="Times New Roman" w:eastAsia="Times New Roman" w:hint="default"/>
                <w:sz w:val="18"/>
                <w:szCs w:val="18"/>
              </w:rPr>
            </w:pPr>
            <w:r>
              <w:rPr>
                <w:rFonts w:ascii="Times New Roman"/>
                <w:sz w:val="18"/>
              </w:rPr>
              <w:t>0.00</w:t>
            </w:r>
          </w:p>
        </w:tc>
      </w:tr>
      <w:tr>
        <w:trPr>
          <w:trHeight w:val="161" w:hRule="exact"/>
        </w:trPr>
        <w:tc>
          <w:tcPr>
            <w:tcW w:w="1611" w:type="dxa"/>
            <w:tcBorders>
              <w:top w:val="single" w:sz="4" w:space="0" w:color="000000"/>
              <w:left w:val="single" w:sz="4" w:space="0" w:color="000000"/>
              <w:bottom w:val="nil" w:sz="6" w:space="0" w:color="auto"/>
              <w:right w:val="single" w:sz="4" w:space="0" w:color="000000"/>
            </w:tcBorders>
            <w:shd w:val="clear" w:color="auto" w:fill="D2D2D2"/>
          </w:tcPr>
          <w:p>
            <w:pPr/>
          </w:p>
        </w:tc>
        <w:tc>
          <w:tcPr>
            <w:tcW w:w="775" w:type="dxa"/>
            <w:vMerge w:val="restart"/>
            <w:tcBorders>
              <w:top w:val="single" w:sz="4" w:space="0" w:color="000000"/>
              <w:left w:val="single" w:sz="9" w:space="0" w:color="D2D2D2"/>
              <w:right w:val="single" w:sz="4" w:space="0" w:color="000000"/>
            </w:tcBorders>
          </w:tcPr>
          <w:p>
            <w:pPr>
              <w:pStyle w:val="TableParagraph"/>
              <w:spacing w:line="240" w:lineRule="auto" w:before="91"/>
              <w:ind w:left="105" w:right="0"/>
              <w:jc w:val="left"/>
              <w:rPr>
                <w:rFonts w:ascii="Times New Roman" w:hAnsi="Times New Roman" w:cs="Times New Roman" w:eastAsia="Times New Roman" w:hint="default"/>
                <w:sz w:val="18"/>
                <w:szCs w:val="18"/>
              </w:rPr>
            </w:pPr>
            <w:r>
              <w:rPr>
                <w:rFonts w:ascii="Times New Roman"/>
                <w:sz w:val="18"/>
              </w:rPr>
              <w:t>44,526,4</w:t>
            </w:r>
          </w:p>
          <w:p>
            <w:pPr>
              <w:pStyle w:val="TableParagraph"/>
              <w:spacing w:line="240" w:lineRule="auto" w:before="105"/>
              <w:ind w:left="330" w:right="0"/>
              <w:jc w:val="left"/>
              <w:rPr>
                <w:rFonts w:ascii="Times New Roman" w:hAnsi="Times New Roman" w:cs="Times New Roman" w:eastAsia="Times New Roman" w:hint="default"/>
                <w:sz w:val="18"/>
                <w:szCs w:val="18"/>
              </w:rPr>
            </w:pPr>
            <w:r>
              <w:rPr>
                <w:rFonts w:ascii="Times New Roman"/>
                <w:sz w:val="18"/>
              </w:rPr>
              <w:t>77.96</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91"/>
              <w:ind w:left="98" w:right="0"/>
              <w:jc w:val="left"/>
              <w:rPr>
                <w:rFonts w:ascii="Times New Roman" w:hAnsi="Times New Roman" w:cs="Times New Roman" w:eastAsia="Times New Roman" w:hint="default"/>
                <w:sz w:val="18"/>
                <w:szCs w:val="18"/>
              </w:rPr>
            </w:pPr>
            <w:r>
              <w:rPr>
                <w:rFonts w:ascii="Times New Roman"/>
                <w:sz w:val="18"/>
              </w:rPr>
              <w:t>3,508,81</w:t>
            </w:r>
          </w:p>
          <w:p>
            <w:pPr>
              <w:pStyle w:val="TableParagraph"/>
              <w:spacing w:line="240" w:lineRule="auto" w:before="105"/>
              <w:ind w:left="413" w:right="0"/>
              <w:jc w:val="left"/>
              <w:rPr>
                <w:rFonts w:ascii="Times New Roman" w:hAnsi="Times New Roman" w:cs="Times New Roman" w:eastAsia="Times New Roman" w:hint="default"/>
                <w:sz w:val="18"/>
                <w:szCs w:val="18"/>
              </w:rPr>
            </w:pPr>
            <w:r>
              <w:rPr>
                <w:rFonts w:ascii="Times New Roman"/>
                <w:sz w:val="18"/>
              </w:rPr>
              <w:t>0.80</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65" w:right="0"/>
              <w:jc w:val="left"/>
              <w:rPr>
                <w:rFonts w:ascii="Times New Roman" w:hAnsi="Times New Roman" w:cs="Times New Roman" w:eastAsia="Times New Roman" w:hint="default"/>
                <w:sz w:val="18"/>
                <w:szCs w:val="18"/>
              </w:rPr>
            </w:pPr>
            <w:r>
              <w:rPr>
                <w:rFonts w:ascii="Times New Roman"/>
                <w:sz w:val="18"/>
              </w:rPr>
              <w:t>7.88%</w:t>
            </w:r>
          </w:p>
        </w:tc>
        <w:tc>
          <w:tcPr>
            <w:tcW w:w="790" w:type="dxa"/>
            <w:vMerge w:val="restart"/>
            <w:tcBorders>
              <w:top w:val="single" w:sz="4" w:space="0" w:color="000000"/>
              <w:left w:val="single" w:sz="4" w:space="0" w:color="000000"/>
              <w:right w:val="single" w:sz="4" w:space="0" w:color="000000"/>
            </w:tcBorders>
          </w:tcPr>
          <w:p>
            <w:pPr>
              <w:pStyle w:val="TableParagraph"/>
              <w:spacing w:line="240" w:lineRule="auto" w:before="91"/>
              <w:ind w:left="37" w:right="0"/>
              <w:jc w:val="left"/>
              <w:rPr>
                <w:rFonts w:ascii="Times New Roman" w:hAnsi="Times New Roman" w:cs="Times New Roman" w:eastAsia="Times New Roman" w:hint="default"/>
                <w:sz w:val="18"/>
                <w:szCs w:val="18"/>
              </w:rPr>
            </w:pPr>
            <w:r>
              <w:rPr>
                <w:rFonts w:ascii="Times New Roman"/>
                <w:sz w:val="18"/>
              </w:rPr>
              <w:t>41,017,66</w:t>
            </w:r>
          </w:p>
          <w:p>
            <w:pPr>
              <w:pStyle w:val="TableParagraph"/>
              <w:spacing w:line="240" w:lineRule="auto" w:before="105"/>
              <w:ind w:left="442" w:right="0"/>
              <w:jc w:val="left"/>
              <w:rPr>
                <w:rFonts w:ascii="Times New Roman" w:hAnsi="Times New Roman" w:cs="Times New Roman" w:eastAsia="Times New Roman" w:hint="default"/>
                <w:sz w:val="18"/>
                <w:szCs w:val="18"/>
              </w:rPr>
            </w:pPr>
            <w:r>
              <w:rPr>
                <w:rFonts w:ascii="Times New Roman"/>
                <w:sz w:val="18"/>
              </w:rPr>
              <w:t>7.16</w:t>
            </w:r>
          </w:p>
        </w:tc>
        <w:tc>
          <w:tcPr>
            <w:tcW w:w="654" w:type="dxa"/>
            <w:vMerge w:val="restart"/>
            <w:tcBorders>
              <w:top w:val="single" w:sz="4" w:space="0" w:color="000000"/>
              <w:left w:val="single" w:sz="4" w:space="0" w:color="000000"/>
              <w:right w:val="single" w:sz="4" w:space="0" w:color="000000"/>
            </w:tcBorders>
          </w:tcPr>
          <w:p>
            <w:pPr>
              <w:pStyle w:val="TableParagraph"/>
              <w:spacing w:line="240" w:lineRule="auto" w:before="91"/>
              <w:ind w:left="80" w:right="0"/>
              <w:jc w:val="left"/>
              <w:rPr>
                <w:rFonts w:ascii="Times New Roman" w:hAnsi="Times New Roman" w:cs="Times New Roman" w:eastAsia="Times New Roman" w:hint="default"/>
                <w:sz w:val="18"/>
                <w:szCs w:val="18"/>
              </w:rPr>
            </w:pPr>
            <w:r>
              <w:rPr>
                <w:rFonts w:ascii="Times New Roman"/>
                <w:sz w:val="18"/>
              </w:rPr>
              <w:t>24,358,</w:t>
            </w:r>
          </w:p>
          <w:p>
            <w:pPr>
              <w:pStyle w:val="TableParagraph"/>
              <w:spacing w:line="240" w:lineRule="auto" w:before="105"/>
              <w:ind w:left="125" w:right="0"/>
              <w:jc w:val="left"/>
              <w:rPr>
                <w:rFonts w:ascii="Times New Roman" w:hAnsi="Times New Roman" w:cs="Times New Roman" w:eastAsia="Times New Roman" w:hint="default"/>
                <w:sz w:val="18"/>
                <w:szCs w:val="18"/>
              </w:rPr>
            </w:pPr>
            <w:r>
              <w:rPr>
                <w:rFonts w:ascii="Times New Roman"/>
                <w:sz w:val="18"/>
              </w:rPr>
              <w:t>223.42</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3"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1,880,924</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.32</w:t>
            </w:r>
          </w:p>
        </w:tc>
        <w:tc>
          <w:tcPr>
            <w:tcW w:w="93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35" w:right="0"/>
              <w:jc w:val="left"/>
              <w:rPr>
                <w:rFonts w:ascii="Times New Roman" w:hAnsi="Times New Roman" w:cs="Times New Roman" w:eastAsia="Times New Roman" w:hint="default"/>
                <w:sz w:val="18"/>
                <w:szCs w:val="18"/>
              </w:rPr>
            </w:pPr>
            <w:r>
              <w:rPr>
                <w:rFonts w:ascii="Times New Roman"/>
                <w:sz w:val="18"/>
              </w:rPr>
              <w:t>7.72%</w:t>
            </w:r>
          </w:p>
        </w:tc>
        <w:tc>
          <w:tcPr>
            <w:tcW w:w="932"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22,477,299.</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10</w:t>
            </w:r>
          </w:p>
        </w:tc>
      </w:tr>
      <w:tr>
        <w:trPr>
          <w:trHeight w:val="392" w:hRule="exact"/>
        </w:trPr>
        <w:tc>
          <w:tcPr>
            <w:tcW w:w="161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75" w:type="dxa"/>
            <w:vMerge/>
            <w:tcBorders>
              <w:left w:val="single" w:sz="9" w:space="0" w:color="D2D2D2"/>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90" w:type="dxa"/>
            <w:vMerge/>
            <w:tcBorders>
              <w:left w:val="single" w:sz="4" w:space="0" w:color="000000"/>
              <w:right w:val="single" w:sz="4" w:space="0" w:color="000000"/>
            </w:tcBorders>
          </w:tcPr>
          <w:p>
            <w:pPr/>
          </w:p>
        </w:tc>
        <w:tc>
          <w:tcPr>
            <w:tcW w:w="654"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813" w:type="dxa"/>
            <w:vMerge/>
            <w:tcBorders>
              <w:left w:val="single" w:sz="4" w:space="0" w:color="000000"/>
              <w:right w:val="single" w:sz="4" w:space="0" w:color="000000"/>
            </w:tcBorders>
          </w:tcPr>
          <w:p>
            <w:pPr/>
          </w:p>
        </w:tc>
        <w:tc>
          <w:tcPr>
            <w:tcW w:w="932" w:type="dxa"/>
            <w:vMerge/>
            <w:tcBorders>
              <w:left w:val="single" w:sz="4" w:space="0" w:color="000000"/>
              <w:right w:val="single" w:sz="4" w:space="0" w:color="000000"/>
            </w:tcBorders>
          </w:tcPr>
          <w:p>
            <w:pPr/>
          </w:p>
        </w:tc>
        <w:tc>
          <w:tcPr>
            <w:tcW w:w="932" w:type="dxa"/>
            <w:vMerge/>
            <w:tcBorders>
              <w:left w:val="single" w:sz="4" w:space="0" w:color="000000"/>
              <w:right w:val="single" w:sz="4" w:space="0" w:color="000000"/>
            </w:tcBorders>
          </w:tcPr>
          <w:p>
            <w:pPr/>
          </w:p>
        </w:tc>
      </w:tr>
      <w:tr>
        <w:trPr>
          <w:trHeight w:val="161" w:hRule="exact"/>
        </w:trPr>
        <w:tc>
          <w:tcPr>
            <w:tcW w:w="1611" w:type="dxa"/>
            <w:tcBorders>
              <w:top w:val="nil" w:sz="6" w:space="0" w:color="auto"/>
              <w:left w:val="single" w:sz="4" w:space="0" w:color="000000"/>
              <w:bottom w:val="single" w:sz="4" w:space="0" w:color="000000"/>
              <w:right w:val="single" w:sz="4" w:space="0" w:color="000000"/>
            </w:tcBorders>
            <w:shd w:val="clear" w:color="auto" w:fill="D2D2D2"/>
          </w:tcPr>
          <w:p>
            <w:pPr/>
          </w:p>
        </w:tc>
        <w:tc>
          <w:tcPr>
            <w:tcW w:w="775" w:type="dxa"/>
            <w:vMerge/>
            <w:tcBorders>
              <w:left w:val="single" w:sz="9" w:space="0" w:color="D2D2D2"/>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90" w:type="dxa"/>
            <w:vMerge/>
            <w:tcBorders>
              <w:left w:val="single" w:sz="4" w:space="0" w:color="000000"/>
              <w:bottom w:val="single" w:sz="4" w:space="0" w:color="000000"/>
              <w:right w:val="single" w:sz="4" w:space="0" w:color="000000"/>
            </w:tcBorders>
          </w:tcPr>
          <w:p>
            <w:pPr/>
          </w:p>
        </w:tc>
        <w:tc>
          <w:tcPr>
            <w:tcW w:w="654"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813" w:type="dxa"/>
            <w:vMerge/>
            <w:tcBorders>
              <w:left w:val="single" w:sz="4" w:space="0" w:color="000000"/>
              <w:bottom w:val="single" w:sz="4" w:space="0" w:color="000000"/>
              <w:right w:val="single" w:sz="4" w:space="0" w:color="000000"/>
            </w:tcBorders>
          </w:tcPr>
          <w:p>
            <w:pPr/>
          </w:p>
        </w:tc>
        <w:tc>
          <w:tcPr>
            <w:tcW w:w="932" w:type="dxa"/>
            <w:vMerge/>
            <w:tcBorders>
              <w:left w:val="single" w:sz="4" w:space="0" w:color="000000"/>
              <w:bottom w:val="single" w:sz="4" w:space="0" w:color="000000"/>
              <w:right w:val="single" w:sz="4" w:space="0" w:color="000000"/>
            </w:tcBorders>
          </w:tcPr>
          <w:p>
            <w:pPr/>
          </w:p>
        </w:tc>
        <w:tc>
          <w:tcPr>
            <w:tcW w:w="932" w:type="dxa"/>
            <w:vMerge/>
            <w:tcBorders>
              <w:left w:val="single" w:sz="4" w:space="0" w:color="000000"/>
              <w:bottom w:val="single" w:sz="4" w:space="0" w:color="000000"/>
              <w:right w:val="single" w:sz="4" w:space="0" w:color="000000"/>
            </w:tcBorders>
          </w:tcPr>
          <w:p>
            <w:pPr/>
          </w:p>
        </w:tc>
      </w:tr>
    </w:tbl>
    <w:p>
      <w:pPr>
        <w:pStyle w:val="BodyText"/>
        <w:spacing w:line="240" w:lineRule="auto" w:before="51"/>
        <w:ind w:left="154" w:right="0"/>
        <w:jc w:val="left"/>
      </w:pPr>
      <w:r>
        <w:rPr/>
        <w:t>期末单项金额重大并单项计提坏账准备的其他应收款：</w:t>
      </w:r>
    </w:p>
    <w:p>
      <w:pPr>
        <w:pStyle w:val="BodyText"/>
        <w:spacing w:line="240" w:lineRule="auto" w:before="117"/>
        <w:ind w:left="154"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after="0" w:line="240" w:lineRule="auto"/>
        <w:jc w:val="left"/>
        <w:sectPr>
          <w:pgSz w:w="11910" w:h="16840"/>
          <w:pgMar w:header="747" w:footer="979" w:top="1060" w:bottom="1160" w:left="980" w:right="0"/>
        </w:sectPr>
      </w:pPr>
    </w:p>
    <w:p>
      <w:pPr>
        <w:spacing w:line="240" w:lineRule="auto" w:before="13"/>
        <w:rPr>
          <w:rFonts w:ascii="宋体" w:hAnsi="宋体" w:cs="宋体" w:eastAsia="宋体" w:hint="default"/>
          <w:sz w:val="25"/>
          <w:szCs w:val="25"/>
        </w:rPr>
      </w:pPr>
    </w:p>
    <w:p>
      <w:pPr>
        <w:spacing w:after="0" w:line="240" w:lineRule="auto"/>
        <w:rPr>
          <w:rFonts w:ascii="宋体" w:hAnsi="宋体" w:cs="宋体" w:eastAsia="宋体" w:hint="default"/>
          <w:sz w:val="25"/>
          <w:szCs w:val="25"/>
        </w:rPr>
        <w:sectPr>
          <w:pgSz w:w="11910" w:h="16840"/>
          <w:pgMar w:header="747" w:footer="979" w:top="1060" w:bottom="1160" w:left="980" w:right="0"/>
        </w:sectPr>
      </w:pPr>
    </w:p>
    <w:p>
      <w:pPr>
        <w:pStyle w:val="BodyText"/>
        <w:spacing w:line="240" w:lineRule="auto" w:before="44"/>
        <w:ind w:right="-19"/>
        <w:jc w:val="left"/>
      </w:pPr>
      <w:r>
        <w:rPr/>
        <w:t>组合中，按账龄分析法计提坏账准备的其他应收款：</w:t>
      </w:r>
    </w:p>
    <w:p>
      <w:pPr>
        <w:pStyle w:val="BodyText"/>
        <w:spacing w:line="240" w:lineRule="auto" w:before="116"/>
        <w:ind w:right="-19"/>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pStyle w:val="BodyText"/>
        <w:spacing w:line="240" w:lineRule="auto"/>
        <w:ind w:right="0"/>
        <w:jc w:val="left"/>
      </w:pPr>
      <w:r>
        <w:rPr/>
        <w:t>单位： 元</w:t>
      </w:r>
    </w:p>
    <w:p>
      <w:pPr>
        <w:spacing w:after="0" w:line="240" w:lineRule="auto"/>
        <w:jc w:val="left"/>
        <w:sectPr>
          <w:type w:val="continuous"/>
          <w:pgSz w:w="11910" w:h="16840"/>
          <w:pgMar w:top="1060" w:bottom="1160" w:left="980" w:right="0"/>
          <w:cols w:num="2" w:equalWidth="0">
            <w:col w:w="4295" w:space="4535"/>
            <w:col w:w="2100"/>
          </w:cols>
        </w:sectPr>
      </w:pP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2374"/>
        <w:gridCol w:w="2399"/>
        <w:gridCol w:w="2392"/>
        <w:gridCol w:w="2392"/>
      </w:tblGrid>
      <w:tr>
        <w:trPr>
          <w:trHeight w:val="206" w:hRule="exact"/>
        </w:trPr>
        <w:tc>
          <w:tcPr>
            <w:tcW w:w="2374" w:type="dxa"/>
            <w:tcBorders>
              <w:top w:val="single" w:sz="4" w:space="0" w:color="000000"/>
              <w:left w:val="single" w:sz="4" w:space="0" w:color="000000"/>
              <w:bottom w:val="nil" w:sz="6" w:space="0" w:color="auto"/>
              <w:right w:val="single" w:sz="4" w:space="0" w:color="000000"/>
            </w:tcBorders>
            <w:shd w:val="clear" w:color="auto" w:fill="D2D2D2"/>
          </w:tcPr>
          <w:p>
            <w:pPr/>
          </w:p>
        </w:tc>
        <w:tc>
          <w:tcPr>
            <w:tcW w:w="7183"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6"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1" w:hRule="exact"/>
        </w:trPr>
        <w:tc>
          <w:tcPr>
            <w:tcW w:w="237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3"/>
              <w:jc w:val="center"/>
              <w:rPr>
                <w:rFonts w:ascii="宋体" w:hAnsi="宋体" w:cs="宋体" w:eastAsia="宋体" w:hint="default"/>
                <w:sz w:val="18"/>
                <w:szCs w:val="18"/>
              </w:rPr>
            </w:pPr>
            <w:r>
              <w:rPr>
                <w:rFonts w:ascii="宋体" w:hAnsi="宋体" w:cs="宋体" w:eastAsia="宋体" w:hint="default"/>
                <w:sz w:val="18"/>
                <w:szCs w:val="18"/>
              </w:rPr>
              <w:t>账龄</w:t>
            </w:r>
          </w:p>
        </w:tc>
        <w:tc>
          <w:tcPr>
            <w:tcW w:w="7183" w:type="dxa"/>
            <w:gridSpan w:val="3"/>
            <w:vMerge/>
            <w:tcBorders>
              <w:left w:val="single" w:sz="4" w:space="0" w:color="000000"/>
              <w:bottom w:val="single" w:sz="4" w:space="0" w:color="000000"/>
              <w:right w:val="single" w:sz="4" w:space="0" w:color="000000"/>
            </w:tcBorders>
            <w:shd w:val="clear" w:color="auto" w:fill="D2D2D2"/>
          </w:tcPr>
          <w:p>
            <w:pPr/>
          </w:p>
        </w:tc>
      </w:tr>
      <w:tr>
        <w:trPr>
          <w:trHeight w:val="200" w:hRule="exact"/>
        </w:trPr>
        <w:tc>
          <w:tcPr>
            <w:tcW w:w="2374" w:type="dxa"/>
            <w:vMerge/>
            <w:tcBorders>
              <w:left w:val="single" w:sz="4" w:space="0" w:color="000000"/>
              <w:bottom w:val="nil" w:sz="6" w:space="0" w:color="auto"/>
              <w:right w:val="single" w:sz="4" w:space="0" w:color="000000"/>
            </w:tcBorders>
            <w:shd w:val="clear" w:color="auto" w:fill="D2D2D2"/>
          </w:tcPr>
          <w:p>
            <w:pPr/>
          </w:p>
        </w:tc>
        <w:tc>
          <w:tcPr>
            <w:tcW w:w="239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747"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211" w:hRule="exact"/>
        </w:trPr>
        <w:tc>
          <w:tcPr>
            <w:tcW w:w="2374"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9" w:type="dxa"/>
            <w:vMerge/>
            <w:tcBorders>
              <w:left w:val="single" w:sz="4" w:space="0" w:color="000000"/>
              <w:bottom w:val="single" w:sz="4" w:space="0" w:color="000000"/>
              <w:right w:val="single" w:sz="4" w:space="0" w:color="000000"/>
            </w:tcBorders>
            <w:shd w:val="clear" w:color="auto" w:fill="D2D2D2"/>
          </w:tcPr>
          <w:p>
            <w:pPr/>
          </w:p>
        </w:tc>
        <w:tc>
          <w:tcPr>
            <w:tcW w:w="2392" w:type="dxa"/>
            <w:vMerge/>
            <w:tcBorders>
              <w:left w:val="single" w:sz="4" w:space="0" w:color="000000"/>
              <w:bottom w:val="single" w:sz="4" w:space="0" w:color="000000"/>
              <w:right w:val="single" w:sz="4" w:space="0" w:color="000000"/>
            </w:tcBorders>
            <w:shd w:val="clear" w:color="auto" w:fill="D2D2D2"/>
          </w:tcPr>
          <w:p>
            <w:pPr/>
          </w:p>
        </w:tc>
        <w:tc>
          <w:tcPr>
            <w:tcW w:w="2392" w:type="dxa"/>
            <w:vMerge/>
            <w:tcBorders>
              <w:left w:val="single" w:sz="4" w:space="0" w:color="000000"/>
              <w:bottom w:val="single" w:sz="4" w:space="0" w:color="000000"/>
              <w:right w:val="single" w:sz="4" w:space="0" w:color="000000"/>
            </w:tcBorders>
            <w:shd w:val="clear" w:color="auto" w:fill="D2D2D2"/>
          </w:tcPr>
          <w:p>
            <w:pPr/>
          </w:p>
        </w:tc>
      </w:tr>
      <w:tr>
        <w:trPr>
          <w:trHeight w:val="397" w:hRule="exact"/>
        </w:trPr>
        <w:tc>
          <w:tcPr>
            <w:tcW w:w="9557"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年以内分项</w:t>
            </w:r>
          </w:p>
        </w:tc>
      </w:tr>
      <w:tr>
        <w:trPr>
          <w:trHeight w:val="402" w:hRule="exact"/>
        </w:trPr>
        <w:tc>
          <w:tcPr>
            <w:tcW w:w="23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239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35,738,018.69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1,785,998.99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23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6,048,220.45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604,822.05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w:t>
            </w:r>
          </w:p>
        </w:tc>
      </w:tr>
      <w:tr>
        <w:trPr>
          <w:trHeight w:val="402" w:hRule="exact"/>
        </w:trPr>
        <w:tc>
          <w:tcPr>
            <w:tcW w:w="23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1,480,623.27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444,186.97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30.00%</w:t>
            </w:r>
          </w:p>
        </w:tc>
      </w:tr>
      <w:tr>
        <w:trPr>
          <w:trHeight w:val="402" w:hRule="exact"/>
        </w:trPr>
        <w:tc>
          <w:tcPr>
            <w:tcW w:w="23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9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1,171,625.55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585,812.79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50.00%</w:t>
            </w:r>
          </w:p>
        </w:tc>
      </w:tr>
      <w:tr>
        <w:trPr>
          <w:trHeight w:val="402" w:hRule="exact"/>
        </w:trPr>
        <w:tc>
          <w:tcPr>
            <w:tcW w:w="23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44,438,487.96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3,420,820.80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7.70%</w:t>
            </w:r>
          </w:p>
        </w:tc>
      </w:tr>
    </w:tbl>
    <w:p>
      <w:pPr>
        <w:pStyle w:val="BodyText"/>
        <w:spacing w:line="357" w:lineRule="auto" w:before="51"/>
        <w:ind w:left="154" w:right="8772"/>
        <w:jc w:val="left"/>
      </w:pPr>
      <w:r>
        <w:rPr/>
        <w:t>确定该组合依据的说明： 无。</w:t>
      </w:r>
    </w:p>
    <w:p>
      <w:pPr>
        <w:pStyle w:val="BodyText"/>
        <w:spacing w:line="240" w:lineRule="auto" w:before="29"/>
        <w:ind w:left="154" w:right="0"/>
        <w:jc w:val="left"/>
      </w:pPr>
      <w:r>
        <w:rPr/>
        <w:t>组合中，采用余额百分比法计提坏账准备的其他应收款：</w:t>
      </w:r>
    </w:p>
    <w:p>
      <w:pPr>
        <w:pStyle w:val="BodyText"/>
        <w:spacing w:line="338" w:lineRule="auto" w:before="117"/>
        <w:ind w:right="661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组合中，采用其他方法计提坏账准备的其他应收款：</w:t>
      </w:r>
    </w:p>
    <w:p>
      <w:pPr>
        <w:pStyle w:val="BodyText"/>
        <w:spacing w:line="240" w:lineRule="auto" w:before="42"/>
        <w:ind w:left="154"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0"/>
        <w:rPr>
          <w:rFonts w:ascii="宋体" w:hAnsi="宋体" w:cs="宋体" w:eastAsia="宋体" w:hint="default"/>
          <w:sz w:val="25"/>
          <w:szCs w:val="25"/>
        </w:rPr>
      </w:pPr>
    </w:p>
    <w:p>
      <w:pPr>
        <w:pStyle w:val="Heading3"/>
        <w:spacing w:line="240" w:lineRule="auto"/>
        <w:ind w:left="153" w:right="0"/>
        <w:jc w:val="left"/>
        <w:rPr>
          <w:b w:val="0"/>
          <w:bCs w:val="0"/>
        </w:rPr>
      </w:pPr>
      <w:bookmarkStart w:name="（2）本期计提、收回或转回的坏账准备情况" w:id="254"/>
      <w:bookmarkEnd w:id="254"/>
      <w:r>
        <w:rPr>
          <w:b w:val="0"/>
          <w:bCs w:val="0"/>
        </w:rPr>
      </w:r>
      <w:r>
        <w:rPr/>
        <w:t>（</w:t>
      </w:r>
      <w:r>
        <w:rPr>
          <w:rFonts w:ascii="Times New Roman" w:hAnsi="Times New Roman" w:cs="Times New Roman" w:eastAsia="Times New Roman" w:hint="default"/>
        </w:rPr>
        <w:t>2</w:t>
      </w:r>
      <w:r>
        <w:rPr/>
        <w:t>）本期计提、收回或转回的坏账准备情况</w:t>
      </w:r>
      <w:r>
        <w:rPr>
          <w:b w:val="0"/>
          <w:bCs w:val="0"/>
        </w:rPr>
      </w:r>
    </w:p>
    <w:p>
      <w:pPr>
        <w:spacing w:line="240" w:lineRule="auto" w:before="3"/>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type w:val="continuous"/>
          <w:pgSz w:w="11910" w:h="16840"/>
          <w:pgMar w:top="1060" w:bottom="1160" w:left="980" w:right="0"/>
        </w:sectPr>
      </w:pPr>
    </w:p>
    <w:p>
      <w:pPr>
        <w:pStyle w:val="BodyText"/>
        <w:spacing w:line="340" w:lineRule="auto" w:before="44"/>
        <w:ind w:right="-12"/>
        <w:jc w:val="left"/>
      </w:pPr>
      <w:r>
        <w:rPr/>
        <w:t>本期计提坏账准备金额</w:t>
      </w:r>
      <w:r>
        <w:rPr>
          <w:spacing w:val="-47"/>
        </w:rPr>
        <w:t> </w:t>
      </w:r>
      <w:r>
        <w:rPr>
          <w:rFonts w:ascii="Times New Roman" w:hAnsi="Times New Roman" w:cs="Times New Roman" w:eastAsia="Times New Roman" w:hint="default"/>
        </w:rPr>
        <w:t>1,629,748.86</w:t>
      </w:r>
      <w:r>
        <w:rPr>
          <w:rFonts w:ascii="Times New Roman" w:hAnsi="Times New Roman" w:cs="Times New Roman" w:eastAsia="Times New Roman" w:hint="default"/>
          <w:spacing w:val="-2"/>
        </w:rPr>
        <w:t> </w:t>
      </w:r>
      <w:r>
        <w:rPr/>
        <w:t>元；本期收回或转回坏账准备金额</w:t>
      </w:r>
      <w:r>
        <w:rPr>
          <w:spacing w:val="-47"/>
        </w:rPr>
        <w:t> </w:t>
      </w:r>
      <w:r>
        <w:rPr>
          <w:rFonts w:ascii="Times New Roman" w:hAnsi="Times New Roman" w:cs="Times New Roman" w:eastAsia="Times New Roman" w:hint="default"/>
        </w:rPr>
        <w:t>0.00</w:t>
      </w:r>
      <w:r>
        <w:rPr>
          <w:rFonts w:ascii="Times New Roman" w:hAnsi="Times New Roman" w:cs="Times New Roman" w:eastAsia="Times New Roman" w:hint="default"/>
          <w:spacing w:val="-2"/>
        </w:rPr>
        <w:t> </w:t>
      </w:r>
      <w:r>
        <w:rPr/>
        <w:t>元。 其中本期坏账准备转回或收回金额重要的：</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pStyle w:val="BodyText"/>
        <w:spacing w:line="240" w:lineRule="auto"/>
        <w:ind w:right="0"/>
        <w:jc w:val="left"/>
      </w:pPr>
      <w:r>
        <w:rPr/>
        <w:t>单位： 元</w:t>
      </w:r>
    </w:p>
    <w:p>
      <w:pPr>
        <w:spacing w:after="0" w:line="240" w:lineRule="auto"/>
        <w:jc w:val="left"/>
        <w:sectPr>
          <w:type w:val="continuous"/>
          <w:pgSz w:w="11910" w:h="16840"/>
          <w:pgMar w:top="1060" w:bottom="1160" w:left="980" w:right="0"/>
          <w:cols w:num="2" w:equalWidth="0">
            <w:col w:w="6454" w:space="2375"/>
            <w:col w:w="2101"/>
          </w:cols>
        </w:sectPr>
      </w:pP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1"/>
        <w:gridCol w:w="3180"/>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60" w:right="0"/>
              <w:jc w:val="left"/>
              <w:rPr>
                <w:rFonts w:ascii="宋体" w:hAnsi="宋体" w:cs="宋体" w:eastAsia="宋体" w:hint="default"/>
                <w:sz w:val="18"/>
                <w:szCs w:val="18"/>
              </w:rPr>
            </w:pPr>
            <w:r>
              <w:rPr>
                <w:rFonts w:ascii="宋体" w:hAnsi="宋体" w:cs="宋体" w:eastAsia="宋体" w:hint="default"/>
                <w:sz w:val="18"/>
                <w:szCs w:val="18"/>
              </w:rPr>
              <w:t>转回或收回金额</w:t>
            </w:r>
          </w:p>
        </w:tc>
        <w:tc>
          <w:tcPr>
            <w:tcW w:w="31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收回方式</w:t>
            </w:r>
          </w:p>
        </w:tc>
      </w:tr>
    </w:tbl>
    <w:p>
      <w:pPr>
        <w:pStyle w:val="BodyText"/>
        <w:spacing w:line="240" w:lineRule="auto" w:before="11"/>
        <w:ind w:left="154" w:right="0"/>
        <w:jc w:val="left"/>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3）本期实际核销的其他应收款情况" w:id="255"/>
      <w:bookmarkEnd w:id="255"/>
      <w:r>
        <w:rPr>
          <w:b w:val="0"/>
          <w:bCs w:val="0"/>
        </w:rPr>
      </w:r>
      <w:r>
        <w:rPr/>
        <w:t>（</w:t>
      </w:r>
      <w:r>
        <w:rPr>
          <w:rFonts w:ascii="Times New Roman" w:hAnsi="Times New Roman" w:cs="Times New Roman" w:eastAsia="Times New Roman" w:hint="default"/>
        </w:rPr>
        <w:t>3</w:t>
      </w:r>
      <w:r>
        <w:rPr/>
        <w:t>）本期实际核销的其他应收款情况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4780"/>
        <w:gridCol w:w="4788"/>
      </w:tblGrid>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核销金额</w:t>
            </w:r>
          </w:p>
        </w:tc>
      </w:tr>
      <w:tr>
        <w:trPr>
          <w:trHeight w:val="402" w:hRule="exact"/>
        </w:trPr>
        <w:tc>
          <w:tcPr>
            <w:tcW w:w="4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1,862.38</w:t>
            </w:r>
          </w:p>
        </w:tc>
      </w:tr>
    </w:tbl>
    <w:p>
      <w:pPr>
        <w:pStyle w:val="BodyText"/>
        <w:spacing w:line="240" w:lineRule="auto" w:before="51"/>
        <w:ind w:left="154" w:right="0"/>
        <w:jc w:val="left"/>
      </w:pPr>
      <w:r>
        <w:rPr/>
        <w:t>其中重要的其他应收款核销情况：</w:t>
      </w:r>
    </w:p>
    <w:p>
      <w:pPr>
        <w:pStyle w:val="BodyText"/>
        <w:spacing w:line="240" w:lineRule="auto" w:before="117"/>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94"/>
        <w:gridCol w:w="1595"/>
        <w:gridCol w:w="1594"/>
        <w:gridCol w:w="1594"/>
        <w:gridCol w:w="1596"/>
        <w:gridCol w:w="1595"/>
      </w:tblGrid>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63" w:right="0"/>
              <w:jc w:val="left"/>
              <w:rPr>
                <w:rFonts w:ascii="宋体" w:hAnsi="宋体" w:cs="宋体" w:eastAsia="宋体" w:hint="default"/>
                <w:sz w:val="18"/>
                <w:szCs w:val="18"/>
              </w:rPr>
            </w:pPr>
            <w:r>
              <w:rPr>
                <w:rFonts w:ascii="宋体" w:hAnsi="宋体" w:cs="宋体" w:eastAsia="宋体" w:hint="default"/>
                <w:sz w:val="18"/>
                <w:szCs w:val="18"/>
              </w:rPr>
              <w:t>其他应收款性质</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63" w:right="0"/>
              <w:jc w:val="left"/>
              <w:rPr>
                <w:rFonts w:ascii="宋体" w:hAnsi="宋体" w:cs="宋体" w:eastAsia="宋体" w:hint="default"/>
                <w:sz w:val="18"/>
                <w:szCs w:val="18"/>
              </w:rPr>
            </w:pPr>
            <w:r>
              <w:rPr>
                <w:rFonts w:ascii="宋体" w:hAnsi="宋体" w:cs="宋体" w:eastAsia="宋体" w:hint="default"/>
                <w:sz w:val="18"/>
                <w:szCs w:val="18"/>
              </w:rPr>
              <w:t>履行的核销程序</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521" w:right="71" w:hanging="450"/>
              <w:jc w:val="left"/>
              <w:rPr>
                <w:rFonts w:ascii="宋体" w:hAnsi="宋体" w:cs="宋体" w:eastAsia="宋体" w:hint="default"/>
                <w:sz w:val="18"/>
                <w:szCs w:val="18"/>
              </w:rPr>
            </w:pPr>
            <w:r>
              <w:rPr>
                <w:rFonts w:ascii="宋体" w:hAnsi="宋体" w:cs="宋体" w:eastAsia="宋体" w:hint="default"/>
                <w:sz w:val="18"/>
                <w:szCs w:val="18"/>
              </w:rPr>
              <w:t>款项是否由关联交 易产生</w:t>
            </w:r>
          </w:p>
        </w:tc>
      </w:tr>
    </w:tbl>
    <w:p>
      <w:pPr>
        <w:pStyle w:val="BodyText"/>
        <w:spacing w:line="357" w:lineRule="auto" w:before="52"/>
        <w:ind w:left="154" w:right="8952"/>
        <w:jc w:val="left"/>
      </w:pPr>
      <w:r>
        <w:rPr/>
        <w:t>其他应收款核销说明： 无。</w:t>
      </w:r>
    </w:p>
    <w:p>
      <w:pPr>
        <w:spacing w:after="0" w:line="357" w:lineRule="auto"/>
        <w:jc w:val="left"/>
        <w:sectPr>
          <w:type w:val="continuous"/>
          <w:pgSz w:w="11910" w:h="16840"/>
          <w:pgMar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5"/>
        <w:ind w:left="153" w:right="0"/>
        <w:jc w:val="left"/>
        <w:rPr>
          <w:b w:val="0"/>
          <w:bCs w:val="0"/>
        </w:rPr>
      </w:pPr>
      <w:bookmarkStart w:name="（4）其他应收款按款项性质分类情况" w:id="256"/>
      <w:bookmarkEnd w:id="256"/>
      <w:r>
        <w:rPr>
          <w:b w:val="0"/>
          <w:bCs w:val="0"/>
        </w:rPr>
      </w:r>
      <w:r>
        <w:rPr/>
        <w:t>（</w:t>
      </w:r>
      <w:r>
        <w:rPr>
          <w:rFonts w:ascii="Times New Roman" w:hAnsi="Times New Roman" w:cs="Times New Roman" w:eastAsia="Times New Roman" w:hint="default"/>
        </w:rPr>
        <w:t>4</w:t>
      </w:r>
      <w:r>
        <w:rPr/>
        <w:t>）其他应收款按款项性质分类情况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1"/>
        <w:gridCol w:w="3191"/>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50"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50"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应收出口退税</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4,919,553.37</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789,761.18</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押金</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3,086,564.82</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1,669,516.03</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28,792,097.49</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11,377,199.10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7,728,262.28</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10,521,747.11</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44,526,477.96</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24,358,223.42</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5）按欠款方归集的期末余额前五名的其他应收款情况" w:id="257"/>
      <w:bookmarkEnd w:id="257"/>
      <w:r>
        <w:rPr>
          <w:b w:val="0"/>
          <w:bCs w:val="0"/>
        </w:rPr>
      </w:r>
      <w:r>
        <w:rPr/>
        <w:t>（</w:t>
      </w:r>
      <w:r>
        <w:rPr>
          <w:rFonts w:ascii="Times New Roman" w:hAnsi="Times New Roman" w:cs="Times New Roman" w:eastAsia="Times New Roman" w:hint="default"/>
        </w:rPr>
        <w:t>5</w:t>
      </w:r>
      <w:r>
        <w:rPr/>
        <w:t>）按欠款方归集的期末余额前五名的其他应收款情况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594"/>
        <w:gridCol w:w="1595"/>
        <w:gridCol w:w="1594"/>
        <w:gridCol w:w="1594"/>
        <w:gridCol w:w="1596"/>
        <w:gridCol w:w="1595"/>
      </w:tblGrid>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款项的性质</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73" w:right="71"/>
              <w:jc w:val="left"/>
              <w:rPr>
                <w:rFonts w:ascii="宋体" w:hAnsi="宋体" w:cs="宋体" w:eastAsia="宋体" w:hint="default"/>
                <w:sz w:val="18"/>
                <w:szCs w:val="18"/>
              </w:rPr>
            </w:pPr>
            <w:r>
              <w:rPr>
                <w:rFonts w:ascii="宋体" w:hAnsi="宋体" w:cs="宋体" w:eastAsia="宋体" w:hint="default"/>
                <w:sz w:val="18"/>
                <w:szCs w:val="18"/>
              </w:rPr>
              <w:t>占其他应收款期末 余额合计数的比例</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71"/>
              <w:jc w:val="right"/>
              <w:rPr>
                <w:rFonts w:ascii="宋体" w:hAnsi="宋体" w:cs="宋体" w:eastAsia="宋体" w:hint="default"/>
                <w:sz w:val="18"/>
                <w:szCs w:val="18"/>
              </w:rPr>
            </w:pPr>
            <w:r>
              <w:rPr>
                <w:rFonts w:ascii="宋体" w:hAnsi="宋体" w:cs="宋体" w:eastAsia="宋体" w:hint="default"/>
                <w:sz w:val="18"/>
                <w:szCs w:val="18"/>
              </w:rPr>
              <w:t>坏账准备期末余额</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深圳市国税局</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出口退税款</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4,120,804.52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9.25%</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206,040.23</w:t>
            </w:r>
          </w:p>
        </w:tc>
      </w:tr>
      <w:tr>
        <w:trPr>
          <w:trHeight w:val="1026"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19"/>
              <w:jc w:val="both"/>
              <w:rPr>
                <w:rFonts w:ascii="宋体" w:hAnsi="宋体" w:cs="宋体" w:eastAsia="宋体" w:hint="default"/>
                <w:sz w:val="18"/>
                <w:szCs w:val="18"/>
              </w:rPr>
            </w:pPr>
            <w:r>
              <w:rPr>
                <w:rFonts w:ascii="宋体" w:hAnsi="宋体" w:cs="宋体" w:eastAsia="宋体" w:hint="default"/>
                <w:sz w:val="18"/>
                <w:szCs w:val="18"/>
              </w:rPr>
              <w:t>重庆市万盛经济技 术开发区机关事务 管理局</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4" w:right="0"/>
              <w:jc w:val="left"/>
              <w:rPr>
                <w:rFonts w:ascii="宋体" w:hAnsi="宋体" w:cs="宋体" w:eastAsia="宋体" w:hint="default"/>
                <w:sz w:val="18"/>
                <w:szCs w:val="18"/>
              </w:rPr>
            </w:pPr>
            <w:r>
              <w:rPr>
                <w:rFonts w:ascii="宋体" w:hAnsi="宋体" w:cs="宋体" w:eastAsia="宋体" w:hint="default"/>
                <w:sz w:val="18"/>
                <w:szCs w:val="18"/>
              </w:rPr>
              <w:t>投标保证金</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3,500,000.00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7.86%</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175,000.00</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19"/>
              <w:jc w:val="left"/>
              <w:rPr>
                <w:rFonts w:ascii="宋体" w:hAnsi="宋体" w:cs="宋体" w:eastAsia="宋体" w:hint="default"/>
                <w:sz w:val="18"/>
                <w:szCs w:val="18"/>
              </w:rPr>
            </w:pPr>
            <w:r>
              <w:rPr>
                <w:rFonts w:ascii="宋体" w:hAnsi="宋体" w:cs="宋体" w:eastAsia="宋体" w:hint="default"/>
                <w:sz w:val="18"/>
                <w:szCs w:val="18"/>
              </w:rPr>
              <w:t>山东万信项目管理 有限公司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履约保证金</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2,860,000.00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6.42%</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143,000.00</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19"/>
              <w:jc w:val="left"/>
              <w:rPr>
                <w:rFonts w:ascii="宋体" w:hAnsi="宋体" w:cs="宋体" w:eastAsia="宋体" w:hint="default"/>
                <w:sz w:val="18"/>
                <w:szCs w:val="18"/>
              </w:rPr>
            </w:pPr>
            <w:r>
              <w:rPr>
                <w:rFonts w:ascii="宋体" w:hAnsi="宋体" w:cs="宋体" w:eastAsia="宋体" w:hint="default"/>
                <w:sz w:val="18"/>
                <w:szCs w:val="18"/>
              </w:rPr>
              <w:t>东莞市财政局麻涌 分局</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投标保证金</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2,849,147.88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6.40%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142,457.39</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19"/>
              <w:jc w:val="left"/>
              <w:rPr>
                <w:rFonts w:ascii="宋体" w:hAnsi="宋体" w:cs="宋体" w:eastAsia="宋体" w:hint="default"/>
                <w:sz w:val="18"/>
                <w:szCs w:val="18"/>
              </w:rPr>
            </w:pPr>
            <w:r>
              <w:rPr>
                <w:rFonts w:ascii="宋体" w:hAnsi="宋体" w:cs="宋体" w:eastAsia="宋体" w:hint="default"/>
                <w:sz w:val="18"/>
                <w:szCs w:val="18"/>
              </w:rPr>
              <w:t>广州奥迪通用照明 有限公司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借款</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2,750,000.00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6.18%</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275,000.00</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c>
          <w:tcPr>
            <w:tcW w:w="1594" w:type="dxa"/>
            <w:tcBorders>
              <w:top w:val="single" w:sz="4" w:space="0" w:color="000000"/>
              <w:left w:val="single" w:sz="4" w:space="0" w:color="000000"/>
              <w:bottom w:val="single" w:sz="4" w:space="0" w:color="000000"/>
              <w:right w:val="single" w:sz="9" w:space="0" w:color="D2D2D2"/>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pacing w:val="-1"/>
                <w:sz w:val="18"/>
              </w:rPr>
              <w:t>16,079,952.40</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2"/>
                <w:sz w:val="18"/>
              </w:rPr>
              <w:t>36.11%</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941,497.62</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6）涉及政府补助的应收款项" w:id="258"/>
      <w:bookmarkEnd w:id="258"/>
      <w:r>
        <w:rPr>
          <w:b w:val="0"/>
          <w:bCs w:val="0"/>
        </w:rPr>
      </w:r>
      <w:r>
        <w:rPr/>
        <w:t>（</w:t>
      </w:r>
      <w:r>
        <w:rPr>
          <w:rFonts w:ascii="Times New Roman" w:hAnsi="Times New Roman" w:cs="Times New Roman" w:eastAsia="Times New Roman" w:hint="default"/>
        </w:rPr>
        <w:t>6</w:t>
      </w:r>
      <w:r>
        <w:rPr/>
        <w:t>）涉及政府补助的应收款项</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912"/>
        <w:gridCol w:w="1914"/>
        <w:gridCol w:w="1914"/>
        <w:gridCol w:w="1914"/>
        <w:gridCol w:w="1905"/>
      </w:tblGrid>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0"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2" w:right="0"/>
              <w:jc w:val="left"/>
              <w:rPr>
                <w:rFonts w:ascii="宋体" w:hAnsi="宋体" w:cs="宋体" w:eastAsia="宋体" w:hint="default"/>
                <w:sz w:val="18"/>
                <w:szCs w:val="18"/>
              </w:rPr>
            </w:pPr>
            <w:r>
              <w:rPr>
                <w:rFonts w:ascii="宋体" w:hAnsi="宋体" w:cs="宋体" w:eastAsia="宋体" w:hint="default"/>
                <w:sz w:val="18"/>
                <w:szCs w:val="18"/>
              </w:rPr>
              <w:t>政府补助项目名称</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期末账龄</w:t>
            </w:r>
          </w:p>
        </w:tc>
        <w:tc>
          <w:tcPr>
            <w:tcW w:w="19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683" w:right="39" w:hanging="630"/>
              <w:jc w:val="left"/>
              <w:rPr>
                <w:rFonts w:ascii="宋体" w:hAnsi="宋体" w:cs="宋体" w:eastAsia="宋体" w:hint="default"/>
                <w:sz w:val="18"/>
                <w:szCs w:val="18"/>
              </w:rPr>
            </w:pPr>
            <w:r>
              <w:rPr>
                <w:rFonts w:ascii="宋体" w:hAnsi="宋体" w:cs="宋体" w:eastAsia="宋体" w:hint="default"/>
                <w:sz w:val="18"/>
                <w:szCs w:val="18"/>
              </w:rPr>
              <w:t>预计收取的时间、金额 及依据</w:t>
            </w:r>
          </w:p>
        </w:tc>
      </w:tr>
    </w:tbl>
    <w:p>
      <w:pPr>
        <w:pStyle w:val="BodyText"/>
        <w:spacing w:line="240" w:lineRule="auto" w:before="10"/>
        <w:ind w:left="154" w:right="0"/>
        <w:jc w:val="left"/>
      </w:pPr>
      <w:r>
        <w:rPr/>
        <w:t>公司本年不存在涉及政府补助的应收款项。</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7）因金融资产转移而终止确认的其他应收款" w:id="259"/>
      <w:bookmarkEnd w:id="259"/>
      <w:r>
        <w:rPr>
          <w:b w:val="0"/>
          <w:bCs w:val="0"/>
        </w:rPr>
      </w:r>
      <w:r>
        <w:rPr/>
        <w:t>（</w:t>
      </w:r>
      <w:r>
        <w:rPr>
          <w:rFonts w:ascii="Times New Roman" w:hAnsi="Times New Roman" w:cs="Times New Roman" w:eastAsia="Times New Roman" w:hint="default"/>
        </w:rPr>
        <w:t>7</w:t>
      </w:r>
      <w:r>
        <w:rPr/>
        <w:t>）因金融资产转移而终止确认的其他应收款</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154" w:right="0"/>
        <w:jc w:val="left"/>
      </w:pPr>
      <w:r>
        <w:rPr/>
        <w:t>公司本年不存在因金融资产转移而终止确认的其他应收款。</w:t>
      </w:r>
    </w:p>
    <w:p>
      <w:pPr>
        <w:spacing w:after="0" w:line="240" w:lineRule="auto"/>
        <w:jc w:val="left"/>
        <w:sectPr>
          <w:pgSz w:w="11910" w:h="16840"/>
          <w:pgMar w:header="747" w:footer="979"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5"/>
        <w:ind w:left="153" w:right="0"/>
        <w:jc w:val="left"/>
        <w:rPr>
          <w:b w:val="0"/>
          <w:bCs w:val="0"/>
        </w:rPr>
      </w:pPr>
      <w:bookmarkStart w:name="（8）转移其他应收款且继续涉入形成的资产、负债金额" w:id="260"/>
      <w:bookmarkEnd w:id="260"/>
      <w:r>
        <w:rPr>
          <w:b w:val="0"/>
          <w:bCs w:val="0"/>
        </w:rPr>
      </w:r>
      <w:r>
        <w:rPr/>
        <w:t>（</w:t>
      </w:r>
      <w:r>
        <w:rPr>
          <w:rFonts w:ascii="Times New Roman" w:hAnsi="Times New Roman" w:cs="Times New Roman" w:eastAsia="Times New Roman" w:hint="default"/>
        </w:rPr>
        <w:t>8</w:t>
      </w:r>
      <w:r>
        <w:rPr/>
        <w:t>）转移其他应收款且继续涉入形成的资产、负债金额</w:t>
      </w:r>
      <w:r>
        <w:rPr>
          <w:b w:val="0"/>
          <w:bCs w:val="0"/>
        </w:rPr>
      </w:r>
    </w:p>
    <w:p>
      <w:pPr>
        <w:spacing w:line="240" w:lineRule="auto" w:before="7"/>
        <w:rPr>
          <w:rFonts w:ascii="宋体" w:hAnsi="宋体" w:cs="宋体" w:eastAsia="宋体" w:hint="default"/>
          <w:b/>
          <w:bCs/>
          <w:sz w:val="26"/>
          <w:szCs w:val="26"/>
        </w:rPr>
      </w:pPr>
    </w:p>
    <w:p>
      <w:pPr>
        <w:pStyle w:val="BodyText"/>
        <w:spacing w:line="360" w:lineRule="auto"/>
        <w:ind w:right="5353"/>
        <w:jc w:val="left"/>
      </w:pPr>
      <w:r>
        <w:rPr/>
        <w:t>公司本年不存在转移其他应收款且继续涉入形成的资产、负债金额。 其他说明：</w:t>
      </w:r>
    </w:p>
    <w:p>
      <w:pPr>
        <w:pStyle w:val="BodyText"/>
        <w:spacing w:line="240" w:lineRule="auto" w:before="26"/>
        <w:ind w:right="0"/>
        <w:jc w:val="left"/>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10、存货" w:id="261"/>
      <w:bookmarkEnd w:id="261"/>
      <w:r>
        <w:rPr>
          <w:b w:val="0"/>
          <w:bCs w:val="0"/>
        </w:rPr>
      </w:r>
      <w:r>
        <w:rPr>
          <w:rFonts w:ascii="Times New Roman" w:hAnsi="Times New Roman" w:cs="Times New Roman" w:eastAsia="Times New Roman" w:hint="default"/>
        </w:rPr>
        <w:t>10</w:t>
      </w:r>
      <w:r>
        <w:rPr/>
        <w:t>、存货</w:t>
      </w:r>
      <w:r>
        <w:rPr>
          <w:b w:val="0"/>
          <w:bCs w:val="0"/>
        </w:rPr>
      </w:r>
    </w:p>
    <w:p>
      <w:pPr>
        <w:spacing w:line="240" w:lineRule="auto" w:before="8"/>
        <w:rPr>
          <w:rFonts w:ascii="宋体" w:hAnsi="宋体" w:cs="宋体" w:eastAsia="宋体" w:hint="default"/>
          <w:b/>
          <w:bCs/>
          <w:sz w:val="26"/>
          <w:szCs w:val="26"/>
        </w:rPr>
      </w:pPr>
    </w:p>
    <w:p>
      <w:pPr>
        <w:pStyle w:val="BodyText"/>
        <w:spacing w:line="357" w:lineRule="auto"/>
        <w:ind w:left="154" w:right="7512"/>
        <w:jc w:val="left"/>
      </w:pPr>
      <w:r>
        <w:rPr/>
        <w:t>公司是否需要遵守房地产行业的披露要求 否</w:t>
      </w:r>
    </w:p>
    <w:p>
      <w:pPr>
        <w:spacing w:line="240" w:lineRule="auto" w:before="13"/>
        <w:rPr>
          <w:rFonts w:ascii="宋体" w:hAnsi="宋体" w:cs="宋体" w:eastAsia="宋体" w:hint="default"/>
          <w:sz w:val="19"/>
          <w:szCs w:val="19"/>
        </w:rPr>
      </w:pPr>
    </w:p>
    <w:p>
      <w:pPr>
        <w:pStyle w:val="Heading3"/>
        <w:spacing w:line="240" w:lineRule="auto"/>
        <w:ind w:right="0"/>
        <w:jc w:val="left"/>
        <w:rPr>
          <w:b w:val="0"/>
          <w:bCs w:val="0"/>
        </w:rPr>
      </w:pPr>
      <w:bookmarkStart w:name="（1）存货分类" w:id="262"/>
      <w:bookmarkEnd w:id="262"/>
      <w:r>
        <w:rPr>
          <w:b w:val="0"/>
          <w:bCs w:val="0"/>
        </w:rPr>
      </w:r>
      <w:r>
        <w:rPr/>
        <w:t>（</w:t>
      </w:r>
      <w:r>
        <w:rPr>
          <w:rFonts w:ascii="Times New Roman" w:hAnsi="Times New Roman" w:cs="Times New Roman" w:eastAsia="Times New Roman" w:hint="default"/>
        </w:rPr>
        <w:t>1</w:t>
      </w:r>
      <w:r>
        <w:rPr/>
        <w:t>）存货分类</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346"/>
        <w:gridCol w:w="1379"/>
        <w:gridCol w:w="1367"/>
        <w:gridCol w:w="1367"/>
        <w:gridCol w:w="1368"/>
        <w:gridCol w:w="1367"/>
        <w:gridCol w:w="1367"/>
      </w:tblGrid>
      <w:tr>
        <w:trPr>
          <w:trHeight w:val="205" w:hRule="exact"/>
        </w:trPr>
        <w:tc>
          <w:tcPr>
            <w:tcW w:w="1346" w:type="dxa"/>
            <w:tcBorders>
              <w:top w:val="single" w:sz="4" w:space="0" w:color="000000"/>
              <w:left w:val="single" w:sz="4" w:space="0" w:color="000000"/>
              <w:bottom w:val="nil" w:sz="6" w:space="0" w:color="auto"/>
              <w:right w:val="single" w:sz="4" w:space="0" w:color="000000"/>
            </w:tcBorders>
            <w:shd w:val="clear" w:color="auto" w:fill="D2D2D2"/>
          </w:tcPr>
          <w:p>
            <w:pPr/>
          </w:p>
        </w:tc>
        <w:tc>
          <w:tcPr>
            <w:tcW w:w="4113"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2" w:hRule="exact"/>
        </w:trPr>
        <w:tc>
          <w:tcPr>
            <w:tcW w:w="134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113" w:type="dxa"/>
            <w:gridSpan w:val="3"/>
            <w:vMerge/>
            <w:tcBorders>
              <w:left w:val="single" w:sz="4" w:space="0" w:color="000000"/>
              <w:bottom w:val="single" w:sz="4" w:space="0" w:color="000000"/>
              <w:right w:val="single" w:sz="4" w:space="0" w:color="000000"/>
            </w:tcBorders>
            <w:shd w:val="clear" w:color="auto" w:fill="D2D2D2"/>
          </w:tcPr>
          <w:p>
            <w:pPr/>
          </w:p>
        </w:tc>
        <w:tc>
          <w:tcPr>
            <w:tcW w:w="4102" w:type="dxa"/>
            <w:gridSpan w:val="3"/>
            <w:vMerge/>
            <w:tcBorders>
              <w:left w:val="single" w:sz="4" w:space="0" w:color="000000"/>
              <w:bottom w:val="single" w:sz="4" w:space="0" w:color="000000"/>
              <w:right w:val="single" w:sz="4" w:space="0" w:color="000000"/>
            </w:tcBorders>
            <w:shd w:val="clear" w:color="auto" w:fill="D2D2D2"/>
          </w:tcPr>
          <w:p>
            <w:pPr/>
          </w:p>
        </w:tc>
      </w:tr>
      <w:tr>
        <w:trPr>
          <w:trHeight w:val="200" w:hRule="exact"/>
        </w:trPr>
        <w:tc>
          <w:tcPr>
            <w:tcW w:w="1346" w:type="dxa"/>
            <w:vMerge/>
            <w:tcBorders>
              <w:left w:val="single" w:sz="4" w:space="0" w:color="000000"/>
              <w:bottom w:val="nil" w:sz="6" w:space="0" w:color="auto"/>
              <w:right w:val="single" w:sz="4" w:space="0" w:color="000000"/>
            </w:tcBorders>
            <w:shd w:val="clear" w:color="auto" w:fill="D2D2D2"/>
          </w:tcPr>
          <w:p>
            <w:pPr/>
          </w:p>
        </w:tc>
        <w:tc>
          <w:tcPr>
            <w:tcW w:w="137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2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18"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18"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206" w:hRule="exact"/>
        </w:trPr>
        <w:tc>
          <w:tcPr>
            <w:tcW w:w="1346" w:type="dxa"/>
            <w:tcBorders>
              <w:top w:val="nil" w:sz="6" w:space="0" w:color="auto"/>
              <w:left w:val="single" w:sz="4" w:space="0" w:color="000000"/>
              <w:bottom w:val="single" w:sz="4" w:space="0" w:color="000000"/>
              <w:right w:val="single" w:sz="4" w:space="0" w:color="000000"/>
            </w:tcBorders>
            <w:shd w:val="clear" w:color="auto" w:fill="D2D2D2"/>
          </w:tcPr>
          <w:p>
            <w:pPr/>
          </w:p>
        </w:tc>
        <w:tc>
          <w:tcPr>
            <w:tcW w:w="1379"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37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48,106,736.95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1,292,754.35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46,813,982.60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31,377,896.02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3,015,231.17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28,362,664.85</w:t>
            </w:r>
          </w:p>
        </w:tc>
      </w:tr>
      <w:tr>
        <w:trPr>
          <w:trHeight w:val="402"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137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47,049,615.78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116,230.92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46,933,384.86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28,128,565.01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88,359.49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28,040,205.52</w:t>
            </w:r>
          </w:p>
        </w:tc>
      </w:tr>
      <w:tr>
        <w:trPr>
          <w:trHeight w:val="402"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37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46,491,914.25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6,688,294.05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39,803,620.20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44,809,064.40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8,084,139.35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36,724,925.05</w:t>
            </w:r>
          </w:p>
        </w:tc>
      </w:tr>
      <w:tr>
        <w:trPr>
          <w:trHeight w:val="1026"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62"/>
              <w:jc w:val="both"/>
              <w:rPr>
                <w:rFonts w:ascii="宋体" w:hAnsi="宋体" w:cs="宋体" w:eastAsia="宋体" w:hint="default"/>
                <w:sz w:val="18"/>
                <w:szCs w:val="18"/>
              </w:rPr>
            </w:pPr>
            <w:r>
              <w:rPr>
                <w:rFonts w:ascii="宋体" w:hAnsi="宋体" w:cs="宋体" w:eastAsia="宋体" w:hint="default"/>
                <w:sz w:val="18"/>
                <w:szCs w:val="18"/>
              </w:rPr>
              <w:t>建造合同形成的 已完工未结算资 产</w:t>
            </w:r>
          </w:p>
        </w:tc>
        <w:tc>
          <w:tcPr>
            <w:tcW w:w="137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66,514,975.51</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66,514,975.51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19,511,976.42</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19,511,976.42</w:t>
            </w:r>
          </w:p>
        </w:tc>
      </w:tr>
      <w:tr>
        <w:trPr>
          <w:trHeight w:val="402" w:hRule="exact"/>
        </w:trPr>
        <w:tc>
          <w:tcPr>
            <w:tcW w:w="13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发出商品</w:t>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31,949,392.02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458,096.52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31,491,295.50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27,939,591.49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424,702.14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27,514,889.35</w:t>
            </w:r>
          </w:p>
        </w:tc>
      </w:tr>
      <w:tr>
        <w:trPr>
          <w:trHeight w:val="402"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7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240,112,634.51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8,555,375.84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231,557,258.67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151,767,093.34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11,612,432.15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140,154,661.19</w:t>
            </w:r>
          </w:p>
        </w:tc>
      </w:tr>
    </w:tbl>
    <w:p>
      <w:pPr>
        <w:pStyle w:val="BodyText"/>
        <w:spacing w:line="340" w:lineRule="auto" w:before="51"/>
        <w:ind w:left="154" w:right="2473"/>
        <w:jc w:val="left"/>
      </w:pPr>
      <w:r>
        <w:rPr/>
        <w:t>公司是否需遵守《深圳证券交易所行业信息披露指引第</w:t>
      </w:r>
      <w:r>
        <w:rPr>
          <w:spacing w:val="-45"/>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号</w:t>
      </w:r>
      <w:r>
        <w:rPr>
          <w:rFonts w:ascii="Times New Roman" w:hAnsi="Times New Roman" w:cs="Times New Roman" w:eastAsia="Times New Roman" w:hint="default"/>
        </w:rPr>
        <w:t>—</w:t>
      </w:r>
      <w:r>
        <w:rPr/>
        <w:t>上市公司从事种业、种植业务》的披露要求 否</w:t>
      </w:r>
    </w:p>
    <w:p>
      <w:pPr>
        <w:spacing w:line="240" w:lineRule="auto" w:before="12"/>
        <w:rPr>
          <w:rFonts w:ascii="宋体" w:hAnsi="宋体" w:cs="宋体" w:eastAsia="宋体" w:hint="default"/>
          <w:sz w:val="20"/>
          <w:szCs w:val="20"/>
        </w:rPr>
      </w:pPr>
    </w:p>
    <w:p>
      <w:pPr>
        <w:pStyle w:val="Heading3"/>
        <w:spacing w:line="240" w:lineRule="auto"/>
        <w:ind w:right="0"/>
        <w:jc w:val="left"/>
        <w:rPr>
          <w:b w:val="0"/>
          <w:bCs w:val="0"/>
        </w:rPr>
      </w:pPr>
      <w:bookmarkStart w:name="（2）存货跌价准备" w:id="263"/>
      <w:bookmarkEnd w:id="263"/>
      <w:r>
        <w:rPr>
          <w:b w:val="0"/>
          <w:bCs w:val="0"/>
        </w:rPr>
      </w:r>
      <w:r>
        <w:rPr/>
        <w:t>（</w:t>
      </w:r>
      <w:r>
        <w:rPr>
          <w:rFonts w:ascii="Times New Roman" w:hAnsi="Times New Roman" w:cs="Times New Roman" w:eastAsia="Times New Roman" w:hint="default"/>
        </w:rPr>
        <w:t>2</w:t>
      </w:r>
      <w:r>
        <w:rPr/>
        <w:t>）存货跌价准备</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206" w:hRule="exact"/>
        </w:trPr>
        <w:tc>
          <w:tcPr>
            <w:tcW w:w="1368" w:type="dxa"/>
            <w:tcBorders>
              <w:top w:val="single" w:sz="4" w:space="0" w:color="000000"/>
              <w:left w:val="single" w:sz="4" w:space="0" w:color="000000"/>
              <w:bottom w:val="nil" w:sz="6" w:space="0" w:color="auto"/>
              <w:right w:val="single" w:sz="4" w:space="0" w:color="000000"/>
            </w:tcBorders>
            <w:shd w:val="clear" w:color="auto" w:fill="D2D2D2"/>
          </w:tcPr>
          <w:p>
            <w:pPr/>
          </w:p>
        </w:tc>
        <w:tc>
          <w:tcPr>
            <w:tcW w:w="1368" w:type="dxa"/>
            <w:tcBorders>
              <w:top w:val="single" w:sz="4" w:space="0" w:color="000000"/>
              <w:left w:val="single" w:sz="4" w:space="0" w:color="000000"/>
              <w:bottom w:val="nil" w:sz="6" w:space="0" w:color="auto"/>
              <w:right w:val="single" w:sz="4" w:space="0" w:color="000000"/>
            </w:tcBorders>
            <w:shd w:val="clear" w:color="auto" w:fill="D2D2D2"/>
          </w:tcPr>
          <w:p>
            <w:pPr/>
          </w:p>
        </w:tc>
        <w:tc>
          <w:tcPr>
            <w:tcW w:w="273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822"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273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823"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1" w:hRule="exact"/>
        </w:trPr>
        <w:tc>
          <w:tcPr>
            <w:tcW w:w="136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36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4" w:type="dxa"/>
            <w:gridSpan w:val="2"/>
            <w:vMerge/>
            <w:tcBorders>
              <w:left w:val="single" w:sz="4" w:space="0" w:color="000000"/>
              <w:bottom w:val="single" w:sz="4" w:space="0" w:color="000000"/>
              <w:right w:val="single" w:sz="4" w:space="0" w:color="000000"/>
            </w:tcBorders>
            <w:shd w:val="clear" w:color="auto" w:fill="D2D2D2"/>
          </w:tcPr>
          <w:p>
            <w:pPr/>
          </w:p>
        </w:tc>
        <w:tc>
          <w:tcPr>
            <w:tcW w:w="2735" w:type="dxa"/>
            <w:gridSpan w:val="2"/>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right w:val="single" w:sz="4" w:space="0" w:color="000000"/>
            </w:tcBorders>
            <w:shd w:val="clear" w:color="auto" w:fill="D2D2D2"/>
          </w:tcPr>
          <w:p>
            <w:pPr/>
          </w:p>
        </w:tc>
      </w:tr>
      <w:tr>
        <w:trPr>
          <w:trHeight w:val="200" w:hRule="exact"/>
        </w:trPr>
        <w:tc>
          <w:tcPr>
            <w:tcW w:w="1368" w:type="dxa"/>
            <w:vMerge/>
            <w:tcBorders>
              <w:left w:val="single" w:sz="4" w:space="0" w:color="000000"/>
              <w:bottom w:val="nil" w:sz="6" w:space="0" w:color="auto"/>
              <w:right w:val="single" w:sz="4" w:space="0" w:color="000000"/>
            </w:tcBorders>
            <w:shd w:val="clear" w:color="auto" w:fill="D2D2D2"/>
          </w:tcPr>
          <w:p>
            <w:pPr/>
          </w:p>
        </w:tc>
        <w:tc>
          <w:tcPr>
            <w:tcW w:w="1368" w:type="dxa"/>
            <w:vMerge/>
            <w:tcBorders>
              <w:left w:val="single" w:sz="4" w:space="0" w:color="000000"/>
              <w:bottom w:val="nil" w:sz="6" w:space="0" w:color="auto"/>
              <w:right w:val="single" w:sz="4" w:space="0" w:color="000000"/>
            </w:tcBorders>
            <w:shd w:val="clear" w:color="auto" w:fill="D2D2D2"/>
          </w:tcPr>
          <w:p>
            <w:pP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计提</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其他</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29" w:right="0"/>
              <w:jc w:val="left"/>
              <w:rPr>
                <w:rFonts w:ascii="宋体" w:hAnsi="宋体" w:cs="宋体" w:eastAsia="宋体" w:hint="default"/>
                <w:sz w:val="18"/>
                <w:szCs w:val="18"/>
              </w:rPr>
            </w:pPr>
            <w:r>
              <w:rPr>
                <w:rFonts w:ascii="宋体" w:hAnsi="宋体" w:cs="宋体" w:eastAsia="宋体" w:hint="default"/>
                <w:sz w:val="18"/>
                <w:szCs w:val="18"/>
              </w:rPr>
              <w:t>转回或转销</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367" w:type="dxa"/>
            <w:vMerge/>
            <w:tcBorders>
              <w:left w:val="single" w:sz="4" w:space="0" w:color="000000"/>
              <w:right w:val="single" w:sz="4" w:space="0" w:color="000000"/>
            </w:tcBorders>
            <w:shd w:val="clear" w:color="auto" w:fill="D2D2D2"/>
          </w:tcPr>
          <w:p>
            <w:pPr/>
          </w:p>
        </w:tc>
      </w:tr>
      <w:tr>
        <w:trPr>
          <w:trHeight w:val="206" w:hRule="exact"/>
        </w:trPr>
        <w:tc>
          <w:tcPr>
            <w:tcW w:w="1368"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8"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36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3,015,231.17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399,190.51</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2,121,667.33</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1,292,754.35</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136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88,359.49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27,871.43</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116,230.92</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36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8,084,139.35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2,663,940.40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4,059,785.70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6,688,294.05</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发出商品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424,702.14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369,655.48</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336,261.10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458,096.52</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11,612,432.15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3,460,657.82</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6,517,714.13</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8,555,375.84</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5"/>
        <w:ind w:left="153" w:right="0"/>
        <w:jc w:val="left"/>
        <w:rPr>
          <w:b w:val="0"/>
          <w:bCs w:val="0"/>
        </w:rPr>
      </w:pPr>
      <w:bookmarkStart w:name="（3）存货期末余额含有借款费用资本化金额的说明" w:id="264"/>
      <w:bookmarkEnd w:id="264"/>
      <w:r>
        <w:rPr>
          <w:b w:val="0"/>
          <w:bCs w:val="0"/>
        </w:rPr>
      </w:r>
      <w:r>
        <w:rPr/>
        <w:t>（</w:t>
      </w:r>
      <w:r>
        <w:rPr>
          <w:rFonts w:ascii="Times New Roman" w:hAnsi="Times New Roman" w:cs="Times New Roman" w:eastAsia="Times New Roman" w:hint="default"/>
        </w:rPr>
        <w:t>3</w:t>
      </w:r>
      <w:r>
        <w:rPr/>
        <w:t>）存货期末余额含有借款费用资本化金额的说明</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4）期末建造合同形成的已完工未结算资产情况" w:id="265"/>
      <w:bookmarkEnd w:id="265"/>
      <w:r>
        <w:rPr>
          <w:b w:val="0"/>
          <w:bCs w:val="0"/>
        </w:rPr>
      </w:r>
      <w:r>
        <w:rPr/>
        <w:t>（</w:t>
      </w:r>
      <w:r>
        <w:rPr>
          <w:rFonts w:ascii="Times New Roman" w:hAnsi="Times New Roman" w:cs="Times New Roman" w:eastAsia="Times New Roman" w:hint="default"/>
        </w:rPr>
        <w:t>4</w:t>
      </w:r>
      <w:r>
        <w:rPr/>
        <w:t>）期末建造合同形成的已完工未结算资产情况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4761"/>
        <w:gridCol w:w="4797"/>
      </w:tblGrid>
      <w:tr>
        <w:trPr>
          <w:trHeight w:val="403"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金额</w:t>
            </w:r>
          </w:p>
        </w:tc>
      </w:tr>
      <w:tr>
        <w:trPr>
          <w:trHeight w:val="402"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累计已发生成本</w:t>
            </w:r>
          </w:p>
        </w:tc>
        <w:tc>
          <w:tcPr>
            <w:tcW w:w="479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340,892,540.37</w:t>
            </w:r>
          </w:p>
        </w:tc>
      </w:tr>
      <w:tr>
        <w:trPr>
          <w:trHeight w:val="402"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累计已确认毛利</w:t>
            </w:r>
          </w:p>
        </w:tc>
        <w:tc>
          <w:tcPr>
            <w:tcW w:w="479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110,778,745.29</w:t>
            </w:r>
          </w:p>
        </w:tc>
      </w:tr>
      <w:tr>
        <w:trPr>
          <w:trHeight w:val="402"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已办理结算的金额</w:t>
            </w:r>
          </w:p>
        </w:tc>
        <w:tc>
          <w:tcPr>
            <w:tcW w:w="479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385,156,310.15</w:t>
            </w:r>
          </w:p>
        </w:tc>
      </w:tr>
      <w:tr>
        <w:trPr>
          <w:trHeight w:val="403"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建造合同形成的已完工未结算资产</w:t>
            </w:r>
          </w:p>
        </w:tc>
        <w:tc>
          <w:tcPr>
            <w:tcW w:w="479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66,514,975.51</w:t>
            </w:r>
          </w:p>
        </w:tc>
      </w:tr>
    </w:tbl>
    <w:p>
      <w:pPr>
        <w:pStyle w:val="BodyText"/>
        <w:spacing w:line="357" w:lineRule="auto" w:before="51"/>
        <w:ind w:right="9853"/>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11、持有待售的资产" w:id="266"/>
      <w:bookmarkEnd w:id="266"/>
      <w:r>
        <w:rPr>
          <w:b w:val="0"/>
          <w:bCs w:val="0"/>
        </w:rPr>
      </w:r>
      <w:r>
        <w:rPr>
          <w:rFonts w:ascii="Times New Roman" w:hAnsi="Times New Roman" w:cs="Times New Roman" w:eastAsia="Times New Roman" w:hint="default"/>
        </w:rPr>
        <w:t>11</w:t>
      </w:r>
      <w:r>
        <w:rPr/>
        <w:t>、持有待售的资产</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912"/>
        <w:gridCol w:w="1914"/>
        <w:gridCol w:w="1914"/>
        <w:gridCol w:w="1914"/>
        <w:gridCol w:w="1905"/>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12" w:right="0"/>
              <w:jc w:val="left"/>
              <w:rPr>
                <w:rFonts w:ascii="宋体" w:hAnsi="宋体" w:cs="宋体" w:eastAsia="宋体" w:hint="default"/>
                <w:sz w:val="18"/>
                <w:szCs w:val="18"/>
              </w:rPr>
            </w:pPr>
            <w:r>
              <w:rPr>
                <w:rFonts w:ascii="宋体" w:hAnsi="宋体" w:cs="宋体" w:eastAsia="宋体" w:hint="default"/>
                <w:sz w:val="18"/>
                <w:szCs w:val="18"/>
              </w:rPr>
              <w:t>期末账面价值</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2" w:right="0"/>
              <w:jc w:val="left"/>
              <w:rPr>
                <w:rFonts w:ascii="宋体" w:hAnsi="宋体" w:cs="宋体" w:eastAsia="宋体" w:hint="default"/>
                <w:sz w:val="18"/>
                <w:szCs w:val="18"/>
              </w:rPr>
            </w:pPr>
            <w:r>
              <w:rPr>
                <w:rFonts w:ascii="宋体" w:hAnsi="宋体" w:cs="宋体" w:eastAsia="宋体" w:hint="default"/>
                <w:sz w:val="18"/>
                <w:szCs w:val="18"/>
              </w:rPr>
              <w:t>公允价值</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12" w:right="0"/>
              <w:jc w:val="left"/>
              <w:rPr>
                <w:rFonts w:ascii="宋体" w:hAnsi="宋体" w:cs="宋体" w:eastAsia="宋体" w:hint="default"/>
                <w:sz w:val="18"/>
                <w:szCs w:val="18"/>
              </w:rPr>
            </w:pPr>
            <w:r>
              <w:rPr>
                <w:rFonts w:ascii="宋体" w:hAnsi="宋体" w:cs="宋体" w:eastAsia="宋体" w:hint="default"/>
                <w:sz w:val="18"/>
                <w:szCs w:val="18"/>
              </w:rPr>
              <w:t>预计处置费用</w:t>
            </w:r>
          </w:p>
        </w:tc>
        <w:tc>
          <w:tcPr>
            <w:tcW w:w="19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13" w:right="0"/>
              <w:jc w:val="left"/>
              <w:rPr>
                <w:rFonts w:ascii="宋体" w:hAnsi="宋体" w:cs="宋体" w:eastAsia="宋体" w:hint="default"/>
                <w:sz w:val="18"/>
                <w:szCs w:val="18"/>
              </w:rPr>
            </w:pPr>
            <w:r>
              <w:rPr>
                <w:rFonts w:ascii="宋体" w:hAnsi="宋体" w:cs="宋体" w:eastAsia="宋体" w:hint="default"/>
                <w:sz w:val="18"/>
                <w:szCs w:val="18"/>
              </w:rPr>
              <w:t>预计处置时间</w:t>
            </w:r>
          </w:p>
        </w:tc>
      </w:tr>
    </w:tbl>
    <w:p>
      <w:pPr>
        <w:pStyle w:val="BodyText"/>
        <w:spacing w:line="357" w:lineRule="auto" w:before="51"/>
        <w:ind w:right="9853"/>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12、一年内到期的非流动资产" w:id="267"/>
      <w:bookmarkEnd w:id="267"/>
      <w:r>
        <w:rPr>
          <w:b w:val="0"/>
          <w:bCs w:val="0"/>
        </w:rPr>
      </w:r>
      <w:r>
        <w:rPr>
          <w:rFonts w:ascii="Times New Roman" w:hAnsi="Times New Roman" w:cs="Times New Roman" w:eastAsia="Times New Roman" w:hint="default"/>
        </w:rPr>
        <w:t>12</w:t>
      </w:r>
      <w:r>
        <w:rPr/>
        <w:t>、一年内到期的非流动资产</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1"/>
        <w:gridCol w:w="3180"/>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357" w:lineRule="auto" w:before="52"/>
        <w:ind w:right="9853"/>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13、其他流动资产" w:id="268"/>
      <w:bookmarkEnd w:id="268"/>
      <w:r>
        <w:rPr>
          <w:b w:val="0"/>
          <w:bCs w:val="0"/>
        </w:rPr>
      </w:r>
      <w:r>
        <w:rPr>
          <w:rFonts w:ascii="Times New Roman" w:hAnsi="Times New Roman" w:cs="Times New Roman" w:eastAsia="Times New Roman" w:hint="default"/>
        </w:rPr>
        <w:t>13</w:t>
      </w:r>
      <w:r>
        <w:rPr/>
        <w:t>、其他流动资产</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1"/>
        <w:gridCol w:w="3191"/>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银行理财产品</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164,400,000.00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48,185,000.00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待抵扣增值税进项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14,858,267.53</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5,645,767.15</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预缴增值税</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16,513,638.92</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5,285,361.12</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发行股票相关费用</w:t>
            </w:r>
          </w:p>
        </w:tc>
        <w:tc>
          <w:tcPr>
            <w:tcW w:w="3191" w:type="dxa"/>
            <w:tcBorders>
              <w:top w:val="single" w:sz="4" w:space="0" w:color="000000"/>
              <w:left w:val="single" w:sz="4" w:space="0" w:color="000000"/>
              <w:bottom w:val="single" w:sz="4" w:space="0" w:color="000000"/>
              <w:right w:val="single" w:sz="4" w:space="0" w:color="000000"/>
            </w:tcBorders>
          </w:tcPr>
          <w:p>
            <w:pP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5,377,358.49</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195,771,906.45</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64,493,486.76</w:t>
            </w:r>
          </w:p>
        </w:tc>
      </w:tr>
    </w:tbl>
    <w:p>
      <w:pPr>
        <w:pStyle w:val="BodyText"/>
        <w:spacing w:line="240" w:lineRule="auto" w:before="51"/>
        <w:ind w:left="154" w:right="0"/>
        <w:jc w:val="left"/>
      </w:pPr>
      <w:r>
        <w:rPr/>
        <w:t>其他说明：</w:t>
      </w:r>
    </w:p>
    <w:p>
      <w:pPr>
        <w:spacing w:after="0" w:line="240"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240" w:lineRule="auto" w:before="44"/>
        <w:ind w:right="0"/>
        <w:jc w:val="left"/>
      </w:pPr>
      <w:r>
        <w:rPr/>
        <w:t>预缴增值税系支付已发生纳税义务的税金。</w:t>
      </w:r>
    </w:p>
    <w:p>
      <w:pPr>
        <w:spacing w:line="240" w:lineRule="auto" w:before="12"/>
        <w:rPr>
          <w:rFonts w:ascii="宋体" w:hAnsi="宋体" w:cs="宋体" w:eastAsia="宋体" w:hint="default"/>
          <w:sz w:val="26"/>
          <w:szCs w:val="26"/>
        </w:rPr>
      </w:pPr>
    </w:p>
    <w:p>
      <w:pPr>
        <w:pStyle w:val="Heading3"/>
        <w:spacing w:line="240" w:lineRule="auto"/>
        <w:ind w:left="153" w:right="0"/>
        <w:jc w:val="left"/>
        <w:rPr>
          <w:b w:val="0"/>
          <w:bCs w:val="0"/>
        </w:rPr>
      </w:pPr>
      <w:bookmarkStart w:name="14、可供出售金融资产" w:id="269"/>
      <w:bookmarkEnd w:id="269"/>
      <w:r>
        <w:rPr>
          <w:b w:val="0"/>
          <w:bCs w:val="0"/>
        </w:rPr>
      </w:r>
      <w:r>
        <w:rPr>
          <w:rFonts w:ascii="Times New Roman" w:hAnsi="Times New Roman" w:cs="Times New Roman" w:eastAsia="Times New Roman" w:hint="default"/>
        </w:rPr>
        <w:t>14</w:t>
      </w:r>
      <w:r>
        <w:rPr/>
        <w:t>、可供出售金融资产</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left="153" w:right="0"/>
        <w:jc w:val="left"/>
        <w:rPr>
          <w:b w:val="0"/>
          <w:bCs w:val="0"/>
        </w:rPr>
      </w:pPr>
      <w:bookmarkStart w:name="（1）可供出售金融资产情况" w:id="270"/>
      <w:bookmarkEnd w:id="270"/>
      <w:r>
        <w:rPr>
          <w:b w:val="0"/>
          <w:bCs w:val="0"/>
        </w:rPr>
      </w:r>
      <w:r>
        <w:rPr/>
        <w:t>（</w:t>
      </w:r>
      <w:r>
        <w:rPr>
          <w:rFonts w:ascii="Times New Roman" w:hAnsi="Times New Roman" w:cs="Times New Roman" w:eastAsia="Times New Roman" w:hint="default"/>
        </w:rPr>
        <w:t>1</w:t>
      </w:r>
      <w:r>
        <w:rPr/>
        <w:t>）可供出售金融资产情况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989"/>
        <w:gridCol w:w="1195"/>
        <w:gridCol w:w="1196"/>
        <w:gridCol w:w="1196"/>
        <w:gridCol w:w="1248"/>
        <w:gridCol w:w="1367"/>
        <w:gridCol w:w="1367"/>
      </w:tblGrid>
      <w:tr>
        <w:trPr>
          <w:trHeight w:val="206" w:hRule="exact"/>
        </w:trPr>
        <w:tc>
          <w:tcPr>
            <w:tcW w:w="1989" w:type="dxa"/>
            <w:tcBorders>
              <w:top w:val="single" w:sz="4" w:space="0" w:color="000000"/>
              <w:left w:val="single" w:sz="4" w:space="0" w:color="000000"/>
              <w:bottom w:val="nil" w:sz="6" w:space="0" w:color="auto"/>
              <w:right w:val="single" w:sz="4" w:space="0" w:color="000000"/>
            </w:tcBorders>
            <w:shd w:val="clear" w:color="auto" w:fill="D2D2D2"/>
          </w:tcPr>
          <w:p>
            <w:pPr/>
          </w:p>
        </w:tc>
        <w:tc>
          <w:tcPr>
            <w:tcW w:w="3587"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98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6" w:hRule="exact"/>
        </w:trPr>
        <w:tc>
          <w:tcPr>
            <w:tcW w:w="198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0"/>
              <w:jc w:val="center"/>
              <w:rPr>
                <w:rFonts w:ascii="宋体" w:hAnsi="宋体" w:cs="宋体" w:eastAsia="宋体" w:hint="default"/>
                <w:sz w:val="18"/>
                <w:szCs w:val="18"/>
              </w:rPr>
            </w:pPr>
            <w:r>
              <w:rPr>
                <w:rFonts w:ascii="宋体" w:hAnsi="宋体" w:cs="宋体" w:eastAsia="宋体" w:hint="default"/>
                <w:sz w:val="18"/>
                <w:szCs w:val="18"/>
              </w:rPr>
              <w:t>项目</w:t>
            </w:r>
          </w:p>
        </w:tc>
        <w:tc>
          <w:tcPr>
            <w:tcW w:w="3587" w:type="dxa"/>
            <w:gridSpan w:val="3"/>
            <w:vMerge/>
            <w:tcBorders>
              <w:left w:val="single" w:sz="4" w:space="0" w:color="000000"/>
              <w:bottom w:val="single" w:sz="4" w:space="0" w:color="000000"/>
              <w:right w:val="single" w:sz="4" w:space="0" w:color="000000"/>
            </w:tcBorders>
            <w:shd w:val="clear" w:color="auto" w:fill="D2D2D2"/>
          </w:tcPr>
          <w:p>
            <w:pPr/>
          </w:p>
        </w:tc>
        <w:tc>
          <w:tcPr>
            <w:tcW w:w="3982" w:type="dxa"/>
            <w:gridSpan w:val="3"/>
            <w:vMerge/>
            <w:tcBorders>
              <w:left w:val="single" w:sz="4" w:space="0" w:color="000000"/>
              <w:bottom w:val="single" w:sz="4" w:space="0" w:color="000000"/>
              <w:right w:val="single" w:sz="4" w:space="0" w:color="000000"/>
            </w:tcBorders>
            <w:shd w:val="clear" w:color="auto" w:fill="D2D2D2"/>
          </w:tcPr>
          <w:p>
            <w:pPr/>
          </w:p>
        </w:tc>
      </w:tr>
      <w:tr>
        <w:trPr>
          <w:trHeight w:val="196" w:hRule="exact"/>
        </w:trPr>
        <w:tc>
          <w:tcPr>
            <w:tcW w:w="1989" w:type="dxa"/>
            <w:vMerge/>
            <w:tcBorders>
              <w:left w:val="single" w:sz="4" w:space="0" w:color="000000"/>
              <w:bottom w:val="nil" w:sz="6" w:space="0" w:color="auto"/>
              <w:right w:val="single" w:sz="4" w:space="0" w:color="000000"/>
            </w:tcBorders>
            <w:shd w:val="clear" w:color="auto" w:fill="D2D2D2"/>
          </w:tcPr>
          <w:p>
            <w:pPr/>
          </w:p>
        </w:tc>
        <w:tc>
          <w:tcPr>
            <w:tcW w:w="11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23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232"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1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232"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24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25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205" w:hRule="exact"/>
        </w:trPr>
        <w:tc>
          <w:tcPr>
            <w:tcW w:w="1989" w:type="dxa"/>
            <w:tcBorders>
              <w:top w:val="nil" w:sz="6" w:space="0" w:color="auto"/>
              <w:left w:val="single" w:sz="4" w:space="0" w:color="000000"/>
              <w:bottom w:val="single" w:sz="4" w:space="0" w:color="000000"/>
              <w:right w:val="single" w:sz="4" w:space="0" w:color="000000"/>
            </w:tcBorders>
            <w:shd w:val="clear" w:color="auto" w:fill="D2D2D2"/>
          </w:tcPr>
          <w:p>
            <w:pPr/>
          </w:p>
        </w:tc>
        <w:tc>
          <w:tcPr>
            <w:tcW w:w="1195" w:type="dxa"/>
            <w:vMerge/>
            <w:tcBorders>
              <w:left w:val="single" w:sz="4" w:space="0" w:color="000000"/>
              <w:bottom w:val="single" w:sz="4" w:space="0" w:color="000000"/>
              <w:right w:val="single" w:sz="4" w:space="0" w:color="000000"/>
            </w:tcBorders>
            <w:shd w:val="clear" w:color="auto" w:fill="D2D2D2"/>
          </w:tcPr>
          <w:p>
            <w:pPr/>
          </w:p>
        </w:tc>
        <w:tc>
          <w:tcPr>
            <w:tcW w:w="1196" w:type="dxa"/>
            <w:vMerge/>
            <w:tcBorders>
              <w:left w:val="single" w:sz="4" w:space="0" w:color="000000"/>
              <w:bottom w:val="single" w:sz="4" w:space="0" w:color="000000"/>
              <w:right w:val="single" w:sz="4" w:space="0" w:color="000000"/>
            </w:tcBorders>
            <w:shd w:val="clear" w:color="auto" w:fill="D2D2D2"/>
          </w:tcPr>
          <w:p>
            <w:pPr/>
          </w:p>
        </w:tc>
        <w:tc>
          <w:tcPr>
            <w:tcW w:w="1196" w:type="dxa"/>
            <w:vMerge/>
            <w:tcBorders>
              <w:left w:val="single" w:sz="4" w:space="0" w:color="000000"/>
              <w:bottom w:val="single" w:sz="4" w:space="0" w:color="000000"/>
              <w:right w:val="single" w:sz="4" w:space="0" w:color="000000"/>
            </w:tcBorders>
            <w:shd w:val="clear" w:color="auto" w:fill="D2D2D2"/>
          </w:tcPr>
          <w:p>
            <w:pPr/>
          </w:p>
        </w:tc>
        <w:tc>
          <w:tcPr>
            <w:tcW w:w="1248"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可供出售权益工具：</w:t>
            </w:r>
          </w:p>
        </w:tc>
        <w:tc>
          <w:tcPr>
            <w:tcW w:w="119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13,000,000.00</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13,000,000.00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10,000,000.00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10,000,000.00</w:t>
            </w:r>
          </w:p>
        </w:tc>
      </w:tr>
      <w:tr>
        <w:trPr>
          <w:trHeight w:val="402" w:hRule="exact"/>
        </w:trPr>
        <w:tc>
          <w:tcPr>
            <w:tcW w:w="1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按成本计量的</w:t>
            </w:r>
          </w:p>
        </w:tc>
        <w:tc>
          <w:tcPr>
            <w:tcW w:w="119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13,000,000.00</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13,000,000.00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10,000,000.00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10,000,000.00</w:t>
            </w:r>
          </w:p>
        </w:tc>
      </w:tr>
      <w:tr>
        <w:trPr>
          <w:trHeight w:val="403" w:hRule="exact"/>
        </w:trPr>
        <w:tc>
          <w:tcPr>
            <w:tcW w:w="1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9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13,000,000.00</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13,000,000.00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10,000,000.00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10,000,000.00</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期末按公允价值计量的可供出售金融资产" w:id="271"/>
      <w:bookmarkEnd w:id="271"/>
      <w:r>
        <w:rPr>
          <w:b w:val="0"/>
          <w:bCs w:val="0"/>
        </w:rPr>
      </w:r>
      <w:r>
        <w:rPr/>
        <w:t>（</w:t>
      </w:r>
      <w:r>
        <w:rPr>
          <w:rFonts w:ascii="Times New Roman" w:hAnsi="Times New Roman" w:cs="Times New Roman" w:eastAsia="Times New Roman" w:hint="default"/>
        </w:rPr>
        <w:t>2</w:t>
      </w:r>
      <w:r>
        <w:rPr/>
        <w:t>）期末按公允价值计量的可供出售金融资产</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914"/>
        <w:gridCol w:w="1914"/>
        <w:gridCol w:w="1925"/>
        <w:gridCol w:w="1903"/>
        <w:gridCol w:w="1903"/>
      </w:tblGrid>
      <w:tr>
        <w:trPr>
          <w:trHeight w:val="403"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1" w:right="0"/>
              <w:jc w:val="left"/>
              <w:rPr>
                <w:rFonts w:ascii="宋体" w:hAnsi="宋体" w:cs="宋体" w:eastAsia="宋体" w:hint="default"/>
                <w:sz w:val="18"/>
                <w:szCs w:val="18"/>
              </w:rPr>
            </w:pPr>
            <w:r>
              <w:rPr>
                <w:rFonts w:ascii="宋体" w:hAnsi="宋体" w:cs="宋体" w:eastAsia="宋体" w:hint="default"/>
                <w:sz w:val="18"/>
                <w:szCs w:val="18"/>
              </w:rPr>
              <w:t>可供出售金融资产分类</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31" w:right="0"/>
              <w:jc w:val="left"/>
              <w:rPr>
                <w:rFonts w:ascii="宋体" w:hAnsi="宋体" w:cs="宋体" w:eastAsia="宋体" w:hint="default"/>
                <w:sz w:val="18"/>
                <w:szCs w:val="18"/>
              </w:rPr>
            </w:pPr>
            <w:r>
              <w:rPr>
                <w:rFonts w:ascii="宋体" w:hAnsi="宋体" w:cs="宋体" w:eastAsia="宋体" w:hint="default"/>
                <w:sz w:val="18"/>
                <w:szCs w:val="18"/>
              </w:rPr>
              <w:t>可供出售权益工具</w:t>
            </w:r>
          </w:p>
        </w:tc>
        <w:tc>
          <w:tcPr>
            <w:tcW w:w="1925" w:type="dxa"/>
            <w:tcBorders>
              <w:top w:val="single" w:sz="4" w:space="0" w:color="000000"/>
              <w:left w:val="single" w:sz="4" w:space="0" w:color="000000"/>
              <w:bottom w:val="single" w:sz="4" w:space="0" w:color="000000"/>
              <w:right w:val="single" w:sz="9" w:space="0" w:color="E0FFFF"/>
            </w:tcBorders>
            <w:shd w:val="clear" w:color="auto" w:fill="D2D2D2"/>
          </w:tcPr>
          <w:p>
            <w:pPr>
              <w:pStyle w:val="TableParagraph"/>
              <w:spacing w:line="240" w:lineRule="auto" w:before="52"/>
              <w:ind w:left="231" w:right="0"/>
              <w:jc w:val="left"/>
              <w:rPr>
                <w:rFonts w:ascii="宋体" w:hAnsi="宋体" w:cs="宋体" w:eastAsia="宋体" w:hint="default"/>
                <w:sz w:val="18"/>
                <w:szCs w:val="18"/>
              </w:rPr>
            </w:pPr>
            <w:r>
              <w:rPr>
                <w:rFonts w:ascii="宋体" w:hAnsi="宋体" w:cs="宋体" w:eastAsia="宋体" w:hint="default"/>
                <w:sz w:val="18"/>
                <w:szCs w:val="18"/>
              </w:rPr>
              <w:t>可供出售债务工具</w:t>
            </w:r>
          </w:p>
        </w:tc>
        <w:tc>
          <w:tcPr>
            <w:tcW w:w="1903"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9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合计</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3）期末按成本计量的可供出售金融资产" w:id="272"/>
      <w:bookmarkEnd w:id="272"/>
      <w:r>
        <w:rPr>
          <w:b w:val="0"/>
          <w:bCs w:val="0"/>
        </w:rPr>
      </w:r>
      <w:r>
        <w:rPr/>
        <w:t>（</w:t>
      </w:r>
      <w:r>
        <w:rPr>
          <w:rFonts w:ascii="Times New Roman" w:hAnsi="Times New Roman" w:cs="Times New Roman" w:eastAsia="Times New Roman" w:hint="default"/>
        </w:rPr>
        <w:t>3</w:t>
      </w:r>
      <w:r>
        <w:rPr/>
        <w:t>）期末按成本计量的可供出售金融资产</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863"/>
        <w:gridCol w:w="870"/>
        <w:gridCol w:w="870"/>
        <w:gridCol w:w="870"/>
        <w:gridCol w:w="870"/>
        <w:gridCol w:w="870"/>
        <w:gridCol w:w="870"/>
        <w:gridCol w:w="870"/>
        <w:gridCol w:w="870"/>
        <w:gridCol w:w="870"/>
        <w:gridCol w:w="870"/>
      </w:tblGrid>
      <w:tr>
        <w:trPr>
          <w:trHeight w:val="402" w:hRule="exact"/>
        </w:trPr>
        <w:tc>
          <w:tcPr>
            <w:tcW w:w="86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335" w:right="65" w:hanging="270"/>
              <w:jc w:val="left"/>
              <w:rPr>
                <w:rFonts w:ascii="宋体" w:hAnsi="宋体" w:cs="宋体" w:eastAsia="宋体" w:hint="default"/>
                <w:sz w:val="18"/>
                <w:szCs w:val="18"/>
              </w:rPr>
            </w:pPr>
            <w:r>
              <w:rPr>
                <w:rFonts w:ascii="宋体" w:hAnsi="宋体" w:cs="宋体" w:eastAsia="宋体" w:hint="default"/>
                <w:sz w:val="18"/>
                <w:szCs w:val="18"/>
              </w:rPr>
              <w:t>被投资单 位</w:t>
            </w:r>
          </w:p>
        </w:tc>
        <w:tc>
          <w:tcPr>
            <w:tcW w:w="3480"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3480"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减值准备</w:t>
            </w:r>
          </w:p>
        </w:tc>
        <w:tc>
          <w:tcPr>
            <w:tcW w:w="870"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69" w:right="68"/>
              <w:jc w:val="center"/>
              <w:rPr>
                <w:rFonts w:ascii="宋体" w:hAnsi="宋体" w:cs="宋体" w:eastAsia="宋体" w:hint="default"/>
                <w:sz w:val="18"/>
                <w:szCs w:val="18"/>
              </w:rPr>
            </w:pPr>
            <w:r>
              <w:rPr>
                <w:rFonts w:ascii="宋体" w:hAnsi="宋体" w:cs="宋体" w:eastAsia="宋体" w:hint="default"/>
                <w:sz w:val="18"/>
                <w:szCs w:val="18"/>
              </w:rPr>
              <w:t>在被投资 单位持股 比例</w:t>
            </w:r>
          </w:p>
        </w:tc>
        <w:tc>
          <w:tcPr>
            <w:tcW w:w="87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249" w:right="68" w:hanging="180"/>
              <w:jc w:val="left"/>
              <w:rPr>
                <w:rFonts w:ascii="宋体" w:hAnsi="宋体" w:cs="宋体" w:eastAsia="宋体" w:hint="default"/>
                <w:sz w:val="18"/>
                <w:szCs w:val="18"/>
              </w:rPr>
            </w:pPr>
            <w:r>
              <w:rPr>
                <w:rFonts w:ascii="宋体" w:hAnsi="宋体" w:cs="宋体" w:eastAsia="宋体" w:hint="default"/>
                <w:sz w:val="18"/>
                <w:szCs w:val="18"/>
              </w:rPr>
              <w:t>本期现金 红利</w:t>
            </w:r>
          </w:p>
        </w:tc>
      </w:tr>
      <w:tr>
        <w:trPr>
          <w:trHeight w:val="624" w:hRule="exact"/>
        </w:trPr>
        <w:tc>
          <w:tcPr>
            <w:tcW w:w="863" w:type="dxa"/>
            <w:vMerge/>
            <w:tcBorders>
              <w:left w:val="single" w:sz="4" w:space="0" w:color="000000"/>
              <w:bottom w:val="single" w:sz="4" w:space="0" w:color="000000"/>
              <w:right w:val="single" w:sz="4" w:space="0" w:color="000000"/>
            </w:tcBorders>
            <w:shd w:val="clear" w:color="auto" w:fill="D2D2D2"/>
          </w:tcPr>
          <w:p>
            <w:pP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249" w:right="0"/>
              <w:jc w:val="left"/>
              <w:rPr>
                <w:rFonts w:ascii="宋体" w:hAnsi="宋体" w:cs="宋体" w:eastAsia="宋体" w:hint="default"/>
                <w:sz w:val="18"/>
                <w:szCs w:val="18"/>
              </w:rPr>
            </w:pPr>
            <w:r>
              <w:rPr>
                <w:rFonts w:ascii="宋体" w:hAnsi="宋体" w:cs="宋体" w:eastAsia="宋体" w:hint="default"/>
                <w:sz w:val="18"/>
                <w:szCs w:val="18"/>
              </w:rPr>
              <w:t>期初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69"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69"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249" w:right="0"/>
              <w:jc w:val="left"/>
              <w:rPr>
                <w:rFonts w:ascii="宋体" w:hAnsi="宋体" w:cs="宋体" w:eastAsia="宋体" w:hint="default"/>
                <w:sz w:val="18"/>
                <w:szCs w:val="18"/>
              </w:rPr>
            </w:pPr>
            <w:r>
              <w:rPr>
                <w:rFonts w:ascii="宋体" w:hAnsi="宋体" w:cs="宋体" w:eastAsia="宋体" w:hint="default"/>
                <w:sz w:val="18"/>
                <w:szCs w:val="18"/>
              </w:rPr>
              <w:t>期末</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249" w:right="0"/>
              <w:jc w:val="left"/>
              <w:rPr>
                <w:rFonts w:ascii="宋体" w:hAnsi="宋体" w:cs="宋体" w:eastAsia="宋体" w:hint="default"/>
                <w:sz w:val="18"/>
                <w:szCs w:val="18"/>
              </w:rPr>
            </w:pPr>
            <w:r>
              <w:rPr>
                <w:rFonts w:ascii="宋体" w:hAnsi="宋体" w:cs="宋体" w:eastAsia="宋体" w:hint="default"/>
                <w:sz w:val="18"/>
                <w:szCs w:val="18"/>
              </w:rPr>
              <w:t>期初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69"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69"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250" w:right="0"/>
              <w:jc w:val="left"/>
              <w:rPr>
                <w:rFonts w:ascii="宋体" w:hAnsi="宋体" w:cs="宋体" w:eastAsia="宋体" w:hint="default"/>
                <w:sz w:val="18"/>
                <w:szCs w:val="18"/>
              </w:rPr>
            </w:pPr>
            <w:r>
              <w:rPr>
                <w:rFonts w:ascii="宋体" w:hAnsi="宋体" w:cs="宋体" w:eastAsia="宋体" w:hint="default"/>
                <w:sz w:val="18"/>
                <w:szCs w:val="18"/>
              </w:rPr>
              <w:t>期末</w:t>
            </w:r>
          </w:p>
        </w:tc>
        <w:tc>
          <w:tcPr>
            <w:tcW w:w="870" w:type="dxa"/>
            <w:vMerge/>
            <w:tcBorders>
              <w:left w:val="single" w:sz="4" w:space="0" w:color="000000"/>
              <w:bottom w:val="single" w:sz="4" w:space="0" w:color="000000"/>
              <w:right w:val="single" w:sz="4" w:space="0" w:color="000000"/>
            </w:tcBorders>
            <w:shd w:val="clear" w:color="auto" w:fill="D2D2D2"/>
          </w:tcPr>
          <w:p>
            <w:pPr/>
          </w:p>
        </w:tc>
        <w:tc>
          <w:tcPr>
            <w:tcW w:w="870" w:type="dxa"/>
            <w:vMerge/>
            <w:tcBorders>
              <w:left w:val="single" w:sz="4" w:space="0" w:color="000000"/>
              <w:bottom w:val="single" w:sz="4" w:space="0" w:color="000000"/>
              <w:right w:val="single" w:sz="4" w:space="0" w:color="000000"/>
            </w:tcBorders>
            <w:shd w:val="clear" w:color="auto" w:fill="D2D2D2"/>
          </w:tcPr>
          <w:p>
            <w:pPr/>
          </w:p>
        </w:tc>
      </w:tr>
      <w:tr>
        <w:trPr>
          <w:trHeight w:val="1650"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08"/>
              <w:jc w:val="both"/>
              <w:rPr>
                <w:rFonts w:ascii="宋体" w:hAnsi="宋体" w:cs="宋体" w:eastAsia="宋体" w:hint="default"/>
                <w:sz w:val="18"/>
                <w:szCs w:val="18"/>
              </w:rPr>
            </w:pPr>
            <w:r>
              <w:rPr>
                <w:rFonts w:ascii="宋体" w:hAnsi="宋体" w:cs="宋体" w:eastAsia="宋体" w:hint="default"/>
                <w:sz w:val="18"/>
                <w:szCs w:val="18"/>
              </w:rPr>
              <w:t>深圳市鹏 鼎创盈金 融信息服 务股份有 限公司</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10,000,000</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10,000,000</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371" w:right="0"/>
              <w:jc w:val="left"/>
              <w:rPr>
                <w:rFonts w:ascii="Times New Roman" w:hAnsi="Times New Roman" w:cs="Times New Roman" w:eastAsia="Times New Roman" w:hint="default"/>
                <w:sz w:val="18"/>
                <w:szCs w:val="18"/>
              </w:rPr>
            </w:pPr>
            <w:r>
              <w:rPr>
                <w:rFonts w:ascii="Times New Roman"/>
                <w:sz w:val="18"/>
              </w:rPr>
              <w:t>1.34%</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08"/>
              <w:jc w:val="both"/>
              <w:rPr>
                <w:rFonts w:ascii="宋体" w:hAnsi="宋体" w:cs="宋体" w:eastAsia="宋体" w:hint="default"/>
                <w:sz w:val="18"/>
                <w:szCs w:val="18"/>
              </w:rPr>
            </w:pPr>
            <w:r>
              <w:rPr>
                <w:rFonts w:ascii="宋体" w:hAnsi="宋体" w:cs="宋体" w:eastAsia="宋体" w:hint="default"/>
                <w:sz w:val="18"/>
                <w:szCs w:val="18"/>
              </w:rPr>
              <w:t>深圳市热 炼控股有 限责任公 司</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3,000,000.</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3,000,000.</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371" w:right="0"/>
              <w:jc w:val="left"/>
              <w:rPr>
                <w:rFonts w:ascii="Times New Roman" w:hAnsi="Times New Roman" w:cs="Times New Roman" w:eastAsia="Times New Roman" w:hint="default"/>
                <w:sz w:val="18"/>
                <w:szCs w:val="18"/>
              </w:rPr>
            </w:pPr>
            <w:r>
              <w:rPr>
                <w:rFonts w:ascii="Times New Roman"/>
                <w:sz w:val="18"/>
              </w:rPr>
              <w:t>6.00%</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8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10,000,000</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3,000,000.</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13,000,000</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69" w:right="0"/>
              <w:jc w:val="left"/>
              <w:rPr>
                <w:rFonts w:ascii="Times New Roman" w:hAnsi="Times New Roman" w:cs="Times New Roman" w:eastAsia="Times New Roman" w:hint="default"/>
                <w:sz w:val="18"/>
                <w:szCs w:val="18"/>
              </w:rPr>
            </w:pPr>
            <w:r>
              <w:rPr>
                <w:rFonts w:ascii="Times New Roman"/>
                <w:sz w:val="18"/>
              </w:rPr>
              <w:t>--</w:t>
            </w:r>
          </w:p>
        </w:tc>
        <w:tc>
          <w:tcPr>
            <w:tcW w:w="87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4）报告期内可供出售金融资产减值的变动情况" w:id="273"/>
      <w:bookmarkEnd w:id="273"/>
      <w:r>
        <w:rPr>
          <w:b w:val="0"/>
          <w:bCs w:val="0"/>
        </w:rPr>
      </w:r>
      <w:r>
        <w:rPr/>
        <w:t>（</w:t>
      </w:r>
      <w:r>
        <w:rPr>
          <w:rFonts w:ascii="Times New Roman" w:hAnsi="Times New Roman" w:cs="Times New Roman" w:eastAsia="Times New Roman" w:hint="default"/>
        </w:rPr>
        <w:t>4</w:t>
      </w:r>
      <w:r>
        <w:rPr/>
        <w:t>）报告期内可供出售金融资产减值的变动情况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4"/>
        <w:gridCol w:w="1914"/>
        <w:gridCol w:w="1925"/>
        <w:gridCol w:w="1903"/>
        <w:gridCol w:w="1903"/>
      </w:tblGrid>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1" w:right="0"/>
              <w:jc w:val="left"/>
              <w:rPr>
                <w:rFonts w:ascii="宋体" w:hAnsi="宋体" w:cs="宋体" w:eastAsia="宋体" w:hint="default"/>
                <w:sz w:val="18"/>
                <w:szCs w:val="18"/>
              </w:rPr>
            </w:pPr>
            <w:r>
              <w:rPr>
                <w:rFonts w:ascii="宋体" w:hAnsi="宋体" w:cs="宋体" w:eastAsia="宋体" w:hint="default"/>
                <w:sz w:val="18"/>
                <w:szCs w:val="18"/>
              </w:rPr>
              <w:t>可供出售金融资产分类</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1" w:right="0"/>
              <w:jc w:val="left"/>
              <w:rPr>
                <w:rFonts w:ascii="宋体" w:hAnsi="宋体" w:cs="宋体" w:eastAsia="宋体" w:hint="default"/>
                <w:sz w:val="18"/>
                <w:szCs w:val="18"/>
              </w:rPr>
            </w:pPr>
            <w:r>
              <w:rPr>
                <w:rFonts w:ascii="宋体" w:hAnsi="宋体" w:cs="宋体" w:eastAsia="宋体" w:hint="default"/>
                <w:sz w:val="18"/>
                <w:szCs w:val="18"/>
              </w:rPr>
              <w:t>可供出售权益工具</w:t>
            </w:r>
          </w:p>
        </w:tc>
        <w:tc>
          <w:tcPr>
            <w:tcW w:w="1925" w:type="dxa"/>
            <w:tcBorders>
              <w:top w:val="single" w:sz="4" w:space="0" w:color="000000"/>
              <w:left w:val="single" w:sz="4" w:space="0" w:color="000000"/>
              <w:bottom w:val="single" w:sz="4" w:space="0" w:color="000000"/>
              <w:right w:val="single" w:sz="9" w:space="0" w:color="E0FFFF"/>
            </w:tcBorders>
            <w:shd w:val="clear" w:color="auto" w:fill="D2D2D2"/>
          </w:tcPr>
          <w:p>
            <w:pPr>
              <w:pStyle w:val="TableParagraph"/>
              <w:spacing w:line="240" w:lineRule="auto" w:before="51"/>
              <w:ind w:left="231" w:right="0"/>
              <w:jc w:val="left"/>
              <w:rPr>
                <w:rFonts w:ascii="宋体" w:hAnsi="宋体" w:cs="宋体" w:eastAsia="宋体" w:hint="default"/>
                <w:sz w:val="18"/>
                <w:szCs w:val="18"/>
              </w:rPr>
            </w:pPr>
            <w:r>
              <w:rPr>
                <w:rFonts w:ascii="宋体" w:hAnsi="宋体" w:cs="宋体" w:eastAsia="宋体" w:hint="default"/>
                <w:sz w:val="18"/>
                <w:szCs w:val="18"/>
              </w:rPr>
              <w:t>可供出售债务工具</w:t>
            </w:r>
          </w:p>
        </w:tc>
        <w:tc>
          <w:tcPr>
            <w:tcW w:w="1903"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9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合计</w:t>
            </w:r>
          </w:p>
        </w:tc>
      </w:tr>
    </w:tbl>
    <w:p>
      <w:pPr>
        <w:spacing w:after="0" w:line="240" w:lineRule="auto"/>
        <w:jc w:val="center"/>
        <w:rPr>
          <w:rFonts w:ascii="宋体" w:hAnsi="宋体" w:cs="宋体" w:eastAsia="宋体" w:hint="default"/>
          <w:sz w:val="18"/>
          <w:szCs w:val="18"/>
        </w:rPr>
        <w:sectPr>
          <w:pgSz w:w="11910" w:h="16840"/>
          <w:pgMar w:header="747" w:footer="979"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5"/>
        <w:ind w:left="153" w:right="0"/>
        <w:jc w:val="left"/>
        <w:rPr>
          <w:b w:val="0"/>
          <w:bCs w:val="0"/>
        </w:rPr>
      </w:pPr>
      <w:bookmarkStart w:name="（5）可供出售权益工具期末公允价值严重下跌或非暂时性下跌但未计提减值准备的相关说" w:id="274"/>
      <w:bookmarkEnd w:id="274"/>
      <w:r>
        <w:rPr>
          <w:b w:val="0"/>
          <w:bCs w:val="0"/>
        </w:rPr>
      </w:r>
      <w:r>
        <w:rPr/>
        <w:t>（</w:t>
      </w:r>
      <w:r>
        <w:rPr>
          <w:rFonts w:ascii="Times New Roman" w:hAnsi="Times New Roman" w:cs="Times New Roman" w:eastAsia="Times New Roman" w:hint="default"/>
        </w:rPr>
        <w:t>5</w:t>
      </w:r>
      <w:r>
        <w:rPr/>
        <w:t>）可供出售权益工具期末公允价值严重下跌或非暂时性下跌但未计提减值准备的相关说明</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2"/>
              <w:ind w:left="408" w:right="48" w:hanging="360"/>
              <w:jc w:val="left"/>
              <w:rPr>
                <w:rFonts w:ascii="宋体" w:hAnsi="宋体" w:cs="宋体" w:eastAsia="宋体" w:hint="default"/>
                <w:sz w:val="18"/>
                <w:szCs w:val="18"/>
              </w:rPr>
            </w:pPr>
            <w:r>
              <w:rPr>
                <w:rFonts w:ascii="宋体" w:hAnsi="宋体" w:cs="宋体" w:eastAsia="宋体" w:hint="default"/>
                <w:sz w:val="18"/>
                <w:szCs w:val="18"/>
              </w:rPr>
              <w:t>可供出售权益工 具项目</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投资成本</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38" w:right="0"/>
              <w:jc w:val="left"/>
              <w:rPr>
                <w:rFonts w:ascii="宋体" w:hAnsi="宋体" w:cs="宋体" w:eastAsia="宋体" w:hint="default"/>
                <w:sz w:val="18"/>
                <w:szCs w:val="18"/>
              </w:rPr>
            </w:pPr>
            <w:r>
              <w:rPr>
                <w:rFonts w:ascii="宋体" w:hAnsi="宋体" w:cs="宋体" w:eastAsia="宋体" w:hint="default"/>
                <w:sz w:val="18"/>
                <w:szCs w:val="18"/>
              </w:rPr>
              <w:t>期末公允价值</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2"/>
              <w:ind w:left="47" w:right="47"/>
              <w:jc w:val="left"/>
              <w:rPr>
                <w:rFonts w:ascii="宋体" w:hAnsi="宋体" w:cs="宋体" w:eastAsia="宋体" w:hint="default"/>
                <w:sz w:val="18"/>
                <w:szCs w:val="18"/>
              </w:rPr>
            </w:pPr>
            <w:r>
              <w:rPr>
                <w:rFonts w:ascii="宋体" w:hAnsi="宋体" w:cs="宋体" w:eastAsia="宋体" w:hint="default"/>
                <w:sz w:val="18"/>
                <w:szCs w:val="18"/>
              </w:rPr>
              <w:t>公允价值相对于 成本的下跌幅度</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持续下跌时间</w:t>
            </w:r>
          </w:p>
          <w:p>
            <w:pPr>
              <w:pStyle w:val="TableParagraph"/>
              <w:spacing w:line="240" w:lineRule="auto" w:before="77"/>
              <w:ind w:right="0"/>
              <w:jc w:val="center"/>
              <w:rPr>
                <w:rFonts w:ascii="宋体" w:hAnsi="宋体" w:cs="宋体" w:eastAsia="宋体" w:hint="default"/>
                <w:sz w:val="18"/>
                <w:szCs w:val="18"/>
              </w:rPr>
            </w:pPr>
            <w:r>
              <w:rPr>
                <w:rFonts w:ascii="宋体" w:hAnsi="宋体" w:cs="宋体" w:eastAsia="宋体" w:hint="default"/>
                <w:sz w:val="18"/>
                <w:szCs w:val="18"/>
              </w:rPr>
              <w:t>（个月）</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7" w:right="0"/>
              <w:jc w:val="left"/>
              <w:rPr>
                <w:rFonts w:ascii="宋体" w:hAnsi="宋体" w:cs="宋体" w:eastAsia="宋体" w:hint="default"/>
                <w:sz w:val="18"/>
                <w:szCs w:val="18"/>
              </w:rPr>
            </w:pPr>
            <w:r>
              <w:rPr>
                <w:rFonts w:ascii="宋体" w:hAnsi="宋体" w:cs="宋体" w:eastAsia="宋体" w:hint="default"/>
                <w:sz w:val="18"/>
                <w:szCs w:val="18"/>
              </w:rPr>
              <w:t>已计提减值金额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7" w:right="0"/>
              <w:jc w:val="left"/>
              <w:rPr>
                <w:rFonts w:ascii="宋体" w:hAnsi="宋体" w:cs="宋体" w:eastAsia="宋体" w:hint="default"/>
                <w:sz w:val="18"/>
                <w:szCs w:val="18"/>
              </w:rPr>
            </w:pPr>
            <w:r>
              <w:rPr>
                <w:rFonts w:ascii="宋体" w:hAnsi="宋体" w:cs="宋体" w:eastAsia="宋体" w:hint="default"/>
                <w:sz w:val="18"/>
                <w:szCs w:val="18"/>
              </w:rPr>
              <w:t>未计提减值原因</w:t>
            </w:r>
          </w:p>
        </w:tc>
      </w:tr>
    </w:tbl>
    <w:p>
      <w:pPr>
        <w:pStyle w:val="BodyText"/>
        <w:spacing w:line="357" w:lineRule="auto" w:before="52"/>
        <w:ind w:right="10033"/>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15、持有至到期投资" w:id="275"/>
      <w:bookmarkEnd w:id="275"/>
      <w:r>
        <w:rPr>
          <w:b w:val="0"/>
          <w:bCs w:val="0"/>
        </w:rPr>
      </w:r>
      <w:r>
        <w:rPr>
          <w:rFonts w:ascii="Times New Roman" w:hAnsi="Times New Roman" w:cs="Times New Roman" w:eastAsia="Times New Roman" w:hint="default"/>
        </w:rPr>
        <w:t>15</w:t>
      </w:r>
      <w:r>
        <w:rPr/>
        <w:t>、持有至到期投资</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53" w:right="0"/>
        <w:jc w:val="left"/>
        <w:rPr>
          <w:b w:val="0"/>
          <w:bCs w:val="0"/>
        </w:rPr>
      </w:pPr>
      <w:bookmarkStart w:name="（1）持有至到期投资情况" w:id="276"/>
      <w:bookmarkEnd w:id="276"/>
      <w:r>
        <w:rPr>
          <w:b w:val="0"/>
          <w:bCs w:val="0"/>
        </w:rPr>
      </w:r>
      <w:r>
        <w:rPr/>
        <w:t>（</w:t>
      </w:r>
      <w:r>
        <w:rPr>
          <w:rFonts w:ascii="Times New Roman" w:hAnsi="Times New Roman" w:cs="Times New Roman" w:eastAsia="Times New Roman" w:hint="default"/>
        </w:rPr>
        <w:t>1</w:t>
      </w:r>
      <w:r>
        <w:rPr/>
        <w:t>）持有至到期投资情况</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期末重要的持有至到期投资" w:id="277"/>
      <w:bookmarkEnd w:id="277"/>
      <w:r>
        <w:rPr>
          <w:b w:val="0"/>
          <w:bCs w:val="0"/>
        </w:rPr>
      </w:r>
      <w:r>
        <w:rPr/>
        <w:t>（</w:t>
      </w:r>
      <w:r>
        <w:rPr>
          <w:rFonts w:ascii="Times New Roman" w:hAnsi="Times New Roman" w:cs="Times New Roman" w:eastAsia="Times New Roman" w:hint="default"/>
        </w:rPr>
        <w:t>2</w:t>
      </w:r>
      <w:r>
        <w:rPr/>
        <w:t>）期末重要的持有至到期投资</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03"/>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0" w:right="0"/>
              <w:jc w:val="left"/>
              <w:rPr>
                <w:rFonts w:ascii="宋体" w:hAnsi="宋体" w:cs="宋体" w:eastAsia="宋体" w:hint="default"/>
                <w:sz w:val="18"/>
                <w:szCs w:val="18"/>
              </w:rPr>
            </w:pPr>
            <w:r>
              <w:rPr>
                <w:rFonts w:ascii="宋体" w:hAnsi="宋体" w:cs="宋体" w:eastAsia="宋体" w:hint="default"/>
                <w:sz w:val="18"/>
                <w:szCs w:val="18"/>
              </w:rPr>
              <w:t>债券项目</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面值</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票面利率</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实际利率</w:t>
            </w:r>
          </w:p>
        </w:tc>
        <w:tc>
          <w:tcPr>
            <w:tcW w:w="19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到期日</w:t>
            </w:r>
          </w:p>
        </w:tc>
      </w:tr>
    </w:tbl>
    <w:p>
      <w:pPr>
        <w:spacing w:line="240" w:lineRule="auto" w:before="3"/>
        <w:rPr>
          <w:rFonts w:ascii="宋体" w:hAnsi="宋体" w:cs="宋体" w:eastAsia="宋体" w:hint="default"/>
          <w:sz w:val="19"/>
          <w:szCs w:val="19"/>
        </w:rPr>
      </w:pPr>
    </w:p>
    <w:p>
      <w:pPr>
        <w:pStyle w:val="Heading3"/>
        <w:spacing w:line="240" w:lineRule="auto" w:before="35"/>
        <w:ind w:right="0"/>
        <w:jc w:val="left"/>
        <w:rPr>
          <w:b w:val="0"/>
          <w:bCs w:val="0"/>
        </w:rPr>
      </w:pPr>
      <w:bookmarkStart w:name="（3）本期重分类的持有至到期投资" w:id="278"/>
      <w:bookmarkEnd w:id="278"/>
      <w:r>
        <w:rPr>
          <w:b w:val="0"/>
          <w:bCs w:val="0"/>
        </w:rPr>
      </w:r>
      <w:r>
        <w:rPr/>
        <w:t>（</w:t>
      </w:r>
      <w:r>
        <w:rPr>
          <w:rFonts w:ascii="Times New Roman" w:hAnsi="Times New Roman" w:cs="Times New Roman" w:eastAsia="Times New Roman" w:hint="default"/>
        </w:rPr>
        <w:t>3</w:t>
      </w:r>
      <w:r>
        <w:rPr/>
        <w:t>）本期重分类的持有至到期投资</w:t>
      </w:r>
      <w:r>
        <w:rPr>
          <w:b w:val="0"/>
          <w:bCs w:val="0"/>
        </w:rPr>
      </w:r>
    </w:p>
    <w:p>
      <w:pPr>
        <w:spacing w:line="240" w:lineRule="auto" w:before="8"/>
        <w:rPr>
          <w:rFonts w:ascii="宋体" w:hAnsi="宋体" w:cs="宋体" w:eastAsia="宋体" w:hint="default"/>
          <w:b/>
          <w:bCs/>
          <w:sz w:val="26"/>
          <w:szCs w:val="26"/>
        </w:rPr>
      </w:pPr>
    </w:p>
    <w:p>
      <w:pPr>
        <w:pStyle w:val="BodyText"/>
        <w:spacing w:line="360" w:lineRule="auto"/>
        <w:ind w:right="10033"/>
        <w:jc w:val="left"/>
      </w:pPr>
      <w:r>
        <w:rPr/>
        <w:t>无。 其他说明 无。</w:t>
      </w:r>
    </w:p>
    <w:p>
      <w:pPr>
        <w:spacing w:line="240" w:lineRule="auto" w:before="11"/>
        <w:rPr>
          <w:rFonts w:ascii="宋体" w:hAnsi="宋体" w:cs="宋体" w:eastAsia="宋体" w:hint="default"/>
          <w:sz w:val="19"/>
          <w:szCs w:val="19"/>
        </w:rPr>
      </w:pPr>
    </w:p>
    <w:p>
      <w:pPr>
        <w:pStyle w:val="Heading3"/>
        <w:spacing w:line="240" w:lineRule="auto"/>
        <w:ind w:right="0"/>
        <w:jc w:val="left"/>
        <w:rPr>
          <w:b w:val="0"/>
          <w:bCs w:val="0"/>
        </w:rPr>
      </w:pPr>
      <w:bookmarkStart w:name="16、长期应收款" w:id="279"/>
      <w:bookmarkEnd w:id="279"/>
      <w:r>
        <w:rPr>
          <w:b w:val="0"/>
          <w:bCs w:val="0"/>
        </w:rPr>
      </w:r>
      <w:r>
        <w:rPr>
          <w:rFonts w:ascii="Times New Roman" w:hAnsi="Times New Roman" w:cs="Times New Roman" w:eastAsia="Times New Roman" w:hint="default"/>
        </w:rPr>
        <w:t>16</w:t>
      </w:r>
      <w:r>
        <w:rPr/>
        <w:t>、长期应收款</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1）长期应收款情况" w:id="280"/>
      <w:bookmarkEnd w:id="280"/>
      <w:r>
        <w:rPr>
          <w:b w:val="0"/>
          <w:bCs w:val="0"/>
        </w:rPr>
      </w:r>
      <w:r>
        <w:rPr/>
        <w:t>（</w:t>
      </w:r>
      <w:r>
        <w:rPr>
          <w:rFonts w:ascii="Times New Roman" w:hAnsi="Times New Roman" w:cs="Times New Roman" w:eastAsia="Times New Roman" w:hint="default"/>
        </w:rPr>
        <w:t>1</w:t>
      </w:r>
      <w:r>
        <w:rPr/>
        <w:t>）长期应收款情况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403"/>
        <w:gridCol w:w="1168"/>
        <w:gridCol w:w="1167"/>
        <w:gridCol w:w="1168"/>
        <w:gridCol w:w="1166"/>
        <w:gridCol w:w="1169"/>
        <w:gridCol w:w="1164"/>
        <w:gridCol w:w="1165"/>
      </w:tblGrid>
      <w:tr>
        <w:trPr>
          <w:trHeight w:val="402" w:hRule="exact"/>
        </w:trPr>
        <w:tc>
          <w:tcPr>
            <w:tcW w:w="140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5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500"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c>
          <w:tcPr>
            <w:tcW w:w="11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128" w:right="0"/>
              <w:jc w:val="left"/>
              <w:rPr>
                <w:rFonts w:ascii="宋体" w:hAnsi="宋体" w:cs="宋体" w:eastAsia="宋体" w:hint="default"/>
                <w:sz w:val="18"/>
                <w:szCs w:val="18"/>
              </w:rPr>
            </w:pPr>
            <w:r>
              <w:rPr>
                <w:rFonts w:ascii="宋体" w:hAnsi="宋体" w:cs="宋体" w:eastAsia="宋体" w:hint="default"/>
                <w:sz w:val="18"/>
                <w:szCs w:val="18"/>
              </w:rPr>
              <w:t>折现率区间</w:t>
            </w:r>
          </w:p>
        </w:tc>
      </w:tr>
      <w:tr>
        <w:trPr>
          <w:trHeight w:val="402" w:hRule="exact"/>
        </w:trPr>
        <w:tc>
          <w:tcPr>
            <w:tcW w:w="1403" w:type="dxa"/>
            <w:vMerge/>
            <w:tcBorders>
              <w:left w:val="single" w:sz="4" w:space="0" w:color="000000"/>
              <w:bottom w:val="single" w:sz="4" w:space="0" w:color="000000"/>
              <w:right w:val="single" w:sz="4" w:space="0" w:color="000000"/>
            </w:tcBorders>
            <w:shd w:val="clear" w:color="auto" w:fill="D2D2D2"/>
          </w:tcPr>
          <w:p>
            <w:pPr/>
          </w:p>
        </w:tc>
        <w:tc>
          <w:tcPr>
            <w:tcW w:w="1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1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1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1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1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1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17"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165" w:type="dxa"/>
            <w:vMerge/>
            <w:tcBorders>
              <w:left w:val="single" w:sz="4" w:space="0" w:color="000000"/>
              <w:bottom w:val="single" w:sz="4" w:space="0" w:color="000000"/>
              <w:right w:val="single" w:sz="4" w:space="0" w:color="000000"/>
            </w:tcBorders>
            <w:shd w:val="clear" w:color="auto" w:fill="D2D2D2"/>
          </w:tcPr>
          <w:p>
            <w:pPr/>
          </w:p>
        </w:tc>
      </w:tr>
    </w:tbl>
    <w:p>
      <w:pPr>
        <w:spacing w:line="240" w:lineRule="auto" w:before="3"/>
        <w:rPr>
          <w:rFonts w:ascii="宋体" w:hAnsi="宋体" w:cs="宋体" w:eastAsia="宋体" w:hint="default"/>
          <w:sz w:val="19"/>
          <w:szCs w:val="19"/>
        </w:rPr>
      </w:pPr>
    </w:p>
    <w:p>
      <w:pPr>
        <w:pStyle w:val="Heading3"/>
        <w:spacing w:line="240" w:lineRule="auto" w:before="35"/>
        <w:ind w:right="0"/>
        <w:jc w:val="left"/>
        <w:rPr>
          <w:b w:val="0"/>
          <w:bCs w:val="0"/>
        </w:rPr>
      </w:pPr>
      <w:bookmarkStart w:name="（2）因金融资产转移而终止确认的长期应收款" w:id="281"/>
      <w:bookmarkEnd w:id="281"/>
      <w:r>
        <w:rPr>
          <w:b w:val="0"/>
          <w:bCs w:val="0"/>
        </w:rPr>
      </w:r>
      <w:r>
        <w:rPr/>
        <w:t>（</w:t>
      </w:r>
      <w:r>
        <w:rPr>
          <w:rFonts w:ascii="Times New Roman" w:hAnsi="Times New Roman" w:cs="Times New Roman" w:eastAsia="Times New Roman" w:hint="default"/>
        </w:rPr>
        <w:t>2</w:t>
      </w:r>
      <w:r>
        <w:rPr/>
        <w:t>）因金融资产转移而终止确认的长期应收款</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154" w:right="0"/>
        <w:jc w:val="left"/>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3）转移长期应收款且继续涉入形成的资产、负债金额" w:id="282"/>
      <w:bookmarkEnd w:id="282"/>
      <w:r>
        <w:rPr>
          <w:b w:val="0"/>
          <w:bCs w:val="0"/>
        </w:rPr>
      </w:r>
      <w:r>
        <w:rPr/>
        <w:t>（</w:t>
      </w:r>
      <w:r>
        <w:rPr>
          <w:rFonts w:ascii="Times New Roman" w:hAnsi="Times New Roman" w:cs="Times New Roman" w:eastAsia="Times New Roman" w:hint="default"/>
        </w:rPr>
        <w:t>3</w:t>
      </w:r>
      <w:r>
        <w:rPr/>
        <w:t>）转移长期应收款且继续涉入形成的资产、负债金额</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无。</w:t>
      </w:r>
    </w:p>
    <w:p>
      <w:pPr>
        <w:spacing w:after="0" w:line="240" w:lineRule="auto"/>
        <w:jc w:val="left"/>
        <w:sectPr>
          <w:pgSz w:w="11910" w:h="16840"/>
          <w:pgMar w:header="747" w:footer="979" w:top="1060" w:bottom="1160" w:left="980" w:right="0"/>
        </w:sectPr>
      </w:pPr>
    </w:p>
    <w:p>
      <w:pPr>
        <w:spacing w:line="240" w:lineRule="auto" w:before="13"/>
        <w:rPr>
          <w:rFonts w:ascii="宋体" w:hAnsi="宋体" w:cs="宋体" w:eastAsia="宋体" w:hint="default"/>
          <w:sz w:val="25"/>
          <w:szCs w:val="25"/>
        </w:rPr>
      </w:pPr>
    </w:p>
    <w:p>
      <w:pPr>
        <w:pStyle w:val="BodyText"/>
        <w:spacing w:line="357" w:lineRule="auto" w:before="44"/>
        <w:ind w:right="10033"/>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17、长期股权投资" w:id="283"/>
      <w:bookmarkEnd w:id="283"/>
      <w:r>
        <w:rPr>
          <w:b w:val="0"/>
          <w:bCs w:val="0"/>
        </w:rPr>
      </w:r>
      <w:r>
        <w:rPr>
          <w:rFonts w:ascii="Times New Roman" w:hAnsi="Times New Roman" w:cs="Times New Roman" w:eastAsia="Times New Roman" w:hint="default"/>
        </w:rPr>
        <w:t>17</w:t>
      </w:r>
      <w:r>
        <w:rPr/>
        <w:t>、长期股权投资</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792"/>
        <w:gridCol w:w="802"/>
        <w:gridCol w:w="797"/>
        <w:gridCol w:w="798"/>
        <w:gridCol w:w="798"/>
        <w:gridCol w:w="798"/>
        <w:gridCol w:w="798"/>
        <w:gridCol w:w="798"/>
        <w:gridCol w:w="798"/>
        <w:gridCol w:w="798"/>
        <w:gridCol w:w="798"/>
        <w:gridCol w:w="798"/>
      </w:tblGrid>
      <w:tr>
        <w:trPr>
          <w:trHeight w:val="402" w:hRule="exact"/>
        </w:trPr>
        <w:tc>
          <w:tcPr>
            <w:tcW w:w="7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316" w:lineRule="auto"/>
              <w:ind w:left="302" w:right="28" w:hanging="270"/>
              <w:jc w:val="left"/>
              <w:rPr>
                <w:rFonts w:ascii="宋体" w:hAnsi="宋体" w:cs="宋体" w:eastAsia="宋体" w:hint="default"/>
                <w:sz w:val="18"/>
                <w:szCs w:val="18"/>
              </w:rPr>
            </w:pPr>
            <w:r>
              <w:rPr>
                <w:rFonts w:ascii="宋体" w:hAnsi="宋体" w:cs="宋体" w:eastAsia="宋体" w:hint="default"/>
                <w:sz w:val="18"/>
                <w:szCs w:val="18"/>
              </w:rPr>
              <w:t>被投资单 位</w:t>
            </w:r>
          </w:p>
        </w:tc>
        <w:tc>
          <w:tcPr>
            <w:tcW w:w="80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38"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6384"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316" w:lineRule="auto"/>
              <w:ind w:left="33" w:right="32"/>
              <w:jc w:val="left"/>
              <w:rPr>
                <w:rFonts w:ascii="宋体" w:hAnsi="宋体" w:cs="宋体" w:eastAsia="宋体" w:hint="default"/>
                <w:sz w:val="18"/>
                <w:szCs w:val="18"/>
              </w:rPr>
            </w:pPr>
            <w:r>
              <w:rPr>
                <w:rFonts w:ascii="宋体" w:hAnsi="宋体" w:cs="宋体" w:eastAsia="宋体" w:hint="default"/>
                <w:sz w:val="18"/>
                <w:szCs w:val="18"/>
              </w:rPr>
              <w:t>减值准备 期末余额</w:t>
            </w:r>
          </w:p>
        </w:tc>
      </w:tr>
      <w:tr>
        <w:trPr>
          <w:trHeight w:val="1026" w:hRule="exact"/>
        </w:trPr>
        <w:tc>
          <w:tcPr>
            <w:tcW w:w="792" w:type="dxa"/>
            <w:vMerge/>
            <w:tcBorders>
              <w:left w:val="single" w:sz="4" w:space="0" w:color="000000"/>
              <w:bottom w:val="single" w:sz="4" w:space="0" w:color="000000"/>
              <w:right w:val="single" w:sz="4" w:space="0" w:color="000000"/>
            </w:tcBorders>
            <w:shd w:val="clear" w:color="auto" w:fill="D2D2D2"/>
          </w:tcPr>
          <w:p>
            <w:pPr/>
          </w:p>
        </w:tc>
        <w:tc>
          <w:tcPr>
            <w:tcW w:w="802"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3" w:right="0"/>
              <w:jc w:val="left"/>
              <w:rPr>
                <w:rFonts w:ascii="宋体" w:hAnsi="宋体" w:cs="宋体" w:eastAsia="宋体" w:hint="default"/>
                <w:sz w:val="18"/>
                <w:szCs w:val="18"/>
              </w:rPr>
            </w:pPr>
            <w:r>
              <w:rPr>
                <w:rFonts w:ascii="宋体" w:hAnsi="宋体" w:cs="宋体" w:eastAsia="宋体" w:hint="default"/>
                <w:sz w:val="18"/>
                <w:szCs w:val="18"/>
              </w:rPr>
              <w:t>追加投资</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3" w:right="0"/>
              <w:jc w:val="left"/>
              <w:rPr>
                <w:rFonts w:ascii="宋体" w:hAnsi="宋体" w:cs="宋体" w:eastAsia="宋体" w:hint="default"/>
                <w:sz w:val="18"/>
                <w:szCs w:val="18"/>
              </w:rPr>
            </w:pPr>
            <w:r>
              <w:rPr>
                <w:rFonts w:ascii="宋体" w:hAnsi="宋体" w:cs="宋体" w:eastAsia="宋体" w:hint="default"/>
                <w:sz w:val="18"/>
                <w:szCs w:val="18"/>
              </w:rPr>
              <w:t>减少投资</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3" w:right="33"/>
              <w:jc w:val="both"/>
              <w:rPr>
                <w:rFonts w:ascii="宋体" w:hAnsi="宋体" w:cs="宋体" w:eastAsia="宋体" w:hint="default"/>
                <w:sz w:val="18"/>
                <w:szCs w:val="18"/>
              </w:rPr>
            </w:pPr>
            <w:r>
              <w:rPr>
                <w:rFonts w:ascii="宋体" w:hAnsi="宋体" w:cs="宋体" w:eastAsia="宋体" w:hint="default"/>
                <w:sz w:val="18"/>
                <w:szCs w:val="18"/>
              </w:rPr>
              <w:t>权益法下 确认的投 资损益</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33" w:right="32"/>
              <w:jc w:val="left"/>
              <w:rPr>
                <w:rFonts w:ascii="宋体" w:hAnsi="宋体" w:cs="宋体" w:eastAsia="宋体" w:hint="default"/>
                <w:sz w:val="18"/>
                <w:szCs w:val="18"/>
              </w:rPr>
            </w:pPr>
            <w:r>
              <w:rPr>
                <w:rFonts w:ascii="宋体" w:hAnsi="宋体" w:cs="宋体" w:eastAsia="宋体" w:hint="default"/>
                <w:sz w:val="18"/>
                <w:szCs w:val="18"/>
              </w:rPr>
              <w:t>其他综合 收益调整</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13" w:right="32" w:hanging="180"/>
              <w:jc w:val="left"/>
              <w:rPr>
                <w:rFonts w:ascii="宋体" w:hAnsi="宋体" w:cs="宋体" w:eastAsia="宋体" w:hint="default"/>
                <w:sz w:val="18"/>
                <w:szCs w:val="18"/>
              </w:rPr>
            </w:pPr>
            <w:r>
              <w:rPr>
                <w:rFonts w:ascii="宋体" w:hAnsi="宋体" w:cs="宋体" w:eastAsia="宋体" w:hint="default"/>
                <w:sz w:val="18"/>
                <w:szCs w:val="18"/>
              </w:rPr>
              <w:t>其他权益 变动</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3" w:right="32"/>
              <w:jc w:val="both"/>
              <w:rPr>
                <w:rFonts w:ascii="宋体" w:hAnsi="宋体" w:cs="宋体" w:eastAsia="宋体" w:hint="default"/>
                <w:sz w:val="18"/>
                <w:szCs w:val="18"/>
              </w:rPr>
            </w:pPr>
            <w:r>
              <w:rPr>
                <w:rFonts w:ascii="宋体" w:hAnsi="宋体" w:cs="宋体" w:eastAsia="宋体" w:hint="default"/>
                <w:sz w:val="18"/>
                <w:szCs w:val="18"/>
              </w:rPr>
              <w:t>宣告发放 现金股利 或利润</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13" w:right="33" w:hanging="180"/>
              <w:jc w:val="left"/>
              <w:rPr>
                <w:rFonts w:ascii="宋体" w:hAnsi="宋体" w:cs="宋体" w:eastAsia="宋体" w:hint="default"/>
                <w:sz w:val="18"/>
                <w:szCs w:val="18"/>
              </w:rPr>
            </w:pPr>
            <w:r>
              <w:rPr>
                <w:rFonts w:ascii="宋体" w:hAnsi="宋体" w:cs="宋体" w:eastAsia="宋体" w:hint="default"/>
                <w:sz w:val="18"/>
                <w:szCs w:val="18"/>
              </w:rPr>
              <w:t>计提减值 准备</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1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8"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9574"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一、合营企业</w:t>
            </w:r>
          </w:p>
        </w:tc>
      </w:tr>
      <w:tr>
        <w:trPr>
          <w:trHeight w:val="1338" w:hRule="exact"/>
        </w:trPr>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37"/>
              <w:jc w:val="both"/>
              <w:rPr>
                <w:rFonts w:ascii="宋体" w:hAnsi="宋体" w:cs="宋体" w:eastAsia="宋体" w:hint="default"/>
                <w:sz w:val="18"/>
                <w:szCs w:val="18"/>
              </w:rPr>
            </w:pPr>
            <w:r>
              <w:rPr>
                <w:rFonts w:ascii="宋体" w:hAnsi="宋体" w:cs="宋体" w:eastAsia="宋体" w:hint="default"/>
                <w:sz w:val="18"/>
                <w:szCs w:val="18"/>
              </w:rPr>
              <w:t>内蒙古中 基智慧城 市建设有 限公司</w:t>
            </w: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1,000,000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177,449.0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1,177,449</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61" w:hRule="exact"/>
        </w:trPr>
        <w:tc>
          <w:tcPr>
            <w:tcW w:w="792" w:type="dxa"/>
            <w:tcBorders>
              <w:top w:val="single" w:sz="4" w:space="0" w:color="000000"/>
              <w:left w:val="single" w:sz="4" w:space="0" w:color="000000"/>
              <w:bottom w:val="nil" w:sz="6" w:space="0" w:color="auto"/>
              <w:right w:val="single" w:sz="4" w:space="0" w:color="000000"/>
            </w:tcBorders>
            <w:shd w:val="clear" w:color="auto" w:fill="D2D2D2"/>
          </w:tcPr>
          <w:p>
            <w:pPr/>
          </w:p>
        </w:tc>
        <w:tc>
          <w:tcPr>
            <w:tcW w:w="802" w:type="dxa"/>
            <w:vMerge w:val="restart"/>
            <w:tcBorders>
              <w:top w:val="single" w:sz="4" w:space="0" w:color="000000"/>
              <w:left w:val="single" w:sz="9" w:space="0" w:color="D2D2D2"/>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1,000,000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.00</w:t>
            </w: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177,449.0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1,177,449</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798" w:type="dxa"/>
            <w:vMerge w:val="restart"/>
            <w:tcBorders>
              <w:top w:val="single" w:sz="4" w:space="0" w:color="000000"/>
              <w:left w:val="single" w:sz="4" w:space="0" w:color="000000"/>
              <w:right w:val="single" w:sz="4" w:space="0" w:color="000000"/>
            </w:tcBorders>
          </w:tcPr>
          <w:p>
            <w:pPr/>
          </w:p>
        </w:tc>
      </w:tr>
      <w:tr>
        <w:trPr>
          <w:trHeight w:val="392" w:hRule="exact"/>
        </w:trPr>
        <w:tc>
          <w:tcPr>
            <w:tcW w:w="79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802" w:type="dxa"/>
            <w:vMerge/>
            <w:tcBorders>
              <w:left w:val="single" w:sz="9" w:space="0" w:color="D2D2D2"/>
              <w:right w:val="single" w:sz="4" w:space="0" w:color="000000"/>
            </w:tcBorders>
          </w:tcPr>
          <w:p>
            <w:pP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r>
      <w:tr>
        <w:trPr>
          <w:trHeight w:val="161" w:hRule="exact"/>
        </w:trPr>
        <w:tc>
          <w:tcPr>
            <w:tcW w:w="792" w:type="dxa"/>
            <w:tcBorders>
              <w:top w:val="nil" w:sz="6" w:space="0" w:color="auto"/>
              <w:left w:val="single" w:sz="4" w:space="0" w:color="000000"/>
              <w:bottom w:val="single" w:sz="4" w:space="0" w:color="000000"/>
              <w:right w:val="single" w:sz="4" w:space="0" w:color="000000"/>
            </w:tcBorders>
            <w:shd w:val="clear" w:color="auto" w:fill="D2D2D2"/>
          </w:tcPr>
          <w:p>
            <w:pPr/>
          </w:p>
        </w:tc>
        <w:tc>
          <w:tcPr>
            <w:tcW w:w="802" w:type="dxa"/>
            <w:vMerge/>
            <w:tcBorders>
              <w:left w:val="single" w:sz="9" w:space="0" w:color="D2D2D2"/>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r>
      <w:tr>
        <w:trPr>
          <w:trHeight w:val="402" w:hRule="exact"/>
        </w:trPr>
        <w:tc>
          <w:tcPr>
            <w:tcW w:w="9574"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二、联营企业</w:t>
            </w:r>
          </w:p>
        </w:tc>
      </w:tr>
      <w:tr>
        <w:trPr>
          <w:trHeight w:val="161" w:hRule="exact"/>
        </w:trPr>
        <w:tc>
          <w:tcPr>
            <w:tcW w:w="792" w:type="dxa"/>
            <w:tcBorders>
              <w:top w:val="single" w:sz="4" w:space="0" w:color="000000"/>
              <w:left w:val="single" w:sz="4" w:space="0" w:color="000000"/>
              <w:bottom w:val="nil" w:sz="6" w:space="0" w:color="auto"/>
              <w:right w:val="single" w:sz="4" w:space="0" w:color="000000"/>
            </w:tcBorders>
            <w:shd w:val="clear" w:color="auto" w:fill="D2D2D2"/>
          </w:tcPr>
          <w:p>
            <w:pPr/>
          </w:p>
        </w:tc>
        <w:tc>
          <w:tcPr>
            <w:tcW w:w="802" w:type="dxa"/>
            <w:vMerge w:val="restart"/>
            <w:tcBorders>
              <w:top w:val="single" w:sz="4" w:space="0" w:color="000000"/>
              <w:left w:val="single" w:sz="9" w:space="0" w:color="D2D2D2"/>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1,000,000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.00</w:t>
            </w: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177,449.0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1,177,449</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798" w:type="dxa"/>
            <w:vMerge w:val="restart"/>
            <w:tcBorders>
              <w:top w:val="single" w:sz="4" w:space="0" w:color="000000"/>
              <w:left w:val="single" w:sz="4" w:space="0" w:color="000000"/>
              <w:right w:val="single" w:sz="4" w:space="0" w:color="000000"/>
            </w:tcBorders>
          </w:tcPr>
          <w:p>
            <w:pPr/>
          </w:p>
        </w:tc>
      </w:tr>
      <w:tr>
        <w:trPr>
          <w:trHeight w:val="392" w:hRule="exact"/>
        </w:trPr>
        <w:tc>
          <w:tcPr>
            <w:tcW w:w="79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02" w:type="dxa"/>
            <w:vMerge/>
            <w:tcBorders>
              <w:left w:val="single" w:sz="9" w:space="0" w:color="D2D2D2"/>
              <w:right w:val="single" w:sz="4" w:space="0" w:color="000000"/>
            </w:tcBorders>
          </w:tcPr>
          <w:p>
            <w:pP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r>
      <w:tr>
        <w:trPr>
          <w:trHeight w:val="161" w:hRule="exact"/>
        </w:trPr>
        <w:tc>
          <w:tcPr>
            <w:tcW w:w="792" w:type="dxa"/>
            <w:tcBorders>
              <w:top w:val="nil" w:sz="6" w:space="0" w:color="auto"/>
              <w:left w:val="single" w:sz="4" w:space="0" w:color="000000"/>
              <w:bottom w:val="single" w:sz="4" w:space="0" w:color="000000"/>
              <w:right w:val="single" w:sz="4" w:space="0" w:color="000000"/>
            </w:tcBorders>
            <w:shd w:val="clear" w:color="auto" w:fill="D2D2D2"/>
          </w:tcPr>
          <w:p>
            <w:pPr/>
          </w:p>
        </w:tc>
        <w:tc>
          <w:tcPr>
            <w:tcW w:w="802" w:type="dxa"/>
            <w:vMerge/>
            <w:tcBorders>
              <w:left w:val="single" w:sz="9" w:space="0" w:color="D2D2D2"/>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r>
    </w:tbl>
    <w:p>
      <w:pPr>
        <w:pStyle w:val="BodyText"/>
        <w:spacing w:line="357" w:lineRule="auto" w:before="51"/>
        <w:ind w:right="10033"/>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18、投资性房地产" w:id="284"/>
      <w:bookmarkEnd w:id="284"/>
      <w:r>
        <w:rPr>
          <w:b w:val="0"/>
          <w:bCs w:val="0"/>
        </w:rPr>
      </w:r>
      <w:r>
        <w:rPr>
          <w:rFonts w:ascii="Times New Roman" w:hAnsi="Times New Roman" w:cs="Times New Roman" w:eastAsia="Times New Roman" w:hint="default"/>
        </w:rPr>
        <w:t>18</w:t>
      </w:r>
      <w:r>
        <w:rPr/>
        <w:t>、投资性房地产</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采用成本计量模式的投资性房地产" w:id="285"/>
      <w:bookmarkEnd w:id="285"/>
      <w:r>
        <w:rPr>
          <w:b w:val="0"/>
          <w:bCs w:val="0"/>
        </w:rPr>
      </w:r>
      <w:r>
        <w:rPr/>
        <w:t>（</w:t>
      </w:r>
      <w:r>
        <w:rPr>
          <w:rFonts w:ascii="Times New Roman" w:hAnsi="Times New Roman" w:cs="Times New Roman" w:eastAsia="Times New Roman" w:hint="default"/>
        </w:rPr>
        <w:t>1</w:t>
      </w:r>
      <w:r>
        <w:rPr/>
        <w:t>）采用成本计量模式的投资性房地产</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154"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240" w:lineRule="auto" w:before="102"/>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889"/>
        <w:gridCol w:w="1928"/>
        <w:gridCol w:w="1914"/>
        <w:gridCol w:w="1914"/>
        <w:gridCol w:w="1914"/>
      </w:tblGrid>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25"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01"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928"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928"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27,837,677.95</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27,837,677.95</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）外购</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24,311,012.00</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24,311,012.00</w:t>
            </w:r>
          </w:p>
        </w:tc>
      </w:tr>
      <w:tr>
        <w:trPr>
          <w:trHeight w:val="714"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29" w:right="0"/>
              <w:jc w:val="left"/>
              <w:rPr>
                <w:rFonts w:ascii="宋体" w:hAnsi="宋体" w:cs="宋体" w:eastAsia="宋体" w:hint="default"/>
                <w:sz w:val="18"/>
                <w:szCs w:val="18"/>
              </w:rPr>
            </w:pP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2</w:t>
            </w:r>
            <w:r>
              <w:rPr>
                <w:rFonts w:ascii="宋体" w:hAnsi="宋体" w:cs="宋体" w:eastAsia="宋体" w:hint="default"/>
                <w:spacing w:val="-5"/>
                <w:sz w:val="18"/>
                <w:szCs w:val="18"/>
              </w:rPr>
              <w:t>）存货</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固定资产</w:t>
            </w:r>
          </w:p>
          <w:p>
            <w:pPr>
              <w:pStyle w:val="TableParagraph"/>
              <w:spacing w:line="240" w:lineRule="auto" w:before="6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在建工程转入</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3,526,665.95</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3,526,665.95</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54" w:right="0"/>
              <w:jc w:val="left"/>
              <w:rPr>
                <w:rFonts w:ascii="宋体" w:hAnsi="宋体" w:cs="宋体" w:eastAsia="宋体" w:hint="default"/>
                <w:sz w:val="18"/>
                <w:szCs w:val="18"/>
              </w:rPr>
            </w:pP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）企业合并增加</w:t>
            </w:r>
          </w:p>
        </w:tc>
        <w:tc>
          <w:tcPr>
            <w:tcW w:w="1928"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889" w:type="dxa"/>
            <w:tcBorders>
              <w:top w:val="single" w:sz="4" w:space="0" w:color="000000"/>
              <w:left w:val="single" w:sz="4" w:space="0" w:color="000000"/>
              <w:bottom w:val="single" w:sz="4" w:space="0" w:color="000000"/>
              <w:right w:val="single" w:sz="4" w:space="0" w:color="000000"/>
            </w:tcBorders>
          </w:tcPr>
          <w:p>
            <w:pPr/>
          </w:p>
        </w:tc>
        <w:tc>
          <w:tcPr>
            <w:tcW w:w="1928"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928"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27,837,677.95</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27,837,677.95</w:t>
            </w: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二、累计折旧和累计摊 销</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1,309,276.05</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1,309,276.05</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）计提或摊销</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26,449.96</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26,449.96</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）固定资产转入</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1,282,826.09</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1,282,826.09</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1,309,276.05</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1,309,276.05</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期末账面价值</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26,528,401.90</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26,528,401.90</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期初账面价值</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采用公允价值计量模式的投资性房地产" w:id="286"/>
      <w:bookmarkEnd w:id="286"/>
      <w:r>
        <w:rPr>
          <w:b w:val="0"/>
          <w:bCs w:val="0"/>
        </w:rPr>
      </w:r>
      <w:r>
        <w:rPr/>
        <w:t>（</w:t>
      </w:r>
      <w:r>
        <w:rPr>
          <w:rFonts w:ascii="Times New Roman" w:hAnsi="Times New Roman" w:cs="Times New Roman" w:eastAsia="Times New Roman" w:hint="default"/>
        </w:rPr>
        <w:t>2</w:t>
      </w:r>
      <w:r>
        <w:rPr/>
        <w:t>）采用公允价值计量模式的投资性房地产</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154"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after="0" w:line="240" w:lineRule="auto"/>
        <w:jc w:val="left"/>
        <w:sectPr>
          <w:pgSz w:w="11910" w:h="16840"/>
          <w:pgMar w:header="747" w:footer="979" w:top="1060" w:bottom="1160" w:left="980" w:right="0"/>
        </w:sectPr>
      </w:pPr>
    </w:p>
    <w:p>
      <w:pPr>
        <w:spacing w:line="240" w:lineRule="auto" w:before="9"/>
        <w:rPr>
          <w:rFonts w:ascii="宋体" w:hAnsi="宋体" w:cs="宋体" w:eastAsia="宋体" w:hint="default"/>
          <w:sz w:val="24"/>
          <w:szCs w:val="24"/>
        </w:rPr>
      </w:pPr>
    </w:p>
    <w:p>
      <w:pPr>
        <w:pStyle w:val="Heading3"/>
        <w:spacing w:line="240" w:lineRule="auto" w:before="35"/>
        <w:ind w:left="153" w:right="0"/>
        <w:jc w:val="left"/>
        <w:rPr>
          <w:b w:val="0"/>
          <w:bCs w:val="0"/>
        </w:rPr>
      </w:pPr>
      <w:bookmarkStart w:name="（3）未办妥产权证书的投资性房地产情况" w:id="287"/>
      <w:bookmarkEnd w:id="287"/>
      <w:r>
        <w:rPr>
          <w:b w:val="0"/>
          <w:bCs w:val="0"/>
        </w:rPr>
      </w:r>
      <w:r>
        <w:rPr/>
        <w:t>（</w:t>
      </w:r>
      <w:r>
        <w:rPr>
          <w:rFonts w:ascii="Times New Roman" w:hAnsi="Times New Roman" w:cs="Times New Roman" w:eastAsia="Times New Roman" w:hint="default"/>
        </w:rPr>
        <w:t>3</w:t>
      </w:r>
      <w:r>
        <w:rPr/>
        <w:t>）未办妥产权证书的投资性房地产情况</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1"/>
        <w:gridCol w:w="3191"/>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80" w:right="0"/>
              <w:jc w:val="left"/>
              <w:rPr>
                <w:rFonts w:ascii="宋体" w:hAnsi="宋体" w:cs="宋体" w:eastAsia="宋体" w:hint="default"/>
                <w:sz w:val="18"/>
                <w:szCs w:val="18"/>
              </w:rPr>
            </w:pPr>
            <w:r>
              <w:rPr>
                <w:rFonts w:ascii="宋体" w:hAnsi="宋体" w:cs="宋体" w:eastAsia="宋体" w:hint="default"/>
                <w:sz w:val="18"/>
                <w:szCs w:val="18"/>
              </w:rPr>
              <w:t>未办妥产权证书原因</w:t>
            </w:r>
          </w:p>
        </w:tc>
      </w:tr>
      <w:tr>
        <w:trPr>
          <w:trHeight w:val="714" w:hRule="exact"/>
        </w:trPr>
        <w:tc>
          <w:tcPr>
            <w:tcW w:w="3188" w:type="dxa"/>
            <w:tcBorders>
              <w:top w:val="single" w:sz="4" w:space="0" w:color="000000"/>
              <w:left w:val="single" w:sz="4" w:space="0" w:color="000000"/>
              <w:bottom w:val="single" w:sz="4" w:space="0" w:color="000000"/>
              <w:right w:val="single" w:sz="13" w:space="0" w:color="FFFFFF"/>
            </w:tcBorders>
          </w:tcPr>
          <w:p>
            <w:pPr>
              <w:pStyle w:val="TableParagraph"/>
              <w:spacing w:line="240" w:lineRule="auto" w:before="52"/>
              <w:ind w:left="22" w:right="-36"/>
              <w:jc w:val="left"/>
              <w:rPr>
                <w:rFonts w:ascii="宋体" w:hAnsi="宋体" w:cs="宋体" w:eastAsia="宋体" w:hint="default"/>
                <w:sz w:val="18"/>
                <w:szCs w:val="18"/>
              </w:rPr>
            </w:pPr>
            <w:r>
              <w:rPr>
                <w:rFonts w:ascii="宋体" w:hAnsi="宋体" w:cs="宋体" w:eastAsia="宋体" w:hint="default"/>
                <w:sz w:val="18"/>
                <w:szCs w:val="18"/>
              </w:rPr>
              <w:t>南沙区南沙万达广场自编</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C1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栋</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房、</w:t>
            </w:r>
          </w:p>
          <w:p>
            <w:pPr>
              <w:pStyle w:val="TableParagraph"/>
              <w:spacing w:line="240" w:lineRule="auto" w:before="6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房</w:t>
            </w:r>
          </w:p>
        </w:tc>
        <w:tc>
          <w:tcPr>
            <w:tcW w:w="3191" w:type="dxa"/>
            <w:tcBorders>
              <w:top w:val="single" w:sz="4" w:space="0" w:color="000000"/>
              <w:left w:val="single" w:sz="13" w:space="0" w:color="FFFFFF"/>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24,311,012.00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正在办理中</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24,311,012.00</w:t>
            </w:r>
          </w:p>
        </w:tc>
        <w:tc>
          <w:tcPr>
            <w:tcW w:w="3191"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1"/>
        <w:ind w:left="154" w:right="0"/>
        <w:jc w:val="left"/>
      </w:pPr>
      <w:r>
        <w:rPr/>
        <w:t>其他说明</w:t>
      </w:r>
    </w:p>
    <w:p>
      <w:pPr>
        <w:pStyle w:val="BodyText"/>
        <w:spacing w:line="302" w:lineRule="auto" w:before="115"/>
        <w:ind w:right="1125"/>
        <w:jc w:val="left"/>
      </w:pPr>
      <w:r>
        <w:rPr/>
        <w:t>公司</w:t>
      </w:r>
      <w:r>
        <w:rPr>
          <w:spacing w:val="-43"/>
        </w:rPr>
        <w:t> </w:t>
      </w:r>
      <w:r>
        <w:rPr>
          <w:rFonts w:ascii="Times New Roman" w:hAnsi="Times New Roman" w:cs="Times New Roman" w:eastAsia="Times New Roman" w:hint="default"/>
        </w:rPr>
        <w:t>2017</w:t>
      </w:r>
      <w:r>
        <w:rPr>
          <w:rFonts w:ascii="Times New Roman" w:hAnsi="Times New Roman" w:cs="Times New Roman" w:eastAsia="Times New Roman" w:hint="default"/>
          <w:spacing w:val="2"/>
        </w:rPr>
        <w:t> </w:t>
      </w:r>
      <w:r>
        <w:rPr/>
        <w:t>年</w:t>
      </w:r>
      <w:r>
        <w:rPr>
          <w:spacing w:val="-42"/>
        </w:rPr>
        <w:t> </w:t>
      </w:r>
      <w:r>
        <w:rPr>
          <w:rFonts w:ascii="Times New Roman" w:hAnsi="Times New Roman" w:cs="Times New Roman" w:eastAsia="Times New Roman" w:hint="default"/>
        </w:rPr>
        <w:t>7</w:t>
      </w:r>
      <w:r>
        <w:rPr>
          <w:rFonts w:ascii="Times New Roman" w:hAnsi="Times New Roman" w:cs="Times New Roman" w:eastAsia="Times New Roman" w:hint="default"/>
          <w:spacing w:val="3"/>
        </w:rPr>
        <w:t> </w:t>
      </w:r>
      <w:r>
        <w:rPr>
          <w:spacing w:val="-7"/>
        </w:rPr>
        <w:t>月将原自用房地产（深房地字第</w:t>
      </w:r>
      <w:r>
        <w:rPr>
          <w:spacing w:val="-43"/>
        </w:rPr>
        <w:t> </w:t>
      </w:r>
      <w:r>
        <w:rPr>
          <w:rFonts w:ascii="Times New Roman" w:hAnsi="Times New Roman" w:cs="Times New Roman" w:eastAsia="Times New Roman" w:hint="default"/>
          <w:spacing w:val="-1"/>
        </w:rPr>
        <w:t>4000551161</w:t>
      </w:r>
      <w:r>
        <w:rPr>
          <w:rFonts w:ascii="Times New Roman" w:hAnsi="Times New Roman" w:cs="Times New Roman" w:eastAsia="Times New Roman" w:hint="default"/>
          <w:spacing w:val="4"/>
        </w:rPr>
        <w:t> </w:t>
      </w:r>
      <w:r>
        <w:rPr>
          <w:spacing w:val="-13"/>
        </w:rPr>
        <w:t>号，高新工业村</w:t>
      </w:r>
      <w:r>
        <w:rPr>
          <w:spacing w:val="-43"/>
        </w:rPr>
        <w:t> </w:t>
      </w:r>
      <w:r>
        <w:rPr>
          <w:rFonts w:ascii="Times New Roman" w:hAnsi="Times New Roman" w:cs="Times New Roman" w:eastAsia="Times New Roman" w:hint="default"/>
        </w:rPr>
        <w:t>T2</w:t>
      </w:r>
      <w:r>
        <w:rPr>
          <w:rFonts w:ascii="Times New Roman" w:hAnsi="Times New Roman" w:cs="Times New Roman" w:eastAsia="Times New Roman" w:hint="default"/>
          <w:spacing w:val="2"/>
        </w:rPr>
        <w:t> </w:t>
      </w:r>
      <w:r>
        <w:rPr/>
        <w:t>栋厂房</w:t>
      </w:r>
      <w:r>
        <w:rPr>
          <w:spacing w:val="-43"/>
        </w:rPr>
        <w:t> </w:t>
      </w:r>
      <w:r>
        <w:rPr>
          <w:rFonts w:ascii="Times New Roman" w:hAnsi="Times New Roman" w:cs="Times New Roman" w:eastAsia="Times New Roman" w:hint="default"/>
          <w:spacing w:val="-5"/>
        </w:rPr>
        <w:t>T2A6-b</w:t>
      </w:r>
      <w:r>
        <w:rPr>
          <w:spacing w:val="-5"/>
        </w:rPr>
        <w:t>）转为投资性房地产对外出租，</w:t>
      </w:r>
      <w:r>
        <w:rPr/>
        <w:t> 并采用成本计量模式。</w:t>
      </w:r>
    </w:p>
    <w:p>
      <w:pPr>
        <w:pStyle w:val="BodyText"/>
        <w:spacing w:line="240" w:lineRule="auto" w:before="69"/>
        <w:ind w:right="0"/>
        <w:jc w:val="left"/>
      </w:pPr>
      <w:r>
        <w:rPr/>
        <w:t>子公司将其购入的南沙区南沙万达广场自编</w:t>
      </w:r>
      <w:r>
        <w:rPr>
          <w:rFonts w:ascii="Times New Roman" w:hAnsi="Times New Roman" w:cs="Times New Roman" w:eastAsia="Times New Roman" w:hint="default"/>
        </w:rPr>
        <w:t>C1</w:t>
      </w:r>
      <w:r>
        <w:rPr/>
        <w:t>栋</w:t>
      </w:r>
      <w:r>
        <w:rPr>
          <w:rFonts w:ascii="Times New Roman" w:hAnsi="Times New Roman" w:cs="Times New Roman" w:eastAsia="Times New Roman" w:hint="default"/>
        </w:rPr>
        <w:t>102</w:t>
      </w:r>
      <w:r>
        <w:rPr/>
        <w:t>房、</w:t>
      </w:r>
      <w:r>
        <w:rPr>
          <w:rFonts w:ascii="Times New Roman" w:hAnsi="Times New Roman" w:cs="Times New Roman" w:eastAsia="Times New Roman" w:hint="default"/>
        </w:rPr>
        <w:t>103</w:t>
      </w:r>
      <w:r>
        <w:rPr/>
        <w:t>房转入投资性房地产核算，并采用成本计量模式。</w:t>
      </w:r>
    </w:p>
    <w:p>
      <w:pPr>
        <w:spacing w:line="240" w:lineRule="auto" w:before="11"/>
        <w:rPr>
          <w:rFonts w:ascii="宋体" w:hAnsi="宋体" w:cs="宋体" w:eastAsia="宋体" w:hint="default"/>
          <w:sz w:val="25"/>
          <w:szCs w:val="25"/>
        </w:rPr>
      </w:pPr>
    </w:p>
    <w:p>
      <w:pPr>
        <w:pStyle w:val="Heading3"/>
        <w:spacing w:line="240" w:lineRule="auto"/>
        <w:ind w:left="153" w:right="0"/>
        <w:jc w:val="left"/>
        <w:rPr>
          <w:b w:val="0"/>
          <w:bCs w:val="0"/>
        </w:rPr>
      </w:pPr>
      <w:bookmarkStart w:name="19、固定资产" w:id="288"/>
      <w:bookmarkEnd w:id="288"/>
      <w:r>
        <w:rPr>
          <w:b w:val="0"/>
          <w:bCs w:val="0"/>
        </w:rPr>
      </w:r>
      <w:r>
        <w:rPr>
          <w:rFonts w:ascii="Times New Roman" w:hAnsi="Times New Roman" w:cs="Times New Roman" w:eastAsia="Times New Roman" w:hint="default"/>
        </w:rPr>
        <w:t>19</w:t>
      </w:r>
      <w:r>
        <w:rPr/>
        <w:t>、固定资产</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固定资产情况" w:id="289"/>
      <w:bookmarkEnd w:id="289"/>
      <w:r>
        <w:rPr>
          <w:b w:val="0"/>
          <w:bCs w:val="0"/>
        </w:rPr>
      </w:r>
      <w:r>
        <w:rPr/>
        <w:t>（</w:t>
      </w:r>
      <w:r>
        <w:rPr>
          <w:rFonts w:ascii="Times New Roman" w:hAnsi="Times New Roman" w:cs="Times New Roman" w:eastAsia="Times New Roman" w:hint="default"/>
        </w:rPr>
        <w:t>1</w:t>
      </w:r>
      <w:r>
        <w:rPr/>
        <w:t>）固定资产情况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356"/>
        <w:gridCol w:w="1378"/>
        <w:gridCol w:w="1368"/>
        <w:gridCol w:w="1367"/>
        <w:gridCol w:w="1367"/>
        <w:gridCol w:w="1367"/>
        <w:gridCol w:w="1367"/>
      </w:tblGrid>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78" w:type="dxa"/>
            <w:tcBorders>
              <w:top w:val="single" w:sz="4" w:space="0" w:color="000000"/>
              <w:left w:val="single" w:sz="13" w:space="0" w:color="D2D2D2"/>
              <w:bottom w:val="single" w:sz="4" w:space="0" w:color="000000"/>
              <w:right w:val="single" w:sz="4" w:space="0" w:color="000000"/>
            </w:tcBorders>
            <w:shd w:val="clear" w:color="auto" w:fill="E0FFFF"/>
          </w:tcPr>
          <w:p>
            <w:pPr>
              <w:pStyle w:val="TableParagraph"/>
              <w:spacing w:line="240" w:lineRule="auto" w:before="52"/>
              <w:ind w:left="137"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368"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2"/>
              <w:ind w:left="319"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367"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2"/>
              <w:ind w:left="317"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367"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2"/>
              <w:ind w:left="317" w:right="0"/>
              <w:jc w:val="left"/>
              <w:rPr>
                <w:rFonts w:ascii="宋体" w:hAnsi="宋体" w:cs="宋体" w:eastAsia="宋体" w:hint="default"/>
                <w:sz w:val="18"/>
                <w:szCs w:val="18"/>
              </w:rPr>
            </w:pPr>
            <w:r>
              <w:rPr>
                <w:rFonts w:ascii="宋体" w:hAnsi="宋体" w:cs="宋体" w:eastAsia="宋体" w:hint="default"/>
                <w:sz w:val="18"/>
                <w:szCs w:val="18"/>
              </w:rPr>
              <w:t>电子设备</w:t>
            </w:r>
          </w:p>
        </w:tc>
        <w:tc>
          <w:tcPr>
            <w:tcW w:w="1367"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2"/>
              <w:ind w:left="318"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122,615,840.26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29,150,982.90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6,898,064.23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34,956,405.68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2,372,755.79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195,994,048.86</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22" w:right="105"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 额</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168,295.14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17,547,110.67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1,235,410.09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1,751,128.59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2,657,579.98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23,359,524.47</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）购置</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168,295.14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17,547,110.67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999,493.09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1,736,828.59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1,303,565.78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21,755,293.27</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22" w:right="10" w:firstLine="340"/>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）在建工</w:t>
            </w:r>
            <w:r>
              <w:rPr>
                <w:rFonts w:ascii="宋体" w:hAnsi="宋体" w:cs="宋体" w:eastAsia="宋体" w:hint="default"/>
                <w:sz w:val="18"/>
                <w:szCs w:val="18"/>
              </w:rPr>
              <w:t> 程转入</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22" w:right="10" w:firstLine="340"/>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3</w:t>
            </w:r>
            <w:r>
              <w:rPr>
                <w:rFonts w:ascii="宋体" w:hAnsi="宋体" w:cs="宋体" w:eastAsia="宋体" w:hint="default"/>
                <w:spacing w:val="-4"/>
                <w:sz w:val="18"/>
                <w:szCs w:val="18"/>
              </w:rPr>
              <w:t>）企业合</w:t>
            </w:r>
            <w:r>
              <w:rPr>
                <w:rFonts w:ascii="宋体" w:hAnsi="宋体" w:cs="宋体" w:eastAsia="宋体" w:hint="default"/>
                <w:sz w:val="18"/>
                <w:szCs w:val="18"/>
              </w:rPr>
              <w:t> 并增加</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2"/>
              <w:ind w:left="7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股东</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投入增加</w:t>
            </w:r>
          </w:p>
        </w:tc>
        <w:tc>
          <w:tcPr>
            <w:tcW w:w="1378" w:type="dxa"/>
            <w:tcBorders>
              <w:top w:val="single" w:sz="4" w:space="0" w:color="000000"/>
              <w:left w:val="single" w:sz="13" w:space="0" w:color="E0FFFF"/>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235,917.00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14,300.00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1,354,014.20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1,604,231.20</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22" w:right="105"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 额</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3,526,665.95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357,179.17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515,533.00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780,382.61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13,027.37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5,192,788.10</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22" w:right="10" w:firstLine="340"/>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）处置或</w:t>
            </w:r>
            <w:r>
              <w:rPr>
                <w:rFonts w:ascii="宋体" w:hAnsi="宋体" w:cs="宋体" w:eastAsia="宋体" w:hint="default"/>
                <w:sz w:val="18"/>
                <w:szCs w:val="18"/>
              </w:rPr>
              <w:t> 报废</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3,526,665.95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357,179.17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515,533.00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780,382.61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13,027.37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5,192,788.10</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78" w:type="dxa"/>
            <w:tcBorders>
              <w:top w:val="single" w:sz="4" w:space="0" w:color="000000"/>
              <w:left w:val="single" w:sz="13" w:space="0" w:color="E0FFFF"/>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119,257,469.45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46,340,914.40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7,617,941.32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35,927,151.66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5,017,308.40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214,160,785.23</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二、累计折旧</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8,729,182.06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12,684,022.14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4,252,580.83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11,924,556.38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1,437,239.41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39,027,580.82</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2,737,967.98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4,125,120.46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684,796.97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5,715,418.47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535,535.72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13,798,839.60</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356"/>
        <w:gridCol w:w="1378"/>
        <w:gridCol w:w="1368"/>
        <w:gridCol w:w="1367"/>
        <w:gridCol w:w="1367"/>
        <w:gridCol w:w="1367"/>
        <w:gridCol w:w="1367"/>
      </w:tblGrid>
      <w:tr>
        <w:trPr>
          <w:trHeight w:val="36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52"/>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2,737,967.98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4,125,120.46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684,796.97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5,715,418.47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535,535.72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13,798,839.60</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78" w:type="dxa"/>
            <w:tcBorders>
              <w:top w:val="single" w:sz="4" w:space="0" w:color="000000"/>
              <w:left w:val="single" w:sz="13" w:space="0" w:color="E0FFFF"/>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105"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 额</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1,282,826.09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94,671.92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462,466.77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828,473.71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109.51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2,668,548.00</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10" w:firstLine="340"/>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）处置或</w:t>
            </w:r>
            <w:r>
              <w:rPr>
                <w:rFonts w:ascii="宋体" w:hAnsi="宋体" w:cs="宋体" w:eastAsia="宋体" w:hint="default"/>
                <w:sz w:val="18"/>
                <w:szCs w:val="18"/>
              </w:rPr>
              <w:t> 报废</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1,282,826.09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94,671.92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462,466.77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828,473.71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109.51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2,668,548.00</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78" w:type="dxa"/>
            <w:tcBorders>
              <w:top w:val="single" w:sz="4" w:space="0" w:color="000000"/>
              <w:left w:val="single" w:sz="13" w:space="0" w:color="E0FFFF"/>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10,184,323.95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16,714,470.67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4,474,911.03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16,811,501.14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1,972,665.62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50,157,872.42</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105"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 额</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52"/>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78" w:type="dxa"/>
            <w:tcBorders>
              <w:top w:val="single" w:sz="4" w:space="0" w:color="000000"/>
              <w:left w:val="single" w:sz="13" w:space="0" w:color="E0FFFF"/>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105"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 额</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10" w:firstLine="340"/>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）处置或</w:t>
            </w:r>
            <w:r>
              <w:rPr>
                <w:rFonts w:ascii="宋体" w:hAnsi="宋体" w:cs="宋体" w:eastAsia="宋体" w:hint="default"/>
                <w:sz w:val="18"/>
                <w:szCs w:val="18"/>
              </w:rPr>
              <w:t> 报废</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78" w:type="dxa"/>
            <w:tcBorders>
              <w:top w:val="single" w:sz="4" w:space="0" w:color="000000"/>
              <w:left w:val="single" w:sz="13" w:space="0" w:color="E0FFFF"/>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105"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期末账面价 值</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109,073,145.50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29,626,443.72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3,143,030.29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19,115,650.52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3,044,642.78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164,002,912.81</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105"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期初账面价 值</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113,886,658.20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16,466,960.76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2,645,483.40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23,031,849.30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935,516.38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156,966,468.04</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暂时闲置的固定资产情况" w:id="290"/>
      <w:bookmarkEnd w:id="290"/>
      <w:r>
        <w:rPr>
          <w:b w:val="0"/>
          <w:bCs w:val="0"/>
        </w:rPr>
      </w:r>
      <w:r>
        <w:rPr/>
        <w:t>（</w:t>
      </w:r>
      <w:r>
        <w:rPr>
          <w:rFonts w:ascii="Times New Roman" w:hAnsi="Times New Roman" w:cs="Times New Roman" w:eastAsia="Times New Roman" w:hint="default"/>
        </w:rPr>
        <w:t>2</w:t>
      </w:r>
      <w:r>
        <w:rPr/>
        <w:t>）暂时闲置的固定资产情况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95"/>
        <w:gridCol w:w="1595"/>
        <w:gridCol w:w="1595"/>
        <w:gridCol w:w="1594"/>
        <w:gridCol w:w="1594"/>
        <w:gridCol w:w="1595"/>
      </w:tblGrid>
      <w:tr>
        <w:trPr>
          <w:trHeight w:val="402" w:hRule="exact"/>
        </w:trPr>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2" w:right="0"/>
              <w:jc w:val="left"/>
              <w:rPr>
                <w:rFonts w:ascii="宋体" w:hAnsi="宋体" w:cs="宋体" w:eastAsia="宋体" w:hint="default"/>
                <w:sz w:val="18"/>
                <w:szCs w:val="18"/>
              </w:rPr>
            </w:pPr>
            <w:r>
              <w:rPr>
                <w:rFonts w:ascii="宋体" w:hAnsi="宋体" w:cs="宋体" w:eastAsia="宋体" w:hint="default"/>
                <w:sz w:val="18"/>
                <w:szCs w:val="18"/>
              </w:rPr>
              <w:t>账面原值</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3" w:right="0"/>
              <w:jc w:val="left"/>
              <w:rPr>
                <w:rFonts w:ascii="宋体" w:hAnsi="宋体" w:cs="宋体" w:eastAsia="宋体" w:hint="default"/>
                <w:sz w:val="18"/>
                <w:szCs w:val="18"/>
              </w:rPr>
            </w:pPr>
            <w:r>
              <w:rPr>
                <w:rFonts w:ascii="宋体" w:hAnsi="宋体" w:cs="宋体" w:eastAsia="宋体" w:hint="default"/>
                <w:sz w:val="18"/>
                <w:szCs w:val="18"/>
              </w:rPr>
              <w:t>累计折旧</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1"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2"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备注</w:t>
            </w:r>
          </w:p>
        </w:tc>
      </w:tr>
    </w:tbl>
    <w:p>
      <w:pPr>
        <w:spacing w:line="240" w:lineRule="auto" w:before="3"/>
        <w:rPr>
          <w:rFonts w:ascii="宋体" w:hAnsi="宋体" w:cs="宋体" w:eastAsia="宋体" w:hint="default"/>
          <w:sz w:val="19"/>
          <w:szCs w:val="19"/>
        </w:rPr>
      </w:pPr>
    </w:p>
    <w:p>
      <w:pPr>
        <w:pStyle w:val="Heading3"/>
        <w:spacing w:line="240" w:lineRule="auto" w:before="35"/>
        <w:ind w:right="0"/>
        <w:jc w:val="left"/>
        <w:rPr>
          <w:b w:val="0"/>
          <w:bCs w:val="0"/>
        </w:rPr>
      </w:pPr>
      <w:bookmarkStart w:name="（3）通过融资租赁租入的固定资产情况" w:id="291"/>
      <w:bookmarkEnd w:id="291"/>
      <w:r>
        <w:rPr>
          <w:b w:val="0"/>
          <w:bCs w:val="0"/>
        </w:rPr>
      </w:r>
      <w:r>
        <w:rPr/>
        <w:t>（</w:t>
      </w:r>
      <w:r>
        <w:rPr>
          <w:rFonts w:ascii="Times New Roman" w:hAnsi="Times New Roman" w:cs="Times New Roman" w:eastAsia="Times New Roman" w:hint="default"/>
        </w:rPr>
        <w:t>3</w:t>
      </w:r>
      <w:r>
        <w:rPr/>
        <w:t>）通过融资租赁租入的固定资产情况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03"/>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3" w:right="0"/>
              <w:jc w:val="left"/>
              <w:rPr>
                <w:rFonts w:ascii="宋体" w:hAnsi="宋体" w:cs="宋体" w:eastAsia="宋体" w:hint="default"/>
                <w:sz w:val="18"/>
                <w:szCs w:val="18"/>
              </w:rPr>
            </w:pPr>
            <w:r>
              <w:rPr>
                <w:rFonts w:ascii="宋体" w:hAnsi="宋体" w:cs="宋体" w:eastAsia="宋体" w:hint="default"/>
                <w:sz w:val="18"/>
                <w:szCs w:val="18"/>
              </w:rPr>
              <w:t>账面原值</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累计折旧</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9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5"/>
        <w:ind w:left="153" w:right="0"/>
        <w:jc w:val="left"/>
        <w:rPr>
          <w:b w:val="0"/>
          <w:bCs w:val="0"/>
        </w:rPr>
      </w:pPr>
      <w:bookmarkStart w:name="（4）通过经营租赁租出的固定资产" w:id="292"/>
      <w:bookmarkEnd w:id="292"/>
      <w:r>
        <w:rPr>
          <w:b w:val="0"/>
          <w:bCs w:val="0"/>
        </w:rPr>
      </w:r>
      <w:r>
        <w:rPr/>
        <w:t>（</w:t>
      </w:r>
      <w:r>
        <w:rPr>
          <w:rFonts w:ascii="Times New Roman" w:hAnsi="Times New Roman" w:cs="Times New Roman" w:eastAsia="Times New Roman" w:hint="default"/>
        </w:rPr>
        <w:t>4</w:t>
      </w:r>
      <w:r>
        <w:rPr/>
        <w:t>）通过经营租赁租出的固定资产</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780"/>
        <w:gridCol w:w="4788"/>
      </w:tblGrid>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期末账面价值</w:t>
            </w:r>
          </w:p>
        </w:tc>
      </w:tr>
    </w:tbl>
    <w:p>
      <w:pPr>
        <w:spacing w:line="240" w:lineRule="auto" w:before="3"/>
        <w:rPr>
          <w:rFonts w:ascii="宋体" w:hAnsi="宋体" w:cs="宋体" w:eastAsia="宋体" w:hint="default"/>
          <w:sz w:val="19"/>
          <w:szCs w:val="19"/>
        </w:rPr>
      </w:pPr>
    </w:p>
    <w:p>
      <w:pPr>
        <w:pStyle w:val="Heading3"/>
        <w:spacing w:line="240" w:lineRule="auto" w:before="35"/>
        <w:ind w:right="0"/>
        <w:jc w:val="left"/>
        <w:rPr>
          <w:b w:val="0"/>
          <w:bCs w:val="0"/>
        </w:rPr>
      </w:pPr>
      <w:bookmarkStart w:name="（5）未办妥产权证书的固定资产情况" w:id="293"/>
      <w:bookmarkEnd w:id="293"/>
      <w:r>
        <w:rPr>
          <w:b w:val="0"/>
          <w:bCs w:val="0"/>
        </w:rPr>
      </w:r>
      <w:r>
        <w:rPr/>
        <w:t>（</w:t>
      </w:r>
      <w:r>
        <w:rPr>
          <w:rFonts w:ascii="Times New Roman" w:hAnsi="Times New Roman" w:cs="Times New Roman" w:eastAsia="Times New Roman" w:hint="default"/>
        </w:rPr>
        <w:t>5</w:t>
      </w:r>
      <w:r>
        <w:rPr/>
        <w:t>）未办妥产权证书的固定资产情况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89" w:right="0"/>
              <w:jc w:val="left"/>
              <w:rPr>
                <w:rFonts w:ascii="宋体" w:hAnsi="宋体" w:cs="宋体" w:eastAsia="宋体" w:hint="default"/>
                <w:sz w:val="18"/>
                <w:szCs w:val="18"/>
              </w:rPr>
            </w:pPr>
            <w:r>
              <w:rPr>
                <w:rFonts w:ascii="宋体" w:hAnsi="宋体" w:cs="宋体" w:eastAsia="宋体" w:hint="default"/>
                <w:sz w:val="18"/>
                <w:szCs w:val="18"/>
              </w:rPr>
              <w:t>未办妥产权证书的原因</w:t>
            </w:r>
          </w:p>
        </w:tc>
      </w:tr>
    </w:tbl>
    <w:p>
      <w:pPr>
        <w:pStyle w:val="BodyText"/>
        <w:spacing w:line="240" w:lineRule="auto" w:before="51"/>
        <w:ind w:left="154" w:right="0"/>
        <w:jc w:val="left"/>
      </w:pPr>
      <w:r>
        <w:rPr/>
        <w:t>其他说明</w:t>
      </w:r>
    </w:p>
    <w:p>
      <w:pPr>
        <w:pStyle w:val="BodyText"/>
        <w:spacing w:line="240" w:lineRule="auto" w:before="116"/>
        <w:ind w:right="0"/>
        <w:jc w:val="left"/>
      </w:pPr>
      <w:r>
        <w:rPr/>
        <w:t>如附注七、</w:t>
      </w:r>
      <w:r>
        <w:rPr>
          <w:rFonts w:ascii="Times New Roman" w:hAnsi="Times New Roman" w:cs="Times New Roman" w:eastAsia="Times New Roman" w:hint="default"/>
        </w:rPr>
        <w:t>18</w:t>
      </w:r>
      <w:r>
        <w:rPr>
          <w:rFonts w:ascii="Times New Roman" w:hAnsi="Times New Roman" w:cs="Times New Roman" w:eastAsia="Times New Roman" w:hint="default"/>
          <w:spacing w:val="36"/>
        </w:rPr>
        <w:t> </w:t>
      </w:r>
      <w:r>
        <w:rPr/>
        <w:t>其他说明所述，本期固定资产转入投资性房地产房屋建筑物原值</w:t>
      </w:r>
      <w:r>
        <w:rPr>
          <w:rFonts w:ascii="Times New Roman" w:hAnsi="Times New Roman" w:cs="Times New Roman" w:eastAsia="Times New Roman" w:hint="default"/>
        </w:rPr>
        <w:t>3,526,665.95</w:t>
      </w:r>
      <w:r>
        <w:rPr/>
        <w:t>元，折旧</w:t>
      </w:r>
      <w:r>
        <w:rPr>
          <w:rFonts w:ascii="Times New Roman" w:hAnsi="Times New Roman" w:cs="Times New Roman" w:eastAsia="Times New Roman" w:hint="default"/>
        </w:rPr>
        <w:t>1,282,826.09</w:t>
      </w:r>
      <w:r>
        <w:rPr/>
        <w:t>元。</w:t>
      </w:r>
    </w:p>
    <w:p>
      <w:pPr>
        <w:spacing w:line="240" w:lineRule="auto" w:before="11"/>
        <w:rPr>
          <w:rFonts w:ascii="宋体" w:hAnsi="宋体" w:cs="宋体" w:eastAsia="宋体" w:hint="default"/>
          <w:sz w:val="25"/>
          <w:szCs w:val="25"/>
        </w:rPr>
      </w:pPr>
    </w:p>
    <w:p>
      <w:pPr>
        <w:pStyle w:val="Heading3"/>
        <w:spacing w:line="240" w:lineRule="auto"/>
        <w:ind w:right="0"/>
        <w:jc w:val="left"/>
        <w:rPr>
          <w:b w:val="0"/>
          <w:bCs w:val="0"/>
        </w:rPr>
      </w:pPr>
      <w:bookmarkStart w:name="20、在建工程" w:id="294"/>
      <w:bookmarkEnd w:id="294"/>
      <w:r>
        <w:rPr>
          <w:b w:val="0"/>
          <w:bCs w:val="0"/>
        </w:rPr>
      </w:r>
      <w:r>
        <w:rPr>
          <w:rFonts w:ascii="Times New Roman" w:hAnsi="Times New Roman" w:cs="Times New Roman" w:eastAsia="Times New Roman" w:hint="default"/>
        </w:rPr>
        <w:t>20</w:t>
      </w:r>
      <w:r>
        <w:rPr/>
        <w:t>、在建工程</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在建工程情况" w:id="295"/>
      <w:bookmarkEnd w:id="295"/>
      <w:r>
        <w:rPr>
          <w:b w:val="0"/>
          <w:bCs w:val="0"/>
        </w:rPr>
      </w:r>
      <w:r>
        <w:rPr/>
        <w:t>（</w:t>
      </w:r>
      <w:r>
        <w:rPr>
          <w:rFonts w:ascii="Times New Roman" w:hAnsi="Times New Roman" w:cs="Times New Roman" w:eastAsia="Times New Roman" w:hint="default"/>
        </w:rPr>
        <w:t>1</w:t>
      </w:r>
      <w:r>
        <w:rPr/>
        <w:t>）在建工程情况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spacing w:line="240" w:lineRule="auto" w:before="3"/>
        <w:rPr>
          <w:rFonts w:ascii="宋体" w:hAnsi="宋体" w:cs="宋体" w:eastAsia="宋体" w:hint="default"/>
          <w:sz w:val="19"/>
          <w:szCs w:val="19"/>
        </w:rPr>
      </w:pPr>
    </w:p>
    <w:p>
      <w:pPr>
        <w:pStyle w:val="Heading3"/>
        <w:spacing w:line="240" w:lineRule="auto" w:before="35"/>
        <w:ind w:right="0"/>
        <w:jc w:val="left"/>
        <w:rPr>
          <w:b w:val="0"/>
          <w:bCs w:val="0"/>
        </w:rPr>
      </w:pPr>
      <w:bookmarkStart w:name="（2）重要在建工程项目本期变动情况" w:id="296"/>
      <w:bookmarkEnd w:id="296"/>
      <w:r>
        <w:rPr>
          <w:b w:val="0"/>
          <w:bCs w:val="0"/>
        </w:rPr>
      </w:r>
      <w:r>
        <w:rPr/>
        <w:t>（</w:t>
      </w:r>
      <w:r>
        <w:rPr>
          <w:rFonts w:ascii="Times New Roman" w:hAnsi="Times New Roman" w:cs="Times New Roman" w:eastAsia="Times New Roman" w:hint="default"/>
        </w:rPr>
        <w:t>2</w:t>
      </w:r>
      <w:r>
        <w:rPr/>
        <w:t>）重要在建工程项目本期变动情况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732"/>
        <w:gridCol w:w="736"/>
        <w:gridCol w:w="737"/>
        <w:gridCol w:w="736"/>
        <w:gridCol w:w="736"/>
        <w:gridCol w:w="737"/>
        <w:gridCol w:w="736"/>
        <w:gridCol w:w="736"/>
        <w:gridCol w:w="737"/>
        <w:gridCol w:w="736"/>
        <w:gridCol w:w="736"/>
        <w:gridCol w:w="737"/>
        <w:gridCol w:w="736"/>
      </w:tblGrid>
      <w:tr>
        <w:trPr>
          <w:trHeight w:val="1338" w:hRule="exact"/>
        </w:trPr>
        <w:tc>
          <w:tcPr>
            <w:tcW w:w="7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70" w:right="90" w:hanging="180"/>
              <w:jc w:val="left"/>
              <w:rPr>
                <w:rFonts w:ascii="宋体" w:hAnsi="宋体" w:cs="宋体" w:eastAsia="宋体" w:hint="default"/>
                <w:sz w:val="18"/>
                <w:szCs w:val="18"/>
              </w:rPr>
            </w:pPr>
            <w:r>
              <w:rPr>
                <w:rFonts w:ascii="宋体" w:hAnsi="宋体" w:cs="宋体" w:eastAsia="宋体" w:hint="default"/>
                <w:sz w:val="18"/>
                <w:szCs w:val="18"/>
              </w:rPr>
              <w:t>项目名 称</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预算数</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73" w:right="91" w:hanging="180"/>
              <w:jc w:val="left"/>
              <w:rPr>
                <w:rFonts w:ascii="宋体" w:hAnsi="宋体" w:cs="宋体" w:eastAsia="宋体" w:hint="default"/>
                <w:sz w:val="18"/>
                <w:szCs w:val="18"/>
              </w:rPr>
            </w:pPr>
            <w:r>
              <w:rPr>
                <w:rFonts w:ascii="宋体" w:hAnsi="宋体" w:cs="宋体" w:eastAsia="宋体" w:hint="default"/>
                <w:sz w:val="18"/>
                <w:szCs w:val="18"/>
              </w:rPr>
              <w:t>期初余 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92" w:right="91"/>
              <w:jc w:val="left"/>
              <w:rPr>
                <w:rFonts w:ascii="宋体" w:hAnsi="宋体" w:cs="宋体" w:eastAsia="宋体" w:hint="default"/>
                <w:sz w:val="18"/>
                <w:szCs w:val="18"/>
              </w:rPr>
            </w:pPr>
            <w:r>
              <w:rPr>
                <w:rFonts w:ascii="宋体" w:hAnsi="宋体" w:cs="宋体" w:eastAsia="宋体" w:hint="default"/>
                <w:sz w:val="18"/>
                <w:szCs w:val="18"/>
              </w:rPr>
              <w:t>本期增 加金额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92" w:right="91"/>
              <w:jc w:val="center"/>
              <w:rPr>
                <w:rFonts w:ascii="宋体" w:hAnsi="宋体" w:cs="宋体" w:eastAsia="宋体" w:hint="default"/>
                <w:sz w:val="18"/>
                <w:szCs w:val="18"/>
              </w:rPr>
            </w:pPr>
            <w:r>
              <w:rPr>
                <w:rFonts w:ascii="宋体" w:hAnsi="宋体" w:cs="宋体" w:eastAsia="宋体" w:hint="default"/>
                <w:sz w:val="18"/>
                <w:szCs w:val="18"/>
              </w:rPr>
              <w:t>本期转 入固定 资产金 额</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93" w:right="91"/>
              <w:jc w:val="both"/>
              <w:rPr>
                <w:rFonts w:ascii="宋体" w:hAnsi="宋体" w:cs="宋体" w:eastAsia="宋体" w:hint="default"/>
                <w:sz w:val="18"/>
                <w:szCs w:val="18"/>
              </w:rPr>
            </w:pPr>
            <w:r>
              <w:rPr>
                <w:rFonts w:ascii="宋体" w:hAnsi="宋体" w:cs="宋体" w:eastAsia="宋体" w:hint="default"/>
                <w:sz w:val="18"/>
                <w:szCs w:val="18"/>
              </w:rPr>
              <w:t>本期其 他减少 金额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72" w:right="91" w:hanging="180"/>
              <w:jc w:val="left"/>
              <w:rPr>
                <w:rFonts w:ascii="宋体" w:hAnsi="宋体" w:cs="宋体" w:eastAsia="宋体" w:hint="default"/>
                <w:sz w:val="18"/>
                <w:szCs w:val="18"/>
              </w:rPr>
            </w:pPr>
            <w:r>
              <w:rPr>
                <w:rFonts w:ascii="宋体" w:hAnsi="宋体" w:cs="宋体" w:eastAsia="宋体" w:hint="default"/>
                <w:sz w:val="18"/>
                <w:szCs w:val="18"/>
              </w:rPr>
              <w:t>期末余 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92" w:right="91"/>
              <w:jc w:val="both"/>
              <w:rPr>
                <w:rFonts w:ascii="宋体" w:hAnsi="宋体" w:cs="宋体" w:eastAsia="宋体" w:hint="default"/>
                <w:sz w:val="18"/>
                <w:szCs w:val="18"/>
              </w:rPr>
            </w:pPr>
            <w:r>
              <w:rPr>
                <w:rFonts w:ascii="宋体" w:hAnsi="宋体" w:cs="宋体" w:eastAsia="宋体" w:hint="default"/>
                <w:sz w:val="18"/>
                <w:szCs w:val="18"/>
              </w:rPr>
              <w:t>工程累 计投入 占预算 比例</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73" w:right="91" w:hanging="180"/>
              <w:jc w:val="left"/>
              <w:rPr>
                <w:rFonts w:ascii="宋体" w:hAnsi="宋体" w:cs="宋体" w:eastAsia="宋体" w:hint="default"/>
                <w:sz w:val="18"/>
                <w:szCs w:val="18"/>
              </w:rPr>
            </w:pPr>
            <w:r>
              <w:rPr>
                <w:rFonts w:ascii="宋体" w:hAnsi="宋体" w:cs="宋体" w:eastAsia="宋体" w:hint="default"/>
                <w:sz w:val="18"/>
                <w:szCs w:val="18"/>
              </w:rPr>
              <w:t>工程进 度</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92" w:right="93"/>
              <w:jc w:val="both"/>
              <w:rPr>
                <w:rFonts w:ascii="宋体" w:hAnsi="宋体" w:cs="宋体" w:eastAsia="宋体" w:hint="default"/>
                <w:sz w:val="18"/>
                <w:szCs w:val="18"/>
              </w:rPr>
            </w:pPr>
            <w:r>
              <w:rPr>
                <w:rFonts w:ascii="宋体" w:hAnsi="宋体" w:cs="宋体" w:eastAsia="宋体" w:hint="default"/>
                <w:sz w:val="18"/>
                <w:szCs w:val="18"/>
              </w:rPr>
              <w:t>利息资 本化累 计金额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 w:right="20"/>
              <w:jc w:val="center"/>
              <w:rPr>
                <w:rFonts w:ascii="宋体" w:hAnsi="宋体" w:cs="宋体" w:eastAsia="宋体" w:hint="default"/>
                <w:sz w:val="18"/>
                <w:szCs w:val="18"/>
              </w:rPr>
            </w:pPr>
            <w:r>
              <w:rPr>
                <w:rFonts w:ascii="宋体" w:hAnsi="宋体" w:cs="宋体" w:eastAsia="宋体" w:hint="default"/>
                <w:spacing w:val="-10"/>
                <w:sz w:val="18"/>
                <w:szCs w:val="18"/>
              </w:rPr>
              <w:t>其中：本</w:t>
            </w:r>
            <w:r>
              <w:rPr>
                <w:rFonts w:ascii="宋体" w:hAnsi="宋体" w:cs="宋体" w:eastAsia="宋体" w:hint="default"/>
                <w:sz w:val="18"/>
                <w:szCs w:val="18"/>
              </w:rPr>
              <w:t> 期利息 资本化 金额</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93" w:right="91"/>
              <w:jc w:val="both"/>
              <w:rPr>
                <w:rFonts w:ascii="宋体" w:hAnsi="宋体" w:cs="宋体" w:eastAsia="宋体" w:hint="default"/>
                <w:sz w:val="18"/>
                <w:szCs w:val="18"/>
              </w:rPr>
            </w:pPr>
            <w:r>
              <w:rPr>
                <w:rFonts w:ascii="宋体" w:hAnsi="宋体" w:cs="宋体" w:eastAsia="宋体" w:hint="default"/>
                <w:sz w:val="18"/>
                <w:szCs w:val="18"/>
              </w:rPr>
              <w:t>本期利 息资本 化率</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72" w:right="91" w:hanging="180"/>
              <w:jc w:val="left"/>
              <w:rPr>
                <w:rFonts w:ascii="宋体" w:hAnsi="宋体" w:cs="宋体" w:eastAsia="宋体" w:hint="default"/>
                <w:sz w:val="18"/>
                <w:szCs w:val="18"/>
              </w:rPr>
            </w:pPr>
            <w:r>
              <w:rPr>
                <w:rFonts w:ascii="宋体" w:hAnsi="宋体" w:cs="宋体" w:eastAsia="宋体" w:hint="default"/>
                <w:sz w:val="18"/>
                <w:szCs w:val="18"/>
              </w:rPr>
              <w:t>资金来 源</w:t>
            </w:r>
          </w:p>
        </w:tc>
      </w:tr>
    </w:tbl>
    <w:p>
      <w:pPr>
        <w:spacing w:line="240" w:lineRule="auto" w:before="3"/>
        <w:rPr>
          <w:rFonts w:ascii="宋体" w:hAnsi="宋体" w:cs="宋体" w:eastAsia="宋体" w:hint="default"/>
          <w:sz w:val="19"/>
          <w:szCs w:val="19"/>
        </w:rPr>
      </w:pPr>
    </w:p>
    <w:p>
      <w:pPr>
        <w:pStyle w:val="Heading3"/>
        <w:spacing w:line="240" w:lineRule="auto" w:before="35"/>
        <w:ind w:right="0"/>
        <w:jc w:val="left"/>
        <w:rPr>
          <w:b w:val="0"/>
          <w:bCs w:val="0"/>
        </w:rPr>
      </w:pPr>
      <w:bookmarkStart w:name="（3）本期计提在建工程减值准备情况" w:id="297"/>
      <w:bookmarkEnd w:id="297"/>
      <w:r>
        <w:rPr>
          <w:b w:val="0"/>
          <w:bCs w:val="0"/>
        </w:rPr>
      </w:r>
      <w:r>
        <w:rPr/>
        <w:t>（</w:t>
      </w:r>
      <w:r>
        <w:rPr>
          <w:rFonts w:ascii="Times New Roman" w:hAnsi="Times New Roman" w:cs="Times New Roman" w:eastAsia="Times New Roman" w:hint="default"/>
        </w:rPr>
        <w:t>3</w:t>
      </w:r>
      <w:r>
        <w:rPr/>
        <w:t>）本期计提在建工程减值准备情况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9"/>
        <w:gridCol w:w="3191"/>
        <w:gridCol w:w="3179"/>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50" w:right="0"/>
              <w:jc w:val="left"/>
              <w:rPr>
                <w:rFonts w:ascii="宋体" w:hAnsi="宋体" w:cs="宋体" w:eastAsia="宋体" w:hint="default"/>
                <w:sz w:val="18"/>
                <w:szCs w:val="18"/>
              </w:rPr>
            </w:pPr>
            <w:r>
              <w:rPr>
                <w:rFonts w:ascii="宋体" w:hAnsi="宋体" w:cs="宋体" w:eastAsia="宋体" w:hint="default"/>
                <w:sz w:val="18"/>
                <w:szCs w:val="18"/>
              </w:rPr>
              <w:t>本期计提金额</w:t>
            </w:r>
          </w:p>
        </w:tc>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计提原因</w:t>
            </w:r>
          </w:p>
        </w:tc>
      </w:tr>
    </w:tbl>
    <w:p>
      <w:pPr>
        <w:pStyle w:val="BodyText"/>
        <w:spacing w:line="357" w:lineRule="auto" w:before="51"/>
        <w:ind w:right="10033"/>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21、工程物资" w:id="298"/>
      <w:bookmarkEnd w:id="298"/>
      <w:r>
        <w:rPr>
          <w:b w:val="0"/>
          <w:bCs w:val="0"/>
        </w:rPr>
      </w:r>
      <w:r>
        <w:rPr>
          <w:rFonts w:ascii="Times New Roman" w:hAnsi="Times New Roman" w:cs="Times New Roman" w:eastAsia="Times New Roman" w:hint="default"/>
        </w:rPr>
        <w:t>21</w:t>
      </w:r>
      <w:r>
        <w:rPr/>
        <w:t>、工程物资</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9"/>
        <w:gridCol w:w="3191"/>
        <w:gridCol w:w="3179"/>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357" w:lineRule="auto" w:before="51"/>
        <w:ind w:right="9853"/>
        <w:jc w:val="left"/>
      </w:pPr>
      <w:r>
        <w:rPr/>
        <w:t>其他说明： 无。</w:t>
      </w:r>
    </w:p>
    <w:p>
      <w:pPr>
        <w:spacing w:after="0" w:line="357" w:lineRule="auto"/>
        <w:jc w:val="left"/>
        <w:sectPr>
          <w:pgSz w:w="11910" w:h="16840"/>
          <w:pgMar w:header="747" w:footer="979"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5"/>
        <w:ind w:left="153" w:right="0"/>
        <w:jc w:val="left"/>
        <w:rPr>
          <w:b w:val="0"/>
          <w:bCs w:val="0"/>
        </w:rPr>
      </w:pPr>
      <w:bookmarkStart w:name="22、固定资产清理" w:id="299"/>
      <w:bookmarkEnd w:id="299"/>
      <w:r>
        <w:rPr>
          <w:b w:val="0"/>
          <w:bCs w:val="0"/>
        </w:rPr>
      </w:r>
      <w:r>
        <w:rPr>
          <w:rFonts w:ascii="Times New Roman" w:hAnsi="Times New Roman" w:cs="Times New Roman" w:eastAsia="Times New Roman" w:hint="default"/>
        </w:rPr>
        <w:t>22</w:t>
      </w:r>
      <w:r>
        <w:rPr/>
        <w:t>、固定资产清理</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9"/>
        <w:gridCol w:w="3191"/>
        <w:gridCol w:w="3179"/>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357" w:lineRule="auto" w:before="52"/>
        <w:ind w:right="9853"/>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23、生产性生物资产" w:id="300"/>
      <w:bookmarkEnd w:id="300"/>
      <w:r>
        <w:rPr>
          <w:b w:val="0"/>
          <w:bCs w:val="0"/>
        </w:rPr>
      </w:r>
      <w:r>
        <w:rPr>
          <w:rFonts w:ascii="Times New Roman" w:hAnsi="Times New Roman" w:cs="Times New Roman" w:eastAsia="Times New Roman" w:hint="default"/>
        </w:rPr>
        <w:t>23</w:t>
      </w:r>
      <w:r>
        <w:rPr/>
        <w:t>、生产性生物资产</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53" w:right="0"/>
        <w:jc w:val="left"/>
        <w:rPr>
          <w:b w:val="0"/>
          <w:bCs w:val="0"/>
        </w:rPr>
      </w:pPr>
      <w:bookmarkStart w:name="（1）采用成本计量模式的生产性生物资产" w:id="301"/>
      <w:bookmarkEnd w:id="301"/>
      <w:r>
        <w:rPr>
          <w:b w:val="0"/>
          <w:bCs w:val="0"/>
        </w:rPr>
      </w:r>
      <w:r>
        <w:rPr/>
        <w:t>（</w:t>
      </w:r>
      <w:r>
        <w:rPr>
          <w:rFonts w:ascii="Times New Roman" w:hAnsi="Times New Roman" w:cs="Times New Roman" w:eastAsia="Times New Roman" w:hint="default"/>
        </w:rPr>
        <w:t>1</w:t>
      </w:r>
      <w:r>
        <w:rPr/>
        <w:t>）采用成本计量模式的生产性生物资产</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9"/>
        <w:rPr>
          <w:rFonts w:ascii="宋体" w:hAnsi="宋体" w:cs="宋体" w:eastAsia="宋体" w:hint="default"/>
          <w:sz w:val="25"/>
          <w:szCs w:val="25"/>
        </w:rPr>
      </w:pPr>
    </w:p>
    <w:p>
      <w:pPr>
        <w:pStyle w:val="Heading3"/>
        <w:spacing w:line="240" w:lineRule="auto"/>
        <w:ind w:left="153" w:right="0"/>
        <w:jc w:val="left"/>
        <w:rPr>
          <w:b w:val="0"/>
          <w:bCs w:val="0"/>
        </w:rPr>
      </w:pPr>
      <w:bookmarkStart w:name="（2）采用公允价值计量模式的生产性生物资产" w:id="302"/>
      <w:bookmarkEnd w:id="302"/>
      <w:r>
        <w:rPr>
          <w:b w:val="0"/>
          <w:bCs w:val="0"/>
        </w:rPr>
      </w:r>
      <w:r>
        <w:rPr/>
        <w:t>（</w:t>
      </w:r>
      <w:r>
        <w:rPr>
          <w:rFonts w:ascii="Times New Roman" w:hAnsi="Times New Roman" w:cs="Times New Roman" w:eastAsia="Times New Roman" w:hint="default"/>
        </w:rPr>
        <w:t>2</w:t>
      </w:r>
      <w:r>
        <w:rPr/>
        <w:t>）采用公允价值计量模式的生产性生物资产</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154"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9"/>
        <w:rPr>
          <w:rFonts w:ascii="宋体" w:hAnsi="宋体" w:cs="宋体" w:eastAsia="宋体" w:hint="default"/>
          <w:sz w:val="25"/>
          <w:szCs w:val="25"/>
        </w:rPr>
      </w:pPr>
    </w:p>
    <w:p>
      <w:pPr>
        <w:pStyle w:val="Heading3"/>
        <w:spacing w:line="240" w:lineRule="auto"/>
        <w:ind w:left="153" w:right="0"/>
        <w:jc w:val="left"/>
        <w:rPr>
          <w:b w:val="0"/>
          <w:bCs w:val="0"/>
        </w:rPr>
      </w:pPr>
      <w:bookmarkStart w:name="24、油气资产" w:id="303"/>
      <w:bookmarkEnd w:id="303"/>
      <w:r>
        <w:rPr>
          <w:b w:val="0"/>
          <w:bCs w:val="0"/>
        </w:rPr>
      </w:r>
      <w:r>
        <w:rPr>
          <w:rFonts w:ascii="Times New Roman" w:hAnsi="Times New Roman" w:cs="Times New Roman" w:eastAsia="Times New Roman" w:hint="default"/>
        </w:rPr>
        <w:t>24</w:t>
      </w:r>
      <w:r>
        <w:rPr/>
        <w:t>、油气资产</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154"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9"/>
        <w:rPr>
          <w:rFonts w:ascii="宋体" w:hAnsi="宋体" w:cs="宋体" w:eastAsia="宋体" w:hint="default"/>
          <w:sz w:val="25"/>
          <w:szCs w:val="25"/>
        </w:rPr>
      </w:pPr>
    </w:p>
    <w:p>
      <w:pPr>
        <w:pStyle w:val="Heading3"/>
        <w:spacing w:line="240" w:lineRule="auto"/>
        <w:ind w:left="153" w:right="0"/>
        <w:jc w:val="left"/>
        <w:rPr>
          <w:b w:val="0"/>
          <w:bCs w:val="0"/>
        </w:rPr>
      </w:pPr>
      <w:bookmarkStart w:name="25、无形资产" w:id="304"/>
      <w:bookmarkEnd w:id="304"/>
      <w:r>
        <w:rPr>
          <w:b w:val="0"/>
          <w:bCs w:val="0"/>
        </w:rPr>
      </w:r>
      <w:r>
        <w:rPr>
          <w:rFonts w:ascii="Times New Roman" w:hAnsi="Times New Roman" w:cs="Times New Roman" w:eastAsia="Times New Roman" w:hint="default"/>
        </w:rPr>
        <w:t>25</w:t>
      </w:r>
      <w:r>
        <w:rPr/>
        <w:t>、无形资产</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1）无形资产情况" w:id="305"/>
      <w:bookmarkEnd w:id="305"/>
      <w:r>
        <w:rPr>
          <w:b w:val="0"/>
          <w:bCs w:val="0"/>
        </w:rPr>
      </w:r>
      <w:r>
        <w:rPr/>
        <w:t>（</w:t>
      </w:r>
      <w:r>
        <w:rPr>
          <w:rFonts w:ascii="Times New Roman" w:hAnsi="Times New Roman" w:cs="Times New Roman" w:eastAsia="Times New Roman" w:hint="default"/>
        </w:rPr>
        <w:t>1</w:t>
      </w:r>
      <w:r>
        <w:rPr/>
        <w:t>）无形资产情况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344"/>
        <w:gridCol w:w="1378"/>
        <w:gridCol w:w="1368"/>
        <w:gridCol w:w="1367"/>
        <w:gridCol w:w="1367"/>
        <w:gridCol w:w="1367"/>
        <w:gridCol w:w="1367"/>
      </w:tblGrid>
      <w:tr>
        <w:trPr>
          <w:trHeight w:val="402" w:hRule="exact"/>
        </w:trPr>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39"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09" w:right="0"/>
              <w:jc w:val="left"/>
              <w:rPr>
                <w:rFonts w:ascii="宋体" w:hAnsi="宋体" w:cs="宋体" w:eastAsia="宋体" w:hint="default"/>
                <w:sz w:val="18"/>
                <w:szCs w:val="18"/>
              </w:rPr>
            </w:pPr>
            <w:r>
              <w:rPr>
                <w:rFonts w:ascii="宋体" w:hAnsi="宋体" w:cs="宋体" w:eastAsia="宋体" w:hint="default"/>
                <w:sz w:val="18"/>
                <w:szCs w:val="18"/>
              </w:rPr>
              <w:t>专利权</w:t>
            </w:r>
          </w:p>
        </w:tc>
        <w:tc>
          <w:tcPr>
            <w:tcW w:w="1367" w:type="dxa"/>
            <w:tcBorders>
              <w:top w:val="single" w:sz="4" w:space="0" w:color="000000"/>
              <w:left w:val="single" w:sz="4" w:space="0" w:color="000000"/>
              <w:bottom w:val="single" w:sz="4" w:space="0" w:color="000000"/>
              <w:right w:val="single" w:sz="9" w:space="0" w:color="E0FFFF"/>
            </w:tcBorders>
            <w:shd w:val="clear" w:color="auto" w:fill="D2D2D2"/>
          </w:tcPr>
          <w:p>
            <w:pPr>
              <w:pStyle w:val="TableParagraph"/>
              <w:spacing w:line="240" w:lineRule="auto" w:before="52"/>
              <w:ind w:left="317" w:right="0"/>
              <w:jc w:val="left"/>
              <w:rPr>
                <w:rFonts w:ascii="宋体" w:hAnsi="宋体" w:cs="宋体" w:eastAsia="宋体" w:hint="default"/>
                <w:sz w:val="18"/>
                <w:szCs w:val="18"/>
              </w:rPr>
            </w:pPr>
            <w:r>
              <w:rPr>
                <w:rFonts w:ascii="宋体" w:hAnsi="宋体" w:cs="宋体" w:eastAsia="宋体" w:hint="default"/>
                <w:sz w:val="18"/>
                <w:szCs w:val="18"/>
              </w:rPr>
              <w:t>外购软件</w:t>
            </w:r>
          </w:p>
        </w:tc>
        <w:tc>
          <w:tcPr>
            <w:tcW w:w="1367" w:type="dxa"/>
            <w:tcBorders>
              <w:top w:val="single" w:sz="4" w:space="0" w:color="000000"/>
              <w:left w:val="single" w:sz="10" w:space="0" w:color="D2D2D2"/>
              <w:bottom w:val="single" w:sz="4" w:space="0" w:color="000000"/>
              <w:right w:val="single" w:sz="4" w:space="0" w:color="000000"/>
            </w:tcBorders>
            <w:shd w:val="clear" w:color="auto" w:fill="E0FFFF"/>
          </w:tcPr>
          <w:p>
            <w:pPr>
              <w:pStyle w:val="TableParagraph"/>
              <w:spacing w:line="240" w:lineRule="auto" w:before="52"/>
              <w:ind w:right="6"/>
              <w:jc w:val="center"/>
              <w:rPr>
                <w:rFonts w:ascii="宋体" w:hAnsi="宋体" w:cs="宋体" w:eastAsia="宋体" w:hint="default"/>
                <w:sz w:val="18"/>
                <w:szCs w:val="18"/>
              </w:rPr>
            </w:pPr>
            <w:r>
              <w:rPr>
                <w:rFonts w:ascii="宋体" w:hAnsi="宋体" w:cs="宋体" w:eastAsia="宋体" w:hint="default"/>
                <w:sz w:val="18"/>
                <w:szCs w:val="18"/>
              </w:rPr>
              <w:t>商标</w:t>
            </w:r>
          </w:p>
        </w:tc>
        <w:tc>
          <w:tcPr>
            <w:tcW w:w="1367"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2"/>
              <w:ind w:left="498" w:right="0"/>
              <w:jc w:val="left"/>
              <w:rPr>
                <w:rFonts w:ascii="宋体" w:hAnsi="宋体" w:cs="宋体" w:eastAsia="宋体" w:hint="default"/>
                <w:sz w:val="18"/>
                <w:szCs w:val="18"/>
              </w:rPr>
            </w:pPr>
            <w:r>
              <w:rPr>
                <w:rFonts w:ascii="宋体" w:hAnsi="宋体" w:cs="宋体" w:eastAsia="宋体" w:hint="default"/>
                <w:sz w:val="18"/>
                <w:szCs w:val="18"/>
              </w:rPr>
              <w:t>其它</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2" w:hRule="exact"/>
        </w:trPr>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05"/>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left="300" w:right="0"/>
              <w:jc w:val="left"/>
              <w:rPr>
                <w:rFonts w:ascii="Times New Roman" w:hAnsi="Times New Roman" w:cs="Times New Roman" w:eastAsia="Times New Roman" w:hint="default"/>
                <w:sz w:val="18"/>
                <w:szCs w:val="18"/>
              </w:rPr>
            </w:pPr>
            <w:r>
              <w:rPr>
                <w:rFonts w:ascii="Times New Roman"/>
                <w:sz w:val="18"/>
              </w:rPr>
              <w:t>21,081,894.45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2,501,952.74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2,613,515.10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229,033.08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524" w:right="0"/>
              <w:jc w:val="left"/>
              <w:rPr>
                <w:rFonts w:ascii="Times New Roman" w:hAnsi="Times New Roman" w:cs="Times New Roman" w:eastAsia="Times New Roman" w:hint="default"/>
                <w:sz w:val="18"/>
                <w:szCs w:val="18"/>
              </w:rPr>
            </w:pPr>
            <w:r>
              <w:rPr>
                <w:rFonts w:ascii="Times New Roman"/>
                <w:sz w:val="18"/>
              </w:rPr>
              <w:t>131,699.80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26,558,095.17</w:t>
            </w:r>
          </w:p>
        </w:tc>
      </w:tr>
      <w:tr>
        <w:trPr>
          <w:trHeight w:val="714" w:hRule="exact"/>
        </w:trPr>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11" w:right="105"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 金额</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8,407,902.44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1,083,424.50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4,647,981.14</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14,139,308.08</w:t>
            </w:r>
          </w:p>
        </w:tc>
      </w:tr>
      <w:tr>
        <w:trPr>
          <w:trHeight w:val="402" w:hRule="exact"/>
        </w:trPr>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0"/>
              <w:jc w:val="right"/>
              <w:rPr>
                <w:rFonts w:ascii="宋体" w:hAnsi="宋体" w:cs="宋体" w:eastAsia="宋体" w:hint="default"/>
                <w:sz w:val="18"/>
                <w:szCs w:val="18"/>
              </w:rPr>
            </w:pP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1</w:t>
            </w:r>
            <w:r>
              <w:rPr>
                <w:rFonts w:ascii="宋体" w:hAnsi="宋体" w:cs="宋体" w:eastAsia="宋体" w:hint="default"/>
                <w:spacing w:val="-5"/>
                <w:sz w:val="18"/>
                <w:szCs w:val="18"/>
              </w:rPr>
              <w:t>）购置</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553,202.44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1,036,724.50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17,881.14</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1,607,808.08</w:t>
            </w:r>
          </w:p>
        </w:tc>
      </w:tr>
      <w:tr>
        <w:trPr>
          <w:trHeight w:val="714" w:hRule="exact"/>
        </w:trPr>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32" w:right="0"/>
              <w:jc w:val="left"/>
              <w:rPr>
                <w:rFonts w:ascii="宋体" w:hAnsi="宋体" w:cs="宋体" w:eastAsia="宋体" w:hint="default"/>
                <w:sz w:val="18"/>
                <w:szCs w:val="18"/>
              </w:rPr>
            </w:pP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2</w:t>
            </w:r>
            <w:r>
              <w:rPr>
                <w:rFonts w:ascii="宋体" w:hAnsi="宋体" w:cs="宋体" w:eastAsia="宋体" w:hint="default"/>
                <w:spacing w:val="-5"/>
                <w:sz w:val="18"/>
                <w:szCs w:val="18"/>
              </w:rPr>
              <w:t>）内部</w:t>
            </w:r>
          </w:p>
          <w:p>
            <w:pPr>
              <w:pStyle w:val="TableParagraph"/>
              <w:spacing w:line="240" w:lineRule="auto" w:before="63"/>
              <w:ind w:left="11" w:right="0"/>
              <w:jc w:val="left"/>
              <w:rPr>
                <w:rFonts w:ascii="宋体" w:hAnsi="宋体" w:cs="宋体" w:eastAsia="宋体" w:hint="default"/>
                <w:sz w:val="18"/>
                <w:szCs w:val="18"/>
              </w:rPr>
            </w:pPr>
            <w:r>
              <w:rPr>
                <w:rFonts w:ascii="宋体" w:hAnsi="宋体" w:cs="宋体" w:eastAsia="宋体" w:hint="default"/>
                <w:sz w:val="18"/>
                <w:szCs w:val="18"/>
              </w:rPr>
              <w:t>研发</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11" w:right="10" w:firstLine="521"/>
              <w:jc w:val="left"/>
              <w:rPr>
                <w:rFonts w:ascii="宋体" w:hAnsi="宋体" w:cs="宋体" w:eastAsia="宋体" w:hint="default"/>
                <w:sz w:val="18"/>
                <w:szCs w:val="18"/>
              </w:rPr>
            </w:pP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3</w:t>
            </w:r>
            <w:r>
              <w:rPr>
                <w:rFonts w:ascii="宋体" w:hAnsi="宋体" w:cs="宋体" w:eastAsia="宋体" w:hint="default"/>
                <w:spacing w:val="-5"/>
                <w:sz w:val="18"/>
                <w:szCs w:val="18"/>
              </w:rPr>
              <w:t>）企业</w:t>
            </w:r>
            <w:r>
              <w:rPr>
                <w:rFonts w:ascii="宋体" w:hAnsi="宋体" w:cs="宋体" w:eastAsia="宋体" w:hint="default"/>
                <w:sz w:val="18"/>
                <w:szCs w:val="18"/>
              </w:rPr>
              <w:t> 合并增加</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44"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00" w:lineRule="auto" w:before="52"/>
              <w:ind w:left="11" w:right="10" w:firstLine="540"/>
              <w:jc w:val="left"/>
              <w:rPr>
                <w:rFonts w:ascii="宋体" w:hAnsi="宋体" w:cs="宋体" w:eastAsia="宋体" w:hint="default"/>
                <w:sz w:val="18"/>
                <w:szCs w:val="18"/>
              </w:rPr>
            </w:pPr>
            <w:r>
              <w:rPr>
                <w:rFonts w:ascii="宋体" w:hAnsi="宋体" w:cs="宋体" w:eastAsia="宋体" w:hint="default"/>
                <w:spacing w:val="-9"/>
                <w:sz w:val="18"/>
                <w:szCs w:val="18"/>
              </w:rPr>
              <w:t>（</w:t>
            </w:r>
            <w:r>
              <w:rPr>
                <w:rFonts w:ascii="Times New Roman" w:hAnsi="Times New Roman" w:cs="Times New Roman" w:eastAsia="Times New Roman" w:hint="default"/>
                <w:spacing w:val="-9"/>
                <w:sz w:val="18"/>
                <w:szCs w:val="18"/>
              </w:rPr>
              <w:t>4</w:t>
            </w:r>
            <w:r>
              <w:rPr>
                <w:rFonts w:ascii="宋体" w:hAnsi="宋体" w:cs="宋体" w:eastAsia="宋体" w:hint="default"/>
                <w:spacing w:val="-9"/>
                <w:sz w:val="18"/>
                <w:szCs w:val="18"/>
              </w:rPr>
              <w:t>）股东</w:t>
            </w:r>
            <w:r>
              <w:rPr>
                <w:rFonts w:ascii="宋体" w:hAnsi="宋体" w:cs="宋体" w:eastAsia="宋体" w:hint="default"/>
                <w:sz w:val="18"/>
                <w:szCs w:val="18"/>
              </w:rPr>
              <w:t> 投入增加</w:t>
            </w:r>
          </w:p>
        </w:tc>
        <w:tc>
          <w:tcPr>
            <w:tcW w:w="1378" w:type="dxa"/>
            <w:tcBorders>
              <w:top w:val="single" w:sz="4" w:space="0" w:color="000000"/>
              <w:left w:val="single" w:sz="13" w:space="0" w:color="E0FFFF"/>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7,854,700.00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46,700.00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4,630,100.00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12,531,500.00</w:t>
            </w:r>
          </w:p>
        </w:tc>
      </w:tr>
      <w:tr>
        <w:trPr>
          <w:trHeight w:val="714" w:hRule="exact"/>
        </w:trPr>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11" w:right="105"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 额</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0"/>
              <w:jc w:val="right"/>
              <w:rPr>
                <w:rFonts w:ascii="宋体" w:hAnsi="宋体" w:cs="宋体" w:eastAsia="宋体" w:hint="default"/>
                <w:sz w:val="18"/>
                <w:szCs w:val="18"/>
              </w:rPr>
            </w:pP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1</w:t>
            </w:r>
            <w:r>
              <w:rPr>
                <w:rFonts w:ascii="宋体" w:hAnsi="宋体" w:cs="宋体" w:eastAsia="宋体" w:hint="default"/>
                <w:spacing w:val="-5"/>
                <w:sz w:val="18"/>
                <w:szCs w:val="18"/>
              </w:rPr>
              <w:t>）处置</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356"/>
        <w:gridCol w:w="1378"/>
        <w:gridCol w:w="1368"/>
        <w:gridCol w:w="1367"/>
        <w:gridCol w:w="1367"/>
        <w:gridCol w:w="1367"/>
        <w:gridCol w:w="1367"/>
      </w:tblGrid>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78" w:type="dxa"/>
            <w:tcBorders>
              <w:top w:val="single" w:sz="4" w:space="0" w:color="000000"/>
              <w:left w:val="single" w:sz="13" w:space="0" w:color="E0FFFF"/>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21,081,894.45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10,909,855.18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3,696,939.60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4,877,014.22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131,699.80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40,697,403.25</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二、累计摊销</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2,461,146.63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1,499,068.43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1,851,247.94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83,630.57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28,535.00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5,923,628.57</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05"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 金额</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421,644.60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968,393.05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344,587.77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383,851.51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26,339.98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2,144,816.91</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0"/>
              <w:jc w:val="right"/>
              <w:rPr>
                <w:rFonts w:ascii="宋体" w:hAnsi="宋体" w:cs="宋体" w:eastAsia="宋体" w:hint="default"/>
                <w:sz w:val="18"/>
                <w:szCs w:val="18"/>
              </w:rPr>
            </w:pP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1</w:t>
            </w:r>
            <w:r>
              <w:rPr>
                <w:rFonts w:ascii="宋体" w:hAnsi="宋体" w:cs="宋体" w:eastAsia="宋体" w:hint="default"/>
                <w:spacing w:val="-5"/>
                <w:sz w:val="18"/>
                <w:szCs w:val="18"/>
              </w:rPr>
              <w:t>）计提</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421,644.60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968,393.05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344,587.77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383,851.51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26,339.98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2,144,816.91</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78" w:type="dxa"/>
            <w:tcBorders>
              <w:top w:val="single" w:sz="4" w:space="0" w:color="000000"/>
              <w:left w:val="single" w:sz="13" w:space="0" w:color="E0FFFF"/>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05"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 金额</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0"/>
              <w:jc w:val="right"/>
              <w:rPr>
                <w:rFonts w:ascii="宋体" w:hAnsi="宋体" w:cs="宋体" w:eastAsia="宋体" w:hint="default"/>
                <w:sz w:val="18"/>
                <w:szCs w:val="18"/>
              </w:rPr>
            </w:pP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1</w:t>
            </w:r>
            <w:r>
              <w:rPr>
                <w:rFonts w:ascii="宋体" w:hAnsi="宋体" w:cs="宋体" w:eastAsia="宋体" w:hint="default"/>
                <w:spacing w:val="-5"/>
                <w:sz w:val="18"/>
                <w:szCs w:val="18"/>
              </w:rPr>
              <w:t>）处置</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78" w:type="dxa"/>
            <w:tcBorders>
              <w:top w:val="single" w:sz="4" w:space="0" w:color="000000"/>
              <w:left w:val="single" w:sz="13" w:space="0" w:color="E0FFFF"/>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2,882,791.23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2,467,461.48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2,195,835.71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467,482.08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54,874.98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8,068,445.48</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05"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 金额</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0"/>
              <w:jc w:val="right"/>
              <w:rPr>
                <w:rFonts w:ascii="宋体" w:hAnsi="宋体" w:cs="宋体" w:eastAsia="宋体" w:hint="default"/>
                <w:sz w:val="18"/>
                <w:szCs w:val="18"/>
              </w:rPr>
            </w:pP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1</w:t>
            </w:r>
            <w:r>
              <w:rPr>
                <w:rFonts w:ascii="宋体" w:hAnsi="宋体" w:cs="宋体" w:eastAsia="宋体" w:hint="default"/>
                <w:spacing w:val="-5"/>
                <w:sz w:val="18"/>
                <w:szCs w:val="18"/>
              </w:rPr>
              <w:t>）计提</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78" w:type="dxa"/>
            <w:tcBorders>
              <w:top w:val="single" w:sz="4" w:space="0" w:color="000000"/>
              <w:left w:val="single" w:sz="13" w:space="0" w:color="E0FFFF"/>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05"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 金额</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78" w:type="dxa"/>
            <w:tcBorders>
              <w:top w:val="single" w:sz="4" w:space="0" w:color="000000"/>
              <w:left w:val="single" w:sz="13" w:space="0" w:color="E0FFFF"/>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05"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 价值</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18,199,103.22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8,442,393.70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1,501,103.89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4,409,532.14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76,824.82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32,628,957.77</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05"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 价值</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18,620,747.82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1,002,884.31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762,267.16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145,402.51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103,164.80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20,634,466.60</w:t>
            </w:r>
          </w:p>
        </w:tc>
      </w:tr>
    </w:tbl>
    <w:p>
      <w:pPr>
        <w:pStyle w:val="BodyText"/>
        <w:spacing w:line="240" w:lineRule="auto" w:before="51"/>
        <w:ind w:left="154" w:right="0"/>
        <w:jc w:val="left"/>
      </w:pPr>
      <w:r>
        <w:rPr/>
        <w:t>本期末通过公司内部研发形成的无形资产占无形资产余额的比例</w:t>
      </w:r>
      <w:r>
        <w:rPr>
          <w:spacing w:val="-45"/>
        </w:rPr>
        <w:t> </w:t>
      </w:r>
      <w:r>
        <w:rPr>
          <w:rFonts w:ascii="Times New Roman" w:hAnsi="Times New Roman" w:cs="Times New Roman" w:eastAsia="Times New Roman" w:hint="default"/>
        </w:rPr>
        <w:t>3.61%</w:t>
      </w:r>
      <w:r>
        <w:rPr/>
        <w:t>。</w:t>
      </w:r>
    </w:p>
    <w:p>
      <w:pPr>
        <w:spacing w:line="240" w:lineRule="auto" w:before="10"/>
        <w:rPr>
          <w:rFonts w:ascii="宋体" w:hAnsi="宋体" w:cs="宋体" w:eastAsia="宋体" w:hint="default"/>
          <w:sz w:val="25"/>
          <w:szCs w:val="25"/>
        </w:rPr>
      </w:pPr>
    </w:p>
    <w:p>
      <w:pPr>
        <w:pStyle w:val="Heading3"/>
        <w:spacing w:line="240" w:lineRule="auto"/>
        <w:ind w:left="153" w:right="0"/>
        <w:jc w:val="left"/>
        <w:rPr>
          <w:b w:val="0"/>
          <w:bCs w:val="0"/>
        </w:rPr>
      </w:pPr>
      <w:bookmarkStart w:name="（2）未办妥产权证书的土地使用权情况" w:id="306"/>
      <w:bookmarkEnd w:id="306"/>
      <w:r>
        <w:rPr>
          <w:b w:val="0"/>
          <w:bCs w:val="0"/>
        </w:rPr>
      </w:r>
      <w:r>
        <w:rPr/>
        <w:t>（</w:t>
      </w:r>
      <w:r>
        <w:rPr>
          <w:rFonts w:ascii="Times New Roman" w:hAnsi="Times New Roman" w:cs="Times New Roman" w:eastAsia="Times New Roman" w:hint="default"/>
        </w:rPr>
        <w:t>2</w:t>
      </w:r>
      <w:r>
        <w:rPr/>
        <w:t>）未办妥产权证书的土地使用权情况</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89" w:right="0"/>
              <w:jc w:val="left"/>
              <w:rPr>
                <w:rFonts w:ascii="宋体" w:hAnsi="宋体" w:cs="宋体" w:eastAsia="宋体" w:hint="default"/>
                <w:sz w:val="18"/>
                <w:szCs w:val="18"/>
              </w:rPr>
            </w:pPr>
            <w:r>
              <w:rPr>
                <w:rFonts w:ascii="宋体" w:hAnsi="宋体" w:cs="宋体" w:eastAsia="宋体" w:hint="default"/>
                <w:sz w:val="18"/>
                <w:szCs w:val="18"/>
              </w:rPr>
              <w:t>未办妥产权证书的原因</w:t>
            </w:r>
          </w:p>
        </w:tc>
      </w:tr>
    </w:tbl>
    <w:p>
      <w:pPr>
        <w:pStyle w:val="BodyText"/>
        <w:spacing w:line="360" w:lineRule="auto" w:before="51"/>
        <w:ind w:right="7333"/>
        <w:jc w:val="left"/>
      </w:pPr>
      <w:r>
        <w:rPr/>
        <w:t>其他说明： 公司无未办妥产权证书的土地使用权情况。</w:t>
      </w:r>
    </w:p>
    <w:p>
      <w:pPr>
        <w:spacing w:after="0" w:line="360" w:lineRule="auto"/>
        <w:jc w:val="left"/>
        <w:sectPr>
          <w:pgSz w:w="11910" w:h="16840"/>
          <w:pgMar w:header="747" w:footer="979" w:top="1060" w:bottom="1160" w:left="980" w:right="0"/>
        </w:sectPr>
      </w:pPr>
    </w:p>
    <w:p>
      <w:pPr>
        <w:spacing w:line="240" w:lineRule="auto" w:before="9"/>
        <w:rPr>
          <w:rFonts w:ascii="宋体" w:hAnsi="宋体" w:cs="宋体" w:eastAsia="宋体" w:hint="default"/>
          <w:sz w:val="24"/>
          <w:szCs w:val="24"/>
        </w:rPr>
      </w:pPr>
    </w:p>
    <w:p>
      <w:pPr>
        <w:pStyle w:val="Heading3"/>
        <w:spacing w:line="240" w:lineRule="auto" w:before="35"/>
        <w:ind w:left="153" w:right="0"/>
        <w:jc w:val="left"/>
        <w:rPr>
          <w:b w:val="0"/>
          <w:bCs w:val="0"/>
        </w:rPr>
      </w:pPr>
      <w:bookmarkStart w:name="26、开发支出" w:id="307"/>
      <w:bookmarkEnd w:id="307"/>
      <w:r>
        <w:rPr>
          <w:b w:val="0"/>
          <w:bCs w:val="0"/>
        </w:rPr>
      </w:r>
      <w:r>
        <w:rPr>
          <w:rFonts w:ascii="Times New Roman" w:hAnsi="Times New Roman" w:cs="Times New Roman" w:eastAsia="Times New Roman" w:hint="default"/>
        </w:rPr>
        <w:t>26</w:t>
      </w:r>
      <w:r>
        <w:rPr/>
        <w:t>、开发支出</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064"/>
        <w:gridCol w:w="1063"/>
        <w:gridCol w:w="3189"/>
        <w:gridCol w:w="3190"/>
        <w:gridCol w:w="1063"/>
      </w:tblGrid>
      <w:tr>
        <w:trPr>
          <w:trHeight w:val="402"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45"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6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48"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48"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65" w:right="0"/>
              <w:jc w:val="left"/>
              <w:rPr>
                <w:rFonts w:ascii="宋体" w:hAnsi="宋体" w:cs="宋体" w:eastAsia="宋体" w:hint="default"/>
                <w:sz w:val="18"/>
                <w:szCs w:val="18"/>
              </w:rPr>
            </w:pPr>
            <w:r>
              <w:rPr>
                <w:rFonts w:ascii="宋体" w:hAnsi="宋体" w:cs="宋体" w:eastAsia="宋体" w:hint="default"/>
                <w:sz w:val="18"/>
                <w:szCs w:val="18"/>
              </w:rPr>
              <w:t>期末余额</w:t>
            </w:r>
          </w:p>
        </w:tc>
      </w:tr>
    </w:tbl>
    <w:p>
      <w:pPr>
        <w:pStyle w:val="BodyText"/>
        <w:spacing w:line="357" w:lineRule="auto" w:before="52"/>
        <w:ind w:right="9853"/>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27、商誉" w:id="308"/>
      <w:bookmarkEnd w:id="308"/>
      <w:r>
        <w:rPr>
          <w:b w:val="0"/>
          <w:bCs w:val="0"/>
        </w:rPr>
      </w:r>
      <w:r>
        <w:rPr>
          <w:rFonts w:ascii="Times New Roman" w:hAnsi="Times New Roman" w:cs="Times New Roman" w:eastAsia="Times New Roman" w:hint="default"/>
        </w:rPr>
        <w:t>27</w:t>
      </w:r>
      <w:r>
        <w:rPr/>
        <w:t>、商誉</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商誉账面原值" w:id="309"/>
      <w:bookmarkEnd w:id="309"/>
      <w:r>
        <w:rPr>
          <w:b w:val="0"/>
          <w:bCs w:val="0"/>
        </w:rPr>
      </w:r>
      <w:r>
        <w:rPr/>
        <w:t>（</w:t>
      </w:r>
      <w:r>
        <w:rPr>
          <w:rFonts w:ascii="Times New Roman" w:hAnsi="Times New Roman" w:cs="Times New Roman" w:eastAsia="Times New Roman" w:hint="default"/>
        </w:rPr>
        <w:t>1</w:t>
      </w:r>
      <w:r>
        <w:rPr/>
        <w:t>）商誉账面原值</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356"/>
        <w:gridCol w:w="1378"/>
        <w:gridCol w:w="1368"/>
        <w:gridCol w:w="1367"/>
        <w:gridCol w:w="1367"/>
        <w:gridCol w:w="1367"/>
        <w:gridCol w:w="1367"/>
      </w:tblGrid>
      <w:tr>
        <w:trPr>
          <w:trHeight w:val="1026"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48" w:right="36"/>
              <w:jc w:val="center"/>
              <w:rPr>
                <w:rFonts w:ascii="宋体" w:hAnsi="宋体" w:cs="宋体" w:eastAsia="宋体" w:hint="default"/>
                <w:sz w:val="18"/>
                <w:szCs w:val="18"/>
              </w:rPr>
            </w:pPr>
            <w:r>
              <w:rPr>
                <w:rFonts w:ascii="宋体" w:hAnsi="宋体" w:cs="宋体" w:eastAsia="宋体" w:hint="default"/>
                <w:sz w:val="18"/>
                <w:szCs w:val="18"/>
              </w:rPr>
              <w:t>被投资单位名称 或形成商誉的事 项</w:t>
            </w:r>
          </w:p>
        </w:tc>
        <w:tc>
          <w:tcPr>
            <w:tcW w:w="13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29"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 w:right="0"/>
              <w:jc w:val="center"/>
              <w:rPr>
                <w:rFonts w:ascii="宋体" w:hAnsi="宋体" w:cs="宋体" w:eastAsia="宋体" w:hint="default"/>
                <w:sz w:val="18"/>
                <w:szCs w:val="18"/>
              </w:rPr>
            </w:pPr>
            <w:r>
              <w:rPr>
                <w:rFonts w:ascii="宋体" w:hAnsi="宋体" w:cs="宋体" w:eastAsia="宋体" w:hint="default"/>
                <w:sz w:val="18"/>
                <w:szCs w:val="18"/>
              </w:rPr>
              <w:t>本期增加</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本期减少</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17"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9" w:lineRule="auto" w:before="51"/>
              <w:ind w:left="22" w:right="61"/>
              <w:jc w:val="left"/>
              <w:rPr>
                <w:rFonts w:ascii="宋体" w:hAnsi="宋体" w:cs="宋体" w:eastAsia="宋体" w:hint="default"/>
                <w:sz w:val="18"/>
                <w:szCs w:val="18"/>
              </w:rPr>
            </w:pPr>
            <w:r>
              <w:rPr>
                <w:rFonts w:ascii="宋体" w:hAnsi="宋体" w:cs="宋体" w:eastAsia="宋体" w:hint="default"/>
                <w:sz w:val="18"/>
                <w:szCs w:val="18"/>
              </w:rPr>
              <w:t>上海翰明计算机 科技有限公司</w:t>
            </w:r>
          </w:p>
        </w:tc>
        <w:tc>
          <w:tcPr>
            <w:tcW w:w="1378" w:type="dxa"/>
            <w:tcBorders>
              <w:top w:val="single" w:sz="4" w:space="0" w:color="000000"/>
              <w:left w:val="single" w:sz="13" w:space="0" w:color="E0FFFF"/>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9,163,592.38</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9,163,592.38</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9" w:lineRule="auto" w:before="51"/>
              <w:ind w:left="22" w:right="61"/>
              <w:jc w:val="left"/>
              <w:rPr>
                <w:rFonts w:ascii="宋体" w:hAnsi="宋体" w:cs="宋体" w:eastAsia="宋体" w:hint="default"/>
                <w:sz w:val="18"/>
                <w:szCs w:val="18"/>
              </w:rPr>
            </w:pPr>
            <w:r>
              <w:rPr>
                <w:rFonts w:ascii="宋体" w:hAnsi="宋体" w:cs="宋体" w:eastAsia="宋体" w:hint="default"/>
                <w:sz w:val="18"/>
                <w:szCs w:val="18"/>
              </w:rPr>
              <w:t>深圳市千百辉照 明工程有限公司</w:t>
            </w:r>
          </w:p>
        </w:tc>
        <w:tc>
          <w:tcPr>
            <w:tcW w:w="1378" w:type="dxa"/>
            <w:tcBorders>
              <w:top w:val="single" w:sz="4" w:space="0" w:color="000000"/>
              <w:left w:val="single" w:sz="13" w:space="0" w:color="E0FFFF"/>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181,366,175.43</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181,366,175.43</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190,529,767.81</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190,529,767.81</w:t>
            </w:r>
          </w:p>
        </w:tc>
      </w:tr>
    </w:tbl>
    <w:p>
      <w:pPr>
        <w:spacing w:line="240" w:lineRule="auto" w:before="3"/>
        <w:rPr>
          <w:rFonts w:ascii="宋体" w:hAnsi="宋体" w:cs="宋体" w:eastAsia="宋体" w:hint="default"/>
          <w:sz w:val="19"/>
          <w:szCs w:val="19"/>
        </w:rPr>
      </w:pPr>
    </w:p>
    <w:p>
      <w:pPr>
        <w:pStyle w:val="Heading3"/>
        <w:spacing w:line="240" w:lineRule="auto" w:before="35"/>
        <w:ind w:right="0"/>
        <w:jc w:val="left"/>
        <w:rPr>
          <w:b w:val="0"/>
          <w:bCs w:val="0"/>
        </w:rPr>
      </w:pPr>
      <w:bookmarkStart w:name="（2）商誉减值准备" w:id="310"/>
      <w:bookmarkEnd w:id="310"/>
      <w:r>
        <w:rPr>
          <w:b w:val="0"/>
          <w:bCs w:val="0"/>
        </w:rPr>
      </w:r>
      <w:r>
        <w:rPr/>
        <w:t>（</w:t>
      </w:r>
      <w:r>
        <w:rPr>
          <w:rFonts w:ascii="Times New Roman" w:hAnsi="Times New Roman" w:cs="Times New Roman" w:eastAsia="Times New Roman" w:hint="default"/>
        </w:rPr>
        <w:t>2</w:t>
      </w:r>
      <w:r>
        <w:rPr/>
        <w:t>）商誉减值准备</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7"/>
        <w:gridCol w:w="1367"/>
        <w:gridCol w:w="2735"/>
        <w:gridCol w:w="2734"/>
        <w:gridCol w:w="1367"/>
      </w:tblGrid>
      <w:tr>
        <w:trPr>
          <w:trHeight w:val="1026"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48" w:right="47"/>
              <w:jc w:val="center"/>
              <w:rPr>
                <w:rFonts w:ascii="宋体" w:hAnsi="宋体" w:cs="宋体" w:eastAsia="宋体" w:hint="default"/>
                <w:sz w:val="18"/>
                <w:szCs w:val="18"/>
              </w:rPr>
            </w:pPr>
            <w:r>
              <w:rPr>
                <w:rFonts w:ascii="宋体" w:hAnsi="宋体" w:cs="宋体" w:eastAsia="宋体" w:hint="default"/>
                <w:sz w:val="18"/>
                <w:szCs w:val="18"/>
              </w:rPr>
              <w:t>被投资单位名称 或形成商誉的事 项</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17"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 w:right="0"/>
              <w:jc w:val="center"/>
              <w:rPr>
                <w:rFonts w:ascii="宋体" w:hAnsi="宋体" w:cs="宋体" w:eastAsia="宋体" w:hint="default"/>
                <w:sz w:val="18"/>
                <w:szCs w:val="18"/>
              </w:rPr>
            </w:pPr>
            <w:r>
              <w:rPr>
                <w:rFonts w:ascii="宋体" w:hAnsi="宋体" w:cs="宋体" w:eastAsia="宋体" w:hint="default"/>
                <w:sz w:val="18"/>
                <w:szCs w:val="18"/>
              </w:rPr>
              <w:t>本期增加</w:t>
            </w:r>
          </w:p>
        </w:tc>
        <w:tc>
          <w:tcPr>
            <w:tcW w:w="2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本期减少</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17" w:right="0"/>
              <w:jc w:val="left"/>
              <w:rPr>
                <w:rFonts w:ascii="宋体" w:hAnsi="宋体" w:cs="宋体" w:eastAsia="宋体" w:hint="default"/>
                <w:sz w:val="18"/>
                <w:szCs w:val="18"/>
              </w:rPr>
            </w:pPr>
            <w:r>
              <w:rPr>
                <w:rFonts w:ascii="宋体" w:hAnsi="宋体" w:cs="宋体" w:eastAsia="宋体" w:hint="default"/>
                <w:sz w:val="18"/>
                <w:szCs w:val="18"/>
              </w:rPr>
              <w:t>期末余额</w:t>
            </w:r>
          </w:p>
        </w:tc>
      </w:tr>
    </w:tbl>
    <w:p>
      <w:pPr>
        <w:pStyle w:val="BodyText"/>
        <w:spacing w:line="357" w:lineRule="auto" w:before="51"/>
        <w:ind w:left="514" w:right="0" w:hanging="360"/>
        <w:jc w:val="left"/>
      </w:pPr>
      <w:r>
        <w:rPr/>
        <w:t>说明商誉减值测试过程、参数及商誉减值损失的确认方法： </w:t>
      </w:r>
      <w:r>
        <w:rPr>
          <w:spacing w:val="-2"/>
        </w:rPr>
        <w:t>商誉的减值测试方法和减值准备计提方法：企业合并形成的商誉测试时首先对不包含商誉的子公司单独作为一个资产组</w:t>
      </w:r>
    </w:p>
    <w:p>
      <w:pPr>
        <w:pStyle w:val="BodyText"/>
        <w:spacing w:line="357" w:lineRule="auto"/>
        <w:ind w:left="513" w:right="4093" w:hanging="360"/>
        <w:jc w:val="left"/>
      </w:pPr>
      <w:r>
        <w:rPr/>
        <w:t>进行减值测试，计算可收回金额，并与相关账面价值相比较，确认相应的减值损失。 报告期商誉减值测试无需计提减值准备。</w:t>
      </w:r>
    </w:p>
    <w:p>
      <w:pPr>
        <w:pStyle w:val="BodyText"/>
        <w:spacing w:line="357" w:lineRule="auto" w:before="28"/>
        <w:ind w:right="10033"/>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28、长期待摊费用" w:id="311"/>
      <w:bookmarkEnd w:id="311"/>
      <w:r>
        <w:rPr>
          <w:b w:val="0"/>
          <w:bCs w:val="0"/>
        </w:rPr>
      </w:r>
      <w:r>
        <w:rPr>
          <w:rFonts w:ascii="Times New Roman" w:hAnsi="Times New Roman" w:cs="Times New Roman" w:eastAsia="Times New Roman" w:hint="default"/>
        </w:rPr>
        <w:t>28</w:t>
      </w:r>
      <w:r>
        <w:rPr/>
        <w:t>、长期待摊费用</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594"/>
        <w:gridCol w:w="1596"/>
        <w:gridCol w:w="1595"/>
        <w:gridCol w:w="1594"/>
        <w:gridCol w:w="1594"/>
        <w:gridCol w:w="1595"/>
      </w:tblGrid>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53"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51" w:right="0"/>
              <w:jc w:val="left"/>
              <w:rPr>
                <w:rFonts w:ascii="宋体" w:hAnsi="宋体" w:cs="宋体" w:eastAsia="宋体" w:hint="default"/>
                <w:sz w:val="18"/>
                <w:szCs w:val="18"/>
              </w:rPr>
            </w:pPr>
            <w:r>
              <w:rPr>
                <w:rFonts w:ascii="宋体" w:hAnsi="宋体" w:cs="宋体" w:eastAsia="宋体" w:hint="default"/>
                <w:sz w:val="18"/>
                <w:szCs w:val="18"/>
              </w:rPr>
              <w:t>本期摊销金额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52" w:right="0"/>
              <w:jc w:val="left"/>
              <w:rPr>
                <w:rFonts w:ascii="宋体" w:hAnsi="宋体" w:cs="宋体" w:eastAsia="宋体" w:hint="default"/>
                <w:sz w:val="18"/>
                <w:szCs w:val="18"/>
              </w:rPr>
            </w:pPr>
            <w:r>
              <w:rPr>
                <w:rFonts w:ascii="宋体" w:hAnsi="宋体" w:cs="宋体" w:eastAsia="宋体" w:hint="default"/>
                <w:sz w:val="18"/>
                <w:szCs w:val="18"/>
              </w:rPr>
              <w:t>其他减少金额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装修费用</w:t>
            </w:r>
          </w:p>
        </w:tc>
        <w:tc>
          <w:tcPr>
            <w:tcW w:w="1596"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3,901,815.62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418,826.52</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3,482,989.10</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6" w:type="dxa"/>
            <w:tcBorders>
              <w:top w:val="single" w:sz="4" w:space="0" w:color="000000"/>
              <w:left w:val="single" w:sz="9" w:space="0" w:color="D2D2D2"/>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3,901,815.62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418,826.52</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3,482,989.10</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13"/>
        <w:rPr>
          <w:rFonts w:ascii="宋体" w:hAnsi="宋体" w:cs="宋体" w:eastAsia="宋体" w:hint="default"/>
          <w:sz w:val="25"/>
          <w:szCs w:val="25"/>
        </w:rPr>
      </w:pPr>
    </w:p>
    <w:p>
      <w:pPr>
        <w:pStyle w:val="BodyText"/>
        <w:spacing w:line="357" w:lineRule="auto" w:before="44"/>
        <w:ind w:right="10033"/>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29、递延所得税资产/递延所得税负债" w:id="312"/>
      <w:bookmarkEnd w:id="312"/>
      <w:r>
        <w:rPr>
          <w:b w:val="0"/>
          <w:bCs w:val="0"/>
        </w:rPr>
      </w:r>
      <w:r>
        <w:rPr>
          <w:rFonts w:ascii="Times New Roman" w:hAnsi="Times New Roman" w:cs="Times New Roman" w:eastAsia="Times New Roman" w:hint="default"/>
        </w:rPr>
        <w:t>29</w:t>
      </w:r>
      <w:r>
        <w:rPr/>
        <w:t>、递延所得税资产</w:t>
      </w:r>
      <w:r>
        <w:rPr>
          <w:rFonts w:ascii="Times New Roman" w:hAnsi="Times New Roman" w:cs="Times New Roman" w:eastAsia="Times New Roman" w:hint="default"/>
        </w:rPr>
        <w:t>/</w:t>
      </w:r>
      <w:r>
        <w:rPr/>
        <w:t>递延所得税负债</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left="153" w:right="0"/>
        <w:jc w:val="left"/>
        <w:rPr>
          <w:b w:val="0"/>
          <w:bCs w:val="0"/>
        </w:rPr>
      </w:pPr>
      <w:bookmarkStart w:name="（1）未经抵销的递延所得税资产" w:id="313"/>
      <w:bookmarkEnd w:id="313"/>
      <w:r>
        <w:rPr>
          <w:b w:val="0"/>
          <w:bCs w:val="0"/>
        </w:rPr>
      </w:r>
      <w:r>
        <w:rPr/>
        <w:t>（</w:t>
      </w:r>
      <w:r>
        <w:rPr>
          <w:rFonts w:ascii="Times New Roman" w:hAnsi="Times New Roman" w:cs="Times New Roman" w:eastAsia="Times New Roman" w:hint="default"/>
        </w:rPr>
        <w:t>1</w:t>
      </w:r>
      <w:r>
        <w:rPr/>
        <w:t>）未经抵销的递延所得税资产</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206" w:hRule="exact"/>
        </w:trPr>
        <w:tc>
          <w:tcPr>
            <w:tcW w:w="1912" w:type="dxa"/>
            <w:tcBorders>
              <w:top w:val="single" w:sz="4" w:space="0" w:color="000000"/>
              <w:left w:val="single" w:sz="4" w:space="0" w:color="000000"/>
              <w:bottom w:val="nil" w:sz="6" w:space="0" w:color="auto"/>
              <w:right w:val="single" w:sz="4" w:space="0" w:color="000000"/>
            </w:tcBorders>
            <w:shd w:val="clear" w:color="auto" w:fill="D2D2D2"/>
          </w:tcPr>
          <w:p>
            <w:pPr/>
          </w:p>
        </w:tc>
        <w:tc>
          <w:tcPr>
            <w:tcW w:w="383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28"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1" w:hRule="exact"/>
        </w:trPr>
        <w:tc>
          <w:tcPr>
            <w:tcW w:w="191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31" w:type="dxa"/>
            <w:gridSpan w:val="2"/>
            <w:vMerge/>
            <w:tcBorders>
              <w:left w:val="single" w:sz="4" w:space="0" w:color="000000"/>
              <w:bottom w:val="single" w:sz="4" w:space="0" w:color="000000"/>
              <w:right w:val="single" w:sz="4" w:space="0" w:color="000000"/>
            </w:tcBorders>
            <w:shd w:val="clear" w:color="auto" w:fill="D2D2D2"/>
          </w:tcPr>
          <w:p>
            <w:pPr/>
          </w:p>
        </w:tc>
        <w:tc>
          <w:tcPr>
            <w:tcW w:w="3828" w:type="dxa"/>
            <w:gridSpan w:val="2"/>
            <w:vMerge/>
            <w:tcBorders>
              <w:left w:val="single" w:sz="4" w:space="0" w:color="000000"/>
              <w:bottom w:val="single" w:sz="4" w:space="0" w:color="000000"/>
              <w:right w:val="single" w:sz="4" w:space="0" w:color="000000"/>
            </w:tcBorders>
            <w:shd w:val="clear" w:color="auto" w:fill="D2D2D2"/>
          </w:tcPr>
          <w:p>
            <w:pPr/>
          </w:p>
        </w:tc>
      </w:tr>
      <w:tr>
        <w:trPr>
          <w:trHeight w:val="200" w:hRule="exact"/>
        </w:trPr>
        <w:tc>
          <w:tcPr>
            <w:tcW w:w="1912" w:type="dxa"/>
            <w:vMerge/>
            <w:tcBorders>
              <w:left w:val="single" w:sz="4" w:space="0" w:color="000000"/>
              <w:bottom w:val="nil" w:sz="6" w:space="0" w:color="auto"/>
              <w:right w:val="single" w:sz="4" w:space="0" w:color="000000"/>
            </w:tcBorders>
            <w:shd w:val="clear" w:color="auto" w:fill="D2D2D2"/>
          </w:tcPr>
          <w:p>
            <w:pPr/>
          </w:p>
        </w:tc>
        <w:tc>
          <w:tcPr>
            <w:tcW w:w="191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33"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2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31"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2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r>
      <w:tr>
        <w:trPr>
          <w:trHeight w:val="206" w:hRule="exact"/>
        </w:trPr>
        <w:tc>
          <w:tcPr>
            <w:tcW w:w="1912"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7"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资产减值准备</w:t>
            </w:r>
          </w:p>
        </w:tc>
        <w:tc>
          <w:tcPr>
            <w:tcW w:w="19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56,608,059.01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10,219,634.81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36,593,672.64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5,488,708.90</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内部交易未实现利润</w:t>
            </w:r>
          </w:p>
        </w:tc>
        <w:tc>
          <w:tcPr>
            <w:tcW w:w="19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6,166,394.40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924,959.16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20,699,151.30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3,104,872.68</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可抵扣亏损</w:t>
            </w:r>
          </w:p>
        </w:tc>
        <w:tc>
          <w:tcPr>
            <w:tcW w:w="19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56,044,699.40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10,206,805.32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34,215,409.02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5,382,016.22</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8,938,440.10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1,368,741.12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3,732,165.32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559,824.80</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递延收益</w:t>
            </w:r>
            <w:r>
              <w:rPr>
                <w:rFonts w:ascii="Times New Roman" w:hAnsi="Times New Roman" w:cs="Times New Roman" w:eastAsia="Times New Roman" w:hint="default"/>
                <w:sz w:val="18"/>
                <w:szCs w:val="18"/>
              </w:rPr>
              <w:t>-</w:t>
            </w:r>
            <w:r>
              <w:rPr>
                <w:rFonts w:ascii="宋体" w:hAnsi="宋体" w:cs="宋体" w:eastAsia="宋体" w:hint="default"/>
                <w:sz w:val="18"/>
                <w:szCs w:val="18"/>
              </w:rPr>
              <w:t>政府补助</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2,133,589.76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320,038.46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5,133,589.76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770,038.46</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等待期股权支付成本</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9,714,080.00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1,457,112.00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12,734,800.00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1,910,220.00</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千百辉计提业绩奖金</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799,549.86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119,932.48</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139,605,262.67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24,497,290.87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113,908,337.90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17,335,613.54</w:t>
            </w:r>
          </w:p>
        </w:tc>
      </w:tr>
    </w:tbl>
    <w:p>
      <w:pPr>
        <w:spacing w:line="240" w:lineRule="auto" w:before="3"/>
        <w:rPr>
          <w:rFonts w:ascii="宋体" w:hAnsi="宋体" w:cs="宋体" w:eastAsia="宋体" w:hint="default"/>
          <w:sz w:val="19"/>
          <w:szCs w:val="19"/>
        </w:rPr>
      </w:pPr>
    </w:p>
    <w:p>
      <w:pPr>
        <w:pStyle w:val="Heading3"/>
        <w:spacing w:line="240" w:lineRule="auto" w:before="35"/>
        <w:ind w:right="0"/>
        <w:jc w:val="left"/>
        <w:rPr>
          <w:b w:val="0"/>
          <w:bCs w:val="0"/>
        </w:rPr>
      </w:pPr>
      <w:bookmarkStart w:name="（2）未经抵销的递延所得税负债" w:id="314"/>
      <w:bookmarkEnd w:id="314"/>
      <w:r>
        <w:rPr>
          <w:b w:val="0"/>
          <w:bCs w:val="0"/>
        </w:rPr>
      </w:r>
      <w:r>
        <w:rPr/>
        <w:t>（</w:t>
      </w:r>
      <w:r>
        <w:rPr>
          <w:rFonts w:ascii="Times New Roman" w:hAnsi="Times New Roman" w:cs="Times New Roman" w:eastAsia="Times New Roman" w:hint="default"/>
        </w:rPr>
        <w:t>2</w:t>
      </w:r>
      <w:r>
        <w:rPr/>
        <w:t>）未经抵销的递延所得税负债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03"/>
      </w:tblGrid>
      <w:tr>
        <w:trPr>
          <w:trHeight w:val="402" w:hRule="exact"/>
        </w:trPr>
        <w:tc>
          <w:tcPr>
            <w:tcW w:w="191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3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1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912" w:type="dxa"/>
            <w:vMerge/>
            <w:tcBorders>
              <w:left w:val="single" w:sz="4" w:space="0" w:color="000000"/>
              <w:bottom w:val="single" w:sz="4" w:space="0" w:color="000000"/>
              <w:right w:val="single" w:sz="4" w:space="0" w:color="000000"/>
            </w:tcBorders>
            <w:shd w:val="clear" w:color="auto" w:fill="D2D2D2"/>
          </w:tcPr>
          <w:p>
            <w:pP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3" w:right="0"/>
              <w:jc w:val="left"/>
              <w:rPr>
                <w:rFonts w:ascii="宋体" w:hAnsi="宋体" w:cs="宋体" w:eastAsia="宋体" w:hint="default"/>
                <w:sz w:val="18"/>
                <w:szCs w:val="18"/>
              </w:rPr>
            </w:pPr>
            <w:r>
              <w:rPr>
                <w:rFonts w:ascii="宋体" w:hAnsi="宋体" w:cs="宋体" w:eastAsia="宋体" w:hint="default"/>
                <w:sz w:val="18"/>
                <w:szCs w:val="18"/>
              </w:rPr>
              <w:t>应纳税暂时性差异</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2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1" w:right="0"/>
              <w:jc w:val="left"/>
              <w:rPr>
                <w:rFonts w:ascii="宋体" w:hAnsi="宋体" w:cs="宋体" w:eastAsia="宋体" w:hint="default"/>
                <w:sz w:val="18"/>
                <w:szCs w:val="18"/>
              </w:rPr>
            </w:pPr>
            <w:r>
              <w:rPr>
                <w:rFonts w:ascii="宋体" w:hAnsi="宋体" w:cs="宋体" w:eastAsia="宋体" w:hint="default"/>
                <w:sz w:val="18"/>
                <w:szCs w:val="18"/>
              </w:rPr>
              <w:t>应纳税暂时性差异</w:t>
            </w:r>
          </w:p>
        </w:tc>
        <w:tc>
          <w:tcPr>
            <w:tcW w:w="19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2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3）以抵销后净额列示的递延所得税资产或负债" w:id="315"/>
      <w:bookmarkEnd w:id="315"/>
      <w:r>
        <w:rPr>
          <w:b w:val="0"/>
          <w:bCs w:val="0"/>
        </w:rPr>
      </w:r>
      <w:r>
        <w:rPr/>
        <w:t>（</w:t>
      </w:r>
      <w:r>
        <w:rPr>
          <w:rFonts w:ascii="Times New Roman" w:hAnsi="Times New Roman" w:cs="Times New Roman" w:eastAsia="Times New Roman" w:hint="default"/>
        </w:rPr>
        <w:t>3</w:t>
      </w:r>
      <w:r>
        <w:rPr/>
        <w:t>）以抵销后净额列示的递延所得税资产或负债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913"/>
        <w:gridCol w:w="1905"/>
        <w:gridCol w:w="1914"/>
        <w:gridCol w:w="1914"/>
        <w:gridCol w:w="1903"/>
      </w:tblGrid>
      <w:tr>
        <w:trPr>
          <w:trHeight w:val="162" w:hRule="exact"/>
        </w:trPr>
        <w:tc>
          <w:tcPr>
            <w:tcW w:w="1913" w:type="dxa"/>
            <w:tcBorders>
              <w:top w:val="single" w:sz="4" w:space="0" w:color="000000"/>
              <w:left w:val="single" w:sz="4" w:space="0" w:color="000000"/>
              <w:bottom w:val="nil" w:sz="6" w:space="0" w:color="auto"/>
              <w:right w:val="single" w:sz="4" w:space="0" w:color="000000"/>
            </w:tcBorders>
            <w:shd w:val="clear" w:color="auto" w:fill="D2D2D2"/>
          </w:tcPr>
          <w:p>
            <w:pPr/>
          </w:p>
        </w:tc>
        <w:tc>
          <w:tcPr>
            <w:tcW w:w="1905"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2"/>
              <w:ind w:left="401" w:right="51" w:hanging="360"/>
              <w:jc w:val="left"/>
              <w:rPr>
                <w:rFonts w:ascii="宋体" w:hAnsi="宋体" w:cs="宋体" w:eastAsia="宋体" w:hint="default"/>
                <w:sz w:val="18"/>
                <w:szCs w:val="18"/>
              </w:rPr>
            </w:pPr>
            <w:r>
              <w:rPr>
                <w:rFonts w:ascii="宋体" w:hAnsi="宋体" w:cs="宋体" w:eastAsia="宋体" w:hint="default"/>
                <w:sz w:val="18"/>
                <w:szCs w:val="18"/>
              </w:rPr>
              <w:t>递延所得税资产和负债 期末互抵金额</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2"/>
              <w:ind w:left="321" w:right="50" w:hanging="270"/>
              <w:jc w:val="left"/>
              <w:rPr>
                <w:rFonts w:ascii="宋体" w:hAnsi="宋体" w:cs="宋体" w:eastAsia="宋体" w:hint="default"/>
                <w:sz w:val="18"/>
                <w:szCs w:val="18"/>
              </w:rPr>
            </w:pPr>
            <w:r>
              <w:rPr>
                <w:rFonts w:ascii="宋体" w:hAnsi="宋体" w:cs="宋体" w:eastAsia="宋体" w:hint="default"/>
                <w:sz w:val="18"/>
                <w:szCs w:val="18"/>
              </w:rPr>
              <w:t>抵销后递延所得税资产 或负债期末余额</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2"/>
              <w:ind w:left="411" w:right="51" w:hanging="360"/>
              <w:jc w:val="left"/>
              <w:rPr>
                <w:rFonts w:ascii="宋体" w:hAnsi="宋体" w:cs="宋体" w:eastAsia="宋体" w:hint="default"/>
                <w:sz w:val="18"/>
                <w:szCs w:val="18"/>
              </w:rPr>
            </w:pPr>
            <w:r>
              <w:rPr>
                <w:rFonts w:ascii="宋体" w:hAnsi="宋体" w:cs="宋体" w:eastAsia="宋体" w:hint="default"/>
                <w:sz w:val="18"/>
                <w:szCs w:val="18"/>
              </w:rPr>
              <w:t>递延所得税资产和负债 期初互抵金额</w:t>
            </w:r>
          </w:p>
        </w:tc>
        <w:tc>
          <w:tcPr>
            <w:tcW w:w="1903"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2"/>
              <w:ind w:left="321" w:right="39" w:hanging="270"/>
              <w:jc w:val="left"/>
              <w:rPr>
                <w:rFonts w:ascii="宋体" w:hAnsi="宋体" w:cs="宋体" w:eastAsia="宋体" w:hint="default"/>
                <w:sz w:val="18"/>
                <w:szCs w:val="18"/>
              </w:rPr>
            </w:pPr>
            <w:r>
              <w:rPr>
                <w:rFonts w:ascii="宋体" w:hAnsi="宋体" w:cs="宋体" w:eastAsia="宋体" w:hint="default"/>
                <w:sz w:val="18"/>
                <w:szCs w:val="18"/>
              </w:rPr>
              <w:t>抵销后递延所得税资产 或负债期初余额</w:t>
            </w:r>
          </w:p>
        </w:tc>
      </w:tr>
      <w:tr>
        <w:trPr>
          <w:trHeight w:val="391" w:hRule="exact"/>
        </w:trPr>
        <w:tc>
          <w:tcPr>
            <w:tcW w:w="191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22"/>
              <w:jc w:val="center"/>
              <w:rPr>
                <w:rFonts w:ascii="宋体" w:hAnsi="宋体" w:cs="宋体" w:eastAsia="宋体" w:hint="default"/>
                <w:sz w:val="18"/>
                <w:szCs w:val="18"/>
              </w:rPr>
            </w:pPr>
            <w:r>
              <w:rPr>
                <w:rFonts w:ascii="宋体" w:hAnsi="宋体" w:cs="宋体" w:eastAsia="宋体" w:hint="default"/>
                <w:sz w:val="18"/>
                <w:szCs w:val="18"/>
              </w:rPr>
              <w:t>项目</w:t>
            </w:r>
          </w:p>
        </w:tc>
        <w:tc>
          <w:tcPr>
            <w:tcW w:w="1905" w:type="dxa"/>
            <w:vMerge/>
            <w:tcBorders>
              <w:left w:val="single" w:sz="4" w:space="0" w:color="000000"/>
              <w:right w:val="single" w:sz="4" w:space="0" w:color="000000"/>
            </w:tcBorders>
            <w:shd w:val="clear" w:color="auto" w:fill="D2D2D2"/>
          </w:tcPr>
          <w:p>
            <w:pPr/>
          </w:p>
        </w:tc>
        <w:tc>
          <w:tcPr>
            <w:tcW w:w="1914" w:type="dxa"/>
            <w:vMerge/>
            <w:tcBorders>
              <w:left w:val="single" w:sz="4" w:space="0" w:color="000000"/>
              <w:right w:val="single" w:sz="4" w:space="0" w:color="000000"/>
            </w:tcBorders>
            <w:shd w:val="clear" w:color="auto" w:fill="D2D2D2"/>
          </w:tcPr>
          <w:p>
            <w:pPr/>
          </w:p>
        </w:tc>
        <w:tc>
          <w:tcPr>
            <w:tcW w:w="1914" w:type="dxa"/>
            <w:vMerge/>
            <w:tcBorders>
              <w:left w:val="single" w:sz="4" w:space="0" w:color="000000"/>
              <w:right w:val="single" w:sz="4" w:space="0" w:color="000000"/>
            </w:tcBorders>
            <w:shd w:val="clear" w:color="auto" w:fill="D2D2D2"/>
          </w:tcPr>
          <w:p>
            <w:pPr/>
          </w:p>
        </w:tc>
        <w:tc>
          <w:tcPr>
            <w:tcW w:w="1903" w:type="dxa"/>
            <w:vMerge/>
            <w:tcBorders>
              <w:left w:val="single" w:sz="4" w:space="0" w:color="000000"/>
              <w:right w:val="single" w:sz="4" w:space="0" w:color="000000"/>
            </w:tcBorders>
            <w:shd w:val="clear" w:color="auto" w:fill="D2D2D2"/>
          </w:tcPr>
          <w:p>
            <w:pPr/>
          </w:p>
        </w:tc>
      </w:tr>
      <w:tr>
        <w:trPr>
          <w:trHeight w:val="161" w:hRule="exact"/>
        </w:trPr>
        <w:tc>
          <w:tcPr>
            <w:tcW w:w="1913" w:type="dxa"/>
            <w:tcBorders>
              <w:top w:val="nil" w:sz="6" w:space="0" w:color="auto"/>
              <w:left w:val="single" w:sz="4" w:space="0" w:color="000000"/>
              <w:bottom w:val="single" w:sz="4" w:space="0" w:color="000000"/>
              <w:right w:val="single" w:sz="4" w:space="0" w:color="000000"/>
            </w:tcBorders>
            <w:shd w:val="clear" w:color="auto" w:fill="D2D2D2"/>
          </w:tcPr>
          <w:p>
            <w:pPr/>
          </w:p>
        </w:tc>
        <w:tc>
          <w:tcPr>
            <w:tcW w:w="1905"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03"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905"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846" w:right="0"/>
              <w:jc w:val="left"/>
              <w:rPr>
                <w:rFonts w:ascii="Times New Roman" w:hAnsi="Times New Roman" w:cs="Times New Roman" w:eastAsia="Times New Roman" w:hint="default"/>
                <w:sz w:val="18"/>
                <w:szCs w:val="18"/>
              </w:rPr>
            </w:pPr>
            <w:r>
              <w:rPr>
                <w:rFonts w:ascii="Times New Roman"/>
                <w:sz w:val="18"/>
              </w:rPr>
              <w:t>24,497,290.87</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846" w:right="0"/>
              <w:jc w:val="left"/>
              <w:rPr>
                <w:rFonts w:ascii="Times New Roman" w:hAnsi="Times New Roman" w:cs="Times New Roman" w:eastAsia="Times New Roman" w:hint="default"/>
                <w:sz w:val="18"/>
                <w:szCs w:val="18"/>
              </w:rPr>
            </w:pPr>
            <w:r>
              <w:rPr>
                <w:rFonts w:ascii="Times New Roman"/>
                <w:sz w:val="18"/>
              </w:rPr>
              <w:t>17,335,613.54</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4）未确认递延所得税资产明细" w:id="316"/>
      <w:bookmarkEnd w:id="316"/>
      <w:r>
        <w:rPr>
          <w:b w:val="0"/>
          <w:bCs w:val="0"/>
        </w:rPr>
      </w:r>
      <w:r>
        <w:rPr/>
        <w:t>（</w:t>
      </w:r>
      <w:r>
        <w:rPr>
          <w:rFonts w:ascii="Times New Roman" w:hAnsi="Times New Roman" w:cs="Times New Roman" w:eastAsia="Times New Roman" w:hint="default"/>
        </w:rPr>
        <w:t>4</w:t>
      </w:r>
      <w:r>
        <w:rPr/>
        <w:t>）未确认递延所得税资产明细</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54,512.18</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可抵扣亏损</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2,989,304.23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2,705,037.86</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3,043,816.41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2,705,037.86</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5"/>
        <w:ind w:left="153" w:right="0"/>
        <w:jc w:val="left"/>
        <w:rPr>
          <w:b w:val="0"/>
          <w:bCs w:val="0"/>
        </w:rPr>
      </w:pPr>
      <w:bookmarkStart w:name="（5）未确认递延所得税资产的可抵扣亏损将于以下年度到期" w:id="317"/>
      <w:bookmarkEnd w:id="317"/>
      <w:r>
        <w:rPr>
          <w:b w:val="0"/>
          <w:bCs w:val="0"/>
        </w:rPr>
      </w:r>
      <w:r>
        <w:rPr/>
        <w:t>（</w:t>
      </w:r>
      <w:r>
        <w:rPr>
          <w:rFonts w:ascii="Times New Roman" w:hAnsi="Times New Roman" w:cs="Times New Roman" w:eastAsia="Times New Roman" w:hint="default"/>
        </w:rPr>
        <w:t>5</w:t>
      </w:r>
      <w:r>
        <w:rPr/>
        <w:t>）未确认递延所得税资产的可抵扣亏损将于以下年度到期</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390"/>
        <w:gridCol w:w="2396"/>
        <w:gridCol w:w="2392"/>
        <w:gridCol w:w="2392"/>
      </w:tblGrid>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年份</w:t>
            </w: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期末金额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期初金额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备注</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961,793.46</w:t>
            </w: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1,158,776.13</w:t>
            </w: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732,053.50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1,056.25</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1,263.47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2,319.72</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135,417.67</w:t>
            </w: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2,989,304.23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3,375.97</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357" w:lineRule="auto" w:before="51"/>
        <w:ind w:right="9853"/>
        <w:jc w:val="left"/>
      </w:pPr>
      <w:r>
        <w:rPr/>
        <w:t>其他说明： 无。</w:t>
      </w:r>
    </w:p>
    <w:p>
      <w:pPr>
        <w:spacing w:line="240" w:lineRule="auto" w:before="1"/>
        <w:rPr>
          <w:rFonts w:ascii="宋体" w:hAnsi="宋体" w:cs="宋体" w:eastAsia="宋体" w:hint="default"/>
          <w:sz w:val="20"/>
          <w:szCs w:val="20"/>
        </w:rPr>
      </w:pPr>
    </w:p>
    <w:p>
      <w:pPr>
        <w:pStyle w:val="Heading3"/>
        <w:spacing w:line="240" w:lineRule="auto"/>
        <w:ind w:right="0"/>
        <w:jc w:val="left"/>
        <w:rPr>
          <w:b w:val="0"/>
          <w:bCs w:val="0"/>
        </w:rPr>
      </w:pPr>
      <w:bookmarkStart w:name="30、其他非流动资产" w:id="318"/>
      <w:bookmarkEnd w:id="318"/>
      <w:r>
        <w:rPr>
          <w:b w:val="0"/>
          <w:bCs w:val="0"/>
        </w:rPr>
      </w:r>
      <w:r>
        <w:rPr>
          <w:rFonts w:ascii="Times New Roman" w:hAnsi="Times New Roman" w:cs="Times New Roman" w:eastAsia="Times New Roman" w:hint="default"/>
        </w:rPr>
        <w:t>30</w:t>
      </w:r>
      <w:r>
        <w:rPr/>
        <w:t>、其他非流动资产</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预付长期资产款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5,370,729.02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27,839,605.75</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5,370,729.02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27,839,605.75</w:t>
            </w:r>
          </w:p>
        </w:tc>
      </w:tr>
    </w:tbl>
    <w:p>
      <w:pPr>
        <w:pStyle w:val="BodyText"/>
        <w:spacing w:line="240" w:lineRule="auto" w:before="51"/>
        <w:ind w:left="154" w:right="0"/>
        <w:jc w:val="left"/>
      </w:pPr>
      <w:r>
        <w:rPr/>
        <w:t>其他说明：</w:t>
      </w:r>
    </w:p>
    <w:p>
      <w:pPr>
        <w:pStyle w:val="BodyText"/>
        <w:spacing w:line="240" w:lineRule="auto" w:before="117"/>
        <w:ind w:right="0"/>
        <w:jc w:val="left"/>
      </w:pPr>
      <w:r>
        <w:rPr/>
        <w:t>附注七、</w:t>
      </w:r>
      <w:r>
        <w:rPr>
          <w:rFonts w:ascii="Times New Roman" w:hAnsi="Times New Roman" w:cs="Times New Roman" w:eastAsia="Times New Roman" w:hint="default"/>
        </w:rPr>
        <w:t>18 </w:t>
      </w:r>
      <w:r>
        <w:rPr/>
        <w:t>其他说明所述，因房产可用于出租投入使用，非流动性资产 </w:t>
      </w:r>
      <w:r>
        <w:rPr>
          <w:rFonts w:ascii="Times New Roman" w:hAnsi="Times New Roman" w:cs="Times New Roman" w:eastAsia="Times New Roman" w:hint="default"/>
        </w:rPr>
        <w:t>24,311,012</w:t>
      </w:r>
      <w:r>
        <w:rPr>
          <w:rFonts w:ascii="Times New Roman" w:hAnsi="Times New Roman" w:cs="Times New Roman" w:eastAsia="Times New Roman" w:hint="default"/>
          <w:spacing w:val="-10"/>
        </w:rPr>
        <w:t> </w:t>
      </w:r>
      <w:r>
        <w:rPr/>
        <w:t>元转为投资性房地产。</w:t>
      </w:r>
    </w:p>
    <w:p>
      <w:pPr>
        <w:spacing w:line="240" w:lineRule="auto" w:before="9"/>
        <w:rPr>
          <w:rFonts w:ascii="宋体" w:hAnsi="宋体" w:cs="宋体" w:eastAsia="宋体" w:hint="default"/>
          <w:sz w:val="25"/>
          <w:szCs w:val="25"/>
        </w:rPr>
      </w:pPr>
    </w:p>
    <w:p>
      <w:pPr>
        <w:pStyle w:val="Heading3"/>
        <w:spacing w:line="240" w:lineRule="auto"/>
        <w:ind w:right="0"/>
        <w:jc w:val="left"/>
        <w:rPr>
          <w:b w:val="0"/>
          <w:bCs w:val="0"/>
        </w:rPr>
      </w:pPr>
      <w:bookmarkStart w:name="31、短期借款" w:id="319"/>
      <w:bookmarkEnd w:id="319"/>
      <w:r>
        <w:rPr>
          <w:b w:val="0"/>
          <w:bCs w:val="0"/>
        </w:rPr>
      </w:r>
      <w:r>
        <w:rPr>
          <w:rFonts w:ascii="Times New Roman" w:hAnsi="Times New Roman" w:cs="Times New Roman" w:eastAsia="Times New Roman" w:hint="default"/>
        </w:rPr>
        <w:t>31</w:t>
      </w:r>
      <w:r>
        <w:rPr/>
        <w:t>、短期借款</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1）短期借款分类" w:id="320"/>
      <w:bookmarkEnd w:id="320"/>
      <w:r>
        <w:rPr>
          <w:b w:val="0"/>
          <w:bCs w:val="0"/>
        </w:rPr>
      </w:r>
      <w:r>
        <w:rPr/>
        <w:t>（</w:t>
      </w:r>
      <w:r>
        <w:rPr>
          <w:rFonts w:ascii="Times New Roman" w:hAnsi="Times New Roman" w:cs="Times New Roman" w:eastAsia="Times New Roman" w:hint="default"/>
        </w:rPr>
        <w:t>1</w:t>
      </w:r>
      <w:r>
        <w:rPr/>
        <w:t>）短期借款分类</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抵押借款</w:t>
            </w:r>
          </w:p>
        </w:tc>
        <w:tc>
          <w:tcPr>
            <w:tcW w:w="3206" w:type="dxa"/>
            <w:tcBorders>
              <w:top w:val="single" w:sz="4" w:space="0" w:color="000000"/>
              <w:left w:val="single" w:sz="13" w:space="0" w:color="D2D2D2"/>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15,000,000.00</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保证借款</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100,000,000.00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10,000,000.00</w:t>
            </w:r>
          </w:p>
        </w:tc>
      </w:tr>
      <w:tr>
        <w:trPr>
          <w:trHeight w:val="403"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100,000,000.00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25,000,000.00</w:t>
            </w:r>
          </w:p>
        </w:tc>
      </w:tr>
    </w:tbl>
    <w:p>
      <w:pPr>
        <w:pStyle w:val="BodyText"/>
        <w:spacing w:line="357" w:lineRule="auto" w:before="51"/>
        <w:ind w:left="514" w:right="8952" w:hanging="360"/>
        <w:jc w:val="left"/>
      </w:pPr>
      <w:r>
        <w:rPr/>
        <w:t>短期借款分类的说明： 保证、抵押借款：</w:t>
      </w:r>
    </w:p>
    <w:p>
      <w:pPr>
        <w:pStyle w:val="BodyText"/>
        <w:spacing w:line="302" w:lineRule="auto" w:before="28"/>
        <w:ind w:left="154" w:right="1115" w:firstLine="360"/>
        <w:jc w:val="left"/>
      </w:pPr>
      <w:r>
        <w:rPr/>
        <w:t>①保证借款</w:t>
      </w:r>
      <w:r>
        <w:rPr>
          <w:spacing w:val="-64"/>
        </w:rPr>
        <w:t> </w:t>
      </w:r>
      <w:r>
        <w:rPr>
          <w:rFonts w:ascii="Times New Roman" w:hAnsi="Times New Roman" w:cs="Times New Roman" w:eastAsia="Times New Roman" w:hint="default"/>
        </w:rPr>
        <w:t>1,000</w:t>
      </w:r>
      <w:r>
        <w:rPr>
          <w:rFonts w:ascii="Times New Roman" w:hAnsi="Times New Roman" w:cs="Times New Roman" w:eastAsia="Times New Roman" w:hint="default"/>
          <w:spacing w:val="-19"/>
        </w:rPr>
        <w:t> </w:t>
      </w:r>
      <w:r>
        <w:rPr/>
        <w:t>万元系深圳市奥拓电子股份有限公司向中国农业银行股份有限公司深圳南山支行借款。吴涵渠为连带 责任保证人提供担保保证。</w:t>
      </w:r>
    </w:p>
    <w:p>
      <w:pPr>
        <w:pStyle w:val="BodyText"/>
        <w:spacing w:line="240" w:lineRule="auto" w:before="68"/>
        <w:ind w:left="514" w:right="0"/>
        <w:jc w:val="left"/>
      </w:pPr>
      <w:r>
        <w:rPr/>
        <w:t>②保证借款</w:t>
      </w:r>
      <w:r>
        <w:rPr>
          <w:spacing w:val="-64"/>
        </w:rPr>
        <w:t> </w:t>
      </w:r>
      <w:r>
        <w:rPr>
          <w:rFonts w:ascii="Times New Roman" w:hAnsi="Times New Roman" w:cs="Times New Roman" w:eastAsia="Times New Roman" w:hint="default"/>
        </w:rPr>
        <w:t>4,000</w:t>
      </w:r>
      <w:r>
        <w:rPr>
          <w:rFonts w:ascii="Times New Roman" w:hAnsi="Times New Roman" w:cs="Times New Roman" w:eastAsia="Times New Roman" w:hint="default"/>
          <w:spacing w:val="-19"/>
        </w:rPr>
        <w:t> </w:t>
      </w:r>
      <w:r>
        <w:rPr/>
        <w:t>万元系深圳市千百辉照明工程有限公司为采购原材料和补充流动资金等日常经营运转而与浦发银行深</w:t>
      </w:r>
    </w:p>
    <w:p>
      <w:pPr>
        <w:pStyle w:val="BodyText"/>
        <w:spacing w:line="240" w:lineRule="auto" w:before="63"/>
        <w:ind w:right="0"/>
        <w:jc w:val="left"/>
      </w:pPr>
      <w:r>
        <w:rPr/>
        <w:t>圳分行签订</w:t>
      </w:r>
      <w:r>
        <w:rPr>
          <w:spacing w:val="-46"/>
        </w:rPr>
        <w:t> </w:t>
      </w:r>
      <w:r>
        <w:rPr>
          <w:rFonts w:ascii="Times New Roman" w:hAnsi="Times New Roman" w:cs="Times New Roman" w:eastAsia="Times New Roman" w:hint="default"/>
        </w:rPr>
        <w:t>4,000</w:t>
      </w:r>
      <w:r>
        <w:rPr>
          <w:rFonts w:ascii="Times New Roman" w:hAnsi="Times New Roman" w:cs="Times New Roman" w:eastAsia="Times New Roman" w:hint="default"/>
          <w:spacing w:val="-1"/>
        </w:rPr>
        <w:t> </w:t>
      </w:r>
      <w:r>
        <w:rPr/>
        <w:t>万元借款合同。本次借款是在千百辉公司</w:t>
      </w:r>
      <w:r>
        <w:rPr>
          <w:spacing w:val="-46"/>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w:t>
      </w:r>
      <w:r>
        <w:rPr>
          <w:spacing w:val="-46"/>
        </w:rPr>
        <w:t> </w:t>
      </w:r>
      <w:r>
        <w:rPr>
          <w:rFonts w:ascii="Times New Roman" w:hAnsi="Times New Roman" w:cs="Times New Roman" w:eastAsia="Times New Roman" w:hint="default"/>
        </w:rPr>
        <w:t>12 </w:t>
      </w:r>
      <w:r>
        <w:rPr/>
        <w:t>月</w:t>
      </w:r>
      <w:r>
        <w:rPr>
          <w:spacing w:val="-46"/>
        </w:rPr>
        <w:t> </w:t>
      </w:r>
      <w:r>
        <w:rPr>
          <w:rFonts w:ascii="Times New Roman" w:hAnsi="Times New Roman" w:cs="Times New Roman" w:eastAsia="Times New Roman" w:hint="default"/>
          <w:spacing w:val="-4"/>
        </w:rPr>
        <w:t>11</w:t>
      </w:r>
      <w:r>
        <w:rPr>
          <w:rFonts w:ascii="Times New Roman" w:hAnsi="Times New Roman" w:cs="Times New Roman" w:eastAsia="Times New Roman" w:hint="default"/>
          <w:spacing w:val="-1"/>
        </w:rPr>
        <w:t> </w:t>
      </w:r>
      <w:r>
        <w:rPr/>
        <w:t>日与浦发银行深圳分行签订肆仟万元融资额度</w:t>
      </w:r>
    </w:p>
    <w:p>
      <w:pPr>
        <w:pStyle w:val="BodyText"/>
        <w:spacing w:line="240" w:lineRule="auto" w:before="63"/>
        <w:ind w:right="0"/>
        <w:jc w:val="left"/>
      </w:pPr>
      <w:r>
        <w:rPr/>
        <w:t>协议（编号</w:t>
      </w:r>
      <w:r>
        <w:rPr>
          <w:spacing w:val="-48"/>
        </w:rPr>
        <w:t> </w:t>
      </w:r>
      <w:r>
        <w:rPr>
          <w:rFonts w:ascii="Times New Roman" w:hAnsi="Times New Roman" w:cs="Times New Roman" w:eastAsia="Times New Roman" w:hint="default"/>
        </w:rPr>
        <w:t>BC2017120800000656</w:t>
      </w:r>
      <w:r>
        <w:rPr/>
        <w:t>，额度使用期限自</w:t>
      </w:r>
      <w:r>
        <w:rPr>
          <w:spacing w:val="-48"/>
        </w:rPr>
        <w:t> </w:t>
      </w:r>
      <w:r>
        <w:rPr>
          <w:rFonts w:ascii="Times New Roman" w:hAnsi="Times New Roman" w:cs="Times New Roman" w:eastAsia="Times New Roman" w:hint="default"/>
        </w:rPr>
        <w:t>2017</w:t>
      </w:r>
      <w:r>
        <w:rPr>
          <w:rFonts w:ascii="Times New Roman" w:hAnsi="Times New Roman" w:cs="Times New Roman" w:eastAsia="Times New Roman" w:hint="default"/>
          <w:spacing w:val="-3"/>
        </w:rPr>
        <w:t> </w:t>
      </w:r>
      <w:r>
        <w:rPr/>
        <w:t>年</w:t>
      </w:r>
      <w:r>
        <w:rPr>
          <w:spacing w:val="-47"/>
        </w:rPr>
        <w:t> </w:t>
      </w:r>
      <w:r>
        <w:rPr>
          <w:rFonts w:ascii="Times New Roman" w:hAnsi="Times New Roman" w:cs="Times New Roman" w:eastAsia="Times New Roman" w:hint="default"/>
        </w:rPr>
        <w:t>07</w:t>
      </w:r>
      <w:r>
        <w:rPr>
          <w:rFonts w:ascii="Times New Roman" w:hAnsi="Times New Roman" w:cs="Times New Roman" w:eastAsia="Times New Roman" w:hint="default"/>
          <w:spacing w:val="-3"/>
        </w:rPr>
        <w:t> </w:t>
      </w:r>
      <w:r>
        <w:rPr/>
        <w:t>月</w:t>
      </w:r>
      <w:r>
        <w:rPr>
          <w:spacing w:val="-48"/>
        </w:rPr>
        <w:t> </w:t>
      </w:r>
      <w:r>
        <w:rPr>
          <w:rFonts w:ascii="Times New Roman" w:hAnsi="Times New Roman" w:cs="Times New Roman" w:eastAsia="Times New Roman" w:hint="default"/>
        </w:rPr>
        <w:t>05</w:t>
      </w:r>
      <w:r>
        <w:rPr>
          <w:rFonts w:ascii="Times New Roman" w:hAnsi="Times New Roman" w:cs="Times New Roman" w:eastAsia="Times New Roman" w:hint="default"/>
          <w:spacing w:val="-3"/>
        </w:rPr>
        <w:t> </w:t>
      </w:r>
      <w:r>
        <w:rPr/>
        <w:t>日至</w:t>
      </w:r>
      <w:r>
        <w:rPr>
          <w:spacing w:val="-48"/>
        </w:rPr>
        <w:t> </w:t>
      </w:r>
      <w:r>
        <w:rPr>
          <w:rFonts w:ascii="Times New Roman" w:hAnsi="Times New Roman" w:cs="Times New Roman" w:eastAsia="Times New Roman" w:hint="default"/>
        </w:rPr>
        <w:t>2018</w:t>
      </w:r>
      <w:r>
        <w:rPr>
          <w:rFonts w:ascii="Times New Roman" w:hAnsi="Times New Roman" w:cs="Times New Roman" w:eastAsia="Times New Roman" w:hint="default"/>
          <w:spacing w:val="-3"/>
        </w:rPr>
        <w:t> </w:t>
      </w:r>
      <w:r>
        <w:rPr/>
        <w:t>年</w:t>
      </w:r>
      <w:r>
        <w:rPr>
          <w:spacing w:val="-48"/>
        </w:rPr>
        <w:t> </w:t>
      </w:r>
      <w:r>
        <w:rPr>
          <w:rFonts w:ascii="Times New Roman" w:hAnsi="Times New Roman" w:cs="Times New Roman" w:eastAsia="Times New Roman" w:hint="default"/>
        </w:rPr>
        <w:t>07</w:t>
      </w:r>
      <w:r>
        <w:rPr>
          <w:rFonts w:ascii="Times New Roman" w:hAnsi="Times New Roman" w:cs="Times New Roman" w:eastAsia="Times New Roman" w:hint="default"/>
          <w:spacing w:val="-2"/>
        </w:rPr>
        <w:t> </w:t>
      </w:r>
      <w:r>
        <w:rPr/>
        <w:t>月</w:t>
      </w:r>
      <w:r>
        <w:rPr>
          <w:spacing w:val="-48"/>
        </w:rPr>
        <w:t> </w:t>
      </w:r>
      <w:r>
        <w:rPr>
          <w:rFonts w:ascii="Times New Roman" w:hAnsi="Times New Roman" w:cs="Times New Roman" w:eastAsia="Times New Roman" w:hint="default"/>
        </w:rPr>
        <w:t>05</w:t>
      </w:r>
      <w:r>
        <w:rPr>
          <w:rFonts w:ascii="Times New Roman" w:hAnsi="Times New Roman" w:cs="Times New Roman" w:eastAsia="Times New Roman" w:hint="default"/>
          <w:spacing w:val="-1"/>
        </w:rPr>
        <w:t> </w:t>
      </w:r>
      <w:r>
        <w:rPr/>
        <w:t>日止）下完成。本融资额度协议</w:t>
      </w:r>
    </w:p>
    <w:p>
      <w:pPr>
        <w:pStyle w:val="BodyText"/>
        <w:spacing w:line="240" w:lineRule="auto" w:before="63"/>
        <w:ind w:left="154" w:right="0"/>
        <w:jc w:val="left"/>
      </w:pPr>
      <w:r>
        <w:rPr/>
        <w:t>由深圳市奥拓电子股份有限公司提供保证担保。</w:t>
      </w: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w:t>
      </w:r>
      <w:r>
        <w:rPr>
          <w:spacing w:val="-45"/>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46"/>
        </w:rPr>
        <w:t> </w:t>
      </w:r>
      <w:r>
        <w:rPr>
          <w:rFonts w:ascii="Times New Roman" w:hAnsi="Times New Roman" w:cs="Times New Roman" w:eastAsia="Times New Roman" w:hint="default"/>
          <w:spacing w:val="-3"/>
        </w:rPr>
        <w:t>11</w:t>
      </w:r>
      <w:r>
        <w:rPr>
          <w:rFonts w:ascii="Times New Roman" w:hAnsi="Times New Roman" w:cs="Times New Roman" w:eastAsia="Times New Roman" w:hint="default"/>
          <w:spacing w:val="-1"/>
        </w:rPr>
        <w:t> </w:t>
      </w:r>
      <w:r>
        <w:rPr/>
        <w:t>日深圳市奥拓电子股份有限公司和上海浦东发展银行股份</w:t>
      </w:r>
    </w:p>
    <w:p>
      <w:pPr>
        <w:spacing w:after="0" w:line="240"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02" w:lineRule="auto" w:before="44"/>
        <w:ind w:right="2558"/>
        <w:jc w:val="left"/>
      </w:pPr>
      <w:r>
        <w:rPr/>
        <w:t>有限公司深圳分行签订最高额保证合同，合同编号</w:t>
      </w:r>
      <w:r>
        <w:rPr>
          <w:spacing w:val="-45"/>
        </w:rPr>
        <w:t> </w:t>
      </w:r>
      <w:r>
        <w:rPr>
          <w:rFonts w:ascii="Times New Roman" w:hAnsi="Times New Roman" w:cs="Times New Roman" w:eastAsia="Times New Roman" w:hint="default"/>
        </w:rPr>
        <w:t>ZB7918201700000024</w:t>
      </w:r>
      <w:r>
        <w:rPr/>
        <w:t>，自愿按本合同为融资额度协议 </w:t>
      </w:r>
      <w:r>
        <w:rPr>
          <w:rFonts w:ascii="Times New Roman" w:hAnsi="Times New Roman" w:cs="Times New Roman" w:eastAsia="Times New Roman" w:hint="default"/>
        </w:rPr>
        <w:t>BC2017120800000656</w:t>
      </w:r>
      <w:r>
        <w:rPr>
          <w:rFonts w:ascii="Times New Roman" w:hAnsi="Times New Roman" w:cs="Times New Roman" w:eastAsia="Times New Roman" w:hint="default"/>
          <w:spacing w:val="-16"/>
        </w:rPr>
        <w:t> </w:t>
      </w:r>
      <w:r>
        <w:rPr/>
        <w:t>提供连带责任保证。</w:t>
      </w:r>
    </w:p>
    <w:p>
      <w:pPr>
        <w:pStyle w:val="BodyText"/>
        <w:spacing w:line="240" w:lineRule="auto" w:before="49"/>
        <w:ind w:left="513" w:right="0"/>
        <w:jc w:val="left"/>
        <w:rPr>
          <w:rFonts w:ascii="Times New Roman" w:hAnsi="Times New Roman" w:cs="Times New Roman" w:eastAsia="Times New Roman" w:hint="default"/>
        </w:rPr>
      </w:pPr>
      <w:r>
        <w:rPr/>
        <w:t>③保证借款</w:t>
      </w:r>
      <w:r>
        <w:rPr>
          <w:spacing w:val="-46"/>
        </w:rPr>
        <w:t> </w:t>
      </w:r>
      <w:r>
        <w:rPr>
          <w:rFonts w:ascii="Times New Roman" w:hAnsi="Times New Roman" w:cs="Times New Roman" w:eastAsia="Times New Roman" w:hint="default"/>
        </w:rPr>
        <w:t>5,000</w:t>
      </w:r>
      <w:r>
        <w:rPr>
          <w:rFonts w:ascii="Times New Roman" w:hAnsi="Times New Roman" w:cs="Times New Roman" w:eastAsia="Times New Roman" w:hint="default"/>
          <w:spacing w:val="-1"/>
        </w:rPr>
        <w:t> </w:t>
      </w:r>
      <w:r>
        <w:rPr/>
        <w:t>万元系深圳市千百辉照明工程有限公司为支付货款先后与招商银行签订</w:t>
      </w:r>
      <w:r>
        <w:rPr>
          <w:spacing w:val="-45"/>
        </w:rPr>
        <w:t> </w:t>
      </w:r>
      <w:r>
        <w:rPr>
          <w:rFonts w:ascii="Times New Roman" w:hAnsi="Times New Roman" w:cs="Times New Roman" w:eastAsia="Times New Roman" w:hint="default"/>
        </w:rPr>
        <w:t>1,100</w:t>
      </w:r>
      <w:r>
        <w:rPr>
          <w:rFonts w:ascii="Times New Roman" w:hAnsi="Times New Roman" w:cs="Times New Roman" w:eastAsia="Times New Roman" w:hint="default"/>
          <w:spacing w:val="-1"/>
        </w:rPr>
        <w:t> </w:t>
      </w:r>
      <w:r>
        <w:rPr/>
        <w:t>万元、</w:t>
      </w:r>
      <w:r>
        <w:rPr>
          <w:rFonts w:ascii="Times New Roman" w:hAnsi="Times New Roman" w:cs="Times New Roman" w:eastAsia="Times New Roman" w:hint="default"/>
        </w:rPr>
        <w:t>3,000</w:t>
      </w:r>
      <w:r>
        <w:rPr>
          <w:rFonts w:ascii="Times New Roman" w:hAnsi="Times New Roman" w:cs="Times New Roman" w:eastAsia="Times New Roman" w:hint="default"/>
          <w:spacing w:val="-1"/>
        </w:rPr>
        <w:t> </w:t>
      </w:r>
      <w:r>
        <w:rPr/>
        <w:t>万元、</w:t>
      </w:r>
      <w:r>
        <w:rPr>
          <w:rFonts w:ascii="Times New Roman" w:hAnsi="Times New Roman" w:cs="Times New Roman" w:eastAsia="Times New Roman" w:hint="default"/>
        </w:rPr>
        <w:t>900</w:t>
      </w:r>
    </w:p>
    <w:p>
      <w:pPr>
        <w:pStyle w:val="BodyText"/>
        <w:spacing w:line="240" w:lineRule="auto" w:before="63"/>
        <w:ind w:left="154" w:right="0"/>
        <w:jc w:val="both"/>
      </w:pPr>
      <w:r>
        <w:rPr/>
        <w:t>万元流动资金贷款合同</w:t>
      </w:r>
      <w:r>
        <w:rPr>
          <w:spacing w:val="-82"/>
        </w:rPr>
        <w:t>。</w:t>
      </w:r>
      <w:r>
        <w:rPr/>
        <w:t>此</w:t>
      </w:r>
      <w:r>
        <w:rPr>
          <w:spacing w:val="-46"/>
        </w:rPr>
        <w:t> </w:t>
      </w:r>
      <w:r>
        <w:rPr>
          <w:rFonts w:ascii="Times New Roman" w:hAnsi="Times New Roman" w:cs="Times New Roman" w:eastAsia="Times New Roman" w:hint="default"/>
        </w:rPr>
        <w:t>3 </w:t>
      </w:r>
      <w:r>
        <w:rPr/>
        <w:t>份贷款合同是在深圳市千百辉照明工程有限公司</w:t>
      </w:r>
      <w:r>
        <w:rPr>
          <w:spacing w:val="-46"/>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w:t>
      </w:r>
      <w:r>
        <w:rPr>
          <w:spacing w:val="-45"/>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月</w:t>
      </w:r>
      <w:r>
        <w:rPr>
          <w:spacing w:val="-46"/>
        </w:rPr>
        <w:t> </w:t>
      </w:r>
      <w:r>
        <w:rPr>
          <w:rFonts w:ascii="Times New Roman" w:hAnsi="Times New Roman" w:cs="Times New Roman" w:eastAsia="Times New Roman" w:hint="default"/>
        </w:rPr>
        <w:t>19</w:t>
      </w:r>
      <w:r>
        <w:rPr>
          <w:rFonts w:ascii="Times New Roman" w:hAnsi="Times New Roman" w:cs="Times New Roman" w:eastAsia="Times New Roman" w:hint="default"/>
          <w:spacing w:val="-1"/>
        </w:rPr>
        <w:t> </w:t>
      </w:r>
      <w:r>
        <w:rPr/>
        <w:t>日与</w:t>
      </w:r>
      <w:r>
        <w:rPr>
          <w:spacing w:val="1"/>
        </w:rPr>
        <w:t>招</w:t>
      </w:r>
      <w:r>
        <w:rPr/>
        <w:t>商银行深圳分行签订的</w:t>
      </w:r>
    </w:p>
    <w:p>
      <w:pPr>
        <w:pStyle w:val="BodyText"/>
        <w:spacing w:line="307" w:lineRule="auto" w:before="63"/>
        <w:ind w:right="1131"/>
        <w:jc w:val="both"/>
      </w:pPr>
      <w:r>
        <w:rPr>
          <w:spacing w:val="-10"/>
        </w:rPr>
        <w:t>《授信协议》（编号</w:t>
      </w:r>
      <w:r>
        <w:rPr>
          <w:spacing w:val="-46"/>
        </w:rPr>
        <w:t> </w:t>
      </w:r>
      <w:r>
        <w:rPr>
          <w:rFonts w:ascii="Times New Roman" w:hAnsi="Times New Roman" w:cs="Times New Roman" w:eastAsia="Times New Roman" w:hint="default"/>
        </w:rPr>
        <w:t>2107</w:t>
      </w:r>
      <w:r>
        <w:rPr>
          <w:rFonts w:ascii="Times New Roman" w:hAnsi="Times New Roman" w:cs="Times New Roman" w:eastAsia="Times New Roman" w:hint="default"/>
          <w:spacing w:val="-1"/>
        </w:rPr>
        <w:t> </w:t>
      </w:r>
      <w:r>
        <w:rPr/>
        <w:t>年罗字第</w:t>
      </w:r>
      <w:r>
        <w:rPr>
          <w:spacing w:val="-46"/>
        </w:rPr>
        <w:t> </w:t>
      </w:r>
      <w:r>
        <w:rPr>
          <w:rFonts w:ascii="Times New Roman" w:hAnsi="Times New Roman" w:cs="Times New Roman" w:eastAsia="Times New Roman" w:hint="default"/>
        </w:rPr>
        <w:t>0017320174</w:t>
      </w:r>
      <w:r>
        <w:rPr/>
        <w:t>）下完成。授信协议约定招商银行为深圳市千百辉照明工程有限公司提供人 民币伍仟万元的循环授信额度。授信期间为</w:t>
      </w:r>
      <w:r>
        <w:rPr>
          <w:spacing w:val="-46"/>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个月，即自</w:t>
      </w:r>
      <w:r>
        <w:rPr>
          <w:spacing w:val="-46"/>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w:t>
      </w:r>
      <w:r>
        <w:rPr>
          <w:spacing w:val="-45"/>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月</w:t>
      </w:r>
      <w:r>
        <w:rPr>
          <w:spacing w:val="-45"/>
        </w:rPr>
        <w:t> </w:t>
      </w:r>
      <w:r>
        <w:rPr>
          <w:rFonts w:ascii="Times New Roman" w:hAnsi="Times New Roman" w:cs="Times New Roman" w:eastAsia="Times New Roman" w:hint="default"/>
        </w:rPr>
        <w:t>24</w:t>
      </w:r>
      <w:r>
        <w:rPr>
          <w:rFonts w:ascii="Times New Roman" w:hAnsi="Times New Roman" w:cs="Times New Roman" w:eastAsia="Times New Roman" w:hint="default"/>
          <w:spacing w:val="-1"/>
        </w:rPr>
        <w:t> </w:t>
      </w:r>
      <w:r>
        <w:rPr/>
        <w:t>日起至</w:t>
      </w:r>
      <w:r>
        <w:rPr>
          <w:spacing w:val="-46"/>
        </w:rPr>
        <w:t> </w:t>
      </w:r>
      <w:r>
        <w:rPr>
          <w:rFonts w:ascii="Times New Roman" w:hAnsi="Times New Roman" w:cs="Times New Roman" w:eastAsia="Times New Roman" w:hint="default"/>
        </w:rPr>
        <w:t>2018 </w:t>
      </w:r>
      <w:r>
        <w:rPr/>
        <w:t>年</w:t>
      </w:r>
      <w:r>
        <w:rPr>
          <w:spacing w:val="-46"/>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月</w:t>
      </w:r>
      <w:r>
        <w:rPr>
          <w:spacing w:val="-46"/>
        </w:rPr>
        <w:t> </w:t>
      </w:r>
      <w:r>
        <w:rPr>
          <w:rFonts w:ascii="Times New Roman" w:hAnsi="Times New Roman" w:cs="Times New Roman" w:eastAsia="Times New Roman" w:hint="default"/>
        </w:rPr>
        <w:t>23</w:t>
      </w:r>
      <w:r>
        <w:rPr>
          <w:rFonts w:ascii="Times New Roman" w:hAnsi="Times New Roman" w:cs="Times New Roman" w:eastAsia="Times New Roman" w:hint="default"/>
          <w:spacing w:val="-1"/>
        </w:rPr>
        <w:t> </w:t>
      </w:r>
      <w:r>
        <w:rPr/>
        <w:t>日止。银行不受理超过授 </w:t>
      </w:r>
      <w:r>
        <w:rPr>
          <w:spacing w:val="-2"/>
        </w:rPr>
        <w:t>信期间到期日提出的额度使用申请。本授信协议由沈永健、周维君、深圳市奥拓电子股份有限公司作为连带责任保证人，向</w:t>
      </w:r>
      <w:r>
        <w:rPr>
          <w:spacing w:val="-66"/>
        </w:rPr>
        <w:t> </w:t>
      </w:r>
      <w:r>
        <w:rPr>
          <w:spacing w:val="-66"/>
        </w:rPr>
      </w:r>
      <w:r>
        <w:rPr/>
        <w:t>招商银行出具最高额不可撤销担保书。</w:t>
      </w:r>
    </w:p>
    <w:p>
      <w:pPr>
        <w:spacing w:line="240" w:lineRule="auto" w:before="13"/>
        <w:rPr>
          <w:rFonts w:ascii="宋体" w:hAnsi="宋体" w:cs="宋体" w:eastAsia="宋体" w:hint="default"/>
          <w:sz w:val="22"/>
          <w:szCs w:val="22"/>
        </w:rPr>
      </w:pPr>
    </w:p>
    <w:p>
      <w:pPr>
        <w:pStyle w:val="Heading3"/>
        <w:spacing w:line="240" w:lineRule="auto"/>
        <w:ind w:left="153" w:right="0"/>
        <w:jc w:val="both"/>
        <w:rPr>
          <w:b w:val="0"/>
          <w:bCs w:val="0"/>
        </w:rPr>
      </w:pPr>
      <w:bookmarkStart w:name="（2）已逾期未偿还的短期借款情况" w:id="321"/>
      <w:bookmarkEnd w:id="321"/>
      <w:r>
        <w:rPr>
          <w:b w:val="0"/>
          <w:bCs w:val="0"/>
        </w:rPr>
      </w:r>
      <w:r>
        <w:rPr/>
        <w:t>（</w:t>
      </w:r>
      <w:r>
        <w:rPr>
          <w:rFonts w:ascii="Times New Roman" w:hAnsi="Times New Roman" w:cs="Times New Roman" w:eastAsia="Times New Roman" w:hint="default"/>
        </w:rPr>
        <w:t>2</w:t>
      </w:r>
      <w:r>
        <w:rPr/>
        <w:t>）已逾期未偿还的短期借款情况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t>本期末已逾期未偿还的短期借款总额为</w:t>
      </w:r>
      <w:r>
        <w:rPr>
          <w:spacing w:val="-46"/>
        </w:rPr>
        <w:t> </w:t>
      </w:r>
      <w:r>
        <w:rPr>
          <w:rFonts w:ascii="Times New Roman" w:hAnsi="Times New Roman" w:cs="Times New Roman" w:eastAsia="Times New Roman" w:hint="default"/>
        </w:rPr>
        <w:t>0.00</w:t>
      </w:r>
      <w:r>
        <w:rPr>
          <w:rFonts w:ascii="Times New Roman" w:hAnsi="Times New Roman" w:cs="Times New Roman" w:eastAsia="Times New Roman" w:hint="default"/>
          <w:spacing w:val="-1"/>
        </w:rPr>
        <w:t> </w:t>
      </w:r>
      <w:r>
        <w:rPr/>
        <w:t>元，其中重要的已逾期未偿还的短期借款情况如下：</w:t>
      </w:r>
    </w:p>
    <w:p>
      <w:pPr>
        <w:pStyle w:val="BodyText"/>
        <w:spacing w:line="240" w:lineRule="auto" w:before="103"/>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0" w:right="0"/>
              <w:jc w:val="left"/>
              <w:rPr>
                <w:rFonts w:ascii="宋体" w:hAnsi="宋体" w:cs="宋体" w:eastAsia="宋体" w:hint="default"/>
                <w:sz w:val="18"/>
                <w:szCs w:val="18"/>
              </w:rPr>
            </w:pPr>
            <w:r>
              <w:rPr>
                <w:rFonts w:ascii="宋体" w:hAnsi="宋体" w:cs="宋体" w:eastAsia="宋体" w:hint="default"/>
                <w:sz w:val="18"/>
                <w:szCs w:val="18"/>
              </w:rPr>
              <w:t>借款单位</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3"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借款利率</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逾期时间</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逾期利率</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8"/>
              <w:jc w:val="right"/>
              <w:rPr>
                <w:rFonts w:ascii="Times New Roman" w:hAnsi="Times New Roman" w:cs="Times New Roman" w:eastAsia="Times New Roman" w:hint="default"/>
                <w:sz w:val="18"/>
                <w:szCs w:val="18"/>
              </w:rPr>
            </w:pPr>
            <w:r>
              <w:rPr>
                <w:rFonts w:ascii="Times New Roman"/>
                <w:sz w:val="18"/>
              </w:rPr>
              <w:t>0.00</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357" w:lineRule="auto" w:before="51"/>
        <w:ind w:right="9853"/>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32、以公允价值计量且其变动计入当期损益的金融负债" w:id="322"/>
      <w:bookmarkEnd w:id="322"/>
      <w:r>
        <w:rPr>
          <w:b w:val="0"/>
          <w:bCs w:val="0"/>
        </w:rPr>
      </w:r>
      <w:r>
        <w:rPr>
          <w:rFonts w:ascii="Times New Roman" w:hAnsi="Times New Roman" w:cs="Times New Roman" w:eastAsia="Times New Roman" w:hint="default"/>
        </w:rPr>
        <w:t>32</w:t>
      </w:r>
      <w:r>
        <w:rPr/>
        <w:t>、以公允价值计量且其变动计入当期损益的金融负债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357" w:lineRule="auto" w:before="52"/>
        <w:ind w:right="9853"/>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33、衍生金融负债" w:id="323"/>
      <w:bookmarkEnd w:id="323"/>
      <w:r>
        <w:rPr>
          <w:b w:val="0"/>
          <w:bCs w:val="0"/>
        </w:rPr>
      </w:r>
      <w:r>
        <w:rPr>
          <w:rFonts w:ascii="Times New Roman" w:hAnsi="Times New Roman" w:cs="Times New Roman" w:eastAsia="Times New Roman" w:hint="default"/>
        </w:rPr>
        <w:t>33</w:t>
      </w:r>
      <w:r>
        <w:rPr/>
        <w:t>、衍生金融负债</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154"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9"/>
        <w:rPr>
          <w:rFonts w:ascii="宋体" w:hAnsi="宋体" w:cs="宋体" w:eastAsia="宋体" w:hint="default"/>
          <w:sz w:val="25"/>
          <w:szCs w:val="25"/>
        </w:rPr>
      </w:pPr>
    </w:p>
    <w:p>
      <w:pPr>
        <w:pStyle w:val="Heading3"/>
        <w:spacing w:line="240" w:lineRule="auto"/>
        <w:ind w:left="153" w:right="0"/>
        <w:jc w:val="left"/>
        <w:rPr>
          <w:b w:val="0"/>
          <w:bCs w:val="0"/>
        </w:rPr>
      </w:pPr>
      <w:bookmarkStart w:name="34、应付票据" w:id="324"/>
      <w:bookmarkEnd w:id="324"/>
      <w:r>
        <w:rPr>
          <w:b w:val="0"/>
          <w:bCs w:val="0"/>
        </w:rPr>
      </w:r>
      <w:r>
        <w:rPr>
          <w:rFonts w:ascii="Times New Roman" w:hAnsi="Times New Roman" w:cs="Times New Roman" w:eastAsia="Times New Roman" w:hint="default"/>
        </w:rPr>
        <w:t>34</w:t>
      </w:r>
      <w:r>
        <w:rPr/>
        <w:t>、应付票据</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种类</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银行承兑汇票</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52,382,104.11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21,891,888.36</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52,382,104.11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21,891,888.36</w:t>
            </w:r>
          </w:p>
        </w:tc>
      </w:tr>
    </w:tbl>
    <w:p>
      <w:pPr>
        <w:pStyle w:val="BodyText"/>
        <w:spacing w:line="240" w:lineRule="auto" w:before="51"/>
        <w:ind w:left="154" w:right="0"/>
        <w:jc w:val="left"/>
      </w:pPr>
      <w:r>
        <w:rPr/>
        <w:t>本期末已到期未支付的应付票据总额为</w:t>
      </w:r>
      <w:r>
        <w:rPr>
          <w:spacing w:val="-46"/>
        </w:rPr>
        <w:t> </w:t>
      </w:r>
      <w:r>
        <w:rPr>
          <w:rFonts w:ascii="Times New Roman" w:hAnsi="Times New Roman" w:cs="Times New Roman" w:eastAsia="Times New Roman" w:hint="default"/>
        </w:rPr>
        <w:t>0.00</w:t>
      </w:r>
      <w:r>
        <w:rPr>
          <w:rFonts w:ascii="Times New Roman" w:hAnsi="Times New Roman" w:cs="Times New Roman" w:eastAsia="Times New Roman" w:hint="default"/>
          <w:spacing w:val="-1"/>
        </w:rPr>
        <w:t> </w:t>
      </w:r>
      <w:r>
        <w:rPr/>
        <w:t>元。</w:t>
      </w:r>
    </w:p>
    <w:p>
      <w:pPr>
        <w:spacing w:after="0" w:line="240" w:lineRule="auto"/>
        <w:jc w:val="left"/>
        <w:sectPr>
          <w:pgSz w:w="11910" w:h="16840"/>
          <w:pgMar w:header="747" w:footer="979" w:top="1060" w:bottom="1160" w:left="980" w:right="0"/>
        </w:sectPr>
      </w:pPr>
    </w:p>
    <w:p>
      <w:pPr>
        <w:spacing w:line="240" w:lineRule="auto" w:before="9"/>
        <w:rPr>
          <w:rFonts w:ascii="宋体" w:hAnsi="宋体" w:cs="宋体" w:eastAsia="宋体" w:hint="default"/>
          <w:sz w:val="24"/>
          <w:szCs w:val="24"/>
        </w:rPr>
      </w:pPr>
    </w:p>
    <w:p>
      <w:pPr>
        <w:pStyle w:val="Heading3"/>
        <w:spacing w:line="240" w:lineRule="auto" w:before="35"/>
        <w:ind w:left="153" w:right="0"/>
        <w:jc w:val="left"/>
        <w:rPr>
          <w:b w:val="0"/>
          <w:bCs w:val="0"/>
        </w:rPr>
      </w:pPr>
      <w:bookmarkStart w:name="35、应付账款" w:id="325"/>
      <w:bookmarkEnd w:id="325"/>
      <w:r>
        <w:rPr>
          <w:b w:val="0"/>
          <w:bCs w:val="0"/>
        </w:rPr>
      </w:r>
      <w:r>
        <w:rPr>
          <w:rFonts w:ascii="Times New Roman" w:hAnsi="Times New Roman" w:cs="Times New Roman" w:eastAsia="Times New Roman" w:hint="default"/>
        </w:rPr>
        <w:t>35</w:t>
      </w:r>
      <w:r>
        <w:rPr/>
        <w:t>、应付账款</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1）应付账款列示" w:id="326"/>
      <w:bookmarkEnd w:id="326"/>
      <w:r>
        <w:rPr>
          <w:b w:val="0"/>
          <w:bCs w:val="0"/>
        </w:rPr>
      </w:r>
      <w:r>
        <w:rPr/>
        <w:t>（</w:t>
      </w:r>
      <w:r>
        <w:rPr>
          <w:rFonts w:ascii="Times New Roman" w:hAnsi="Times New Roman" w:cs="Times New Roman" w:eastAsia="Times New Roman" w:hint="default"/>
        </w:rPr>
        <w:t>1</w:t>
      </w:r>
      <w:r>
        <w:rPr/>
        <w:t>）应付账款列示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材料采购</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267,469,542.19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94,460,853.66</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267,469,542.19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94,460,853.66</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账龄超过1年的重要应付账款" w:id="327"/>
      <w:bookmarkEnd w:id="327"/>
      <w:r>
        <w:rPr>
          <w:b w:val="0"/>
          <w:bCs w:val="0"/>
        </w:rPr>
      </w:r>
      <w:r>
        <w:rPr/>
        <w:t>（</w:t>
      </w:r>
      <w:r>
        <w:rPr>
          <w:rFonts w:ascii="Times New Roman" w:hAnsi="Times New Roman" w:cs="Times New Roman" w:eastAsia="Times New Roman" w:hint="default"/>
        </w:rPr>
        <w:t>2</w:t>
      </w:r>
      <w:r>
        <w:rPr/>
        <w:t>）账龄超过</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3"/>
        </w:rPr>
        <w:t> </w:t>
      </w:r>
      <w:r>
        <w:rPr/>
        <w:t>年的重要应付账款</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79"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bl>
    <w:p>
      <w:pPr>
        <w:pStyle w:val="BodyText"/>
        <w:spacing w:line="240" w:lineRule="auto" w:before="52"/>
        <w:ind w:left="154" w:right="0"/>
        <w:jc w:val="left"/>
      </w:pPr>
      <w:r>
        <w:rPr/>
        <w:t>其他说明：</w:t>
      </w:r>
    </w:p>
    <w:p>
      <w:pPr>
        <w:pStyle w:val="BodyText"/>
        <w:spacing w:line="240" w:lineRule="auto" w:before="116"/>
        <w:ind w:right="0"/>
        <w:jc w:val="left"/>
      </w:pPr>
      <w:r>
        <w:rPr/>
        <w:t>年末无账龄超过</w:t>
      </w:r>
      <w:r>
        <w:rPr>
          <w:spacing w:val="-46"/>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年的重要应付账款。</w:t>
      </w:r>
    </w:p>
    <w:p>
      <w:pPr>
        <w:spacing w:line="240" w:lineRule="auto" w:before="10"/>
        <w:rPr>
          <w:rFonts w:ascii="宋体" w:hAnsi="宋体" w:cs="宋体" w:eastAsia="宋体" w:hint="default"/>
          <w:sz w:val="25"/>
          <w:szCs w:val="25"/>
        </w:rPr>
      </w:pPr>
    </w:p>
    <w:p>
      <w:pPr>
        <w:pStyle w:val="Heading3"/>
        <w:spacing w:line="240" w:lineRule="auto"/>
        <w:ind w:left="153" w:right="0"/>
        <w:jc w:val="left"/>
        <w:rPr>
          <w:b w:val="0"/>
          <w:bCs w:val="0"/>
        </w:rPr>
      </w:pPr>
      <w:bookmarkStart w:name="36、预收款项" w:id="328"/>
      <w:bookmarkEnd w:id="328"/>
      <w:r>
        <w:rPr>
          <w:b w:val="0"/>
          <w:bCs w:val="0"/>
        </w:rPr>
      </w:r>
      <w:r>
        <w:rPr>
          <w:rFonts w:ascii="Times New Roman" w:hAnsi="Times New Roman" w:cs="Times New Roman" w:eastAsia="Times New Roman" w:hint="default"/>
        </w:rPr>
        <w:t>36</w:t>
      </w:r>
      <w:r>
        <w:rPr/>
        <w:t>、预收款项</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预收款项列示" w:id="329"/>
      <w:bookmarkEnd w:id="329"/>
      <w:r>
        <w:rPr>
          <w:b w:val="0"/>
          <w:bCs w:val="0"/>
        </w:rPr>
      </w:r>
      <w:r>
        <w:rPr/>
        <w:t>（</w:t>
      </w:r>
      <w:r>
        <w:rPr>
          <w:rFonts w:ascii="Times New Roman" w:hAnsi="Times New Roman" w:cs="Times New Roman" w:eastAsia="Times New Roman" w:hint="default"/>
        </w:rPr>
        <w:t>1</w:t>
      </w:r>
      <w:r>
        <w:rPr/>
        <w:t>）预收款项列示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预收款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57,832,410.14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23,169,815.70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57,832,410.14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23,169,815.70</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账龄超过1年的重要预收款项" w:id="330"/>
      <w:bookmarkEnd w:id="330"/>
      <w:r>
        <w:rPr>
          <w:b w:val="0"/>
          <w:bCs w:val="0"/>
        </w:rPr>
      </w:r>
      <w:r>
        <w:rPr/>
        <w:t>（</w:t>
      </w:r>
      <w:r>
        <w:rPr>
          <w:rFonts w:ascii="Times New Roman" w:hAnsi="Times New Roman" w:cs="Times New Roman" w:eastAsia="Times New Roman" w:hint="default"/>
        </w:rPr>
        <w:t>2</w:t>
      </w:r>
      <w:r>
        <w:rPr/>
        <w:t>）账龄超过</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3"/>
        </w:rPr>
        <w:t> </w:t>
      </w:r>
      <w:r>
        <w:rPr/>
        <w:t>年的重要预收款项</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79"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bl>
    <w:p>
      <w:pPr>
        <w:spacing w:line="240" w:lineRule="auto" w:before="3"/>
        <w:rPr>
          <w:rFonts w:ascii="宋体" w:hAnsi="宋体" w:cs="宋体" w:eastAsia="宋体" w:hint="default"/>
          <w:sz w:val="19"/>
          <w:szCs w:val="19"/>
        </w:rPr>
      </w:pPr>
    </w:p>
    <w:p>
      <w:pPr>
        <w:pStyle w:val="Heading3"/>
        <w:spacing w:line="240" w:lineRule="auto" w:before="35"/>
        <w:ind w:right="0"/>
        <w:jc w:val="left"/>
        <w:rPr>
          <w:b w:val="0"/>
          <w:bCs w:val="0"/>
        </w:rPr>
      </w:pPr>
      <w:bookmarkStart w:name="（3）期末建造合同形成的已结算未完工项目情况" w:id="331"/>
      <w:bookmarkEnd w:id="331"/>
      <w:r>
        <w:rPr>
          <w:b w:val="0"/>
          <w:bCs w:val="0"/>
        </w:rPr>
      </w:r>
      <w:r>
        <w:rPr/>
        <w:t>（</w:t>
      </w:r>
      <w:r>
        <w:rPr>
          <w:rFonts w:ascii="Times New Roman" w:hAnsi="Times New Roman" w:cs="Times New Roman" w:eastAsia="Times New Roman" w:hint="default"/>
        </w:rPr>
        <w:t>3</w:t>
      </w:r>
      <w:r>
        <w:rPr/>
        <w:t>）期末建造合同形成的已结算未完工项目情况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780"/>
        <w:gridCol w:w="4788"/>
      </w:tblGrid>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金额</w:t>
            </w:r>
          </w:p>
        </w:tc>
      </w:tr>
    </w:tbl>
    <w:p>
      <w:pPr>
        <w:pStyle w:val="BodyText"/>
        <w:spacing w:line="240" w:lineRule="auto" w:before="52"/>
        <w:ind w:left="154" w:right="0"/>
        <w:jc w:val="left"/>
      </w:pPr>
      <w:r>
        <w:rPr/>
        <w:t>其他说明：</w:t>
      </w:r>
    </w:p>
    <w:p>
      <w:pPr>
        <w:pStyle w:val="BodyText"/>
        <w:spacing w:line="240" w:lineRule="auto" w:before="116"/>
        <w:ind w:right="0"/>
        <w:jc w:val="left"/>
      </w:pPr>
      <w:r>
        <w:rPr/>
        <w:t>年末无账龄超过</w:t>
      </w:r>
      <w:r>
        <w:rPr>
          <w:spacing w:val="-46"/>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年的重要预收款项。</w:t>
      </w:r>
    </w:p>
    <w:p>
      <w:pPr>
        <w:spacing w:after="0" w:line="240" w:lineRule="auto"/>
        <w:jc w:val="left"/>
        <w:sectPr>
          <w:pgSz w:w="11910" w:h="16840"/>
          <w:pgMar w:header="747" w:footer="979" w:top="1060" w:bottom="1160" w:left="980" w:right="0"/>
        </w:sectPr>
      </w:pPr>
    </w:p>
    <w:p>
      <w:pPr>
        <w:spacing w:line="240" w:lineRule="auto" w:before="9"/>
        <w:rPr>
          <w:rFonts w:ascii="宋体" w:hAnsi="宋体" w:cs="宋体" w:eastAsia="宋体" w:hint="default"/>
          <w:sz w:val="24"/>
          <w:szCs w:val="24"/>
        </w:rPr>
      </w:pPr>
    </w:p>
    <w:p>
      <w:pPr>
        <w:pStyle w:val="Heading3"/>
        <w:spacing w:line="240" w:lineRule="auto" w:before="35"/>
        <w:ind w:left="153" w:right="0"/>
        <w:jc w:val="left"/>
        <w:rPr>
          <w:b w:val="0"/>
          <w:bCs w:val="0"/>
        </w:rPr>
      </w:pPr>
      <w:bookmarkStart w:name="37、应付职工薪酬" w:id="332"/>
      <w:bookmarkEnd w:id="332"/>
      <w:r>
        <w:rPr>
          <w:b w:val="0"/>
          <w:bCs w:val="0"/>
        </w:rPr>
      </w:r>
      <w:r>
        <w:rPr>
          <w:rFonts w:ascii="Times New Roman" w:hAnsi="Times New Roman" w:cs="Times New Roman" w:eastAsia="Times New Roman" w:hint="default"/>
        </w:rPr>
        <w:t>37</w:t>
      </w:r>
      <w:r>
        <w:rPr/>
        <w:t>、应付职工薪酬</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1）应付职工薪酬列示" w:id="333"/>
      <w:bookmarkEnd w:id="333"/>
      <w:r>
        <w:rPr>
          <w:b w:val="0"/>
          <w:bCs w:val="0"/>
        </w:rPr>
      </w:r>
      <w:r>
        <w:rPr/>
        <w:t>（</w:t>
      </w:r>
      <w:r>
        <w:rPr>
          <w:rFonts w:ascii="Times New Roman" w:hAnsi="Times New Roman" w:cs="Times New Roman" w:eastAsia="Times New Roman" w:hint="default"/>
        </w:rPr>
        <w:t>1</w:t>
      </w:r>
      <w:r>
        <w:rPr/>
        <w:t>）应付职工薪酬列示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889"/>
        <w:gridCol w:w="1928"/>
        <w:gridCol w:w="1914"/>
        <w:gridCol w:w="1914"/>
        <w:gridCol w:w="1914"/>
      </w:tblGrid>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0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一、短期薪酬</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31,240,438.73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145,087,035.35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145,206,041.79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31,121,432.29</w:t>
            </w:r>
          </w:p>
        </w:tc>
      </w:tr>
      <w:tr>
        <w:trPr>
          <w:trHeight w:val="714"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11" w:right="9"/>
              <w:jc w:val="left"/>
              <w:rPr>
                <w:rFonts w:ascii="宋体" w:hAnsi="宋体" w:cs="宋体" w:eastAsia="宋体" w:hint="default"/>
                <w:sz w:val="18"/>
                <w:szCs w:val="18"/>
              </w:rPr>
            </w:pPr>
            <w:r>
              <w:rPr>
                <w:rFonts w:ascii="宋体" w:hAnsi="宋体" w:cs="宋体" w:eastAsia="宋体" w:hint="default"/>
                <w:sz w:val="18"/>
                <w:szCs w:val="18"/>
              </w:rPr>
              <w:t>二、离职后福利</w:t>
            </w:r>
            <w:r>
              <w:rPr>
                <w:rFonts w:ascii="Times New Roman" w:hAnsi="Times New Roman" w:cs="Times New Roman" w:eastAsia="Times New Roman" w:hint="default"/>
                <w:sz w:val="18"/>
                <w:szCs w:val="18"/>
              </w:rPr>
              <w:t>-</w:t>
            </w:r>
            <w:r>
              <w:rPr>
                <w:rFonts w:ascii="宋体" w:hAnsi="宋体" w:cs="宋体" w:eastAsia="宋体" w:hint="default"/>
                <w:sz w:val="18"/>
                <w:szCs w:val="18"/>
              </w:rPr>
              <w:t>设定提 存计划</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21,984.06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6,949,454.09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6,957,291.86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14,146.29</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三、辞退福利</w:t>
            </w:r>
          </w:p>
        </w:tc>
        <w:tc>
          <w:tcPr>
            <w:tcW w:w="1928"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156,500.00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156,500.00</w:t>
            </w: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66"/>
              <w:jc w:val="left"/>
              <w:rPr>
                <w:rFonts w:ascii="宋体" w:hAnsi="宋体" w:cs="宋体" w:eastAsia="宋体" w:hint="default"/>
                <w:sz w:val="18"/>
                <w:szCs w:val="18"/>
              </w:rPr>
            </w:pPr>
            <w:r>
              <w:rPr>
                <w:rFonts w:ascii="宋体" w:hAnsi="宋体" w:cs="宋体" w:eastAsia="宋体" w:hint="default"/>
                <w:sz w:val="18"/>
                <w:szCs w:val="18"/>
              </w:rPr>
              <w:t>四、一年内到期的其他 福利</w:t>
            </w:r>
          </w:p>
        </w:tc>
        <w:tc>
          <w:tcPr>
            <w:tcW w:w="1928"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3,360.52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3,360.52</w:t>
            </w: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31,262,422.79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152,196,349.96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152,323,194.17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31,135,578.58</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短期薪酬列示" w:id="334"/>
      <w:bookmarkEnd w:id="334"/>
      <w:r>
        <w:rPr>
          <w:b w:val="0"/>
          <w:bCs w:val="0"/>
        </w:rPr>
      </w:r>
      <w:r>
        <w:rPr/>
        <w:t>（</w:t>
      </w:r>
      <w:r>
        <w:rPr>
          <w:rFonts w:ascii="Times New Roman" w:hAnsi="Times New Roman" w:cs="Times New Roman" w:eastAsia="Times New Roman" w:hint="default"/>
        </w:rPr>
        <w:t>2</w:t>
      </w:r>
      <w:r>
        <w:rPr/>
        <w:t>）短期薪酬列示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889"/>
        <w:gridCol w:w="1928"/>
        <w:gridCol w:w="1914"/>
        <w:gridCol w:w="1914"/>
        <w:gridCol w:w="1914"/>
      </w:tblGrid>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0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714"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11" w:right="9"/>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、工资、奖金、津贴和</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补贴</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31,234,600.60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134,707,979.26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134,833,982.97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31,108,596.89</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、职工福利费</w:t>
            </w:r>
          </w:p>
        </w:tc>
        <w:tc>
          <w:tcPr>
            <w:tcW w:w="1928"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3,600,921.57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3,594,621.57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6,300.00</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、社会保险费</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5,838.13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3,288,425.38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3,288,023.11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6,240.40</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66"/>
              <w:jc w:val="right"/>
              <w:rPr>
                <w:rFonts w:ascii="宋体" w:hAnsi="宋体" w:cs="宋体" w:eastAsia="宋体" w:hint="default"/>
                <w:sz w:val="18"/>
                <w:szCs w:val="18"/>
              </w:rPr>
            </w:pPr>
            <w:r>
              <w:rPr>
                <w:rFonts w:ascii="宋体" w:hAnsi="宋体" w:cs="宋体" w:eastAsia="宋体" w:hint="default"/>
                <w:sz w:val="18"/>
                <w:szCs w:val="18"/>
              </w:rPr>
              <w:t>其中：医疗保险费</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5,663.75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2,890,266.57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2,889,965.45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5,964.87</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65"/>
              <w:jc w:val="right"/>
              <w:rPr>
                <w:rFonts w:ascii="宋体" w:hAnsi="宋体" w:cs="宋体" w:eastAsia="宋体" w:hint="default"/>
                <w:sz w:val="18"/>
                <w:szCs w:val="18"/>
              </w:rPr>
            </w:pPr>
            <w:r>
              <w:rPr>
                <w:rFonts w:ascii="宋体" w:hAnsi="宋体" w:cs="宋体" w:eastAsia="宋体" w:hint="default"/>
                <w:sz w:val="18"/>
                <w:szCs w:val="18"/>
              </w:rPr>
              <w:t>工伤保险费</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174.38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131,218.14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131,116.99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275.53</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65"/>
              <w:jc w:val="right"/>
              <w:rPr>
                <w:rFonts w:ascii="宋体" w:hAnsi="宋体" w:cs="宋体" w:eastAsia="宋体" w:hint="default"/>
                <w:sz w:val="18"/>
                <w:szCs w:val="18"/>
              </w:rPr>
            </w:pPr>
            <w:r>
              <w:rPr>
                <w:rFonts w:ascii="宋体" w:hAnsi="宋体" w:cs="宋体" w:eastAsia="宋体" w:hint="default"/>
                <w:sz w:val="18"/>
                <w:szCs w:val="18"/>
              </w:rPr>
              <w:t>生育保险费</w:t>
            </w:r>
          </w:p>
        </w:tc>
        <w:tc>
          <w:tcPr>
            <w:tcW w:w="1928"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266,940.67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266,940.67</w:t>
            </w: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、住房公积金</w:t>
            </w:r>
          </w:p>
        </w:tc>
        <w:tc>
          <w:tcPr>
            <w:tcW w:w="1928"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2,926,585.42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2,926,585.42</w:t>
            </w: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11" w:right="9"/>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5</w:t>
            </w:r>
            <w:r>
              <w:rPr>
                <w:rFonts w:ascii="宋体" w:hAnsi="宋体" w:cs="宋体" w:eastAsia="宋体" w:hint="default"/>
                <w:spacing w:val="-4"/>
                <w:sz w:val="18"/>
                <w:szCs w:val="18"/>
              </w:rPr>
              <w:t>、工会经费和职工教育</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经费</w:t>
            </w:r>
          </w:p>
        </w:tc>
        <w:tc>
          <w:tcPr>
            <w:tcW w:w="1928"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563,123.72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562,828.72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295.00</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31,240,438.73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145,087,035.35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145,206,041.79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31,121,432.29</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3）设定提存计划列示" w:id="335"/>
      <w:bookmarkEnd w:id="335"/>
      <w:r>
        <w:rPr>
          <w:b w:val="0"/>
          <w:bCs w:val="0"/>
        </w:rPr>
      </w:r>
      <w:r>
        <w:rPr/>
        <w:t>（</w:t>
      </w:r>
      <w:r>
        <w:rPr>
          <w:rFonts w:ascii="Times New Roman" w:hAnsi="Times New Roman" w:cs="Times New Roman" w:eastAsia="Times New Roman" w:hint="default"/>
        </w:rPr>
        <w:t>3</w:t>
      </w:r>
      <w:r>
        <w:rPr/>
        <w:t>）设定提存计划列示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889"/>
        <w:gridCol w:w="1928"/>
        <w:gridCol w:w="1914"/>
        <w:gridCol w:w="1914"/>
        <w:gridCol w:w="1914"/>
      </w:tblGrid>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0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、基本养老保险</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14,304.80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6,622,059.38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6,629,789.80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6,574.38</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、失业保险费</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7,679.26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327,394.71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327,502.06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7,571.91</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21,984.06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6,949,454.09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6,957,291.86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14,146.29</w:t>
            </w:r>
          </w:p>
        </w:tc>
      </w:tr>
    </w:tbl>
    <w:p>
      <w:pPr>
        <w:pStyle w:val="BodyText"/>
        <w:spacing w:line="240" w:lineRule="auto" w:before="51"/>
        <w:ind w:left="154" w:right="0"/>
        <w:jc w:val="left"/>
      </w:pPr>
      <w:r>
        <w:rPr/>
        <w:t>其他说明：</w:t>
      </w:r>
    </w:p>
    <w:p>
      <w:pPr>
        <w:spacing w:after="0" w:line="240"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19" w:lineRule="auto" w:before="44"/>
        <w:ind w:right="1033"/>
        <w:jc w:val="left"/>
      </w:pPr>
      <w:r>
        <w:rPr/>
        <w:t>本公司按规定参加由政府机构设立的养老保险、失业保险计划。除上述每月缴存费用外，本公司不再承担进一步支付义务。</w:t>
      </w:r>
      <w:r>
        <w:rPr>
          <w:spacing w:val="-85"/>
        </w:rPr>
        <w:t> </w:t>
      </w:r>
      <w:r>
        <w:rPr>
          <w:spacing w:val="-85"/>
        </w:rPr>
      </w:r>
      <w:r>
        <w:rPr/>
        <w:t>相应的支出于发生时计入当期损益或相关资产的成本。</w:t>
      </w:r>
    </w:p>
    <w:p>
      <w:pPr>
        <w:spacing w:line="240" w:lineRule="auto" w:before="3"/>
        <w:rPr>
          <w:rFonts w:ascii="宋体" w:hAnsi="宋体" w:cs="宋体" w:eastAsia="宋体" w:hint="default"/>
          <w:sz w:val="22"/>
          <w:szCs w:val="22"/>
        </w:rPr>
      </w:pPr>
    </w:p>
    <w:p>
      <w:pPr>
        <w:pStyle w:val="Heading3"/>
        <w:spacing w:line="240" w:lineRule="auto"/>
        <w:ind w:left="153" w:right="0"/>
        <w:jc w:val="left"/>
        <w:rPr>
          <w:b w:val="0"/>
          <w:bCs w:val="0"/>
        </w:rPr>
      </w:pPr>
      <w:bookmarkStart w:name="38、应交税费" w:id="336"/>
      <w:bookmarkEnd w:id="336"/>
      <w:r>
        <w:rPr>
          <w:b w:val="0"/>
          <w:bCs w:val="0"/>
        </w:rPr>
      </w:r>
      <w:r>
        <w:rPr>
          <w:rFonts w:ascii="Times New Roman" w:hAnsi="Times New Roman" w:cs="Times New Roman" w:eastAsia="Times New Roman" w:hint="default"/>
        </w:rPr>
        <w:t>38</w:t>
      </w:r>
      <w:r>
        <w:rPr/>
        <w:t>、应交税费</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1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44,738,446.78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17,277,677.98</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1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16,670,172.06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20,015,558.84</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个人所得税</w:t>
            </w:r>
          </w:p>
        </w:tc>
        <w:tc>
          <w:tcPr>
            <w:tcW w:w="31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508,221.29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474,625.44</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1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2,970,336.15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797,370.56</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1,273,001.17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341,730.24</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地方教育附加</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848,667.45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227,820.16</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349,763.09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437,865.99</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67,358,607.99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39,572,649.21</w:t>
            </w:r>
          </w:p>
        </w:tc>
      </w:tr>
    </w:tbl>
    <w:p>
      <w:pPr>
        <w:pStyle w:val="BodyText"/>
        <w:spacing w:line="357" w:lineRule="auto" w:before="51"/>
        <w:ind w:right="9853"/>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39、应付利息" w:id="337"/>
      <w:bookmarkEnd w:id="337"/>
      <w:r>
        <w:rPr>
          <w:b w:val="0"/>
          <w:bCs w:val="0"/>
        </w:rPr>
      </w:r>
      <w:r>
        <w:rPr>
          <w:rFonts w:ascii="Times New Roman" w:hAnsi="Times New Roman" w:cs="Times New Roman" w:eastAsia="Times New Roman" w:hint="default"/>
        </w:rPr>
        <w:t>39</w:t>
      </w:r>
      <w:r>
        <w:rPr/>
        <w:t>、应付利息</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短期借款应付利息</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140,995.89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38,095.89</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140,995.89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38,095.89</w:t>
            </w:r>
          </w:p>
        </w:tc>
      </w:tr>
    </w:tbl>
    <w:p>
      <w:pPr>
        <w:pStyle w:val="BodyText"/>
        <w:spacing w:line="240" w:lineRule="auto" w:before="51"/>
        <w:ind w:left="154" w:right="0"/>
        <w:jc w:val="left"/>
      </w:pPr>
      <w:r>
        <w:rPr/>
        <w:t>重要的已逾期未支付的利息情况：</w:t>
      </w:r>
    </w:p>
    <w:p>
      <w:pPr>
        <w:pStyle w:val="BodyText"/>
        <w:spacing w:line="240" w:lineRule="auto" w:before="117"/>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借款单位</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逾期金额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逾期原因</w:t>
            </w:r>
          </w:p>
        </w:tc>
      </w:tr>
    </w:tbl>
    <w:p>
      <w:pPr>
        <w:pStyle w:val="BodyText"/>
        <w:spacing w:line="357" w:lineRule="auto" w:before="51"/>
        <w:ind w:right="9853"/>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40、应付股利" w:id="338"/>
      <w:bookmarkEnd w:id="338"/>
      <w:r>
        <w:rPr>
          <w:b w:val="0"/>
          <w:bCs w:val="0"/>
        </w:rPr>
      </w:r>
      <w:r>
        <w:rPr>
          <w:rFonts w:ascii="Times New Roman" w:hAnsi="Times New Roman" w:cs="Times New Roman" w:eastAsia="Times New Roman" w:hint="default"/>
        </w:rPr>
        <w:t>40</w:t>
      </w:r>
      <w:r>
        <w:rPr/>
        <w:t>、应付股利</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339,480.00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339,480.00</w:t>
            </w:r>
          </w:p>
        </w:tc>
        <w:tc>
          <w:tcPr>
            <w:tcW w:w="3189" w:type="dxa"/>
            <w:tcBorders>
              <w:top w:val="single" w:sz="4" w:space="0" w:color="000000"/>
              <w:left w:val="single" w:sz="4" w:space="0" w:color="000000"/>
              <w:bottom w:val="single" w:sz="4" w:space="0" w:color="000000"/>
              <w:right w:val="single" w:sz="4" w:space="0" w:color="000000"/>
            </w:tcBorders>
          </w:tcPr>
          <w:p>
            <w:pPr/>
          </w:p>
        </w:tc>
      </w:tr>
    </w:tbl>
    <w:p>
      <w:pPr>
        <w:pStyle w:val="BodyText"/>
        <w:spacing w:line="338" w:lineRule="auto" w:before="51"/>
        <w:ind w:right="4995"/>
        <w:jc w:val="left"/>
      </w:pPr>
      <w:r>
        <w:rPr/>
        <w:t>其他说明，包括重要的超过</w:t>
      </w:r>
      <w:r>
        <w:rPr>
          <w:spacing w:val="-46"/>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年未支付的应付股利，应披露未支付原因： 无。</w:t>
      </w:r>
    </w:p>
    <w:p>
      <w:pPr>
        <w:spacing w:after="0" w:line="338" w:lineRule="auto"/>
        <w:jc w:val="left"/>
        <w:sectPr>
          <w:pgSz w:w="11910" w:h="16840"/>
          <w:pgMar w:header="747" w:footer="979"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5"/>
        <w:ind w:left="153" w:right="0"/>
        <w:jc w:val="left"/>
        <w:rPr>
          <w:b w:val="0"/>
          <w:bCs w:val="0"/>
        </w:rPr>
      </w:pPr>
      <w:bookmarkStart w:name="41、其他应付款" w:id="339"/>
      <w:bookmarkEnd w:id="339"/>
      <w:r>
        <w:rPr>
          <w:b w:val="0"/>
          <w:bCs w:val="0"/>
        </w:rPr>
      </w:r>
      <w:r>
        <w:rPr>
          <w:rFonts w:ascii="Times New Roman" w:hAnsi="Times New Roman" w:cs="Times New Roman" w:eastAsia="Times New Roman" w:hint="default"/>
        </w:rPr>
        <w:t>41</w:t>
      </w:r>
      <w:r>
        <w:rPr/>
        <w:t>、其他应付款</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按款项性质列示其他应付款" w:id="340"/>
      <w:bookmarkEnd w:id="340"/>
      <w:r>
        <w:rPr>
          <w:b w:val="0"/>
          <w:bCs w:val="0"/>
        </w:rPr>
      </w:r>
      <w:r>
        <w:rPr/>
        <w:t>（</w:t>
      </w:r>
      <w:r>
        <w:rPr>
          <w:rFonts w:ascii="Times New Roman" w:hAnsi="Times New Roman" w:cs="Times New Roman" w:eastAsia="Times New Roman" w:hint="default"/>
        </w:rPr>
        <w:t>1</w:t>
      </w:r>
      <w:r>
        <w:rPr/>
        <w:t>）按款项性质列示其他应付款</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设备购置款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1,942,256.09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75,443.60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3,830,151.49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1,222,104.99</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质量保证金</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939,466.22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2,490,058.71</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待支付费用款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14,250,267.61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4,703,540.53</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应付股权收购款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75,000,000.00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年股权激励计划</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17,642,220.00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28,377,600.00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5,798,171.92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7,504,822.30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44,402,533.33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119,373,570.13</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账龄超过1年的重要其他应付款" w:id="341"/>
      <w:bookmarkEnd w:id="341"/>
      <w:r>
        <w:rPr>
          <w:b w:val="0"/>
          <w:bCs w:val="0"/>
        </w:rPr>
      </w:r>
      <w:r>
        <w:rPr/>
        <w:t>（</w:t>
      </w:r>
      <w:r>
        <w:rPr>
          <w:rFonts w:ascii="Times New Roman" w:hAnsi="Times New Roman" w:cs="Times New Roman" w:eastAsia="Times New Roman" w:hint="default"/>
        </w:rPr>
        <w:t>2</w:t>
      </w:r>
      <w:r>
        <w:rPr/>
        <w:t>）账龄超过</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3"/>
        </w:rPr>
        <w:t> </w:t>
      </w:r>
      <w:r>
        <w:rPr/>
        <w:t>年的重要其他应付款</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79"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bl>
    <w:p>
      <w:pPr>
        <w:pStyle w:val="BodyText"/>
        <w:spacing w:line="240" w:lineRule="auto" w:before="52"/>
        <w:ind w:left="154" w:right="0"/>
        <w:jc w:val="left"/>
      </w:pPr>
      <w:r>
        <w:rPr/>
        <w:t>其他说明</w:t>
      </w:r>
    </w:p>
    <w:p>
      <w:pPr>
        <w:pStyle w:val="BodyText"/>
        <w:spacing w:line="240" w:lineRule="auto" w:before="116"/>
        <w:ind w:right="0"/>
        <w:jc w:val="left"/>
      </w:pPr>
      <w:r>
        <w:rPr/>
        <w:t>年末无账龄超过</w:t>
      </w:r>
      <w:r>
        <w:rPr>
          <w:spacing w:val="-46"/>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年的重要其他应付款。</w:t>
      </w:r>
    </w:p>
    <w:p>
      <w:pPr>
        <w:spacing w:line="240" w:lineRule="auto" w:before="10"/>
        <w:rPr>
          <w:rFonts w:ascii="宋体" w:hAnsi="宋体" w:cs="宋体" w:eastAsia="宋体" w:hint="default"/>
          <w:sz w:val="25"/>
          <w:szCs w:val="25"/>
        </w:rPr>
      </w:pPr>
    </w:p>
    <w:p>
      <w:pPr>
        <w:pStyle w:val="Heading3"/>
        <w:spacing w:line="240" w:lineRule="auto"/>
        <w:ind w:left="153" w:right="0"/>
        <w:jc w:val="left"/>
        <w:rPr>
          <w:b w:val="0"/>
          <w:bCs w:val="0"/>
        </w:rPr>
      </w:pPr>
      <w:bookmarkStart w:name="42、持有待售的负债" w:id="342"/>
      <w:bookmarkEnd w:id="342"/>
      <w:r>
        <w:rPr>
          <w:b w:val="0"/>
          <w:bCs w:val="0"/>
        </w:rPr>
      </w:r>
      <w:r>
        <w:rPr>
          <w:rFonts w:ascii="Times New Roman" w:hAnsi="Times New Roman" w:cs="Times New Roman" w:eastAsia="Times New Roman" w:hint="default"/>
        </w:rPr>
        <w:t>42</w:t>
      </w:r>
      <w:r>
        <w:rPr/>
        <w:t>、持有待售的负债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357" w:lineRule="auto" w:before="51"/>
        <w:ind w:right="9853"/>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43、一年内到期的非流动负债" w:id="343"/>
      <w:bookmarkEnd w:id="343"/>
      <w:r>
        <w:rPr>
          <w:b w:val="0"/>
          <w:bCs w:val="0"/>
        </w:rPr>
      </w:r>
      <w:r>
        <w:rPr>
          <w:rFonts w:ascii="Times New Roman" w:hAnsi="Times New Roman" w:cs="Times New Roman" w:eastAsia="Times New Roman" w:hint="default"/>
        </w:rPr>
        <w:t>43</w:t>
      </w:r>
      <w:r>
        <w:rPr/>
        <w:t>、一年内到期的非流动负债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357" w:lineRule="auto" w:before="51"/>
        <w:ind w:right="9853"/>
        <w:jc w:val="left"/>
      </w:pPr>
      <w:r>
        <w:rPr/>
        <w:t>其他说明： 无。</w:t>
      </w:r>
    </w:p>
    <w:p>
      <w:pPr>
        <w:spacing w:line="240" w:lineRule="auto" w:before="3"/>
        <w:rPr>
          <w:rFonts w:ascii="宋体" w:hAnsi="宋体" w:cs="宋体" w:eastAsia="宋体" w:hint="default"/>
          <w:sz w:val="20"/>
          <w:szCs w:val="20"/>
        </w:rPr>
      </w:pPr>
    </w:p>
    <w:p>
      <w:pPr>
        <w:pStyle w:val="Heading3"/>
        <w:spacing w:line="240" w:lineRule="auto"/>
        <w:ind w:right="0"/>
        <w:jc w:val="left"/>
        <w:rPr>
          <w:b w:val="0"/>
          <w:bCs w:val="0"/>
        </w:rPr>
      </w:pPr>
      <w:bookmarkStart w:name="44、其他流动负债" w:id="344"/>
      <w:bookmarkEnd w:id="344"/>
      <w:r>
        <w:rPr>
          <w:b w:val="0"/>
          <w:bCs w:val="0"/>
        </w:rPr>
      </w:r>
      <w:r>
        <w:rPr>
          <w:rFonts w:ascii="Times New Roman" w:hAnsi="Times New Roman" w:cs="Times New Roman" w:eastAsia="Times New Roman" w:hint="default"/>
        </w:rPr>
        <w:t>44</w:t>
      </w:r>
      <w:r>
        <w:rPr/>
        <w:t>、其他流动负债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after="0" w:line="240" w:lineRule="auto"/>
        <w:jc w:val="right"/>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240" w:lineRule="auto" w:before="51"/>
        <w:ind w:left="154" w:right="0"/>
        <w:jc w:val="left"/>
      </w:pPr>
      <w:r>
        <w:rPr/>
        <w:t>短期应付债券的增减变动：</w:t>
      </w:r>
    </w:p>
    <w:p>
      <w:pPr>
        <w:pStyle w:val="BodyText"/>
        <w:spacing w:line="240" w:lineRule="auto" w:before="117"/>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798"/>
        <w:gridCol w:w="798"/>
        <w:gridCol w:w="798"/>
        <w:gridCol w:w="798"/>
        <w:gridCol w:w="798"/>
        <w:gridCol w:w="798"/>
        <w:gridCol w:w="798"/>
        <w:gridCol w:w="798"/>
        <w:gridCol w:w="798"/>
        <w:gridCol w:w="798"/>
        <w:gridCol w:w="798"/>
        <w:gridCol w:w="798"/>
      </w:tblGrid>
      <w:tr>
        <w:trPr>
          <w:trHeight w:val="714" w:hRule="exact"/>
        </w:trPr>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债券名称</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13" w:right="0"/>
              <w:jc w:val="left"/>
              <w:rPr>
                <w:rFonts w:ascii="宋体" w:hAnsi="宋体" w:cs="宋体" w:eastAsia="宋体" w:hint="default"/>
                <w:sz w:val="18"/>
                <w:szCs w:val="18"/>
              </w:rPr>
            </w:pPr>
            <w:r>
              <w:rPr>
                <w:rFonts w:ascii="宋体" w:hAnsi="宋体" w:cs="宋体" w:eastAsia="宋体" w:hint="default"/>
                <w:sz w:val="18"/>
                <w:szCs w:val="18"/>
              </w:rPr>
              <w:t>面值</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发行日期</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债券期限</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发行金额</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本期发行</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23" w:right="32" w:hanging="90"/>
              <w:jc w:val="left"/>
              <w:rPr>
                <w:rFonts w:ascii="宋体" w:hAnsi="宋体" w:cs="宋体" w:eastAsia="宋体" w:hint="default"/>
                <w:sz w:val="18"/>
                <w:szCs w:val="18"/>
              </w:rPr>
            </w:pPr>
            <w:r>
              <w:rPr>
                <w:rFonts w:ascii="宋体" w:hAnsi="宋体" w:cs="宋体" w:eastAsia="宋体" w:hint="default"/>
                <w:sz w:val="18"/>
                <w:szCs w:val="18"/>
              </w:rPr>
              <w:t>按面值计 提利息</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303" w:right="33" w:hanging="270"/>
              <w:jc w:val="left"/>
              <w:rPr>
                <w:rFonts w:ascii="宋体" w:hAnsi="宋体" w:cs="宋体" w:eastAsia="宋体" w:hint="default"/>
                <w:sz w:val="18"/>
                <w:szCs w:val="18"/>
              </w:rPr>
            </w:pPr>
            <w:r>
              <w:rPr>
                <w:rFonts w:ascii="宋体" w:hAnsi="宋体" w:cs="宋体" w:eastAsia="宋体" w:hint="default"/>
                <w:sz w:val="18"/>
                <w:szCs w:val="18"/>
              </w:rPr>
              <w:t>溢折价摊 销</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本期偿还</w:t>
            </w:r>
          </w:p>
        </w:tc>
        <w:tc>
          <w:tcPr>
            <w:tcW w:w="798"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期末余额</w:t>
            </w:r>
          </w:p>
        </w:tc>
      </w:tr>
    </w:tbl>
    <w:p>
      <w:pPr>
        <w:pStyle w:val="BodyText"/>
        <w:spacing w:line="357" w:lineRule="auto" w:before="52"/>
        <w:ind w:right="9853"/>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45、长期借款" w:id="345"/>
      <w:bookmarkEnd w:id="345"/>
      <w:r>
        <w:rPr>
          <w:b w:val="0"/>
          <w:bCs w:val="0"/>
        </w:rPr>
      </w:r>
      <w:r>
        <w:rPr>
          <w:rFonts w:ascii="Times New Roman" w:hAnsi="Times New Roman" w:cs="Times New Roman" w:eastAsia="Times New Roman" w:hint="default"/>
        </w:rPr>
        <w:t>45</w:t>
      </w:r>
      <w:r>
        <w:rPr/>
        <w:t>、长期借款</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长期借款分类" w:id="346"/>
      <w:bookmarkEnd w:id="346"/>
      <w:r>
        <w:rPr>
          <w:b w:val="0"/>
          <w:bCs w:val="0"/>
        </w:rPr>
      </w:r>
      <w:r>
        <w:rPr/>
        <w:t>（</w:t>
      </w:r>
      <w:r>
        <w:rPr>
          <w:rFonts w:ascii="Times New Roman" w:hAnsi="Times New Roman" w:cs="Times New Roman" w:eastAsia="Times New Roman" w:hint="default"/>
        </w:rPr>
        <w:t>1</w:t>
      </w:r>
      <w:r>
        <w:rPr/>
        <w:t>）长期借款分类</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357" w:lineRule="auto" w:before="51"/>
        <w:ind w:left="154" w:right="8952"/>
        <w:jc w:val="left"/>
      </w:pPr>
      <w:r>
        <w:rPr/>
        <w:t>长期借款分类的说明： 无。</w:t>
      </w:r>
    </w:p>
    <w:p>
      <w:pPr>
        <w:pStyle w:val="BodyText"/>
        <w:spacing w:line="357" w:lineRule="auto" w:before="29"/>
        <w:ind w:left="154" w:right="8592"/>
        <w:jc w:val="left"/>
      </w:pPr>
      <w:r>
        <w:rPr/>
        <w:t>其他说明，包括利率区间：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46、应付债券" w:id="347"/>
      <w:bookmarkEnd w:id="347"/>
      <w:r>
        <w:rPr>
          <w:b w:val="0"/>
          <w:bCs w:val="0"/>
        </w:rPr>
      </w:r>
      <w:r>
        <w:rPr>
          <w:rFonts w:ascii="Times New Roman" w:hAnsi="Times New Roman" w:cs="Times New Roman" w:eastAsia="Times New Roman" w:hint="default"/>
        </w:rPr>
        <w:t>46</w:t>
      </w:r>
      <w:r>
        <w:rPr/>
        <w:t>、应付债券</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1）应付债券" w:id="348"/>
      <w:bookmarkEnd w:id="348"/>
      <w:r>
        <w:rPr>
          <w:b w:val="0"/>
          <w:bCs w:val="0"/>
        </w:rPr>
      </w:r>
      <w:r>
        <w:rPr/>
        <w:t>（</w:t>
      </w:r>
      <w:r>
        <w:rPr>
          <w:rFonts w:ascii="Times New Roman" w:hAnsi="Times New Roman" w:cs="Times New Roman" w:eastAsia="Times New Roman" w:hint="default"/>
        </w:rPr>
        <w:t>1</w:t>
      </w:r>
      <w:r>
        <w:rPr/>
        <w:t>）应付债券</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应付债券的增减变动（不包括划分为金融负债的优先股、永续债等其他金融工具）" w:id="349"/>
      <w:bookmarkEnd w:id="349"/>
      <w:r>
        <w:rPr>
          <w:b w:val="0"/>
          <w:bCs w:val="0"/>
        </w:rPr>
      </w:r>
      <w:r>
        <w:rPr/>
        <w:t>（</w:t>
      </w:r>
      <w:r>
        <w:rPr>
          <w:rFonts w:ascii="Times New Roman" w:hAnsi="Times New Roman" w:cs="Times New Roman" w:eastAsia="Times New Roman" w:hint="default"/>
        </w:rPr>
        <w:t>2</w:t>
      </w:r>
      <w:r>
        <w:rPr/>
        <w:t>）应付债券的增减变动（不包括划分为金融负债的优先股、永续债等其他金融工具）</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2"/>
        <w:rPr>
          <w:rFonts w:ascii="宋体" w:hAnsi="宋体" w:cs="宋体" w:eastAsia="宋体" w:hint="default"/>
          <w:sz w:val="24"/>
          <w:szCs w:val="24"/>
        </w:rPr>
      </w:pPr>
    </w:p>
    <w:p>
      <w:pPr>
        <w:pStyle w:val="Heading3"/>
        <w:spacing w:line="240" w:lineRule="auto" w:before="35"/>
        <w:ind w:left="153" w:right="0"/>
        <w:jc w:val="left"/>
        <w:rPr>
          <w:b w:val="0"/>
          <w:bCs w:val="0"/>
        </w:rPr>
      </w:pPr>
      <w:bookmarkStart w:name="（3）可转换公司债券的转股条件、转股时间说明" w:id="350"/>
      <w:bookmarkEnd w:id="350"/>
      <w:r>
        <w:rPr>
          <w:b w:val="0"/>
          <w:bCs w:val="0"/>
        </w:rPr>
      </w:r>
      <w:r>
        <w:rPr/>
        <w:t>（</w:t>
      </w:r>
      <w:r>
        <w:rPr>
          <w:rFonts w:ascii="Times New Roman" w:hAnsi="Times New Roman" w:cs="Times New Roman" w:eastAsia="Times New Roman" w:hint="default"/>
        </w:rPr>
        <w:t>3</w:t>
      </w:r>
      <w:r>
        <w:rPr/>
        <w:t>）可转换公司债券的转股条件、转股时间说明</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4）划分为金融负债的其他金融工具说明" w:id="351"/>
      <w:bookmarkEnd w:id="351"/>
      <w:r>
        <w:rPr>
          <w:b w:val="0"/>
          <w:bCs w:val="0"/>
        </w:rPr>
      </w:r>
      <w:r>
        <w:rPr/>
        <w:t>（</w:t>
      </w:r>
      <w:r>
        <w:rPr>
          <w:rFonts w:ascii="Times New Roman" w:hAnsi="Times New Roman" w:cs="Times New Roman" w:eastAsia="Times New Roman" w:hint="default"/>
        </w:rPr>
        <w:t>4</w:t>
      </w:r>
      <w:r>
        <w:rPr/>
        <w:t>）划分为金融负债的其他金融工具说明</w:t>
      </w:r>
      <w:r>
        <w:rPr>
          <w:b w:val="0"/>
          <w:bCs w:val="0"/>
        </w:rPr>
      </w:r>
    </w:p>
    <w:p>
      <w:pPr>
        <w:spacing w:line="240" w:lineRule="auto" w:before="4"/>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747" w:footer="979" w:top="1060" w:bottom="1160" w:left="980" w:right="0"/>
        </w:sectPr>
      </w:pPr>
    </w:p>
    <w:p>
      <w:pPr>
        <w:pStyle w:val="BodyText"/>
        <w:spacing w:line="357" w:lineRule="auto" w:before="44"/>
        <w:ind w:left="154" w:right="-20"/>
        <w:jc w:val="left"/>
      </w:pPr>
      <w:r>
        <w:rPr/>
        <w:t>期末发行在外的优先股、永续债等其他金融工具基本情况 无。 期末发行在外的优先股、永续债等金融工具变动情况表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BodyText"/>
        <w:spacing w:line="240" w:lineRule="auto" w:before="158"/>
        <w:ind w:right="0"/>
        <w:jc w:val="left"/>
      </w:pPr>
      <w:r>
        <w:rPr/>
        <w:t>单位： 元</w:t>
      </w:r>
    </w:p>
    <w:p>
      <w:pPr>
        <w:spacing w:after="0" w:line="240" w:lineRule="auto"/>
        <w:jc w:val="left"/>
        <w:sectPr>
          <w:type w:val="continuous"/>
          <w:pgSz w:w="11910" w:h="16840"/>
          <w:pgMar w:top="1060" w:bottom="1160" w:left="980" w:right="0"/>
          <w:cols w:num="2" w:equalWidth="0">
            <w:col w:w="4655" w:space="4175"/>
            <w:col w:w="2100"/>
          </w:cols>
        </w:sectPr>
      </w:pP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066"/>
        <w:gridCol w:w="2130"/>
        <w:gridCol w:w="2126"/>
        <w:gridCol w:w="2124"/>
        <w:gridCol w:w="2113"/>
      </w:tblGrid>
      <w:tr>
        <w:trPr>
          <w:trHeight w:val="402" w:hRule="exact"/>
        </w:trPr>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76" w:right="0"/>
              <w:jc w:val="left"/>
              <w:rPr>
                <w:rFonts w:ascii="宋体" w:hAnsi="宋体" w:cs="宋体" w:eastAsia="宋体" w:hint="default"/>
                <w:sz w:val="18"/>
                <w:szCs w:val="18"/>
              </w:rPr>
            </w:pPr>
            <w:r>
              <w:rPr>
                <w:rFonts w:ascii="宋体" w:hAnsi="宋体" w:cs="宋体" w:eastAsia="宋体" w:hint="default"/>
                <w:sz w:val="18"/>
                <w:szCs w:val="18"/>
              </w:rPr>
              <w:t>发行在外的</w:t>
            </w:r>
          </w:p>
        </w:tc>
        <w:tc>
          <w:tcPr>
            <w:tcW w:w="21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w:t>
            </w:r>
          </w:p>
        </w:tc>
        <w:tc>
          <w:tcPr>
            <w:tcW w:w="21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97"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21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95"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21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 w:right="0"/>
              <w:jc w:val="center"/>
              <w:rPr>
                <w:rFonts w:ascii="宋体" w:hAnsi="宋体" w:cs="宋体" w:eastAsia="宋体" w:hint="default"/>
                <w:sz w:val="18"/>
                <w:szCs w:val="18"/>
              </w:rPr>
            </w:pPr>
            <w:r>
              <w:rPr>
                <w:rFonts w:ascii="宋体" w:hAnsi="宋体" w:cs="宋体" w:eastAsia="宋体" w:hint="default"/>
                <w:sz w:val="18"/>
                <w:szCs w:val="18"/>
              </w:rPr>
              <w:t>期末</w:t>
            </w:r>
          </w:p>
        </w:tc>
      </w:tr>
    </w:tbl>
    <w:p>
      <w:pPr>
        <w:spacing w:after="0" w:line="240" w:lineRule="auto"/>
        <w:jc w:val="center"/>
        <w:rPr>
          <w:rFonts w:ascii="宋体" w:hAnsi="宋体" w:cs="宋体" w:eastAsia="宋体" w:hint="default"/>
          <w:sz w:val="18"/>
          <w:szCs w:val="18"/>
        </w:rPr>
        <w:sectPr>
          <w:type w:val="continuous"/>
          <w:pgSz w:w="11910" w:h="16840"/>
          <w:pgMar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066"/>
        <w:gridCol w:w="1067"/>
        <w:gridCol w:w="1063"/>
        <w:gridCol w:w="1062"/>
        <w:gridCol w:w="1063"/>
        <w:gridCol w:w="1062"/>
        <w:gridCol w:w="1062"/>
        <w:gridCol w:w="1062"/>
        <w:gridCol w:w="1051"/>
      </w:tblGrid>
      <w:tr>
        <w:trPr>
          <w:trHeight w:val="402" w:hRule="exact"/>
        </w:trPr>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66" w:right="0"/>
              <w:jc w:val="left"/>
              <w:rPr>
                <w:rFonts w:ascii="宋体" w:hAnsi="宋体" w:cs="宋体" w:eastAsia="宋体" w:hint="default"/>
                <w:sz w:val="18"/>
                <w:szCs w:val="18"/>
              </w:rPr>
            </w:pPr>
            <w:r>
              <w:rPr>
                <w:rFonts w:ascii="宋体" w:hAnsi="宋体" w:cs="宋体" w:eastAsia="宋体" w:hint="default"/>
                <w:sz w:val="18"/>
                <w:szCs w:val="18"/>
              </w:rPr>
              <w:t>金融工具</w:t>
            </w:r>
          </w:p>
        </w:tc>
        <w:tc>
          <w:tcPr>
            <w:tcW w:w="10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47"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5"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45"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6"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45"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5"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45"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5"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pStyle w:val="BodyText"/>
        <w:spacing w:line="357" w:lineRule="auto" w:before="51"/>
        <w:ind w:left="154" w:right="7512"/>
        <w:jc w:val="left"/>
      </w:pPr>
      <w:r>
        <w:rPr/>
        <w:t>其他金融工具划分为金融负债的依据说明 无。</w:t>
      </w:r>
    </w:p>
    <w:p>
      <w:pPr>
        <w:pStyle w:val="BodyText"/>
        <w:spacing w:line="357" w:lineRule="auto" w:before="29"/>
        <w:ind w:right="10033"/>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47、长期应付款" w:id="352"/>
      <w:bookmarkEnd w:id="352"/>
      <w:r>
        <w:rPr>
          <w:b w:val="0"/>
          <w:bCs w:val="0"/>
        </w:rPr>
      </w:r>
      <w:r>
        <w:rPr>
          <w:rFonts w:ascii="Times New Roman" w:hAnsi="Times New Roman" w:cs="Times New Roman" w:eastAsia="Times New Roman" w:hint="default"/>
        </w:rPr>
        <w:t>47</w:t>
      </w:r>
      <w:r>
        <w:rPr/>
        <w:t>、长期应付款</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按款项性质列示长期应付款" w:id="353"/>
      <w:bookmarkEnd w:id="353"/>
      <w:r>
        <w:rPr>
          <w:b w:val="0"/>
          <w:bCs w:val="0"/>
        </w:rPr>
      </w:r>
      <w:r>
        <w:rPr/>
        <w:t>（</w:t>
      </w:r>
      <w:r>
        <w:rPr>
          <w:rFonts w:ascii="Times New Roman" w:hAnsi="Times New Roman" w:cs="Times New Roman" w:eastAsia="Times New Roman" w:hint="default"/>
        </w:rPr>
        <w:t>1</w:t>
      </w:r>
      <w:r>
        <w:rPr/>
        <w:t>）按款项性质列示长期应付款</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357" w:lineRule="auto" w:before="51"/>
        <w:ind w:right="9853"/>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48、长期应付职工薪酬" w:id="354"/>
      <w:bookmarkEnd w:id="354"/>
      <w:r>
        <w:rPr>
          <w:b w:val="0"/>
          <w:bCs w:val="0"/>
        </w:rPr>
      </w:r>
      <w:r>
        <w:rPr>
          <w:rFonts w:ascii="Times New Roman" w:hAnsi="Times New Roman" w:cs="Times New Roman" w:eastAsia="Times New Roman" w:hint="default"/>
        </w:rPr>
        <w:t>48</w:t>
      </w:r>
      <w:r>
        <w:rPr/>
        <w:t>、长期应付职工薪酬</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53" w:right="0"/>
        <w:jc w:val="left"/>
        <w:rPr>
          <w:b w:val="0"/>
          <w:bCs w:val="0"/>
        </w:rPr>
      </w:pPr>
      <w:bookmarkStart w:name="（1）长期应付职工薪酬表" w:id="355"/>
      <w:bookmarkEnd w:id="355"/>
      <w:r>
        <w:rPr>
          <w:b w:val="0"/>
          <w:bCs w:val="0"/>
        </w:rPr>
      </w:r>
      <w:r>
        <w:rPr/>
        <w:t>（</w:t>
      </w:r>
      <w:r>
        <w:rPr>
          <w:rFonts w:ascii="Times New Roman" w:hAnsi="Times New Roman" w:cs="Times New Roman" w:eastAsia="Times New Roman" w:hint="default"/>
        </w:rPr>
        <w:t>1</w:t>
      </w:r>
      <w:r>
        <w:rPr/>
        <w:t>）长期应付职工薪酬表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设定受益计划变动情况" w:id="356"/>
      <w:bookmarkEnd w:id="356"/>
      <w:r>
        <w:rPr>
          <w:b w:val="0"/>
          <w:bCs w:val="0"/>
        </w:rPr>
      </w:r>
      <w:r>
        <w:rPr/>
        <w:t>（</w:t>
      </w:r>
      <w:r>
        <w:rPr>
          <w:rFonts w:ascii="Times New Roman" w:hAnsi="Times New Roman" w:cs="Times New Roman" w:eastAsia="Times New Roman" w:hint="default"/>
        </w:rPr>
        <w:t>2</w:t>
      </w:r>
      <w:r>
        <w:rPr/>
        <w:t>）设定受益计划变动情况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154" w:right="0"/>
        <w:jc w:val="left"/>
      </w:pPr>
      <w:r>
        <w:rPr/>
        <w:t>设定受益计划义务现值：</w:t>
      </w:r>
    </w:p>
    <w:p>
      <w:pPr>
        <w:pStyle w:val="BodyText"/>
        <w:spacing w:line="240" w:lineRule="auto" w:before="116"/>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pStyle w:val="BodyText"/>
        <w:spacing w:line="240" w:lineRule="auto" w:before="51"/>
        <w:ind w:left="154" w:right="0"/>
        <w:jc w:val="left"/>
      </w:pPr>
      <w:r>
        <w:rPr/>
        <w:t>计划资产：</w:t>
      </w:r>
    </w:p>
    <w:p>
      <w:pPr>
        <w:pStyle w:val="BodyText"/>
        <w:spacing w:line="240" w:lineRule="auto" w:before="117"/>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pStyle w:val="BodyText"/>
        <w:spacing w:line="240" w:lineRule="auto" w:before="51"/>
        <w:ind w:left="154" w:right="0"/>
        <w:jc w:val="left"/>
      </w:pPr>
      <w:r>
        <w:rPr/>
        <w:t>设定受益计划净负债（净资产）</w:t>
      </w:r>
    </w:p>
    <w:p>
      <w:pPr>
        <w:pStyle w:val="BodyText"/>
        <w:spacing w:line="240" w:lineRule="auto" w:before="117"/>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pStyle w:val="BodyText"/>
        <w:spacing w:line="357" w:lineRule="auto" w:before="52"/>
        <w:ind w:right="3553"/>
        <w:jc w:val="left"/>
      </w:pPr>
      <w:r>
        <w:rPr/>
        <w:t>设定受益计划的内容及与之相关风险、对公司未来现金流量、时间和不确定性的影响说明： 无。</w:t>
      </w:r>
    </w:p>
    <w:p>
      <w:pPr>
        <w:pStyle w:val="BodyText"/>
        <w:spacing w:line="357" w:lineRule="auto" w:before="29"/>
        <w:ind w:left="154" w:right="6612"/>
        <w:jc w:val="left"/>
      </w:pPr>
      <w:r>
        <w:rPr/>
        <w:t>设定受益计划重大精算假设及敏感性分析结果说明： 无。</w:t>
      </w:r>
    </w:p>
    <w:p>
      <w:pPr>
        <w:pStyle w:val="BodyText"/>
        <w:spacing w:line="357" w:lineRule="auto" w:before="29"/>
        <w:ind w:right="9853"/>
        <w:jc w:val="left"/>
      </w:pPr>
      <w:r>
        <w:rPr/>
        <w:t>其他说明： 无。</w:t>
      </w:r>
    </w:p>
    <w:p>
      <w:pPr>
        <w:spacing w:after="0" w:line="357" w:lineRule="auto"/>
        <w:jc w:val="left"/>
        <w:sectPr>
          <w:pgSz w:w="11910" w:h="16840"/>
          <w:pgMar w:header="747" w:footer="979"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5"/>
        <w:ind w:left="153" w:right="0"/>
        <w:jc w:val="left"/>
        <w:rPr>
          <w:b w:val="0"/>
          <w:bCs w:val="0"/>
        </w:rPr>
      </w:pPr>
      <w:bookmarkStart w:name="49、专项应付款" w:id="357"/>
      <w:bookmarkEnd w:id="357"/>
      <w:r>
        <w:rPr>
          <w:b w:val="0"/>
          <w:bCs w:val="0"/>
        </w:rPr>
      </w:r>
      <w:r>
        <w:rPr>
          <w:rFonts w:ascii="Times New Roman" w:hAnsi="Times New Roman" w:cs="Times New Roman" w:eastAsia="Times New Roman" w:hint="default"/>
        </w:rPr>
        <w:t>49</w:t>
      </w:r>
      <w:r>
        <w:rPr/>
        <w:t>、专项应付款</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95"/>
        <w:gridCol w:w="1595"/>
        <w:gridCol w:w="1595"/>
        <w:gridCol w:w="1594"/>
        <w:gridCol w:w="1594"/>
        <w:gridCol w:w="1595"/>
      </w:tblGrid>
      <w:tr>
        <w:trPr>
          <w:trHeight w:val="402" w:hRule="exact"/>
        </w:trPr>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3"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3" w:right="0"/>
              <w:jc w:val="left"/>
              <w:rPr>
                <w:rFonts w:ascii="宋体" w:hAnsi="宋体" w:cs="宋体" w:eastAsia="宋体" w:hint="default"/>
                <w:sz w:val="18"/>
                <w:szCs w:val="18"/>
              </w:rPr>
            </w:pPr>
            <w:r>
              <w:rPr>
                <w:rFonts w:ascii="宋体" w:hAnsi="宋体" w:cs="宋体" w:eastAsia="宋体" w:hint="default"/>
                <w:sz w:val="18"/>
                <w:szCs w:val="18"/>
              </w:rPr>
              <w:t>形成原因</w:t>
            </w:r>
          </w:p>
        </w:tc>
      </w:tr>
    </w:tbl>
    <w:p>
      <w:pPr>
        <w:pStyle w:val="BodyText"/>
        <w:spacing w:line="357" w:lineRule="auto" w:before="52"/>
        <w:ind w:right="9853"/>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50、预计负债" w:id="358"/>
      <w:bookmarkEnd w:id="358"/>
      <w:r>
        <w:rPr>
          <w:b w:val="0"/>
          <w:bCs w:val="0"/>
        </w:rPr>
      </w:r>
      <w:r>
        <w:rPr>
          <w:rFonts w:ascii="Times New Roman" w:hAnsi="Times New Roman" w:cs="Times New Roman" w:eastAsia="Times New Roman" w:hint="default"/>
        </w:rPr>
        <w:t>50</w:t>
      </w:r>
      <w:r>
        <w:rPr/>
        <w:t>、预计负债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366"/>
        <w:gridCol w:w="2408"/>
        <w:gridCol w:w="2392"/>
        <w:gridCol w:w="2392"/>
      </w:tblGrid>
      <w:tr>
        <w:trPr>
          <w:trHeight w:val="402" w:hRule="exact"/>
        </w:trPr>
        <w:tc>
          <w:tcPr>
            <w:tcW w:w="2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4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形成原因</w:t>
            </w:r>
          </w:p>
        </w:tc>
      </w:tr>
      <w:tr>
        <w:trPr>
          <w:trHeight w:val="402" w:hRule="exact"/>
        </w:trPr>
        <w:tc>
          <w:tcPr>
            <w:tcW w:w="2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产品质量保证</w:t>
            </w:r>
          </w:p>
        </w:tc>
        <w:tc>
          <w:tcPr>
            <w:tcW w:w="240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8,938,440.10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3,732,165.32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预提质量保证金</w:t>
            </w:r>
          </w:p>
        </w:tc>
      </w:tr>
      <w:tr>
        <w:trPr>
          <w:trHeight w:val="402" w:hRule="exact"/>
        </w:trPr>
        <w:tc>
          <w:tcPr>
            <w:tcW w:w="2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40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8,938,440.10</w:t>
            </w:r>
          </w:p>
        </w:tc>
        <w:tc>
          <w:tcPr>
            <w:tcW w:w="2392"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pacing w:val="-1"/>
                <w:sz w:val="18"/>
              </w:rPr>
              <w:t>3,732,165.32</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357" w:lineRule="auto" w:before="51"/>
        <w:ind w:left="154" w:right="6072"/>
        <w:jc w:val="left"/>
      </w:pPr>
      <w:r>
        <w:rPr/>
        <w:t>其他说明，包括重要预计负债的相关重要假设、估计说明：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51、递延收益" w:id="359"/>
      <w:bookmarkEnd w:id="359"/>
      <w:r>
        <w:rPr>
          <w:b w:val="0"/>
          <w:bCs w:val="0"/>
        </w:rPr>
      </w:r>
      <w:r>
        <w:rPr>
          <w:rFonts w:ascii="Times New Roman" w:hAnsi="Times New Roman" w:cs="Times New Roman" w:eastAsia="Times New Roman" w:hint="default"/>
        </w:rPr>
        <w:t>51</w:t>
      </w:r>
      <w:r>
        <w:rPr/>
        <w:t>、递延收益</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83"/>
        <w:gridCol w:w="1607"/>
        <w:gridCol w:w="1595"/>
        <w:gridCol w:w="1594"/>
        <w:gridCol w:w="1594"/>
        <w:gridCol w:w="1595"/>
      </w:tblGrid>
      <w:tr>
        <w:trPr>
          <w:trHeight w:val="401"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6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4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3"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3" w:right="0"/>
              <w:jc w:val="left"/>
              <w:rPr>
                <w:rFonts w:ascii="宋体" w:hAnsi="宋体" w:cs="宋体" w:eastAsia="宋体" w:hint="default"/>
                <w:sz w:val="18"/>
                <w:szCs w:val="18"/>
              </w:rPr>
            </w:pPr>
            <w:r>
              <w:rPr>
                <w:rFonts w:ascii="宋体" w:hAnsi="宋体" w:cs="宋体" w:eastAsia="宋体" w:hint="default"/>
                <w:sz w:val="18"/>
                <w:szCs w:val="18"/>
              </w:rPr>
              <w:t>形成原因</w:t>
            </w:r>
          </w:p>
        </w:tc>
      </w:tr>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160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5,133,965.00</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3,000,254.88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2,133,710.12</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见下表</w:t>
            </w:r>
          </w:p>
        </w:tc>
      </w:tr>
      <w:tr>
        <w:trPr>
          <w:trHeight w:val="403"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60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5,133,965.00</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3,000,254.88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2,133,710.12</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1"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51"/>
        <w:ind w:left="154" w:right="0"/>
        <w:jc w:val="left"/>
      </w:pPr>
      <w:r>
        <w:rPr/>
        <w:t>涉及政府补助的项目：</w:t>
      </w:r>
    </w:p>
    <w:p>
      <w:pPr>
        <w:pStyle w:val="BodyText"/>
        <w:spacing w:line="240" w:lineRule="auto" w:before="116"/>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064"/>
        <w:gridCol w:w="1064"/>
        <w:gridCol w:w="1063"/>
        <w:gridCol w:w="1064"/>
        <w:gridCol w:w="1063"/>
        <w:gridCol w:w="1063"/>
        <w:gridCol w:w="1064"/>
        <w:gridCol w:w="1062"/>
        <w:gridCol w:w="1063"/>
      </w:tblGrid>
      <w:tr>
        <w:trPr>
          <w:trHeight w:val="1026"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5" w:right="0"/>
              <w:jc w:val="left"/>
              <w:rPr>
                <w:rFonts w:ascii="宋体" w:hAnsi="宋体" w:cs="宋体" w:eastAsia="宋体" w:hint="default"/>
                <w:sz w:val="18"/>
                <w:szCs w:val="18"/>
              </w:rPr>
            </w:pPr>
            <w:r>
              <w:rPr>
                <w:rFonts w:ascii="宋体" w:hAnsi="宋体" w:cs="宋体" w:eastAsia="宋体" w:hint="default"/>
                <w:sz w:val="18"/>
                <w:szCs w:val="18"/>
              </w:rPr>
              <w:t>负债项目</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6"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56" w:right="74" w:hanging="180"/>
              <w:jc w:val="left"/>
              <w:rPr>
                <w:rFonts w:ascii="宋体" w:hAnsi="宋体" w:cs="宋体" w:eastAsia="宋体" w:hint="default"/>
                <w:sz w:val="18"/>
                <w:szCs w:val="18"/>
              </w:rPr>
            </w:pPr>
            <w:r>
              <w:rPr>
                <w:rFonts w:ascii="宋体" w:hAnsi="宋体" w:cs="宋体" w:eastAsia="宋体" w:hint="default"/>
                <w:sz w:val="18"/>
                <w:szCs w:val="18"/>
              </w:rPr>
              <w:t>本期新增补 助金额</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75" w:right="76"/>
              <w:jc w:val="center"/>
              <w:rPr>
                <w:rFonts w:ascii="宋体" w:hAnsi="宋体" w:cs="宋体" w:eastAsia="宋体" w:hint="default"/>
                <w:sz w:val="18"/>
                <w:szCs w:val="18"/>
              </w:rPr>
            </w:pPr>
            <w:r>
              <w:rPr>
                <w:rFonts w:ascii="宋体" w:hAnsi="宋体" w:cs="宋体" w:eastAsia="宋体" w:hint="default"/>
                <w:sz w:val="18"/>
                <w:szCs w:val="18"/>
              </w:rPr>
              <w:t>本期计入营 业外收入金 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75" w:right="77"/>
              <w:jc w:val="left"/>
              <w:rPr>
                <w:rFonts w:ascii="宋体" w:hAnsi="宋体" w:cs="宋体" w:eastAsia="宋体" w:hint="default"/>
                <w:sz w:val="18"/>
                <w:szCs w:val="18"/>
              </w:rPr>
            </w:pPr>
            <w:r>
              <w:rPr>
                <w:rFonts w:ascii="宋体" w:hAnsi="宋体" w:cs="宋体" w:eastAsia="宋体" w:hint="default"/>
                <w:sz w:val="18"/>
                <w:szCs w:val="18"/>
              </w:rPr>
              <w:t>本期计入其 他收益金额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75" w:right="77"/>
              <w:jc w:val="left"/>
              <w:rPr>
                <w:rFonts w:ascii="宋体" w:hAnsi="宋体" w:cs="宋体" w:eastAsia="宋体" w:hint="default"/>
                <w:sz w:val="18"/>
                <w:szCs w:val="18"/>
              </w:rPr>
            </w:pPr>
            <w:r>
              <w:rPr>
                <w:rFonts w:ascii="宋体" w:hAnsi="宋体" w:cs="宋体" w:eastAsia="宋体" w:hint="default"/>
                <w:sz w:val="18"/>
                <w:szCs w:val="18"/>
              </w:rPr>
              <w:t>本期冲减成 本费用金额</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5" w:right="0"/>
              <w:jc w:val="left"/>
              <w:rPr>
                <w:rFonts w:ascii="宋体" w:hAnsi="宋体" w:cs="宋体" w:eastAsia="宋体" w:hint="default"/>
                <w:sz w:val="18"/>
                <w:szCs w:val="18"/>
              </w:rPr>
            </w:pPr>
            <w:r>
              <w:rPr>
                <w:rFonts w:ascii="宋体" w:hAnsi="宋体" w:cs="宋体" w:eastAsia="宋体" w:hint="default"/>
                <w:sz w:val="18"/>
                <w:szCs w:val="18"/>
              </w:rPr>
              <w:t>其他变动</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5"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00" w:lineRule="auto"/>
              <w:ind w:left="76" w:right="51" w:hanging="26"/>
              <w:jc w:val="left"/>
              <w:rPr>
                <w:rFonts w:ascii="宋体" w:hAnsi="宋体" w:cs="宋体" w:eastAsia="宋体" w:hint="default"/>
                <w:sz w:val="18"/>
                <w:szCs w:val="18"/>
              </w:rPr>
            </w:pPr>
            <w:r>
              <w:rPr>
                <w:rFonts w:ascii="宋体" w:hAnsi="宋体" w:cs="宋体" w:eastAsia="宋体" w:hint="default"/>
                <w:sz w:val="18"/>
                <w:szCs w:val="18"/>
              </w:rPr>
              <w:t>与资产相关</w:t>
            </w:r>
            <w:r>
              <w:rPr>
                <w:rFonts w:ascii="Times New Roman" w:hAnsi="Times New Roman" w:cs="Times New Roman" w:eastAsia="Times New Roman" w:hint="default"/>
                <w:sz w:val="18"/>
                <w:szCs w:val="18"/>
              </w:rPr>
              <w:t>/ </w:t>
            </w:r>
            <w:r>
              <w:rPr>
                <w:rFonts w:ascii="宋体" w:hAnsi="宋体" w:cs="宋体" w:eastAsia="宋体" w:hint="default"/>
                <w:sz w:val="18"/>
                <w:szCs w:val="18"/>
              </w:rPr>
              <w:t>与收益相关</w:t>
            </w:r>
          </w:p>
        </w:tc>
      </w:tr>
      <w:tr>
        <w:trPr>
          <w:trHeight w:val="1650"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2" w:right="23"/>
              <w:jc w:val="left"/>
              <w:rPr>
                <w:rFonts w:ascii="宋体" w:hAnsi="宋体" w:cs="宋体" w:eastAsia="宋体" w:hint="default"/>
                <w:sz w:val="18"/>
                <w:szCs w:val="18"/>
              </w:rPr>
            </w:pPr>
            <w:r>
              <w:rPr>
                <w:rFonts w:ascii="宋体" w:hAnsi="宋体" w:cs="宋体" w:eastAsia="宋体" w:hint="default"/>
                <w:sz w:val="18"/>
                <w:szCs w:val="18"/>
              </w:rPr>
              <w:t>文化创意资 助款</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Times New Roman" w:hAnsi="Times New Roman" w:cs="Times New Roman" w:eastAsia="Times New Roman" w:hint="default"/>
                <w:sz w:val="18"/>
                <w:szCs w:val="18"/>
              </w:rPr>
              <w:t>LED</w:t>
            </w:r>
            <w:r>
              <w:rPr>
                <w:rFonts w:ascii="Times New Roman" w:hAnsi="Times New Roman" w:cs="Times New Roman" w:eastAsia="Times New Roman" w:hint="default"/>
                <w:w w:val="99"/>
                <w:sz w:val="18"/>
                <w:szCs w:val="18"/>
              </w:rPr>
              <w:t> </w:t>
            </w:r>
            <w:r>
              <w:rPr>
                <w:rFonts w:ascii="宋体" w:hAnsi="宋体" w:cs="宋体" w:eastAsia="宋体" w:hint="default"/>
                <w:sz w:val="18"/>
                <w:szCs w:val="18"/>
              </w:rPr>
              <w:t>裸眼</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3D</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显示 技术工程实 验室项目</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3,133,589.76</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1,000,000.00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2,133,589.76</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1026"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2" w:right="93"/>
              <w:jc w:val="both"/>
              <w:rPr>
                <w:rFonts w:ascii="宋体" w:hAnsi="宋体" w:cs="宋体" w:eastAsia="宋体" w:hint="default"/>
                <w:sz w:val="18"/>
                <w:szCs w:val="18"/>
              </w:rPr>
            </w:pPr>
            <w:r>
              <w:rPr>
                <w:rFonts w:ascii="宋体" w:hAnsi="宋体" w:cs="宋体" w:eastAsia="宋体" w:hint="default"/>
                <w:sz w:val="18"/>
                <w:szCs w:val="18"/>
              </w:rPr>
              <w:t>大尺寸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LED </w:t>
            </w:r>
            <w:r>
              <w:rPr>
                <w:rFonts w:ascii="宋体" w:hAnsi="宋体" w:cs="宋体" w:eastAsia="宋体" w:hint="default"/>
                <w:sz w:val="18"/>
                <w:szCs w:val="18"/>
              </w:rPr>
              <w:t>裸眼立体显 示研发</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2,000,000.00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2,000,000.00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402"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375.24</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254.88</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120.36</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402"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5,133,965.00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3,000,254.88</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8"/>
              <w:jc w:val="right"/>
              <w:rPr>
                <w:rFonts w:ascii="Times New Roman" w:hAnsi="Times New Roman" w:cs="Times New Roman" w:eastAsia="Times New Roman" w:hint="default"/>
                <w:sz w:val="18"/>
                <w:szCs w:val="18"/>
              </w:rPr>
            </w:pPr>
            <w:r>
              <w:rPr>
                <w:rFonts w:ascii="Times New Roman"/>
                <w:spacing w:val="-1"/>
                <w:sz w:val="18"/>
              </w:rPr>
              <w:t>2,133,710.12</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357" w:lineRule="auto" w:before="51"/>
        <w:ind w:right="9853"/>
        <w:jc w:val="left"/>
      </w:pPr>
      <w:r>
        <w:rPr/>
        <w:t>其他说明： 无。</w:t>
      </w:r>
    </w:p>
    <w:p>
      <w:pPr>
        <w:spacing w:after="0" w:line="357" w:lineRule="auto"/>
        <w:jc w:val="left"/>
        <w:sectPr>
          <w:pgSz w:w="11910" w:h="16840"/>
          <w:pgMar w:header="747" w:footer="979"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5"/>
        <w:ind w:left="153" w:right="0"/>
        <w:jc w:val="left"/>
        <w:rPr>
          <w:b w:val="0"/>
          <w:bCs w:val="0"/>
        </w:rPr>
      </w:pPr>
      <w:bookmarkStart w:name="52、其他非流动负债" w:id="360"/>
      <w:bookmarkEnd w:id="360"/>
      <w:r>
        <w:rPr>
          <w:b w:val="0"/>
          <w:bCs w:val="0"/>
        </w:rPr>
      </w:r>
      <w:r>
        <w:rPr>
          <w:rFonts w:ascii="Times New Roman" w:hAnsi="Times New Roman" w:cs="Times New Roman" w:eastAsia="Times New Roman" w:hint="default"/>
        </w:rPr>
        <w:t>52</w:t>
      </w:r>
      <w:r>
        <w:rPr/>
        <w:t>、其他非流动负债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357" w:lineRule="auto" w:before="52"/>
        <w:ind w:right="9853"/>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53、股本" w:id="361"/>
      <w:bookmarkEnd w:id="361"/>
      <w:r>
        <w:rPr>
          <w:b w:val="0"/>
          <w:bCs w:val="0"/>
        </w:rPr>
      </w:r>
      <w:r>
        <w:rPr>
          <w:rFonts w:ascii="Times New Roman" w:hAnsi="Times New Roman" w:cs="Times New Roman" w:eastAsia="Times New Roman" w:hint="default"/>
        </w:rPr>
        <w:t>53</w:t>
      </w:r>
      <w:r>
        <w:rPr/>
        <w:t>、股本</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196"/>
        <w:gridCol w:w="1208"/>
        <w:gridCol w:w="1184"/>
        <w:gridCol w:w="1197"/>
        <w:gridCol w:w="1195"/>
        <w:gridCol w:w="1197"/>
        <w:gridCol w:w="1184"/>
        <w:gridCol w:w="1207"/>
      </w:tblGrid>
      <w:tr>
        <w:trPr>
          <w:trHeight w:val="206" w:hRule="exact"/>
        </w:trPr>
        <w:tc>
          <w:tcPr>
            <w:tcW w:w="1196" w:type="dxa"/>
            <w:tcBorders>
              <w:top w:val="single" w:sz="4" w:space="0" w:color="000000"/>
              <w:left w:val="single" w:sz="4" w:space="0" w:color="000000"/>
              <w:bottom w:val="nil" w:sz="6" w:space="0" w:color="auto"/>
              <w:right w:val="single" w:sz="4" w:space="0" w:color="000000"/>
            </w:tcBorders>
            <w:shd w:val="clear" w:color="auto" w:fill="D2D2D2"/>
          </w:tcPr>
          <w:p>
            <w:pPr/>
          </w:p>
        </w:tc>
        <w:tc>
          <w:tcPr>
            <w:tcW w:w="1208" w:type="dxa"/>
            <w:tcBorders>
              <w:top w:val="single" w:sz="4" w:space="0" w:color="000000"/>
              <w:left w:val="single" w:sz="4" w:space="0" w:color="000000"/>
              <w:bottom w:val="nil" w:sz="6" w:space="0" w:color="auto"/>
              <w:right w:val="single" w:sz="4" w:space="0" w:color="000000"/>
            </w:tcBorders>
            <w:shd w:val="clear" w:color="auto" w:fill="D2D2D2"/>
          </w:tcPr>
          <w:p>
            <w:pPr/>
          </w:p>
        </w:tc>
        <w:tc>
          <w:tcPr>
            <w:tcW w:w="5958" w:type="dxa"/>
            <w:gridSpan w:val="5"/>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本次变动增减（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207"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1" w:hRule="exact"/>
        </w:trPr>
        <w:tc>
          <w:tcPr>
            <w:tcW w:w="1196" w:type="dxa"/>
            <w:vMerge w:val="restart"/>
            <w:tcBorders>
              <w:top w:val="nil" w:sz="6" w:space="0" w:color="auto"/>
              <w:left w:val="single" w:sz="4" w:space="0" w:color="000000"/>
              <w:right w:val="single" w:sz="4" w:space="0" w:color="000000"/>
            </w:tcBorders>
            <w:shd w:val="clear" w:color="auto" w:fill="D2D2D2"/>
          </w:tcPr>
          <w:p>
            <w:pPr/>
          </w:p>
        </w:tc>
        <w:tc>
          <w:tcPr>
            <w:tcW w:w="120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3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5958" w:type="dxa"/>
            <w:gridSpan w:val="5"/>
            <w:vMerge/>
            <w:tcBorders>
              <w:left w:val="single" w:sz="4" w:space="0" w:color="000000"/>
              <w:bottom w:val="single" w:sz="4" w:space="0" w:color="000000"/>
              <w:right w:val="single" w:sz="4" w:space="0" w:color="000000"/>
            </w:tcBorders>
            <w:shd w:val="clear" w:color="auto" w:fill="D2D2D2"/>
          </w:tcPr>
          <w:p>
            <w:pPr/>
          </w:p>
        </w:tc>
        <w:tc>
          <w:tcPr>
            <w:tcW w:w="120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44"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200" w:hRule="exact"/>
        </w:trPr>
        <w:tc>
          <w:tcPr>
            <w:tcW w:w="1196" w:type="dxa"/>
            <w:vMerge/>
            <w:tcBorders>
              <w:left w:val="single" w:sz="4" w:space="0" w:color="000000"/>
              <w:bottom w:val="nil" w:sz="6" w:space="0" w:color="auto"/>
              <w:right w:val="single" w:sz="4" w:space="0" w:color="000000"/>
            </w:tcBorders>
            <w:shd w:val="clear" w:color="auto" w:fill="D2D2D2"/>
          </w:tcPr>
          <w:p>
            <w:pPr/>
          </w:p>
        </w:tc>
        <w:tc>
          <w:tcPr>
            <w:tcW w:w="1208" w:type="dxa"/>
            <w:vMerge/>
            <w:tcBorders>
              <w:left w:val="single" w:sz="4" w:space="0" w:color="000000"/>
              <w:bottom w:val="nil" w:sz="6" w:space="0" w:color="auto"/>
              <w:right w:val="single" w:sz="4" w:space="0" w:color="000000"/>
            </w:tcBorders>
            <w:shd w:val="clear" w:color="auto" w:fill="D2D2D2"/>
          </w:tcPr>
          <w:p>
            <w:pPr/>
          </w:p>
        </w:tc>
        <w:tc>
          <w:tcPr>
            <w:tcW w:w="118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21"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11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送股</w:t>
            </w:r>
          </w:p>
        </w:tc>
        <w:tc>
          <w:tcPr>
            <w:tcW w:w="11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142" w:right="0"/>
              <w:jc w:val="left"/>
              <w:rPr>
                <w:rFonts w:ascii="宋体" w:hAnsi="宋体" w:cs="宋体" w:eastAsia="宋体" w:hint="default"/>
                <w:sz w:val="18"/>
                <w:szCs w:val="18"/>
              </w:rPr>
            </w:pPr>
            <w:r>
              <w:rPr>
                <w:rFonts w:ascii="宋体" w:hAnsi="宋体" w:cs="宋体" w:eastAsia="宋体" w:hint="default"/>
                <w:sz w:val="18"/>
                <w:szCs w:val="18"/>
              </w:rPr>
              <w:t>公积金转股</w:t>
            </w:r>
          </w:p>
        </w:tc>
        <w:tc>
          <w:tcPr>
            <w:tcW w:w="11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18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10" w:right="0"/>
              <w:jc w:val="center"/>
              <w:rPr>
                <w:rFonts w:ascii="宋体" w:hAnsi="宋体" w:cs="宋体" w:eastAsia="宋体" w:hint="default"/>
                <w:sz w:val="18"/>
                <w:szCs w:val="18"/>
              </w:rPr>
            </w:pPr>
            <w:r>
              <w:rPr>
                <w:rFonts w:ascii="宋体" w:hAnsi="宋体" w:cs="宋体" w:eastAsia="宋体" w:hint="default"/>
                <w:sz w:val="18"/>
                <w:szCs w:val="18"/>
              </w:rPr>
              <w:t>小计</w:t>
            </w:r>
          </w:p>
        </w:tc>
        <w:tc>
          <w:tcPr>
            <w:tcW w:w="1207" w:type="dxa"/>
            <w:vMerge/>
            <w:tcBorders>
              <w:left w:val="single" w:sz="4" w:space="0" w:color="000000"/>
              <w:bottom w:val="nil" w:sz="6" w:space="0" w:color="auto"/>
              <w:right w:val="single" w:sz="4" w:space="0" w:color="000000"/>
            </w:tcBorders>
            <w:shd w:val="clear" w:color="auto" w:fill="D2D2D2"/>
          </w:tcPr>
          <w:p>
            <w:pPr/>
          </w:p>
        </w:tc>
      </w:tr>
      <w:tr>
        <w:trPr>
          <w:trHeight w:val="206" w:hRule="exact"/>
        </w:trPr>
        <w:tc>
          <w:tcPr>
            <w:tcW w:w="1196" w:type="dxa"/>
            <w:tcBorders>
              <w:top w:val="nil" w:sz="6" w:space="0" w:color="auto"/>
              <w:left w:val="single" w:sz="4" w:space="0" w:color="000000"/>
              <w:bottom w:val="single" w:sz="4" w:space="0" w:color="000000"/>
              <w:right w:val="single" w:sz="4" w:space="0" w:color="000000"/>
            </w:tcBorders>
            <w:shd w:val="clear" w:color="auto" w:fill="D2D2D2"/>
          </w:tcPr>
          <w:p>
            <w:pPr/>
          </w:p>
        </w:tc>
        <w:tc>
          <w:tcPr>
            <w:tcW w:w="1208" w:type="dxa"/>
            <w:tcBorders>
              <w:top w:val="nil" w:sz="6" w:space="0" w:color="auto"/>
              <w:left w:val="single" w:sz="4" w:space="0" w:color="000000"/>
              <w:bottom w:val="single" w:sz="4" w:space="0" w:color="000000"/>
              <w:right w:val="single" w:sz="4" w:space="0" w:color="000000"/>
            </w:tcBorders>
            <w:shd w:val="clear" w:color="auto" w:fill="D2D2D2"/>
          </w:tcPr>
          <w:p>
            <w:pPr/>
          </w:p>
        </w:tc>
        <w:tc>
          <w:tcPr>
            <w:tcW w:w="1184" w:type="dxa"/>
            <w:vMerge/>
            <w:tcBorders>
              <w:left w:val="single" w:sz="4" w:space="0" w:color="000000"/>
              <w:bottom w:val="single" w:sz="4" w:space="0" w:color="000000"/>
              <w:right w:val="single" w:sz="4" w:space="0" w:color="000000"/>
            </w:tcBorders>
            <w:shd w:val="clear" w:color="auto" w:fill="D2D2D2"/>
          </w:tcPr>
          <w:p>
            <w:pPr/>
          </w:p>
        </w:tc>
        <w:tc>
          <w:tcPr>
            <w:tcW w:w="1197" w:type="dxa"/>
            <w:vMerge/>
            <w:tcBorders>
              <w:left w:val="single" w:sz="4" w:space="0" w:color="000000"/>
              <w:bottom w:val="single" w:sz="4" w:space="0" w:color="000000"/>
              <w:right w:val="single" w:sz="4" w:space="0" w:color="000000"/>
            </w:tcBorders>
            <w:shd w:val="clear" w:color="auto" w:fill="D2D2D2"/>
          </w:tcPr>
          <w:p>
            <w:pPr/>
          </w:p>
        </w:tc>
        <w:tc>
          <w:tcPr>
            <w:tcW w:w="1195" w:type="dxa"/>
            <w:vMerge/>
            <w:tcBorders>
              <w:left w:val="single" w:sz="4" w:space="0" w:color="000000"/>
              <w:bottom w:val="single" w:sz="4" w:space="0" w:color="000000"/>
              <w:right w:val="single" w:sz="4" w:space="0" w:color="000000"/>
            </w:tcBorders>
            <w:shd w:val="clear" w:color="auto" w:fill="D2D2D2"/>
          </w:tcPr>
          <w:p>
            <w:pPr/>
          </w:p>
        </w:tc>
        <w:tc>
          <w:tcPr>
            <w:tcW w:w="1197" w:type="dxa"/>
            <w:vMerge/>
            <w:tcBorders>
              <w:left w:val="single" w:sz="4" w:space="0" w:color="000000"/>
              <w:bottom w:val="single" w:sz="4" w:space="0" w:color="000000"/>
              <w:right w:val="single" w:sz="4" w:space="0" w:color="000000"/>
            </w:tcBorders>
            <w:shd w:val="clear" w:color="auto" w:fill="D2D2D2"/>
          </w:tcPr>
          <w:p>
            <w:pPr/>
          </w:p>
        </w:tc>
        <w:tc>
          <w:tcPr>
            <w:tcW w:w="1184" w:type="dxa"/>
            <w:vMerge/>
            <w:tcBorders>
              <w:left w:val="single" w:sz="4" w:space="0" w:color="000000"/>
              <w:bottom w:val="single" w:sz="4" w:space="0" w:color="000000"/>
              <w:right w:val="single" w:sz="4" w:space="0" w:color="000000"/>
            </w:tcBorders>
            <w:shd w:val="clear" w:color="auto" w:fill="D2D2D2"/>
          </w:tcPr>
          <w:p>
            <w:pPr/>
          </w:p>
        </w:tc>
        <w:tc>
          <w:tcPr>
            <w:tcW w:w="1207"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2" w:hRule="exact"/>
        </w:trPr>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股份总数</w:t>
            </w:r>
          </w:p>
        </w:tc>
        <w:tc>
          <w:tcPr>
            <w:tcW w:w="120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32" w:right="0"/>
              <w:jc w:val="left"/>
              <w:rPr>
                <w:rFonts w:ascii="Times New Roman" w:hAnsi="Times New Roman" w:cs="Times New Roman" w:eastAsia="Times New Roman" w:hint="default"/>
                <w:sz w:val="18"/>
                <w:szCs w:val="18"/>
              </w:rPr>
            </w:pPr>
            <w:r>
              <w:rPr>
                <w:rFonts w:ascii="Times New Roman"/>
                <w:sz w:val="18"/>
              </w:rPr>
              <w:t>396,783,995.00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7" w:right="0"/>
              <w:jc w:val="left"/>
              <w:rPr>
                <w:rFonts w:ascii="Times New Roman" w:hAnsi="Times New Roman" w:cs="Times New Roman" w:eastAsia="Times New Roman" w:hint="default"/>
                <w:sz w:val="18"/>
                <w:szCs w:val="18"/>
              </w:rPr>
            </w:pPr>
            <w:r>
              <w:rPr>
                <w:rFonts w:ascii="Times New Roman"/>
                <w:sz w:val="18"/>
              </w:rPr>
              <w:t>10,928,561.00</w:t>
            </w: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8" w:right="0"/>
              <w:jc w:val="left"/>
              <w:rPr>
                <w:rFonts w:ascii="Times New Roman" w:hAnsi="Times New Roman" w:cs="Times New Roman" w:eastAsia="Times New Roman" w:hint="default"/>
                <w:sz w:val="18"/>
                <w:szCs w:val="18"/>
              </w:rPr>
            </w:pPr>
            <w:r>
              <w:rPr>
                <w:rFonts w:ascii="Times New Roman"/>
                <w:sz w:val="18"/>
              </w:rPr>
              <w:t>203,795,278.00</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93" w:right="0"/>
              <w:jc w:val="left"/>
              <w:rPr>
                <w:rFonts w:ascii="Times New Roman" w:hAnsi="Times New Roman" w:cs="Times New Roman" w:eastAsia="Times New Roman" w:hint="default"/>
                <w:sz w:val="18"/>
                <w:szCs w:val="18"/>
              </w:rPr>
            </w:pPr>
            <w:r>
              <w:rPr>
                <w:rFonts w:ascii="Times New Roman"/>
                <w:sz w:val="18"/>
              </w:rPr>
              <w:t>-122,000.00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8" w:right="0"/>
              <w:jc w:val="left"/>
              <w:rPr>
                <w:rFonts w:ascii="Times New Roman" w:hAnsi="Times New Roman" w:cs="Times New Roman" w:eastAsia="Times New Roman" w:hint="default"/>
                <w:sz w:val="18"/>
                <w:szCs w:val="18"/>
              </w:rPr>
            </w:pPr>
            <w:r>
              <w:rPr>
                <w:rFonts w:ascii="Times New Roman"/>
                <w:sz w:val="18"/>
              </w:rPr>
              <w:t>214,601,839.00</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6" w:right="0"/>
              <w:jc w:val="left"/>
              <w:rPr>
                <w:rFonts w:ascii="Times New Roman" w:hAnsi="Times New Roman" w:cs="Times New Roman" w:eastAsia="Times New Roman" w:hint="default"/>
                <w:sz w:val="18"/>
                <w:szCs w:val="18"/>
              </w:rPr>
            </w:pPr>
            <w:r>
              <w:rPr>
                <w:rFonts w:ascii="Times New Roman"/>
                <w:sz w:val="18"/>
              </w:rPr>
              <w:t>611,385,834.00</w:t>
            </w:r>
          </w:p>
        </w:tc>
      </w:tr>
    </w:tbl>
    <w:p>
      <w:pPr>
        <w:pStyle w:val="BodyText"/>
        <w:spacing w:line="240" w:lineRule="auto" w:before="51"/>
        <w:ind w:left="154" w:right="0"/>
        <w:jc w:val="left"/>
      </w:pPr>
      <w:r>
        <w:rPr/>
        <w:t>其他说明：</w:t>
      </w:r>
    </w:p>
    <w:p>
      <w:pPr>
        <w:pStyle w:val="BodyText"/>
        <w:spacing w:line="240" w:lineRule="auto" w:before="117"/>
        <w:ind w:left="514" w:right="0"/>
        <w:jc w:val="left"/>
      </w:pPr>
      <w:r>
        <w:rPr/>
        <w:t>本期增减变化说明：</w:t>
      </w:r>
    </w:p>
    <w:p>
      <w:pPr>
        <w:pStyle w:val="BodyText"/>
        <w:spacing w:line="304" w:lineRule="auto" w:before="115"/>
        <w:ind w:right="1128" w:firstLine="360"/>
        <w:jc w:val="both"/>
      </w:pPr>
      <w:r>
        <w:rPr>
          <w:spacing w:val="-2"/>
        </w:rPr>
        <w:t>（</w:t>
      </w:r>
      <w:r>
        <w:rPr>
          <w:rFonts w:ascii="Times New Roman" w:hAnsi="Times New Roman" w:cs="Times New Roman" w:eastAsia="Times New Roman" w:hint="default"/>
          <w:spacing w:val="-2"/>
        </w:rPr>
        <w:t>1</w:t>
      </w:r>
      <w:r>
        <w:rPr>
          <w:spacing w:val="-2"/>
        </w:rPr>
        <w:t>）本年股本增加</w:t>
      </w:r>
      <w:r>
        <w:rPr>
          <w:rFonts w:ascii="Times New Roman" w:hAnsi="Times New Roman" w:cs="Times New Roman" w:eastAsia="Times New Roman" w:hint="default"/>
          <w:spacing w:val="-2"/>
        </w:rPr>
        <w:t>10,928,561</w:t>
      </w:r>
      <w:r>
        <w:rPr>
          <w:spacing w:val="-2"/>
        </w:rPr>
        <w:t>元，系根据公司</w:t>
      </w:r>
      <w:r>
        <w:rPr>
          <w:rFonts w:ascii="Times New Roman" w:hAnsi="Times New Roman" w:cs="Times New Roman" w:eastAsia="Times New Roman" w:hint="default"/>
          <w:spacing w:val="-2"/>
        </w:rPr>
        <w:t>2016</w:t>
      </w:r>
      <w:r>
        <w:rPr>
          <w:spacing w:val="-2"/>
        </w:rPr>
        <w:t>年第三次临时股东大会决议，经中国证券监督管理委员会《关于核准</w:t>
      </w:r>
      <w:r>
        <w:rPr/>
        <w:t> 深圳市奥拓电子股份有限公司向沈永健等发行股份购买资产并募集配套资金的批复》</w:t>
      </w:r>
      <w:r>
        <w:rPr>
          <w:rFonts w:ascii="Times New Roman" w:hAnsi="Times New Roman" w:cs="Times New Roman" w:eastAsia="Times New Roman" w:hint="default"/>
        </w:rPr>
        <w:t>(</w:t>
      </w:r>
      <w:r>
        <w:rPr/>
        <w:t>证监许可</w:t>
      </w:r>
      <w:r>
        <w:rPr>
          <w:rFonts w:ascii="Times New Roman" w:hAnsi="Times New Roman" w:cs="Times New Roman" w:eastAsia="Times New Roman" w:hint="default"/>
        </w:rPr>
        <w:t>[2016]3079</w:t>
      </w:r>
      <w:r>
        <w:rPr/>
        <w:t>号</w:t>
      </w:r>
      <w:r>
        <w:rPr>
          <w:rFonts w:ascii="Times New Roman" w:hAnsi="Times New Roman" w:cs="Times New Roman" w:eastAsia="Times New Roman" w:hint="default"/>
        </w:rPr>
        <w:t>)</w:t>
      </w:r>
      <w:r>
        <w:rPr/>
        <w:t>核准，同意公</w:t>
      </w:r>
      <w:r>
        <w:rPr>
          <w:spacing w:val="-56"/>
        </w:rPr>
        <w:t> </w:t>
      </w:r>
      <w:r>
        <w:rPr>
          <w:spacing w:val="-56"/>
        </w:rPr>
      </w:r>
      <w:r>
        <w:rPr>
          <w:spacing w:val="-2"/>
        </w:rPr>
        <w:t>司以非公开发行股票的方式向西藏泓涵股权投资管理有限公司、鹏华资产管理有限公司、李辉、深圳市晨钟资产管理有限责</w:t>
      </w:r>
      <w:r>
        <w:rPr>
          <w:spacing w:val="-66"/>
        </w:rPr>
        <w:t> </w:t>
      </w:r>
      <w:r>
        <w:rPr>
          <w:spacing w:val="-66"/>
        </w:rPr>
      </w:r>
      <w:r>
        <w:rPr>
          <w:spacing w:val="-2"/>
        </w:rPr>
        <w:t>任公司、中融基金管理有限公司、山东省国有资产投资控股有限公司等</w:t>
      </w:r>
      <w:r>
        <w:rPr>
          <w:rFonts w:ascii="Times New Roman" w:hAnsi="Times New Roman" w:cs="Times New Roman" w:eastAsia="Times New Roman" w:hint="default"/>
          <w:spacing w:val="-2"/>
        </w:rPr>
        <w:t>6</w:t>
      </w:r>
      <w:r>
        <w:rPr>
          <w:spacing w:val="-2"/>
        </w:rPr>
        <w:t>名特定投资者发行</w:t>
      </w:r>
      <w:r>
        <w:rPr>
          <w:rFonts w:ascii="Times New Roman" w:hAnsi="Times New Roman" w:cs="Times New Roman" w:eastAsia="Times New Roman" w:hint="default"/>
          <w:spacing w:val="-2"/>
        </w:rPr>
        <w:t>10,928,561</w:t>
      </w:r>
      <w:r>
        <w:rPr>
          <w:spacing w:val="-2"/>
        </w:rPr>
        <w:t>股新股募集本次发行股</w:t>
      </w:r>
      <w:r>
        <w:rPr>
          <w:spacing w:val="-54"/>
        </w:rPr>
        <w:t> </w:t>
      </w:r>
      <w:r>
        <w:rPr>
          <w:spacing w:val="-54"/>
        </w:rPr>
      </w:r>
      <w:r>
        <w:rPr/>
        <w:t>份购买资产的配套资金，增加注册资本人民币</w:t>
      </w:r>
      <w:r>
        <w:rPr>
          <w:rFonts w:ascii="Times New Roman" w:hAnsi="Times New Roman" w:cs="Times New Roman" w:eastAsia="Times New Roman" w:hint="default"/>
        </w:rPr>
        <w:t>10,928,561</w:t>
      </w:r>
      <w:r>
        <w:rPr/>
        <w:t>元。本次变更业经瑞华验字</w:t>
      </w:r>
      <w:r>
        <w:rPr>
          <w:rFonts w:ascii="Times New Roman" w:hAnsi="Times New Roman" w:cs="Times New Roman" w:eastAsia="Times New Roman" w:hint="default"/>
        </w:rPr>
        <w:t>[2017]48170001</w:t>
      </w:r>
      <w:r>
        <w:rPr/>
        <w:t>号验证。</w:t>
      </w:r>
    </w:p>
    <w:p>
      <w:pPr>
        <w:pStyle w:val="BodyText"/>
        <w:spacing w:line="240" w:lineRule="auto" w:before="9"/>
        <w:ind w:left="513" w:right="0"/>
        <w:jc w:val="left"/>
      </w:pPr>
      <w:r>
        <w:rPr/>
        <w:t>（</w:t>
      </w:r>
      <w:r>
        <w:rPr>
          <w:rFonts w:ascii="Times New Roman" w:hAnsi="Times New Roman" w:cs="Times New Roman" w:eastAsia="Times New Roman" w:hint="default"/>
        </w:rPr>
        <w:t>2</w:t>
      </w:r>
      <w:r>
        <w:rPr/>
        <w:t>）本年增加股本</w:t>
      </w:r>
      <w:r>
        <w:rPr>
          <w:rFonts w:ascii="Times New Roman" w:hAnsi="Times New Roman" w:cs="Times New Roman" w:eastAsia="Times New Roman" w:hint="default"/>
        </w:rPr>
        <w:t>203,795,278</w:t>
      </w:r>
      <w:r>
        <w:rPr/>
        <w:t>元，系根据</w:t>
      </w:r>
      <w:r>
        <w:rPr>
          <w:rFonts w:ascii="Times New Roman" w:hAnsi="Times New Roman" w:cs="Times New Roman" w:eastAsia="Times New Roman" w:hint="default"/>
        </w:rPr>
        <w:t>2016</w:t>
      </w:r>
      <w:r>
        <w:rPr/>
        <w:t>年度利润分配方案以资本公积金转增股本</w:t>
      </w:r>
      <w:r>
        <w:rPr>
          <w:rFonts w:ascii="Times New Roman" w:hAnsi="Times New Roman" w:cs="Times New Roman" w:eastAsia="Times New Roman" w:hint="default"/>
        </w:rPr>
        <w:t>203,795,278</w:t>
      </w:r>
      <w:r>
        <w:rPr/>
        <w:t>元。</w:t>
      </w:r>
    </w:p>
    <w:p>
      <w:pPr>
        <w:pStyle w:val="BodyText"/>
        <w:spacing w:line="300" w:lineRule="auto" w:before="63"/>
        <w:ind w:right="1130" w:firstLine="360"/>
        <w:jc w:val="both"/>
      </w:pPr>
      <w:r>
        <w:rPr>
          <w:spacing w:val="-1"/>
        </w:rPr>
        <w:t>（</w:t>
      </w:r>
      <w:r>
        <w:rPr>
          <w:rFonts w:ascii="Times New Roman" w:hAnsi="Times New Roman" w:cs="Times New Roman" w:eastAsia="Times New Roman" w:hint="default"/>
          <w:spacing w:val="-1"/>
        </w:rPr>
        <w:t>3</w:t>
      </w:r>
      <w:r>
        <w:rPr>
          <w:spacing w:val="-1"/>
        </w:rPr>
        <w:t>）本年减少股本</w:t>
      </w:r>
      <w:r>
        <w:rPr>
          <w:rFonts w:ascii="Times New Roman" w:hAnsi="Times New Roman" w:cs="Times New Roman" w:eastAsia="Times New Roman" w:hint="default"/>
          <w:spacing w:val="-1"/>
        </w:rPr>
        <w:t>122,000</w:t>
      </w:r>
      <w:r>
        <w:rPr>
          <w:spacing w:val="-1"/>
        </w:rPr>
        <w:t>元，系根据公司第三届董事会第十七次会议决议，公司向</w:t>
      </w:r>
      <w:r>
        <w:rPr>
          <w:rFonts w:ascii="Times New Roman" w:hAnsi="Times New Roman" w:cs="Times New Roman" w:eastAsia="Times New Roman" w:hint="default"/>
          <w:spacing w:val="-1"/>
        </w:rPr>
        <w:t>2016</w:t>
      </w:r>
      <w:r>
        <w:rPr>
          <w:spacing w:val="-1"/>
        </w:rPr>
        <w:t>年限制性股票激励计划相关离</w:t>
      </w:r>
      <w:r>
        <w:rPr/>
        <w:t> </w:t>
      </w:r>
      <w:r>
        <w:rPr>
          <w:spacing w:val="6"/>
        </w:rPr>
        <w:t>职的股权激励对象的股份予以注销，共计回购注销</w:t>
      </w:r>
      <w:r>
        <w:rPr>
          <w:rFonts w:ascii="Times New Roman" w:hAnsi="Times New Roman" w:cs="Times New Roman" w:eastAsia="Times New Roman" w:hint="default"/>
          <w:spacing w:val="6"/>
        </w:rPr>
        <w:t>122,000</w:t>
      </w:r>
      <w:r>
        <w:rPr>
          <w:spacing w:val="6"/>
        </w:rPr>
        <w:t>股，减少注册资本人民币</w:t>
      </w:r>
      <w:r>
        <w:rPr>
          <w:rFonts w:ascii="Times New Roman" w:hAnsi="Times New Roman" w:cs="Times New Roman" w:eastAsia="Times New Roman" w:hint="default"/>
          <w:spacing w:val="6"/>
        </w:rPr>
        <w:t>122,000</w:t>
      </w:r>
      <w:r>
        <w:rPr>
          <w:spacing w:val="6"/>
        </w:rPr>
        <w:t>元。本次减资业经瑞华验字</w:t>
      </w:r>
      <w:r>
        <w:rPr/>
        <w:t> </w:t>
      </w:r>
      <w:r>
        <w:rPr>
          <w:rFonts w:ascii="Times New Roman" w:hAnsi="Times New Roman" w:cs="Times New Roman" w:eastAsia="Times New Roman" w:hint="default"/>
        </w:rPr>
        <w:t>[2017]48190001</w:t>
      </w:r>
      <w:r>
        <w:rPr/>
        <w:t>号验证。</w:t>
      </w:r>
    </w:p>
    <w:p>
      <w:pPr>
        <w:spacing w:line="240" w:lineRule="auto" w:before="1"/>
        <w:rPr>
          <w:rFonts w:ascii="宋体" w:hAnsi="宋体" w:cs="宋体" w:eastAsia="宋体" w:hint="default"/>
          <w:sz w:val="22"/>
          <w:szCs w:val="22"/>
        </w:rPr>
      </w:pPr>
    </w:p>
    <w:p>
      <w:pPr>
        <w:pStyle w:val="Heading3"/>
        <w:spacing w:line="240" w:lineRule="auto"/>
        <w:ind w:right="0"/>
        <w:jc w:val="left"/>
        <w:rPr>
          <w:b w:val="0"/>
          <w:bCs w:val="0"/>
        </w:rPr>
      </w:pPr>
      <w:bookmarkStart w:name="54、其他权益工具" w:id="362"/>
      <w:bookmarkEnd w:id="362"/>
      <w:r>
        <w:rPr>
          <w:b w:val="0"/>
          <w:bCs w:val="0"/>
        </w:rPr>
      </w:r>
      <w:r>
        <w:rPr>
          <w:rFonts w:ascii="Times New Roman" w:hAnsi="Times New Roman" w:cs="Times New Roman" w:eastAsia="Times New Roman" w:hint="default"/>
        </w:rPr>
        <w:t>54</w:t>
      </w:r>
      <w:r>
        <w:rPr/>
        <w:t>、其他权益工具</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期末发行在外的优先股、永续债等其他金融工具基本情况" w:id="363"/>
      <w:bookmarkEnd w:id="363"/>
      <w:r>
        <w:rPr>
          <w:b w:val="0"/>
          <w:bCs w:val="0"/>
        </w:rPr>
      </w:r>
      <w:r>
        <w:rPr/>
        <w:t>（</w:t>
      </w:r>
      <w:r>
        <w:rPr>
          <w:rFonts w:ascii="Times New Roman" w:hAnsi="Times New Roman" w:cs="Times New Roman" w:eastAsia="Times New Roman" w:hint="default"/>
        </w:rPr>
        <w:t>1</w:t>
      </w:r>
      <w:r>
        <w:rPr/>
        <w:t>）期末发行在外的优先股、永续债等其他金融工具基本情况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154" w:right="0"/>
        <w:jc w:val="left"/>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2）期末发行在外的优先股、永续债等金融工具变动情况表" w:id="364"/>
      <w:bookmarkEnd w:id="364"/>
      <w:r>
        <w:rPr>
          <w:b w:val="0"/>
          <w:bCs w:val="0"/>
        </w:rPr>
      </w:r>
      <w:r>
        <w:rPr/>
        <w:t>（</w:t>
      </w:r>
      <w:r>
        <w:rPr>
          <w:rFonts w:ascii="Times New Roman" w:hAnsi="Times New Roman" w:cs="Times New Roman" w:eastAsia="Times New Roman" w:hint="default"/>
        </w:rPr>
        <w:t>2</w:t>
      </w:r>
      <w:r>
        <w:rPr/>
        <w:t>）期末发行在外的优先股、永续债等金融工具变动情况表</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066"/>
        <w:gridCol w:w="1067"/>
        <w:gridCol w:w="1063"/>
        <w:gridCol w:w="1062"/>
        <w:gridCol w:w="1063"/>
        <w:gridCol w:w="1062"/>
        <w:gridCol w:w="1062"/>
        <w:gridCol w:w="1062"/>
        <w:gridCol w:w="1051"/>
      </w:tblGrid>
      <w:tr>
        <w:trPr>
          <w:trHeight w:val="402" w:hRule="exact"/>
        </w:trPr>
        <w:tc>
          <w:tcPr>
            <w:tcW w:w="106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7"/>
              <w:ind w:left="166" w:right="77" w:hanging="90"/>
              <w:jc w:val="left"/>
              <w:rPr>
                <w:rFonts w:ascii="宋体" w:hAnsi="宋体" w:cs="宋体" w:eastAsia="宋体" w:hint="default"/>
                <w:sz w:val="18"/>
                <w:szCs w:val="18"/>
              </w:rPr>
            </w:pPr>
            <w:r>
              <w:rPr>
                <w:rFonts w:ascii="宋体" w:hAnsi="宋体" w:cs="宋体" w:eastAsia="宋体" w:hint="default"/>
                <w:sz w:val="18"/>
                <w:szCs w:val="18"/>
              </w:rPr>
              <w:t>发行在外的 金融工具</w:t>
            </w:r>
          </w:p>
        </w:tc>
        <w:tc>
          <w:tcPr>
            <w:tcW w:w="213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97"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212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95"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211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 w:right="0"/>
              <w:jc w:val="center"/>
              <w:rPr>
                <w:rFonts w:ascii="宋体" w:hAnsi="宋体" w:cs="宋体" w:eastAsia="宋体" w:hint="default"/>
                <w:sz w:val="18"/>
                <w:szCs w:val="18"/>
              </w:rPr>
            </w:pPr>
            <w:r>
              <w:rPr>
                <w:rFonts w:ascii="宋体" w:hAnsi="宋体" w:cs="宋体" w:eastAsia="宋体" w:hint="default"/>
                <w:sz w:val="18"/>
                <w:szCs w:val="18"/>
              </w:rPr>
              <w:t>期末</w:t>
            </w:r>
          </w:p>
        </w:tc>
      </w:tr>
      <w:tr>
        <w:trPr>
          <w:trHeight w:val="402" w:hRule="exact"/>
        </w:trPr>
        <w:tc>
          <w:tcPr>
            <w:tcW w:w="1066" w:type="dxa"/>
            <w:vMerge/>
            <w:tcBorders>
              <w:left w:val="single" w:sz="4" w:space="0" w:color="000000"/>
              <w:bottom w:val="single" w:sz="4" w:space="0" w:color="000000"/>
              <w:right w:val="single" w:sz="4" w:space="0" w:color="000000"/>
            </w:tcBorders>
            <w:shd w:val="clear" w:color="auto" w:fill="D2D2D2"/>
          </w:tcPr>
          <w:p>
            <w:pPr/>
          </w:p>
        </w:tc>
        <w:tc>
          <w:tcPr>
            <w:tcW w:w="10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47"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5"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45"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6"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45"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5"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45"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5"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pStyle w:val="BodyText"/>
        <w:spacing w:line="357" w:lineRule="auto" w:before="51"/>
        <w:ind w:right="4633"/>
        <w:jc w:val="left"/>
      </w:pPr>
      <w:r>
        <w:rPr/>
        <w:t>其他权益工具本期增减变动情况、变动原因说明，以及相关会计处理的依据： 无。</w:t>
      </w:r>
    </w:p>
    <w:p>
      <w:pPr>
        <w:pStyle w:val="BodyText"/>
        <w:spacing w:line="357" w:lineRule="auto" w:before="29"/>
        <w:ind w:right="9853"/>
        <w:jc w:val="left"/>
      </w:pPr>
      <w:r>
        <w:rPr/>
        <w:t>其他说明： 无。</w:t>
      </w:r>
    </w:p>
    <w:p>
      <w:pPr>
        <w:spacing w:after="0" w:line="357" w:lineRule="auto"/>
        <w:jc w:val="left"/>
        <w:sectPr>
          <w:pgSz w:w="11910" w:h="16840"/>
          <w:pgMar w:header="747" w:footer="979"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5"/>
        <w:ind w:left="153" w:right="0"/>
        <w:jc w:val="left"/>
        <w:rPr>
          <w:b w:val="0"/>
          <w:bCs w:val="0"/>
        </w:rPr>
      </w:pPr>
      <w:bookmarkStart w:name="55、资本公积" w:id="365"/>
      <w:bookmarkEnd w:id="365"/>
      <w:r>
        <w:rPr>
          <w:b w:val="0"/>
          <w:bCs w:val="0"/>
        </w:rPr>
      </w:r>
      <w:r>
        <w:rPr>
          <w:rFonts w:ascii="Times New Roman" w:hAnsi="Times New Roman" w:cs="Times New Roman" w:eastAsia="Times New Roman" w:hint="default"/>
        </w:rPr>
        <w:t>55</w:t>
      </w:r>
      <w:r>
        <w:rPr/>
        <w:t>、资本公积</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资本溢价（股本溢价）</w:t>
            </w:r>
          </w:p>
        </w:tc>
        <w:tc>
          <w:tcPr>
            <w:tcW w:w="19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247,176,396.58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125,408,579.60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204,304,018.00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168,280,958.18</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其他资本公积</w:t>
            </w:r>
          </w:p>
        </w:tc>
        <w:tc>
          <w:tcPr>
            <w:tcW w:w="19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12,734,800.00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9,430,080.00</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22,164,880.00</w:t>
            </w:r>
          </w:p>
        </w:tc>
      </w:tr>
      <w:tr>
        <w:trPr>
          <w:trHeight w:val="1026" w:hRule="exact"/>
        </w:trPr>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77"/>
              <w:jc w:val="both"/>
              <w:rPr>
                <w:rFonts w:ascii="宋体" w:hAnsi="宋体" w:cs="宋体" w:eastAsia="宋体" w:hint="default"/>
                <w:sz w:val="18"/>
                <w:szCs w:val="18"/>
              </w:rPr>
            </w:pPr>
            <w:r>
              <w:rPr>
                <w:rFonts w:ascii="宋体" w:hAnsi="宋体" w:cs="宋体" w:eastAsia="宋体" w:hint="default"/>
                <w:sz w:val="18"/>
                <w:szCs w:val="18"/>
              </w:rPr>
              <w:t>其中：以权益结算的股 份支付权益工具公允价 值</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12,734,800.00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9,430,080.00</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22,164,880.00</w:t>
            </w:r>
          </w:p>
        </w:tc>
      </w:tr>
      <w:tr>
        <w:trPr>
          <w:trHeight w:val="403"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259,911,196.58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134,838,659.60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204,304,018.00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190,445,838.18</w:t>
            </w:r>
          </w:p>
        </w:tc>
      </w:tr>
    </w:tbl>
    <w:p>
      <w:pPr>
        <w:pStyle w:val="BodyText"/>
        <w:spacing w:line="240" w:lineRule="auto" w:before="51"/>
        <w:ind w:left="154" w:right="0"/>
        <w:jc w:val="left"/>
      </w:pPr>
      <w:r>
        <w:rPr/>
        <w:t>其他说明，包括本期增减变动情况、变动原因说明：</w:t>
      </w:r>
    </w:p>
    <w:p>
      <w:pPr>
        <w:pStyle w:val="BodyText"/>
        <w:spacing w:line="240" w:lineRule="auto" w:before="115"/>
        <w:ind w:left="154" w:right="0"/>
        <w:jc w:val="left"/>
      </w:pPr>
      <w:r>
        <w:rPr/>
        <w:t>（</w:t>
      </w:r>
      <w:r>
        <w:rPr>
          <w:rFonts w:ascii="Times New Roman" w:hAnsi="Times New Roman" w:cs="Times New Roman" w:eastAsia="Times New Roman" w:hint="default"/>
        </w:rPr>
        <w:t>1</w:t>
      </w:r>
      <w:r>
        <w:rPr/>
        <w:t>）本年增加资本公积其中</w:t>
      </w:r>
      <w:r>
        <w:rPr>
          <w:rFonts w:ascii="Times New Roman" w:hAnsi="Times New Roman" w:cs="Times New Roman" w:eastAsia="Times New Roman" w:hint="default"/>
        </w:rPr>
        <w:t>125,408,579.60</w:t>
      </w:r>
      <w:r>
        <w:rPr/>
        <w:t>元系入附注七、</w:t>
      </w:r>
      <w:r>
        <w:rPr>
          <w:rFonts w:ascii="Times New Roman" w:hAnsi="Times New Roman" w:cs="Times New Roman" w:eastAsia="Times New Roman" w:hint="default"/>
        </w:rPr>
        <w:t>53</w:t>
      </w:r>
      <w:r>
        <w:rPr/>
        <w:t>（</w:t>
      </w:r>
      <w:r>
        <w:rPr>
          <w:rFonts w:ascii="Times New Roman" w:hAnsi="Times New Roman" w:cs="Times New Roman" w:eastAsia="Times New Roman" w:hint="default"/>
        </w:rPr>
        <w:t>1</w:t>
      </w:r>
      <w:r>
        <w:rPr/>
        <w:t>）所述的以非公开发行股票方式募集股份的溢价。</w:t>
      </w:r>
    </w:p>
    <w:p>
      <w:pPr>
        <w:pStyle w:val="BodyText"/>
        <w:spacing w:line="240" w:lineRule="auto" w:before="63"/>
        <w:ind w:left="154" w:right="0"/>
        <w:jc w:val="left"/>
      </w:pPr>
      <w:r>
        <w:rPr/>
        <w:t>（</w:t>
      </w:r>
      <w:r>
        <w:rPr>
          <w:rFonts w:ascii="Times New Roman" w:hAnsi="Times New Roman" w:cs="Times New Roman" w:eastAsia="Times New Roman" w:hint="default"/>
        </w:rPr>
        <w:t>2</w:t>
      </w:r>
      <w:r>
        <w:rPr/>
        <w:t>）本年减少资本公积其中</w:t>
      </w:r>
      <w:r>
        <w:rPr>
          <w:rFonts w:ascii="Times New Roman" w:hAnsi="Times New Roman" w:cs="Times New Roman" w:eastAsia="Times New Roman" w:hint="default"/>
        </w:rPr>
        <w:t>203,795,278.00</w:t>
      </w:r>
      <w:r>
        <w:rPr/>
        <w:t>元系附注七、</w:t>
      </w:r>
      <w:r>
        <w:rPr>
          <w:rFonts w:ascii="Times New Roman" w:hAnsi="Times New Roman" w:cs="Times New Roman" w:eastAsia="Times New Roman" w:hint="default"/>
        </w:rPr>
        <w:t>53</w:t>
      </w:r>
      <w:r>
        <w:rPr/>
        <w:t>（</w:t>
      </w:r>
      <w:r>
        <w:rPr>
          <w:rFonts w:ascii="Times New Roman" w:hAnsi="Times New Roman" w:cs="Times New Roman" w:eastAsia="Times New Roman" w:hint="default"/>
        </w:rPr>
        <w:t>2</w:t>
      </w:r>
      <w:r>
        <w:rPr/>
        <w:t>）所述的以资本公积金转增股本减少资本公积。</w:t>
      </w:r>
    </w:p>
    <w:p>
      <w:pPr>
        <w:pStyle w:val="BodyText"/>
        <w:spacing w:line="240" w:lineRule="auto" w:before="63"/>
        <w:ind w:left="154" w:right="0"/>
        <w:jc w:val="left"/>
      </w:pPr>
      <w:r>
        <w:rPr/>
        <w:t>（</w:t>
      </w:r>
      <w:r>
        <w:rPr>
          <w:rFonts w:ascii="Times New Roman" w:hAnsi="Times New Roman" w:cs="Times New Roman" w:eastAsia="Times New Roman" w:hint="default"/>
        </w:rPr>
        <w:t>3</w:t>
      </w:r>
      <w:r>
        <w:rPr/>
        <w:t>）本年减少资本公积其中</w:t>
      </w:r>
      <w:r>
        <w:rPr>
          <w:rFonts w:ascii="Times New Roman" w:hAnsi="Times New Roman" w:cs="Times New Roman" w:eastAsia="Times New Roman" w:hint="default"/>
        </w:rPr>
        <w:t>508,740.00</w:t>
      </w:r>
      <w:r>
        <w:rPr/>
        <w:t>元系附注七、</w:t>
      </w:r>
      <w:r>
        <w:rPr>
          <w:rFonts w:ascii="Times New Roman" w:hAnsi="Times New Roman" w:cs="Times New Roman" w:eastAsia="Times New Roman" w:hint="default"/>
        </w:rPr>
        <w:t>53</w:t>
      </w:r>
      <w:r>
        <w:rPr/>
        <w:t>（</w:t>
      </w:r>
      <w:r>
        <w:rPr>
          <w:rFonts w:ascii="Times New Roman" w:hAnsi="Times New Roman" w:cs="Times New Roman" w:eastAsia="Times New Roman" w:hint="default"/>
        </w:rPr>
        <w:t>3</w:t>
      </w:r>
      <w:r>
        <w:rPr/>
        <w:t>）所述的股权激励对象的股份予以注销减少资本公积。</w:t>
      </w:r>
    </w:p>
    <w:p>
      <w:pPr>
        <w:pStyle w:val="BodyText"/>
        <w:spacing w:line="240" w:lineRule="auto" w:before="63"/>
        <w:ind w:right="0"/>
        <w:jc w:val="left"/>
      </w:pPr>
      <w:r>
        <w:rPr/>
        <w:t>（</w:t>
      </w:r>
      <w:r>
        <w:rPr>
          <w:rFonts w:ascii="Times New Roman" w:hAnsi="Times New Roman" w:cs="Times New Roman" w:eastAsia="Times New Roman" w:hint="default"/>
        </w:rPr>
        <w:t>4</w:t>
      </w:r>
      <w:r>
        <w:rPr/>
        <w:t>）本年增加资本公积其中</w:t>
      </w:r>
      <w:r>
        <w:rPr>
          <w:rFonts w:ascii="Times New Roman" w:hAnsi="Times New Roman" w:cs="Times New Roman" w:eastAsia="Times New Roman" w:hint="default"/>
        </w:rPr>
        <w:t>9,430,080.00</w:t>
      </w:r>
      <w:r>
        <w:rPr/>
        <w:t>元系本期股份支付增加资本公积。</w:t>
      </w:r>
    </w:p>
    <w:p>
      <w:pPr>
        <w:spacing w:line="240" w:lineRule="auto" w:before="11"/>
        <w:rPr>
          <w:rFonts w:ascii="宋体" w:hAnsi="宋体" w:cs="宋体" w:eastAsia="宋体" w:hint="default"/>
          <w:sz w:val="25"/>
          <w:szCs w:val="25"/>
        </w:rPr>
      </w:pPr>
    </w:p>
    <w:p>
      <w:pPr>
        <w:pStyle w:val="Heading3"/>
        <w:spacing w:line="240" w:lineRule="auto"/>
        <w:ind w:right="0"/>
        <w:jc w:val="left"/>
        <w:rPr>
          <w:b w:val="0"/>
          <w:bCs w:val="0"/>
        </w:rPr>
      </w:pPr>
      <w:bookmarkStart w:name="56、库存股" w:id="366"/>
      <w:bookmarkEnd w:id="366"/>
      <w:r>
        <w:rPr>
          <w:b w:val="0"/>
          <w:bCs w:val="0"/>
        </w:rPr>
      </w:r>
      <w:r>
        <w:rPr>
          <w:rFonts w:ascii="Times New Roman" w:hAnsi="Times New Roman" w:cs="Times New Roman" w:eastAsia="Times New Roman" w:hint="default"/>
        </w:rPr>
        <w:t>56</w:t>
      </w:r>
      <w:r>
        <w:rPr/>
        <w:t>、库存股</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年股权激励计划</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28,377,600.00</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10,735,380.00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17,642,220.00</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28,377,600.00</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10,735,380.00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17,642,220.00</w:t>
            </w:r>
          </w:p>
        </w:tc>
      </w:tr>
    </w:tbl>
    <w:p>
      <w:pPr>
        <w:pStyle w:val="BodyText"/>
        <w:spacing w:line="240" w:lineRule="auto" w:before="51"/>
        <w:ind w:left="154" w:right="0"/>
        <w:jc w:val="left"/>
      </w:pPr>
      <w:r>
        <w:rPr/>
        <w:t>其他说明，包括本期增减变动情况、变动原因说明：</w:t>
      </w:r>
    </w:p>
    <w:p>
      <w:pPr>
        <w:pStyle w:val="BodyText"/>
        <w:spacing w:line="240" w:lineRule="auto" w:before="116"/>
        <w:ind w:left="154" w:right="0"/>
        <w:jc w:val="left"/>
      </w:pPr>
      <w:r>
        <w:rPr/>
        <w:t>（</w:t>
      </w:r>
      <w:r>
        <w:rPr>
          <w:rFonts w:ascii="Times New Roman" w:hAnsi="Times New Roman" w:cs="Times New Roman" w:eastAsia="Times New Roman" w:hint="default"/>
        </w:rPr>
        <w:t>1</w:t>
      </w:r>
      <w:r>
        <w:rPr/>
        <w:t>）本年减少库存股</w:t>
      </w:r>
      <w:r>
        <w:rPr>
          <w:rFonts w:ascii="Times New Roman" w:hAnsi="Times New Roman" w:cs="Times New Roman" w:eastAsia="Times New Roman" w:hint="default"/>
        </w:rPr>
        <w:t>630,740</w:t>
      </w:r>
      <w:r>
        <w:rPr>
          <w:rFonts w:ascii="Times New Roman" w:hAnsi="Times New Roman" w:cs="Times New Roman" w:eastAsia="Times New Roman" w:hint="default"/>
          <w:spacing w:val="-1"/>
        </w:rPr>
        <w:t>.</w:t>
      </w:r>
      <w:r>
        <w:rPr>
          <w:rFonts w:ascii="Times New Roman" w:hAnsi="Times New Roman" w:cs="Times New Roman" w:eastAsia="Times New Roman" w:hint="default"/>
        </w:rPr>
        <w:t>00</w:t>
      </w:r>
      <w:r>
        <w:rPr/>
        <w:t>元</w:t>
      </w:r>
      <w:r>
        <w:rPr>
          <w:spacing w:val="-1"/>
        </w:rPr>
        <w:t>（</w:t>
      </w:r>
      <w:r>
        <w:rPr>
          <w:rFonts w:ascii="Times New Roman" w:hAnsi="Times New Roman" w:cs="Times New Roman" w:eastAsia="Times New Roman" w:hint="default"/>
        </w:rPr>
        <w:t>122,00</w:t>
      </w:r>
      <w:r>
        <w:rPr>
          <w:rFonts w:ascii="Times New Roman" w:hAnsi="Times New Roman" w:cs="Times New Roman" w:eastAsia="Times New Roman" w:hint="default"/>
          <w:spacing w:val="-1"/>
        </w:rPr>
        <w:t>0</w:t>
      </w:r>
      <w:r>
        <w:rPr/>
        <w:t>股</w:t>
      </w:r>
      <w:r>
        <w:rPr>
          <w:spacing w:val="-90"/>
        </w:rPr>
        <w:t>）</w:t>
      </w:r>
      <w:r>
        <w:rPr/>
        <w:t>，系附注七、</w:t>
      </w:r>
      <w:r>
        <w:rPr>
          <w:rFonts w:ascii="Times New Roman" w:hAnsi="Times New Roman" w:cs="Times New Roman" w:eastAsia="Times New Roman" w:hint="default"/>
        </w:rPr>
        <w:t>53</w:t>
      </w:r>
      <w:r>
        <w:rPr/>
        <w:t>（</w:t>
      </w:r>
      <w:r>
        <w:rPr>
          <w:rFonts w:ascii="Times New Roman" w:hAnsi="Times New Roman" w:cs="Times New Roman" w:eastAsia="Times New Roman" w:hint="default"/>
        </w:rPr>
        <w:t>3</w:t>
      </w:r>
      <w:r>
        <w:rPr/>
        <w:t>）所述的股权激励对象的股份予以注销减少资本公积。</w:t>
      </w:r>
    </w:p>
    <w:p>
      <w:pPr>
        <w:pStyle w:val="BodyText"/>
        <w:spacing w:line="240" w:lineRule="auto" w:before="103"/>
        <w:ind w:left="154" w:right="0"/>
        <w:jc w:val="left"/>
      </w:pPr>
      <w:r>
        <w:rPr/>
        <w:t>（</w:t>
      </w:r>
      <w:r>
        <w:rPr>
          <w:rFonts w:ascii="Times New Roman" w:hAnsi="Times New Roman" w:cs="Times New Roman" w:eastAsia="Times New Roman" w:hint="default"/>
        </w:rPr>
        <w:t>2</w:t>
      </w:r>
      <w:r>
        <w:rPr/>
        <w:t>）本年减少库存股</w:t>
      </w:r>
      <w:r>
        <w:rPr>
          <w:spacing w:val="-47"/>
        </w:rPr>
        <w:t> </w:t>
      </w:r>
      <w:r>
        <w:rPr>
          <w:rFonts w:ascii="Times New Roman" w:hAnsi="Times New Roman" w:cs="Times New Roman" w:eastAsia="Times New Roman" w:hint="default"/>
        </w:rPr>
        <w:t>10,104,640.00</w:t>
      </w:r>
      <w:r>
        <w:rPr>
          <w:rFonts w:ascii="Times New Roman" w:hAnsi="Times New Roman" w:cs="Times New Roman" w:eastAsia="Times New Roman" w:hint="default"/>
          <w:spacing w:val="-2"/>
        </w:rPr>
        <w:t> </w:t>
      </w:r>
      <w:r>
        <w:rPr/>
        <w:t>元，系</w:t>
      </w:r>
      <w:r>
        <w:rPr>
          <w:spacing w:val="-47"/>
        </w:rPr>
        <w:t> </w:t>
      </w:r>
      <w:r>
        <w:rPr>
          <w:rFonts w:ascii="Times New Roman" w:hAnsi="Times New Roman" w:cs="Times New Roman" w:eastAsia="Times New Roman" w:hint="default"/>
        </w:rPr>
        <w:t>2016</w:t>
      </w:r>
      <w:r>
        <w:rPr>
          <w:rFonts w:ascii="Times New Roman" w:hAnsi="Times New Roman" w:cs="Times New Roman" w:eastAsia="Times New Roman" w:hint="default"/>
          <w:spacing w:val="-2"/>
        </w:rPr>
        <w:t> </w:t>
      </w:r>
      <w:r>
        <w:rPr/>
        <w:t>年限制性股票激励计划第一个解锁期解锁</w:t>
      </w:r>
      <w:r>
        <w:rPr>
          <w:spacing w:val="-47"/>
        </w:rPr>
        <w:t> </w:t>
      </w:r>
      <w:r>
        <w:rPr>
          <w:rFonts w:ascii="Times New Roman" w:hAnsi="Times New Roman" w:cs="Times New Roman" w:eastAsia="Times New Roman" w:hint="default"/>
        </w:rPr>
        <w:t>1,943,200</w:t>
      </w:r>
      <w:r>
        <w:rPr>
          <w:rFonts w:ascii="Times New Roman" w:hAnsi="Times New Roman" w:cs="Times New Roman" w:eastAsia="Times New Roman" w:hint="default"/>
          <w:spacing w:val="-2"/>
        </w:rPr>
        <w:t> </w:t>
      </w:r>
      <w:r>
        <w:rPr/>
        <w:t>股所致。</w:t>
      </w:r>
    </w:p>
    <w:p>
      <w:pPr>
        <w:spacing w:line="240" w:lineRule="auto" w:before="9"/>
        <w:rPr>
          <w:rFonts w:ascii="宋体" w:hAnsi="宋体" w:cs="宋体" w:eastAsia="宋体" w:hint="default"/>
          <w:sz w:val="25"/>
          <w:szCs w:val="25"/>
        </w:rPr>
      </w:pPr>
    </w:p>
    <w:p>
      <w:pPr>
        <w:pStyle w:val="Heading3"/>
        <w:spacing w:line="240" w:lineRule="auto"/>
        <w:ind w:left="153" w:right="0"/>
        <w:jc w:val="left"/>
        <w:rPr>
          <w:b w:val="0"/>
          <w:bCs w:val="0"/>
        </w:rPr>
      </w:pPr>
      <w:bookmarkStart w:name="57、其他综合收益" w:id="367"/>
      <w:bookmarkEnd w:id="367"/>
      <w:r>
        <w:rPr>
          <w:b w:val="0"/>
          <w:bCs w:val="0"/>
        </w:rPr>
      </w:r>
      <w:r>
        <w:rPr>
          <w:rFonts w:ascii="Times New Roman" w:hAnsi="Times New Roman" w:cs="Times New Roman" w:eastAsia="Times New Roman" w:hint="default"/>
        </w:rPr>
        <w:t>57</w:t>
      </w:r>
      <w:r>
        <w:rPr/>
        <w:t>、其他综合收益</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799"/>
        <w:gridCol w:w="1070"/>
        <w:gridCol w:w="935"/>
        <w:gridCol w:w="1152"/>
        <w:gridCol w:w="935"/>
        <w:gridCol w:w="936"/>
        <w:gridCol w:w="935"/>
        <w:gridCol w:w="796"/>
      </w:tblGrid>
      <w:tr>
        <w:trPr>
          <w:trHeight w:val="397" w:hRule="exact"/>
        </w:trPr>
        <w:tc>
          <w:tcPr>
            <w:tcW w:w="2799" w:type="dxa"/>
            <w:vMerge w:val="restart"/>
            <w:tcBorders>
              <w:top w:val="single" w:sz="4" w:space="0" w:color="000000"/>
              <w:left w:val="single" w:sz="4" w:space="0" w:color="000000"/>
              <w:right w:val="single" w:sz="4" w:space="0" w:color="000000"/>
            </w:tcBorders>
            <w:shd w:val="clear" w:color="auto" w:fill="D2D2D2"/>
          </w:tcPr>
          <w:p>
            <w:pPr/>
          </w:p>
        </w:tc>
        <w:tc>
          <w:tcPr>
            <w:tcW w:w="1070" w:type="dxa"/>
            <w:vMerge w:val="restart"/>
            <w:tcBorders>
              <w:top w:val="single" w:sz="4" w:space="0" w:color="000000"/>
              <w:left w:val="single" w:sz="4" w:space="0" w:color="000000"/>
              <w:right w:val="single" w:sz="4" w:space="0" w:color="000000"/>
            </w:tcBorders>
            <w:shd w:val="clear" w:color="auto" w:fill="D2D2D2"/>
          </w:tcPr>
          <w:p>
            <w:pPr/>
          </w:p>
        </w:tc>
        <w:tc>
          <w:tcPr>
            <w:tcW w:w="4893"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796" w:type="dxa"/>
            <w:vMerge w:val="restart"/>
            <w:tcBorders>
              <w:top w:val="single" w:sz="4" w:space="0" w:color="000000"/>
              <w:left w:val="single" w:sz="4" w:space="0" w:color="000000"/>
              <w:right w:val="single" w:sz="4" w:space="0" w:color="000000"/>
            </w:tcBorders>
            <w:shd w:val="clear" w:color="auto" w:fill="D2D2D2"/>
          </w:tcPr>
          <w:p>
            <w:pPr/>
          </w:p>
        </w:tc>
      </w:tr>
      <w:tr>
        <w:trPr>
          <w:trHeight w:val="120" w:hRule="exact"/>
        </w:trPr>
        <w:tc>
          <w:tcPr>
            <w:tcW w:w="2799" w:type="dxa"/>
            <w:vMerge/>
            <w:tcBorders>
              <w:left w:val="single" w:sz="4" w:space="0" w:color="000000"/>
              <w:bottom w:val="nil" w:sz="6" w:space="0" w:color="auto"/>
              <w:right w:val="single" w:sz="4" w:space="0" w:color="000000"/>
            </w:tcBorders>
            <w:shd w:val="clear" w:color="auto" w:fill="D2D2D2"/>
          </w:tcPr>
          <w:p>
            <w:pPr/>
          </w:p>
        </w:tc>
        <w:tc>
          <w:tcPr>
            <w:tcW w:w="1070" w:type="dxa"/>
            <w:vMerge/>
            <w:tcBorders>
              <w:left w:val="single" w:sz="4" w:space="0" w:color="000000"/>
              <w:bottom w:val="nil" w:sz="6" w:space="0" w:color="auto"/>
              <w:right w:val="single" w:sz="4" w:space="0" w:color="000000"/>
            </w:tcBorders>
            <w:shd w:val="clear" w:color="auto" w:fill="D2D2D2"/>
          </w:tcPr>
          <w:p>
            <w:pPr/>
          </w:p>
        </w:tc>
        <w:tc>
          <w:tcPr>
            <w:tcW w:w="935"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6"/>
              <w:ind w:left="102" w:right="101"/>
              <w:jc w:val="center"/>
              <w:rPr>
                <w:rFonts w:ascii="宋体" w:hAnsi="宋体" w:cs="宋体" w:eastAsia="宋体" w:hint="default"/>
                <w:sz w:val="18"/>
                <w:szCs w:val="18"/>
              </w:rPr>
            </w:pPr>
            <w:r>
              <w:rPr>
                <w:rFonts w:ascii="宋体" w:hAnsi="宋体" w:cs="宋体" w:eastAsia="宋体" w:hint="default"/>
                <w:sz w:val="18"/>
                <w:szCs w:val="18"/>
              </w:rPr>
              <w:t>本期所得 税前发生 额</w:t>
            </w:r>
          </w:p>
        </w:tc>
        <w:tc>
          <w:tcPr>
            <w:tcW w:w="115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6"/>
              <w:ind w:left="29" w:right="30"/>
              <w:jc w:val="both"/>
              <w:rPr>
                <w:rFonts w:ascii="宋体" w:hAnsi="宋体" w:cs="宋体" w:eastAsia="宋体" w:hint="default"/>
                <w:sz w:val="18"/>
                <w:szCs w:val="18"/>
              </w:rPr>
            </w:pPr>
            <w:r>
              <w:rPr>
                <w:rFonts w:ascii="宋体" w:hAnsi="宋体" w:cs="宋体" w:eastAsia="宋体" w:hint="default"/>
                <w:sz w:val="18"/>
                <w:szCs w:val="18"/>
              </w:rPr>
              <w:t>减：前期计入 其他综合收益 当期转入损益</w:t>
            </w:r>
          </w:p>
        </w:tc>
        <w:tc>
          <w:tcPr>
            <w:tcW w:w="935" w:type="dxa"/>
            <w:tcBorders>
              <w:top w:val="single" w:sz="4" w:space="0" w:color="000000"/>
              <w:left w:val="single" w:sz="4" w:space="0" w:color="000000"/>
              <w:bottom w:val="nil" w:sz="6" w:space="0" w:color="auto"/>
              <w:right w:val="single" w:sz="4" w:space="0" w:color="000000"/>
            </w:tcBorders>
            <w:shd w:val="clear" w:color="auto" w:fill="D2D2D2"/>
          </w:tcPr>
          <w:p>
            <w:pPr/>
          </w:p>
        </w:tc>
        <w:tc>
          <w:tcPr>
            <w:tcW w:w="936" w:type="dxa"/>
            <w:tcBorders>
              <w:top w:val="single" w:sz="4" w:space="0" w:color="000000"/>
              <w:left w:val="single" w:sz="4" w:space="0" w:color="000000"/>
              <w:bottom w:val="nil" w:sz="6" w:space="0" w:color="auto"/>
              <w:right w:val="single" w:sz="4" w:space="0" w:color="000000"/>
            </w:tcBorders>
            <w:shd w:val="clear" w:color="auto" w:fill="D2D2D2"/>
          </w:tcPr>
          <w:p>
            <w:pPr/>
          </w:p>
        </w:tc>
        <w:tc>
          <w:tcPr>
            <w:tcW w:w="935"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6"/>
              <w:ind w:left="101" w:right="101"/>
              <w:jc w:val="center"/>
              <w:rPr>
                <w:rFonts w:ascii="宋体" w:hAnsi="宋体" w:cs="宋体" w:eastAsia="宋体" w:hint="default"/>
                <w:sz w:val="18"/>
                <w:szCs w:val="18"/>
              </w:rPr>
            </w:pPr>
            <w:r>
              <w:rPr>
                <w:rFonts w:ascii="宋体" w:hAnsi="宋体" w:cs="宋体" w:eastAsia="宋体" w:hint="default"/>
                <w:sz w:val="18"/>
                <w:szCs w:val="18"/>
              </w:rPr>
              <w:t>税后归属 于少数股 东</w:t>
            </w:r>
          </w:p>
        </w:tc>
        <w:tc>
          <w:tcPr>
            <w:tcW w:w="796" w:type="dxa"/>
            <w:vMerge/>
            <w:tcBorders>
              <w:left w:val="single" w:sz="4" w:space="0" w:color="000000"/>
              <w:bottom w:val="nil" w:sz="6" w:space="0" w:color="auto"/>
              <w:right w:val="single" w:sz="4" w:space="0" w:color="000000"/>
            </w:tcBorders>
            <w:shd w:val="clear" w:color="auto" w:fill="D2D2D2"/>
          </w:tcPr>
          <w:p>
            <w:pPr/>
          </w:p>
        </w:tc>
      </w:tr>
      <w:tr>
        <w:trPr>
          <w:trHeight w:val="370" w:hRule="exact"/>
        </w:trPr>
        <w:tc>
          <w:tcPr>
            <w:tcW w:w="279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11"/>
              <w:jc w:val="center"/>
              <w:rPr>
                <w:rFonts w:ascii="宋体" w:hAnsi="宋体" w:cs="宋体" w:eastAsia="宋体" w:hint="default"/>
                <w:sz w:val="18"/>
                <w:szCs w:val="18"/>
              </w:rPr>
            </w:pPr>
            <w:r>
              <w:rPr>
                <w:rFonts w:ascii="宋体" w:hAnsi="宋体" w:cs="宋体" w:eastAsia="宋体" w:hint="default"/>
                <w:sz w:val="18"/>
                <w:szCs w:val="18"/>
              </w:rPr>
              <w:t>项目</w:t>
            </w:r>
          </w:p>
        </w:tc>
        <w:tc>
          <w:tcPr>
            <w:tcW w:w="107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69"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935" w:type="dxa"/>
            <w:vMerge/>
            <w:tcBorders>
              <w:left w:val="single" w:sz="4" w:space="0" w:color="000000"/>
              <w:right w:val="single" w:sz="4" w:space="0" w:color="000000"/>
            </w:tcBorders>
            <w:shd w:val="clear" w:color="auto" w:fill="D2D2D2"/>
          </w:tcPr>
          <w:p>
            <w:pPr/>
          </w:p>
        </w:tc>
        <w:tc>
          <w:tcPr>
            <w:tcW w:w="1152" w:type="dxa"/>
            <w:vMerge/>
            <w:tcBorders>
              <w:left w:val="single" w:sz="4" w:space="0" w:color="000000"/>
              <w:right w:val="single" w:sz="4" w:space="0" w:color="000000"/>
            </w:tcBorders>
            <w:shd w:val="clear" w:color="auto" w:fill="D2D2D2"/>
          </w:tcPr>
          <w:p>
            <w:pPr/>
          </w:p>
        </w:tc>
        <w:tc>
          <w:tcPr>
            <w:tcW w:w="93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74"/>
              <w:ind w:left="281" w:right="23" w:hanging="260"/>
              <w:jc w:val="left"/>
              <w:rPr>
                <w:rFonts w:ascii="宋体" w:hAnsi="宋体" w:cs="宋体" w:eastAsia="宋体" w:hint="default"/>
                <w:sz w:val="18"/>
                <w:szCs w:val="18"/>
              </w:rPr>
            </w:pPr>
            <w:r>
              <w:rPr>
                <w:rFonts w:ascii="宋体" w:hAnsi="宋体" w:cs="宋体" w:eastAsia="宋体" w:hint="default"/>
                <w:spacing w:val="-5"/>
                <w:sz w:val="18"/>
                <w:szCs w:val="18"/>
              </w:rPr>
              <w:t>减：所得税</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费用</w:t>
            </w:r>
          </w:p>
        </w:tc>
        <w:tc>
          <w:tcPr>
            <w:tcW w:w="936"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74"/>
              <w:ind w:left="102" w:right="102"/>
              <w:jc w:val="left"/>
              <w:rPr>
                <w:rFonts w:ascii="宋体" w:hAnsi="宋体" w:cs="宋体" w:eastAsia="宋体" w:hint="default"/>
                <w:sz w:val="18"/>
                <w:szCs w:val="18"/>
              </w:rPr>
            </w:pPr>
            <w:r>
              <w:rPr>
                <w:rFonts w:ascii="宋体" w:hAnsi="宋体" w:cs="宋体" w:eastAsia="宋体" w:hint="default"/>
                <w:sz w:val="18"/>
                <w:szCs w:val="18"/>
              </w:rPr>
              <w:t>税后归属 于母公司</w:t>
            </w:r>
          </w:p>
        </w:tc>
        <w:tc>
          <w:tcPr>
            <w:tcW w:w="935" w:type="dxa"/>
            <w:vMerge/>
            <w:tcBorders>
              <w:left w:val="single" w:sz="4" w:space="0" w:color="000000"/>
              <w:right w:val="single" w:sz="4" w:space="0" w:color="000000"/>
            </w:tcBorders>
            <w:shd w:val="clear" w:color="auto" w:fill="D2D2D2"/>
          </w:tcPr>
          <w:p>
            <w:pPr/>
          </w:p>
        </w:tc>
        <w:tc>
          <w:tcPr>
            <w:tcW w:w="79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28"/>
              <w:ind w:left="32"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58" w:hRule="exact"/>
        </w:trPr>
        <w:tc>
          <w:tcPr>
            <w:tcW w:w="2799" w:type="dxa"/>
            <w:vMerge w:val="restart"/>
            <w:tcBorders>
              <w:top w:val="nil" w:sz="6" w:space="0" w:color="auto"/>
              <w:left w:val="single" w:sz="4" w:space="0" w:color="000000"/>
              <w:right w:val="single" w:sz="4" w:space="0" w:color="000000"/>
            </w:tcBorders>
            <w:shd w:val="clear" w:color="auto" w:fill="D2D2D2"/>
          </w:tcPr>
          <w:p>
            <w:pPr/>
          </w:p>
        </w:tc>
        <w:tc>
          <w:tcPr>
            <w:tcW w:w="1070" w:type="dxa"/>
            <w:vMerge w:val="restart"/>
            <w:tcBorders>
              <w:top w:val="nil" w:sz="6" w:space="0" w:color="auto"/>
              <w:left w:val="single" w:sz="4" w:space="0" w:color="000000"/>
              <w:right w:val="single" w:sz="4" w:space="0" w:color="000000"/>
            </w:tcBorders>
            <w:shd w:val="clear" w:color="auto" w:fill="D2D2D2"/>
          </w:tcPr>
          <w:p>
            <w:pPr/>
          </w:p>
        </w:tc>
        <w:tc>
          <w:tcPr>
            <w:tcW w:w="935" w:type="dxa"/>
            <w:vMerge/>
            <w:tcBorders>
              <w:left w:val="single" w:sz="4" w:space="0" w:color="000000"/>
              <w:right w:val="single" w:sz="4" w:space="0" w:color="000000"/>
            </w:tcBorders>
            <w:shd w:val="clear" w:color="auto" w:fill="D2D2D2"/>
          </w:tcPr>
          <w:p>
            <w:pPr/>
          </w:p>
        </w:tc>
        <w:tc>
          <w:tcPr>
            <w:tcW w:w="1152" w:type="dxa"/>
            <w:vMerge/>
            <w:tcBorders>
              <w:left w:val="single" w:sz="4" w:space="0" w:color="000000"/>
              <w:right w:val="single" w:sz="4" w:space="0" w:color="000000"/>
            </w:tcBorders>
            <w:shd w:val="clear" w:color="auto" w:fill="D2D2D2"/>
          </w:tcPr>
          <w:p>
            <w:pPr/>
          </w:p>
        </w:tc>
        <w:tc>
          <w:tcPr>
            <w:tcW w:w="935" w:type="dxa"/>
            <w:vMerge/>
            <w:tcBorders>
              <w:left w:val="single" w:sz="4" w:space="0" w:color="000000"/>
              <w:bottom w:val="nil" w:sz="6" w:space="0" w:color="auto"/>
              <w:right w:val="single" w:sz="4" w:space="0" w:color="000000"/>
            </w:tcBorders>
            <w:shd w:val="clear" w:color="auto" w:fill="D2D2D2"/>
          </w:tcPr>
          <w:p>
            <w:pPr/>
          </w:p>
        </w:tc>
        <w:tc>
          <w:tcPr>
            <w:tcW w:w="936" w:type="dxa"/>
            <w:vMerge/>
            <w:tcBorders>
              <w:left w:val="single" w:sz="4" w:space="0" w:color="000000"/>
              <w:bottom w:val="nil" w:sz="6" w:space="0" w:color="auto"/>
              <w:right w:val="single" w:sz="4" w:space="0" w:color="000000"/>
            </w:tcBorders>
            <w:shd w:val="clear" w:color="auto" w:fill="D2D2D2"/>
          </w:tcPr>
          <w:p>
            <w:pPr/>
          </w:p>
        </w:tc>
        <w:tc>
          <w:tcPr>
            <w:tcW w:w="935" w:type="dxa"/>
            <w:vMerge/>
            <w:tcBorders>
              <w:left w:val="single" w:sz="4" w:space="0" w:color="000000"/>
              <w:right w:val="single" w:sz="4" w:space="0" w:color="000000"/>
            </w:tcBorders>
            <w:shd w:val="clear" w:color="auto" w:fill="D2D2D2"/>
          </w:tcPr>
          <w:p>
            <w:pPr/>
          </w:p>
        </w:tc>
        <w:tc>
          <w:tcPr>
            <w:tcW w:w="796"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2799" w:type="dxa"/>
            <w:vMerge/>
            <w:tcBorders>
              <w:left w:val="single" w:sz="4" w:space="0" w:color="000000"/>
              <w:bottom w:val="single" w:sz="4" w:space="0" w:color="000000"/>
              <w:right w:val="single" w:sz="4" w:space="0" w:color="000000"/>
            </w:tcBorders>
            <w:shd w:val="clear" w:color="auto" w:fill="D2D2D2"/>
          </w:tcPr>
          <w:p>
            <w:pPr/>
          </w:p>
        </w:tc>
        <w:tc>
          <w:tcPr>
            <w:tcW w:w="1070" w:type="dxa"/>
            <w:vMerge/>
            <w:tcBorders>
              <w:left w:val="single" w:sz="4" w:space="0" w:color="000000"/>
              <w:bottom w:val="single" w:sz="4" w:space="0" w:color="000000"/>
              <w:right w:val="single" w:sz="4" w:space="0" w:color="000000"/>
            </w:tcBorders>
            <w:shd w:val="clear" w:color="auto" w:fill="D2D2D2"/>
          </w:tcPr>
          <w:p>
            <w:pPr/>
          </w:p>
        </w:tc>
        <w:tc>
          <w:tcPr>
            <w:tcW w:w="935" w:type="dxa"/>
            <w:vMerge/>
            <w:tcBorders>
              <w:left w:val="single" w:sz="4" w:space="0" w:color="000000"/>
              <w:bottom w:val="single" w:sz="4" w:space="0" w:color="000000"/>
              <w:right w:val="single" w:sz="4" w:space="0" w:color="000000"/>
            </w:tcBorders>
            <w:shd w:val="clear" w:color="auto" w:fill="D2D2D2"/>
          </w:tcPr>
          <w:p>
            <w:pPr/>
          </w:p>
        </w:tc>
        <w:tc>
          <w:tcPr>
            <w:tcW w:w="1152" w:type="dxa"/>
            <w:vMerge/>
            <w:tcBorders>
              <w:left w:val="single" w:sz="4" w:space="0" w:color="000000"/>
              <w:bottom w:val="single" w:sz="4" w:space="0" w:color="000000"/>
              <w:right w:val="single" w:sz="4" w:space="0" w:color="000000"/>
            </w:tcBorders>
            <w:shd w:val="clear" w:color="auto" w:fill="D2D2D2"/>
          </w:tcPr>
          <w:p>
            <w:pPr/>
          </w:p>
        </w:tc>
        <w:tc>
          <w:tcPr>
            <w:tcW w:w="935" w:type="dxa"/>
            <w:tcBorders>
              <w:top w:val="nil" w:sz="6" w:space="0" w:color="auto"/>
              <w:left w:val="single" w:sz="4" w:space="0" w:color="000000"/>
              <w:bottom w:val="single" w:sz="4" w:space="0" w:color="000000"/>
              <w:right w:val="single" w:sz="4" w:space="0" w:color="000000"/>
            </w:tcBorders>
            <w:shd w:val="clear" w:color="auto" w:fill="D2D2D2"/>
          </w:tcPr>
          <w:p>
            <w:pPr/>
          </w:p>
        </w:tc>
        <w:tc>
          <w:tcPr>
            <w:tcW w:w="936" w:type="dxa"/>
            <w:tcBorders>
              <w:top w:val="nil" w:sz="6" w:space="0" w:color="auto"/>
              <w:left w:val="single" w:sz="4" w:space="0" w:color="000000"/>
              <w:bottom w:val="single" w:sz="4" w:space="0" w:color="000000"/>
              <w:right w:val="single" w:sz="4" w:space="0" w:color="000000"/>
            </w:tcBorders>
            <w:shd w:val="clear" w:color="auto" w:fill="D2D2D2"/>
          </w:tcPr>
          <w:p>
            <w:pPr/>
          </w:p>
        </w:tc>
        <w:tc>
          <w:tcPr>
            <w:tcW w:w="935" w:type="dxa"/>
            <w:vMerge/>
            <w:tcBorders>
              <w:left w:val="single" w:sz="4" w:space="0" w:color="000000"/>
              <w:bottom w:val="single" w:sz="4" w:space="0" w:color="000000"/>
              <w:right w:val="single" w:sz="4" w:space="0" w:color="000000"/>
            </w:tcBorders>
            <w:shd w:val="clear" w:color="auto" w:fill="D2D2D2"/>
          </w:tcPr>
          <w:p>
            <w:pPr/>
          </w:p>
        </w:tc>
        <w:tc>
          <w:tcPr>
            <w:tcW w:w="796" w:type="dxa"/>
            <w:vMerge/>
            <w:tcBorders>
              <w:left w:val="single" w:sz="4" w:space="0" w:color="000000"/>
              <w:bottom w:val="single" w:sz="4" w:space="0" w:color="000000"/>
              <w:right w:val="single" w:sz="4" w:space="0" w:color="000000"/>
            </w:tcBorders>
            <w:shd w:val="clear" w:color="auto" w:fill="D2D2D2"/>
          </w:tcPr>
          <w:p>
            <w:pPr/>
          </w:p>
        </w:tc>
      </w:tr>
      <w:tr>
        <w:trPr>
          <w:trHeight w:val="714" w:hRule="exact"/>
        </w:trPr>
        <w:tc>
          <w:tcPr>
            <w:tcW w:w="27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76"/>
              <w:jc w:val="left"/>
              <w:rPr>
                <w:rFonts w:ascii="宋体" w:hAnsi="宋体" w:cs="宋体" w:eastAsia="宋体" w:hint="default"/>
                <w:sz w:val="18"/>
                <w:szCs w:val="18"/>
              </w:rPr>
            </w:pPr>
            <w:r>
              <w:rPr>
                <w:rFonts w:ascii="宋体" w:hAnsi="宋体" w:cs="宋体" w:eastAsia="宋体" w:hint="default"/>
                <w:sz w:val="18"/>
                <w:szCs w:val="18"/>
              </w:rPr>
              <w:t>二、以后将重分类进损益的其他综 合收益</w:t>
            </w:r>
          </w:p>
        </w:tc>
        <w:tc>
          <w:tcPr>
            <w:tcW w:w="107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3" w:right="0"/>
              <w:jc w:val="left"/>
              <w:rPr>
                <w:rFonts w:ascii="Times New Roman" w:hAnsi="Times New Roman" w:cs="Times New Roman" w:eastAsia="Times New Roman" w:hint="default"/>
                <w:sz w:val="18"/>
                <w:szCs w:val="18"/>
              </w:rPr>
            </w:pPr>
            <w:r>
              <w:rPr>
                <w:rFonts w:ascii="Times New Roman"/>
                <w:sz w:val="18"/>
              </w:rPr>
              <w:t>-797,988.43</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1" w:right="0"/>
              <w:jc w:val="left"/>
              <w:rPr>
                <w:rFonts w:ascii="Times New Roman" w:hAnsi="Times New Roman" w:cs="Times New Roman" w:eastAsia="Times New Roman" w:hint="default"/>
                <w:sz w:val="18"/>
                <w:szCs w:val="18"/>
              </w:rPr>
            </w:pPr>
            <w:r>
              <w:rPr>
                <w:rFonts w:ascii="Times New Roman"/>
                <w:sz w:val="18"/>
              </w:rPr>
              <w:t>-100,473.67</w:t>
            </w:r>
          </w:p>
        </w:tc>
        <w:tc>
          <w:tcPr>
            <w:tcW w:w="1152" w:type="dxa"/>
            <w:tcBorders>
              <w:top w:val="single" w:sz="4" w:space="0" w:color="000000"/>
              <w:left w:val="single" w:sz="4" w:space="0" w:color="000000"/>
              <w:bottom w:val="single" w:sz="4" w:space="0" w:color="000000"/>
              <w:right w:val="single" w:sz="4" w:space="0" w:color="000000"/>
            </w:tcBorders>
          </w:tcPr>
          <w:p>
            <w:pPr/>
          </w:p>
        </w:tc>
        <w:tc>
          <w:tcPr>
            <w:tcW w:w="935"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2" w:right="0"/>
              <w:jc w:val="left"/>
              <w:rPr>
                <w:rFonts w:ascii="Times New Roman" w:hAnsi="Times New Roman" w:cs="Times New Roman" w:eastAsia="Times New Roman" w:hint="default"/>
                <w:sz w:val="18"/>
                <w:szCs w:val="18"/>
              </w:rPr>
            </w:pPr>
            <w:r>
              <w:rPr>
                <w:rFonts w:ascii="Times New Roman"/>
                <w:sz w:val="18"/>
              </w:rPr>
              <w:t>-100,473.67</w:t>
            </w:r>
          </w:p>
        </w:tc>
        <w:tc>
          <w:tcPr>
            <w:tcW w:w="935" w:type="dxa"/>
            <w:tcBorders>
              <w:top w:val="single" w:sz="4" w:space="0" w:color="000000"/>
              <w:left w:val="single" w:sz="4" w:space="0" w:color="000000"/>
              <w:bottom w:val="single" w:sz="4" w:space="0" w:color="000000"/>
              <w:right w:val="single" w:sz="4" w:space="0" w:color="000000"/>
            </w:tcBorders>
          </w:tcPr>
          <w:p>
            <w:pP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-898,462.</w:t>
            </w:r>
            <w:r>
              <w:rPr>
                <w:rFonts w:ascii="Times New Roman"/>
                <w:sz w:val="18"/>
              </w:rPr>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10</w:t>
            </w:r>
          </w:p>
        </w:tc>
      </w:tr>
      <w:tr>
        <w:trPr>
          <w:trHeight w:val="161" w:hRule="exact"/>
        </w:trPr>
        <w:tc>
          <w:tcPr>
            <w:tcW w:w="2799" w:type="dxa"/>
            <w:tcBorders>
              <w:top w:val="single" w:sz="4" w:space="0" w:color="000000"/>
              <w:left w:val="single" w:sz="4" w:space="0" w:color="000000"/>
              <w:bottom w:val="nil" w:sz="6" w:space="0" w:color="auto"/>
              <w:right w:val="single" w:sz="4" w:space="0" w:color="000000"/>
            </w:tcBorders>
            <w:shd w:val="clear" w:color="auto" w:fill="D2D2D2"/>
          </w:tcPr>
          <w:p>
            <w:pPr/>
          </w:p>
        </w:tc>
        <w:tc>
          <w:tcPr>
            <w:tcW w:w="1070" w:type="dxa"/>
            <w:vMerge w:val="restart"/>
            <w:tcBorders>
              <w:top w:val="single" w:sz="4" w:space="0" w:color="000000"/>
              <w:left w:val="single" w:sz="9" w:space="0" w:color="D2D2D2"/>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8" w:right="0"/>
              <w:jc w:val="left"/>
              <w:rPr>
                <w:rFonts w:ascii="Times New Roman" w:hAnsi="Times New Roman" w:cs="Times New Roman" w:eastAsia="Times New Roman" w:hint="default"/>
                <w:sz w:val="18"/>
                <w:szCs w:val="18"/>
              </w:rPr>
            </w:pPr>
            <w:r>
              <w:rPr>
                <w:rFonts w:ascii="Times New Roman"/>
                <w:sz w:val="18"/>
              </w:rPr>
              <w:t>-797,988.43</w:t>
            </w:r>
          </w:p>
        </w:tc>
        <w:tc>
          <w:tcPr>
            <w:tcW w:w="93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1" w:right="0"/>
              <w:jc w:val="left"/>
              <w:rPr>
                <w:rFonts w:ascii="Times New Roman" w:hAnsi="Times New Roman" w:cs="Times New Roman" w:eastAsia="Times New Roman" w:hint="default"/>
                <w:sz w:val="18"/>
                <w:szCs w:val="18"/>
              </w:rPr>
            </w:pPr>
            <w:r>
              <w:rPr>
                <w:rFonts w:ascii="Times New Roman"/>
                <w:sz w:val="18"/>
              </w:rPr>
              <w:t>-100,473.67</w:t>
            </w:r>
          </w:p>
        </w:tc>
        <w:tc>
          <w:tcPr>
            <w:tcW w:w="1152" w:type="dxa"/>
            <w:vMerge w:val="restart"/>
            <w:tcBorders>
              <w:top w:val="single" w:sz="4" w:space="0" w:color="000000"/>
              <w:left w:val="single" w:sz="4" w:space="0" w:color="000000"/>
              <w:right w:val="single" w:sz="4" w:space="0" w:color="000000"/>
            </w:tcBorders>
          </w:tcPr>
          <w:p>
            <w:pPr/>
          </w:p>
        </w:tc>
        <w:tc>
          <w:tcPr>
            <w:tcW w:w="935" w:type="dxa"/>
            <w:vMerge w:val="restart"/>
            <w:tcBorders>
              <w:top w:val="single" w:sz="4" w:space="0" w:color="000000"/>
              <w:left w:val="single" w:sz="4" w:space="0" w:color="000000"/>
              <w:right w:val="single" w:sz="4" w:space="0" w:color="000000"/>
            </w:tcBorders>
          </w:tcPr>
          <w:p>
            <w:pPr/>
          </w:p>
        </w:tc>
        <w:tc>
          <w:tcPr>
            <w:tcW w:w="93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2" w:right="0"/>
              <w:jc w:val="left"/>
              <w:rPr>
                <w:rFonts w:ascii="Times New Roman" w:hAnsi="Times New Roman" w:cs="Times New Roman" w:eastAsia="Times New Roman" w:hint="default"/>
                <w:sz w:val="18"/>
                <w:szCs w:val="18"/>
              </w:rPr>
            </w:pPr>
            <w:r>
              <w:rPr>
                <w:rFonts w:ascii="Times New Roman"/>
                <w:sz w:val="18"/>
              </w:rPr>
              <w:t>-100,473.67</w:t>
            </w:r>
          </w:p>
        </w:tc>
        <w:tc>
          <w:tcPr>
            <w:tcW w:w="935" w:type="dxa"/>
            <w:vMerge w:val="restart"/>
            <w:tcBorders>
              <w:top w:val="single" w:sz="4" w:space="0" w:color="000000"/>
              <w:left w:val="single" w:sz="4" w:space="0" w:color="000000"/>
              <w:right w:val="single" w:sz="4" w:space="0" w:color="000000"/>
            </w:tcBorders>
          </w:tcPr>
          <w:p>
            <w:pPr/>
          </w:p>
        </w:tc>
        <w:tc>
          <w:tcPr>
            <w:tcW w:w="796"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-898,462.</w:t>
            </w:r>
            <w:r>
              <w:rPr>
                <w:rFonts w:ascii="Times New Roman"/>
                <w:sz w:val="18"/>
              </w:rPr>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10</w:t>
            </w:r>
          </w:p>
        </w:tc>
      </w:tr>
      <w:tr>
        <w:trPr>
          <w:trHeight w:val="393" w:hRule="exact"/>
        </w:trPr>
        <w:tc>
          <w:tcPr>
            <w:tcW w:w="279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外币财务报表折算差额</w:t>
            </w:r>
          </w:p>
        </w:tc>
        <w:tc>
          <w:tcPr>
            <w:tcW w:w="1070" w:type="dxa"/>
            <w:vMerge/>
            <w:tcBorders>
              <w:left w:val="single" w:sz="9" w:space="0" w:color="D2D2D2"/>
              <w:right w:val="single" w:sz="4" w:space="0" w:color="000000"/>
            </w:tcBorders>
          </w:tcPr>
          <w:p>
            <w:pPr/>
          </w:p>
        </w:tc>
        <w:tc>
          <w:tcPr>
            <w:tcW w:w="935" w:type="dxa"/>
            <w:vMerge/>
            <w:tcBorders>
              <w:left w:val="single" w:sz="4" w:space="0" w:color="000000"/>
              <w:right w:val="single" w:sz="4" w:space="0" w:color="000000"/>
            </w:tcBorders>
          </w:tcPr>
          <w:p>
            <w:pPr/>
          </w:p>
        </w:tc>
        <w:tc>
          <w:tcPr>
            <w:tcW w:w="1152" w:type="dxa"/>
            <w:vMerge/>
            <w:tcBorders>
              <w:left w:val="single" w:sz="4" w:space="0" w:color="000000"/>
              <w:right w:val="single" w:sz="4" w:space="0" w:color="000000"/>
            </w:tcBorders>
          </w:tcPr>
          <w:p>
            <w:pPr/>
          </w:p>
        </w:tc>
        <w:tc>
          <w:tcPr>
            <w:tcW w:w="935" w:type="dxa"/>
            <w:vMerge/>
            <w:tcBorders>
              <w:left w:val="single" w:sz="4" w:space="0" w:color="000000"/>
              <w:right w:val="single" w:sz="4" w:space="0" w:color="000000"/>
            </w:tcBorders>
          </w:tcPr>
          <w:p>
            <w:pPr/>
          </w:p>
        </w:tc>
        <w:tc>
          <w:tcPr>
            <w:tcW w:w="936" w:type="dxa"/>
            <w:vMerge/>
            <w:tcBorders>
              <w:left w:val="single" w:sz="4" w:space="0" w:color="000000"/>
              <w:right w:val="single" w:sz="4" w:space="0" w:color="000000"/>
            </w:tcBorders>
          </w:tcPr>
          <w:p>
            <w:pPr/>
          </w:p>
        </w:tc>
        <w:tc>
          <w:tcPr>
            <w:tcW w:w="935" w:type="dxa"/>
            <w:vMerge/>
            <w:tcBorders>
              <w:left w:val="single" w:sz="4" w:space="0" w:color="000000"/>
              <w:right w:val="single" w:sz="4" w:space="0" w:color="000000"/>
            </w:tcBorders>
          </w:tcPr>
          <w:p>
            <w:pPr/>
          </w:p>
        </w:tc>
        <w:tc>
          <w:tcPr>
            <w:tcW w:w="796" w:type="dxa"/>
            <w:vMerge/>
            <w:tcBorders>
              <w:left w:val="single" w:sz="4" w:space="0" w:color="000000"/>
              <w:right w:val="single" w:sz="4" w:space="0" w:color="000000"/>
            </w:tcBorders>
          </w:tcPr>
          <w:p>
            <w:pPr/>
          </w:p>
        </w:tc>
      </w:tr>
      <w:tr>
        <w:trPr>
          <w:trHeight w:val="161" w:hRule="exact"/>
        </w:trPr>
        <w:tc>
          <w:tcPr>
            <w:tcW w:w="2799" w:type="dxa"/>
            <w:tcBorders>
              <w:top w:val="nil" w:sz="6" w:space="0" w:color="auto"/>
              <w:left w:val="single" w:sz="4" w:space="0" w:color="000000"/>
              <w:bottom w:val="single" w:sz="4" w:space="0" w:color="000000"/>
              <w:right w:val="single" w:sz="4" w:space="0" w:color="000000"/>
            </w:tcBorders>
            <w:shd w:val="clear" w:color="auto" w:fill="D2D2D2"/>
          </w:tcPr>
          <w:p>
            <w:pPr/>
          </w:p>
        </w:tc>
        <w:tc>
          <w:tcPr>
            <w:tcW w:w="1070" w:type="dxa"/>
            <w:vMerge/>
            <w:tcBorders>
              <w:left w:val="single" w:sz="9" w:space="0" w:color="D2D2D2"/>
              <w:bottom w:val="single" w:sz="4" w:space="0" w:color="000000"/>
              <w:right w:val="single" w:sz="4" w:space="0" w:color="000000"/>
            </w:tcBorders>
          </w:tcPr>
          <w:p>
            <w:pPr/>
          </w:p>
        </w:tc>
        <w:tc>
          <w:tcPr>
            <w:tcW w:w="935" w:type="dxa"/>
            <w:vMerge/>
            <w:tcBorders>
              <w:left w:val="single" w:sz="4" w:space="0" w:color="000000"/>
              <w:bottom w:val="single" w:sz="4" w:space="0" w:color="000000"/>
              <w:right w:val="single" w:sz="4" w:space="0" w:color="000000"/>
            </w:tcBorders>
          </w:tcPr>
          <w:p>
            <w:pPr/>
          </w:p>
        </w:tc>
        <w:tc>
          <w:tcPr>
            <w:tcW w:w="1152" w:type="dxa"/>
            <w:vMerge/>
            <w:tcBorders>
              <w:left w:val="single" w:sz="4" w:space="0" w:color="000000"/>
              <w:bottom w:val="single" w:sz="4" w:space="0" w:color="000000"/>
              <w:right w:val="single" w:sz="4" w:space="0" w:color="000000"/>
            </w:tcBorders>
          </w:tcPr>
          <w:p>
            <w:pPr/>
          </w:p>
        </w:tc>
        <w:tc>
          <w:tcPr>
            <w:tcW w:w="935" w:type="dxa"/>
            <w:vMerge/>
            <w:tcBorders>
              <w:left w:val="single" w:sz="4" w:space="0" w:color="000000"/>
              <w:bottom w:val="single" w:sz="4" w:space="0" w:color="000000"/>
              <w:right w:val="single" w:sz="4" w:space="0" w:color="000000"/>
            </w:tcBorders>
          </w:tcPr>
          <w:p>
            <w:pPr/>
          </w:p>
        </w:tc>
        <w:tc>
          <w:tcPr>
            <w:tcW w:w="936" w:type="dxa"/>
            <w:vMerge/>
            <w:tcBorders>
              <w:left w:val="single" w:sz="4" w:space="0" w:color="000000"/>
              <w:bottom w:val="single" w:sz="4" w:space="0" w:color="000000"/>
              <w:right w:val="single" w:sz="4" w:space="0" w:color="000000"/>
            </w:tcBorders>
          </w:tcPr>
          <w:p>
            <w:pPr/>
          </w:p>
        </w:tc>
        <w:tc>
          <w:tcPr>
            <w:tcW w:w="935" w:type="dxa"/>
            <w:vMerge/>
            <w:tcBorders>
              <w:left w:val="single" w:sz="4" w:space="0" w:color="000000"/>
              <w:bottom w:val="single" w:sz="4" w:space="0" w:color="000000"/>
              <w:right w:val="single" w:sz="4" w:space="0" w:color="000000"/>
            </w:tcBorders>
          </w:tcPr>
          <w:p>
            <w:pPr/>
          </w:p>
        </w:tc>
        <w:tc>
          <w:tcPr>
            <w:tcW w:w="796" w:type="dxa"/>
            <w:vMerge/>
            <w:tcBorders>
              <w:left w:val="single" w:sz="4" w:space="0" w:color="000000"/>
              <w:bottom w:val="single" w:sz="4" w:space="0" w:color="000000"/>
              <w:right w:val="single" w:sz="4" w:space="0" w:color="000000"/>
            </w:tcBorders>
          </w:tcPr>
          <w:p>
            <w:pPr/>
          </w:p>
        </w:tc>
      </w:tr>
      <w:tr>
        <w:trPr>
          <w:trHeight w:val="161" w:hRule="exact"/>
        </w:trPr>
        <w:tc>
          <w:tcPr>
            <w:tcW w:w="2799" w:type="dxa"/>
            <w:tcBorders>
              <w:top w:val="single" w:sz="4" w:space="0" w:color="000000"/>
              <w:left w:val="single" w:sz="4" w:space="0" w:color="000000"/>
              <w:bottom w:val="nil" w:sz="6" w:space="0" w:color="auto"/>
              <w:right w:val="single" w:sz="4" w:space="0" w:color="000000"/>
            </w:tcBorders>
            <w:shd w:val="clear" w:color="auto" w:fill="D2D2D2"/>
          </w:tcPr>
          <w:p>
            <w:pPr/>
          </w:p>
        </w:tc>
        <w:tc>
          <w:tcPr>
            <w:tcW w:w="1070" w:type="dxa"/>
            <w:vMerge w:val="restart"/>
            <w:tcBorders>
              <w:top w:val="single" w:sz="4" w:space="0" w:color="000000"/>
              <w:left w:val="single" w:sz="9" w:space="0" w:color="D2D2D2"/>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8" w:right="0"/>
              <w:jc w:val="left"/>
              <w:rPr>
                <w:rFonts w:ascii="Times New Roman" w:hAnsi="Times New Roman" w:cs="Times New Roman" w:eastAsia="Times New Roman" w:hint="default"/>
                <w:sz w:val="18"/>
                <w:szCs w:val="18"/>
              </w:rPr>
            </w:pPr>
            <w:r>
              <w:rPr>
                <w:rFonts w:ascii="Times New Roman"/>
                <w:sz w:val="18"/>
              </w:rPr>
              <w:t>-797,988.43</w:t>
            </w:r>
          </w:p>
        </w:tc>
        <w:tc>
          <w:tcPr>
            <w:tcW w:w="93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1" w:right="0"/>
              <w:jc w:val="left"/>
              <w:rPr>
                <w:rFonts w:ascii="Times New Roman" w:hAnsi="Times New Roman" w:cs="Times New Roman" w:eastAsia="Times New Roman" w:hint="default"/>
                <w:sz w:val="18"/>
                <w:szCs w:val="18"/>
              </w:rPr>
            </w:pPr>
            <w:r>
              <w:rPr>
                <w:rFonts w:ascii="Times New Roman"/>
                <w:sz w:val="18"/>
              </w:rPr>
              <w:t>-100,473.67</w:t>
            </w:r>
          </w:p>
        </w:tc>
        <w:tc>
          <w:tcPr>
            <w:tcW w:w="1152" w:type="dxa"/>
            <w:vMerge w:val="restart"/>
            <w:tcBorders>
              <w:top w:val="single" w:sz="4" w:space="0" w:color="000000"/>
              <w:left w:val="single" w:sz="4" w:space="0" w:color="000000"/>
              <w:right w:val="single" w:sz="4" w:space="0" w:color="000000"/>
            </w:tcBorders>
          </w:tcPr>
          <w:p>
            <w:pPr/>
          </w:p>
        </w:tc>
        <w:tc>
          <w:tcPr>
            <w:tcW w:w="935" w:type="dxa"/>
            <w:vMerge w:val="restart"/>
            <w:tcBorders>
              <w:top w:val="single" w:sz="4" w:space="0" w:color="000000"/>
              <w:left w:val="single" w:sz="4" w:space="0" w:color="000000"/>
              <w:right w:val="single" w:sz="4" w:space="0" w:color="000000"/>
            </w:tcBorders>
          </w:tcPr>
          <w:p>
            <w:pPr/>
          </w:p>
        </w:tc>
        <w:tc>
          <w:tcPr>
            <w:tcW w:w="93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2" w:right="0"/>
              <w:jc w:val="left"/>
              <w:rPr>
                <w:rFonts w:ascii="Times New Roman" w:hAnsi="Times New Roman" w:cs="Times New Roman" w:eastAsia="Times New Roman" w:hint="default"/>
                <w:sz w:val="18"/>
                <w:szCs w:val="18"/>
              </w:rPr>
            </w:pPr>
            <w:r>
              <w:rPr>
                <w:rFonts w:ascii="Times New Roman"/>
                <w:sz w:val="18"/>
              </w:rPr>
              <w:t>-100,473.67</w:t>
            </w:r>
          </w:p>
        </w:tc>
        <w:tc>
          <w:tcPr>
            <w:tcW w:w="935" w:type="dxa"/>
            <w:vMerge w:val="restart"/>
            <w:tcBorders>
              <w:top w:val="single" w:sz="4" w:space="0" w:color="000000"/>
              <w:left w:val="single" w:sz="4" w:space="0" w:color="000000"/>
              <w:right w:val="single" w:sz="4" w:space="0" w:color="000000"/>
            </w:tcBorders>
          </w:tcPr>
          <w:p>
            <w:pPr/>
          </w:p>
        </w:tc>
        <w:tc>
          <w:tcPr>
            <w:tcW w:w="796"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-898,462.</w:t>
            </w:r>
            <w:r>
              <w:rPr>
                <w:rFonts w:ascii="Times New Roman"/>
                <w:sz w:val="18"/>
              </w:rPr>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10</w:t>
            </w:r>
          </w:p>
        </w:tc>
      </w:tr>
      <w:tr>
        <w:trPr>
          <w:trHeight w:val="391" w:hRule="exact"/>
        </w:trPr>
        <w:tc>
          <w:tcPr>
            <w:tcW w:w="279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其他综合收益合计</w:t>
            </w:r>
          </w:p>
        </w:tc>
        <w:tc>
          <w:tcPr>
            <w:tcW w:w="1070" w:type="dxa"/>
            <w:vMerge/>
            <w:tcBorders>
              <w:left w:val="single" w:sz="9" w:space="0" w:color="D2D2D2"/>
              <w:right w:val="single" w:sz="4" w:space="0" w:color="000000"/>
            </w:tcBorders>
          </w:tcPr>
          <w:p>
            <w:pPr/>
          </w:p>
        </w:tc>
        <w:tc>
          <w:tcPr>
            <w:tcW w:w="935" w:type="dxa"/>
            <w:vMerge/>
            <w:tcBorders>
              <w:left w:val="single" w:sz="4" w:space="0" w:color="000000"/>
              <w:right w:val="single" w:sz="4" w:space="0" w:color="000000"/>
            </w:tcBorders>
          </w:tcPr>
          <w:p>
            <w:pPr/>
          </w:p>
        </w:tc>
        <w:tc>
          <w:tcPr>
            <w:tcW w:w="1152" w:type="dxa"/>
            <w:vMerge/>
            <w:tcBorders>
              <w:left w:val="single" w:sz="4" w:space="0" w:color="000000"/>
              <w:right w:val="single" w:sz="4" w:space="0" w:color="000000"/>
            </w:tcBorders>
          </w:tcPr>
          <w:p>
            <w:pPr/>
          </w:p>
        </w:tc>
        <w:tc>
          <w:tcPr>
            <w:tcW w:w="935" w:type="dxa"/>
            <w:vMerge/>
            <w:tcBorders>
              <w:left w:val="single" w:sz="4" w:space="0" w:color="000000"/>
              <w:right w:val="single" w:sz="4" w:space="0" w:color="000000"/>
            </w:tcBorders>
          </w:tcPr>
          <w:p>
            <w:pPr/>
          </w:p>
        </w:tc>
        <w:tc>
          <w:tcPr>
            <w:tcW w:w="936" w:type="dxa"/>
            <w:vMerge/>
            <w:tcBorders>
              <w:left w:val="single" w:sz="4" w:space="0" w:color="000000"/>
              <w:right w:val="single" w:sz="4" w:space="0" w:color="000000"/>
            </w:tcBorders>
          </w:tcPr>
          <w:p>
            <w:pPr/>
          </w:p>
        </w:tc>
        <w:tc>
          <w:tcPr>
            <w:tcW w:w="935" w:type="dxa"/>
            <w:vMerge/>
            <w:tcBorders>
              <w:left w:val="single" w:sz="4" w:space="0" w:color="000000"/>
              <w:right w:val="single" w:sz="4" w:space="0" w:color="000000"/>
            </w:tcBorders>
          </w:tcPr>
          <w:p>
            <w:pPr/>
          </w:p>
        </w:tc>
        <w:tc>
          <w:tcPr>
            <w:tcW w:w="796" w:type="dxa"/>
            <w:vMerge/>
            <w:tcBorders>
              <w:left w:val="single" w:sz="4" w:space="0" w:color="000000"/>
              <w:right w:val="single" w:sz="4" w:space="0" w:color="000000"/>
            </w:tcBorders>
          </w:tcPr>
          <w:p>
            <w:pPr/>
          </w:p>
        </w:tc>
      </w:tr>
      <w:tr>
        <w:trPr>
          <w:trHeight w:val="162" w:hRule="exact"/>
        </w:trPr>
        <w:tc>
          <w:tcPr>
            <w:tcW w:w="2799" w:type="dxa"/>
            <w:tcBorders>
              <w:top w:val="nil" w:sz="6" w:space="0" w:color="auto"/>
              <w:left w:val="single" w:sz="4" w:space="0" w:color="000000"/>
              <w:bottom w:val="single" w:sz="4" w:space="0" w:color="000000"/>
              <w:right w:val="single" w:sz="4" w:space="0" w:color="000000"/>
            </w:tcBorders>
            <w:shd w:val="clear" w:color="auto" w:fill="D2D2D2"/>
          </w:tcPr>
          <w:p>
            <w:pPr/>
          </w:p>
        </w:tc>
        <w:tc>
          <w:tcPr>
            <w:tcW w:w="1070" w:type="dxa"/>
            <w:vMerge/>
            <w:tcBorders>
              <w:left w:val="single" w:sz="9" w:space="0" w:color="D2D2D2"/>
              <w:bottom w:val="single" w:sz="4" w:space="0" w:color="000000"/>
              <w:right w:val="single" w:sz="4" w:space="0" w:color="000000"/>
            </w:tcBorders>
          </w:tcPr>
          <w:p>
            <w:pPr/>
          </w:p>
        </w:tc>
        <w:tc>
          <w:tcPr>
            <w:tcW w:w="935" w:type="dxa"/>
            <w:vMerge/>
            <w:tcBorders>
              <w:left w:val="single" w:sz="4" w:space="0" w:color="000000"/>
              <w:bottom w:val="single" w:sz="4" w:space="0" w:color="000000"/>
              <w:right w:val="single" w:sz="4" w:space="0" w:color="000000"/>
            </w:tcBorders>
          </w:tcPr>
          <w:p>
            <w:pPr/>
          </w:p>
        </w:tc>
        <w:tc>
          <w:tcPr>
            <w:tcW w:w="1152" w:type="dxa"/>
            <w:vMerge/>
            <w:tcBorders>
              <w:left w:val="single" w:sz="4" w:space="0" w:color="000000"/>
              <w:bottom w:val="single" w:sz="4" w:space="0" w:color="000000"/>
              <w:right w:val="single" w:sz="4" w:space="0" w:color="000000"/>
            </w:tcBorders>
          </w:tcPr>
          <w:p>
            <w:pPr/>
          </w:p>
        </w:tc>
        <w:tc>
          <w:tcPr>
            <w:tcW w:w="935" w:type="dxa"/>
            <w:vMerge/>
            <w:tcBorders>
              <w:left w:val="single" w:sz="4" w:space="0" w:color="000000"/>
              <w:bottom w:val="single" w:sz="4" w:space="0" w:color="000000"/>
              <w:right w:val="single" w:sz="4" w:space="0" w:color="000000"/>
            </w:tcBorders>
          </w:tcPr>
          <w:p>
            <w:pPr/>
          </w:p>
        </w:tc>
        <w:tc>
          <w:tcPr>
            <w:tcW w:w="936" w:type="dxa"/>
            <w:vMerge/>
            <w:tcBorders>
              <w:left w:val="single" w:sz="4" w:space="0" w:color="000000"/>
              <w:bottom w:val="single" w:sz="4" w:space="0" w:color="000000"/>
              <w:right w:val="single" w:sz="4" w:space="0" w:color="000000"/>
            </w:tcBorders>
          </w:tcPr>
          <w:p>
            <w:pPr/>
          </w:p>
        </w:tc>
        <w:tc>
          <w:tcPr>
            <w:tcW w:w="935" w:type="dxa"/>
            <w:vMerge/>
            <w:tcBorders>
              <w:left w:val="single" w:sz="4" w:space="0" w:color="000000"/>
              <w:bottom w:val="single" w:sz="4" w:space="0" w:color="000000"/>
              <w:right w:val="single" w:sz="4" w:space="0" w:color="000000"/>
            </w:tcBorders>
          </w:tcPr>
          <w:p>
            <w:pPr/>
          </w:p>
        </w:tc>
        <w:tc>
          <w:tcPr>
            <w:tcW w:w="796" w:type="dxa"/>
            <w:vMerge/>
            <w:tcBorders>
              <w:left w:val="single" w:sz="4" w:space="0" w:color="000000"/>
              <w:bottom w:val="single" w:sz="4" w:space="0" w:color="000000"/>
              <w:right w:val="single" w:sz="4" w:space="0" w:color="000000"/>
            </w:tcBorders>
          </w:tcPr>
          <w:p>
            <w:pPr/>
          </w:p>
        </w:tc>
      </w:tr>
    </w:tbl>
    <w:p>
      <w:pPr>
        <w:pStyle w:val="BodyText"/>
        <w:spacing w:line="240" w:lineRule="auto" w:before="51"/>
        <w:ind w:left="154" w:right="0"/>
        <w:jc w:val="left"/>
      </w:pPr>
      <w:r>
        <w:rPr/>
        <w:t>其他说明，包括对现金流量套期损益的有效部分转为被套期项目初始确认金额调整：</w:t>
      </w:r>
    </w:p>
    <w:p>
      <w:pPr>
        <w:spacing w:after="0" w:line="240"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240" w:lineRule="auto" w:before="44"/>
        <w:ind w:right="0"/>
        <w:jc w:val="left"/>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58、专项储备" w:id="368"/>
      <w:bookmarkEnd w:id="368"/>
      <w:r>
        <w:rPr>
          <w:b w:val="0"/>
          <w:bCs w:val="0"/>
        </w:rPr>
      </w:r>
      <w:r>
        <w:rPr>
          <w:rFonts w:ascii="Times New Roman" w:hAnsi="Times New Roman" w:cs="Times New Roman" w:eastAsia="Times New Roman" w:hint="default"/>
        </w:rPr>
        <w:t>58</w:t>
      </w:r>
      <w:r>
        <w:rPr/>
        <w:t>、专项储备</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03"/>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bl>
    <w:p>
      <w:pPr>
        <w:pStyle w:val="BodyText"/>
        <w:spacing w:line="357" w:lineRule="auto" w:before="52"/>
        <w:ind w:left="154" w:right="6612"/>
        <w:jc w:val="left"/>
      </w:pPr>
      <w:r>
        <w:rPr/>
        <w:t>其他说明，包括本期增减变动情况、变动原因说明：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59、盈余公积" w:id="369"/>
      <w:bookmarkEnd w:id="369"/>
      <w:r>
        <w:rPr>
          <w:b w:val="0"/>
          <w:bCs w:val="0"/>
        </w:rPr>
      </w:r>
      <w:r>
        <w:rPr>
          <w:rFonts w:ascii="Times New Roman" w:hAnsi="Times New Roman" w:cs="Times New Roman" w:eastAsia="Times New Roman" w:hint="default"/>
        </w:rPr>
        <w:t>59</w:t>
      </w:r>
      <w:r>
        <w:rPr/>
        <w:t>、盈余公积</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889"/>
        <w:gridCol w:w="1928"/>
        <w:gridCol w:w="1914"/>
        <w:gridCol w:w="1914"/>
        <w:gridCol w:w="1914"/>
      </w:tblGrid>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0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法定盈余公积</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41,131,637.24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3,168,628.89</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44,300,266.13</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41,131,637.24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3,168,628.89</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44,300,266.13</w:t>
            </w:r>
          </w:p>
        </w:tc>
      </w:tr>
    </w:tbl>
    <w:p>
      <w:pPr>
        <w:pStyle w:val="BodyText"/>
        <w:spacing w:line="240" w:lineRule="auto" w:before="51"/>
        <w:ind w:left="154" w:right="0"/>
        <w:jc w:val="left"/>
      </w:pPr>
      <w:r>
        <w:rPr/>
        <w:t>盈余公积说明，包括本期增减变动情况、变动原因说明：</w:t>
      </w:r>
    </w:p>
    <w:p>
      <w:pPr>
        <w:pStyle w:val="BodyText"/>
        <w:spacing w:line="240" w:lineRule="auto" w:before="116"/>
        <w:ind w:left="154" w:right="0"/>
        <w:jc w:val="left"/>
        <w:rPr>
          <w:rFonts w:ascii="Times New Roman" w:hAnsi="Times New Roman" w:cs="Times New Roman" w:eastAsia="Times New Roman" w:hint="default"/>
        </w:rPr>
      </w:pPr>
      <w:r>
        <w:rPr/>
        <w:t>注：根据公司法、章程的规定，本公司按净利润的</w:t>
      </w:r>
      <w:r>
        <w:rPr>
          <w:spacing w:val="-45"/>
        </w:rPr>
        <w:t> </w:t>
      </w:r>
      <w:r>
        <w:rPr>
          <w:rFonts w:ascii="Times New Roman" w:hAnsi="Times New Roman" w:cs="Times New Roman" w:eastAsia="Times New Roman" w:hint="default"/>
        </w:rPr>
        <w:t>10%</w:t>
      </w:r>
      <w:r>
        <w:rPr/>
        <w:t>提取法定盈余公积金。法定盈余公积累计达到本公司注册资本</w:t>
      </w:r>
      <w:r>
        <w:rPr>
          <w:spacing w:val="-46"/>
        </w:rPr>
        <w:t> </w:t>
      </w:r>
      <w:r>
        <w:rPr>
          <w:rFonts w:ascii="Times New Roman" w:hAnsi="Times New Roman" w:cs="Times New Roman" w:eastAsia="Times New Roman" w:hint="default"/>
        </w:rPr>
        <w:t>50%</w:t>
      </w:r>
    </w:p>
    <w:p>
      <w:pPr>
        <w:pStyle w:val="BodyText"/>
        <w:spacing w:line="240" w:lineRule="auto" w:before="64"/>
        <w:ind w:left="154" w:right="0"/>
        <w:jc w:val="left"/>
      </w:pPr>
      <w:r>
        <w:rPr/>
        <w:t>以上，可不再提取。</w:t>
      </w: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bookmarkStart w:name="60、未分配利润" w:id="370"/>
      <w:bookmarkEnd w:id="370"/>
      <w:r>
        <w:rPr>
          <w:b w:val="0"/>
          <w:bCs w:val="0"/>
        </w:rPr>
      </w:r>
      <w:r>
        <w:rPr>
          <w:rFonts w:ascii="Times New Roman" w:hAnsi="Times New Roman" w:cs="Times New Roman" w:eastAsia="Times New Roman" w:hint="default"/>
        </w:rPr>
        <w:t>60</w:t>
      </w:r>
      <w:r>
        <w:rPr/>
        <w:t>、未分配利润</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714"/>
        <w:gridCol w:w="2936"/>
        <w:gridCol w:w="2919"/>
      </w:tblGrid>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本期</w:t>
            </w:r>
          </w:p>
        </w:tc>
        <w:tc>
          <w:tcPr>
            <w:tcW w:w="29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调整前上期末未分配利润</w:t>
            </w:r>
          </w:p>
        </w:tc>
        <w:tc>
          <w:tcPr>
            <w:tcW w:w="293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226,574,804.79</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160,754,876.38</w:t>
            </w:r>
          </w:p>
        </w:tc>
      </w:tr>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调整后期初未分配利润</w:t>
            </w:r>
          </w:p>
        </w:tc>
        <w:tc>
          <w:tcPr>
            <w:tcW w:w="293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226,574,804.79</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160,754,876.38</w:t>
            </w:r>
          </w:p>
        </w:tc>
      </w:tr>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加：本期归属于母公司所有者的净利润</w:t>
            </w:r>
          </w:p>
        </w:tc>
        <w:tc>
          <w:tcPr>
            <w:tcW w:w="293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132,014,114.22</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86,282,371.38</w:t>
            </w:r>
          </w:p>
        </w:tc>
      </w:tr>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减：提取法定盈余公积</w:t>
            </w:r>
          </w:p>
        </w:tc>
        <w:tc>
          <w:tcPr>
            <w:tcW w:w="293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3,168,628.89</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9,173,323.09</w:t>
            </w:r>
          </w:p>
        </w:tc>
      </w:tr>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2" w:right="0"/>
              <w:jc w:val="left"/>
              <w:rPr>
                <w:rFonts w:ascii="宋体" w:hAnsi="宋体" w:cs="宋体" w:eastAsia="宋体" w:hint="default"/>
                <w:sz w:val="18"/>
                <w:szCs w:val="18"/>
              </w:rPr>
            </w:pPr>
            <w:r>
              <w:rPr>
                <w:rFonts w:ascii="宋体" w:hAnsi="宋体" w:cs="宋体" w:eastAsia="宋体" w:hint="default"/>
                <w:sz w:val="18"/>
                <w:szCs w:val="18"/>
              </w:rPr>
              <w:t>应付普通股股利</w:t>
            </w:r>
          </w:p>
        </w:tc>
        <w:tc>
          <w:tcPr>
            <w:tcW w:w="293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40,759,055.60</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11,289,119.88</w:t>
            </w:r>
          </w:p>
        </w:tc>
      </w:tr>
      <w:tr>
        <w:trPr>
          <w:trHeight w:val="403"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期末未分配利润</w:t>
            </w:r>
          </w:p>
        </w:tc>
        <w:tc>
          <w:tcPr>
            <w:tcW w:w="293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314,661,234.52</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226,574,804.79</w:t>
            </w:r>
          </w:p>
        </w:tc>
      </w:tr>
    </w:tbl>
    <w:p>
      <w:pPr>
        <w:pStyle w:val="BodyText"/>
        <w:spacing w:line="240" w:lineRule="auto" w:before="51"/>
        <w:ind w:left="154" w:right="0"/>
        <w:jc w:val="left"/>
      </w:pPr>
      <w:r>
        <w:rPr/>
        <w:t>调整期初未分配利润明细：</w:t>
      </w:r>
    </w:p>
    <w:p>
      <w:pPr>
        <w:pStyle w:val="BodyText"/>
        <w:spacing w:line="240" w:lineRule="auto" w:before="116"/>
        <w:ind w:left="154" w:right="0"/>
        <w:jc w:val="left"/>
      </w:pPr>
      <w:r>
        <w:rPr>
          <w:rFonts w:ascii="Times New Roman" w:hAnsi="Times New Roman" w:cs="Times New Roman" w:eastAsia="Times New Roman" w:hint="default"/>
        </w:rPr>
        <w:t>1)</w:t>
      </w:r>
      <w:r>
        <w:rPr/>
        <w:t>、由于《企业会计准则》及其相关新规定进行追溯调整，影响期初未分配利润</w:t>
      </w:r>
      <w:r>
        <w:rPr>
          <w:spacing w:val="-46"/>
        </w:rPr>
        <w:t> </w:t>
      </w:r>
      <w:r>
        <w:rPr>
          <w:rFonts w:ascii="Times New Roman" w:hAnsi="Times New Roman" w:cs="Times New Roman" w:eastAsia="Times New Roman" w:hint="default"/>
        </w:rPr>
        <w:t>0.00</w:t>
      </w:r>
      <w:r>
        <w:rPr>
          <w:rFonts w:ascii="Times New Roman" w:hAnsi="Times New Roman" w:cs="Times New Roman" w:eastAsia="Times New Roman" w:hint="default"/>
          <w:spacing w:val="-2"/>
        </w:rPr>
        <w:t> </w:t>
      </w:r>
      <w:r>
        <w:rPr/>
        <w:t>元。</w:t>
      </w:r>
    </w:p>
    <w:p>
      <w:pPr>
        <w:pStyle w:val="BodyText"/>
        <w:spacing w:line="240" w:lineRule="auto" w:before="103"/>
        <w:ind w:right="0"/>
        <w:jc w:val="left"/>
      </w:pPr>
      <w:r>
        <w:rPr>
          <w:rFonts w:ascii="Times New Roman" w:hAnsi="Times New Roman" w:cs="Times New Roman" w:eastAsia="Times New Roman" w:hint="default"/>
        </w:rPr>
        <w:t>2)</w:t>
      </w:r>
      <w:r>
        <w:rPr/>
        <w:t>、由于会计政策变更，影响期初未分配利润</w:t>
      </w:r>
      <w:r>
        <w:rPr>
          <w:spacing w:val="-46"/>
        </w:rPr>
        <w:t> </w:t>
      </w:r>
      <w:r>
        <w:rPr>
          <w:rFonts w:ascii="Times New Roman" w:hAnsi="Times New Roman" w:cs="Times New Roman" w:eastAsia="Times New Roman" w:hint="default"/>
        </w:rPr>
        <w:t>0.00</w:t>
      </w:r>
      <w:r>
        <w:rPr>
          <w:rFonts w:ascii="Times New Roman" w:hAnsi="Times New Roman" w:cs="Times New Roman" w:eastAsia="Times New Roman" w:hint="default"/>
          <w:spacing w:val="-1"/>
        </w:rPr>
        <w:t> </w:t>
      </w:r>
      <w:r>
        <w:rPr/>
        <w:t>元。</w:t>
      </w:r>
    </w:p>
    <w:p>
      <w:pPr>
        <w:pStyle w:val="BodyText"/>
        <w:spacing w:line="240" w:lineRule="auto" w:before="102"/>
        <w:ind w:right="0"/>
        <w:jc w:val="left"/>
      </w:pPr>
      <w:r>
        <w:rPr>
          <w:rFonts w:ascii="Times New Roman" w:hAnsi="Times New Roman" w:cs="Times New Roman" w:eastAsia="Times New Roman" w:hint="default"/>
        </w:rPr>
        <w:t>3)</w:t>
      </w:r>
      <w:r>
        <w:rPr/>
        <w:t>、由于重大会计差错更正，影响期初未分配利润</w:t>
      </w:r>
      <w:r>
        <w:rPr>
          <w:spacing w:val="-46"/>
        </w:rPr>
        <w:t> </w:t>
      </w:r>
      <w:r>
        <w:rPr>
          <w:rFonts w:ascii="Times New Roman" w:hAnsi="Times New Roman" w:cs="Times New Roman" w:eastAsia="Times New Roman" w:hint="default"/>
        </w:rPr>
        <w:t>0.00</w:t>
      </w:r>
      <w:r>
        <w:rPr>
          <w:rFonts w:ascii="Times New Roman" w:hAnsi="Times New Roman" w:cs="Times New Roman" w:eastAsia="Times New Roman" w:hint="default"/>
          <w:spacing w:val="-1"/>
        </w:rPr>
        <w:t> </w:t>
      </w:r>
      <w:r>
        <w:rPr/>
        <w:t>元。</w:t>
      </w:r>
    </w:p>
    <w:p>
      <w:pPr>
        <w:pStyle w:val="BodyText"/>
        <w:spacing w:line="240" w:lineRule="auto" w:before="102"/>
        <w:ind w:right="0"/>
        <w:jc w:val="left"/>
      </w:pPr>
      <w:r>
        <w:rPr>
          <w:rFonts w:ascii="Times New Roman" w:hAnsi="Times New Roman" w:cs="Times New Roman" w:eastAsia="Times New Roman" w:hint="default"/>
        </w:rPr>
        <w:t>4)</w:t>
      </w:r>
      <w:r>
        <w:rPr/>
        <w:t>、由于同一控制导致的合并范围变更，影响期初未分配利润</w:t>
      </w:r>
      <w:r>
        <w:rPr>
          <w:spacing w:val="-47"/>
        </w:rPr>
        <w:t> </w:t>
      </w:r>
      <w:r>
        <w:rPr>
          <w:rFonts w:ascii="Times New Roman" w:hAnsi="Times New Roman" w:cs="Times New Roman" w:eastAsia="Times New Roman" w:hint="default"/>
        </w:rPr>
        <w:t>0.00</w:t>
      </w:r>
      <w:r>
        <w:rPr>
          <w:rFonts w:ascii="Times New Roman" w:hAnsi="Times New Roman" w:cs="Times New Roman" w:eastAsia="Times New Roman" w:hint="default"/>
          <w:spacing w:val="-2"/>
        </w:rPr>
        <w:t> </w:t>
      </w:r>
      <w:r>
        <w:rPr/>
        <w:t>元。</w:t>
      </w:r>
    </w:p>
    <w:p>
      <w:pPr>
        <w:pStyle w:val="BodyText"/>
        <w:spacing w:line="240" w:lineRule="auto" w:before="103"/>
        <w:ind w:right="0"/>
        <w:jc w:val="left"/>
      </w:pPr>
      <w:r>
        <w:rPr>
          <w:rFonts w:ascii="Times New Roman" w:hAnsi="Times New Roman" w:cs="Times New Roman" w:eastAsia="Times New Roman" w:hint="default"/>
        </w:rPr>
        <w:t>5)</w:t>
      </w:r>
      <w:r>
        <w:rPr/>
        <w:t>、其他调整合计影响期初未分配利润</w:t>
      </w:r>
      <w:r>
        <w:rPr>
          <w:spacing w:val="-46"/>
        </w:rPr>
        <w:t> </w:t>
      </w:r>
      <w:r>
        <w:rPr>
          <w:rFonts w:ascii="Times New Roman" w:hAnsi="Times New Roman" w:cs="Times New Roman" w:eastAsia="Times New Roman" w:hint="default"/>
        </w:rPr>
        <w:t>0.00</w:t>
      </w:r>
      <w:r>
        <w:rPr>
          <w:rFonts w:ascii="Times New Roman" w:hAnsi="Times New Roman" w:cs="Times New Roman" w:eastAsia="Times New Roman" w:hint="default"/>
          <w:spacing w:val="-1"/>
        </w:rPr>
        <w:t> </w:t>
      </w:r>
      <w:r>
        <w:rPr/>
        <w:t>元。</w:t>
      </w:r>
    </w:p>
    <w:p>
      <w:pPr>
        <w:spacing w:line="240" w:lineRule="auto" w:before="9"/>
        <w:rPr>
          <w:rFonts w:ascii="宋体" w:hAnsi="宋体" w:cs="宋体" w:eastAsia="宋体" w:hint="default"/>
          <w:sz w:val="25"/>
          <w:szCs w:val="25"/>
        </w:rPr>
      </w:pPr>
    </w:p>
    <w:p>
      <w:pPr>
        <w:pStyle w:val="Heading3"/>
        <w:spacing w:line="240" w:lineRule="auto"/>
        <w:ind w:right="0"/>
        <w:jc w:val="left"/>
        <w:rPr>
          <w:b w:val="0"/>
          <w:bCs w:val="0"/>
        </w:rPr>
      </w:pPr>
      <w:bookmarkStart w:name="61、营业收入和营业成本" w:id="371"/>
      <w:bookmarkEnd w:id="371"/>
      <w:r>
        <w:rPr>
          <w:b w:val="0"/>
          <w:bCs w:val="0"/>
        </w:rPr>
      </w:r>
      <w:r>
        <w:rPr>
          <w:rFonts w:ascii="Times New Roman" w:hAnsi="Times New Roman" w:cs="Times New Roman" w:eastAsia="Times New Roman" w:hint="default"/>
        </w:rPr>
        <w:t>61</w:t>
      </w:r>
      <w:r>
        <w:rPr/>
        <w:t>、营业收入和营业成本</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after="0" w:line="240" w:lineRule="auto"/>
        <w:jc w:val="right"/>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206" w:hRule="exact"/>
        </w:trPr>
        <w:tc>
          <w:tcPr>
            <w:tcW w:w="1912" w:type="dxa"/>
            <w:tcBorders>
              <w:top w:val="single" w:sz="4" w:space="0" w:color="000000"/>
              <w:left w:val="single" w:sz="4" w:space="0" w:color="000000"/>
              <w:bottom w:val="nil" w:sz="6" w:space="0" w:color="auto"/>
              <w:right w:val="single" w:sz="4" w:space="0" w:color="000000"/>
            </w:tcBorders>
            <w:shd w:val="clear" w:color="auto" w:fill="D2D2D2"/>
          </w:tcPr>
          <w:p>
            <w:pPr/>
          </w:p>
        </w:tc>
        <w:tc>
          <w:tcPr>
            <w:tcW w:w="383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28"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191" w:hRule="exact"/>
        </w:trPr>
        <w:tc>
          <w:tcPr>
            <w:tcW w:w="191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31" w:type="dxa"/>
            <w:gridSpan w:val="2"/>
            <w:vMerge/>
            <w:tcBorders>
              <w:left w:val="single" w:sz="4" w:space="0" w:color="000000"/>
              <w:bottom w:val="single" w:sz="4" w:space="0" w:color="000000"/>
              <w:right w:val="single" w:sz="4" w:space="0" w:color="000000"/>
            </w:tcBorders>
            <w:shd w:val="clear" w:color="auto" w:fill="D2D2D2"/>
          </w:tcPr>
          <w:p>
            <w:pPr/>
          </w:p>
        </w:tc>
        <w:tc>
          <w:tcPr>
            <w:tcW w:w="3828" w:type="dxa"/>
            <w:gridSpan w:val="2"/>
            <w:vMerge/>
            <w:tcBorders>
              <w:left w:val="single" w:sz="4" w:space="0" w:color="000000"/>
              <w:bottom w:val="single" w:sz="4" w:space="0" w:color="000000"/>
              <w:right w:val="single" w:sz="4" w:space="0" w:color="000000"/>
            </w:tcBorders>
            <w:shd w:val="clear" w:color="auto" w:fill="D2D2D2"/>
          </w:tcPr>
          <w:p>
            <w:pPr/>
          </w:p>
        </w:tc>
      </w:tr>
      <w:tr>
        <w:trPr>
          <w:trHeight w:val="200" w:hRule="exact"/>
        </w:trPr>
        <w:tc>
          <w:tcPr>
            <w:tcW w:w="1912" w:type="dxa"/>
            <w:vMerge/>
            <w:tcBorders>
              <w:left w:val="single" w:sz="4" w:space="0" w:color="000000"/>
              <w:bottom w:val="nil" w:sz="6" w:space="0" w:color="auto"/>
              <w:right w:val="single" w:sz="4" w:space="0" w:color="000000"/>
            </w:tcBorders>
            <w:shd w:val="clear" w:color="auto" w:fill="D2D2D2"/>
          </w:tcPr>
          <w:p>
            <w:pPr/>
          </w:p>
        </w:tc>
        <w:tc>
          <w:tcPr>
            <w:tcW w:w="191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成本</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收入</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206" w:hRule="exact"/>
        </w:trPr>
        <w:tc>
          <w:tcPr>
            <w:tcW w:w="1912"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7"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9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1,040,701,094.84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627,038,761.25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456,871,369.11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203,717,862.42</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9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422,932.56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131,365.94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208,369.94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287,027.59</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1,041,124,027.40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627,170,127.19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457,079,739.05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204,004,890.01</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62、税金及附加" w:id="372"/>
      <w:bookmarkEnd w:id="372"/>
      <w:r>
        <w:rPr>
          <w:b w:val="0"/>
          <w:bCs w:val="0"/>
        </w:rPr>
      </w:r>
      <w:r>
        <w:rPr>
          <w:rFonts w:ascii="Times New Roman" w:hAnsi="Times New Roman" w:cs="Times New Roman" w:eastAsia="Times New Roman" w:hint="default"/>
        </w:rPr>
        <w:t>62</w:t>
      </w:r>
      <w:r>
        <w:rPr/>
        <w:t>、税金及附加</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5,772,729.58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2,006,510.98</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4,136,679.36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1,433,222.17</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房产税</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1,148,790.71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1,048,136.37</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土地使用税</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181,593.84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170,233.84</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车船使用税</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13,140.00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5,580.00</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印花税</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828,432.16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333,754.19</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3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3,273.96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14,695.36</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831,409.13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37,713.09</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12,916,048.74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5,049,846.00</w:t>
            </w:r>
          </w:p>
        </w:tc>
      </w:tr>
    </w:tbl>
    <w:p>
      <w:pPr>
        <w:pStyle w:val="BodyText"/>
        <w:spacing w:line="357" w:lineRule="auto" w:before="51"/>
        <w:ind w:right="9853"/>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63、销售费用" w:id="373"/>
      <w:bookmarkEnd w:id="373"/>
      <w:r>
        <w:rPr>
          <w:b w:val="0"/>
          <w:bCs w:val="0"/>
        </w:rPr>
      </w:r>
      <w:r>
        <w:rPr>
          <w:rFonts w:ascii="Times New Roman" w:hAnsi="Times New Roman" w:cs="Times New Roman" w:eastAsia="Times New Roman" w:hint="default"/>
        </w:rPr>
        <w:t>63</w:t>
      </w:r>
      <w:r>
        <w:rPr/>
        <w:t>、销售费用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工资及福利</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51,268,882.27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38,965,660.01</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安装费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4,474,568.73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4,576,574.57</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运输费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5,926,074.48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6,936,250.70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3,531,319.18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2,843,948.20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7,840,526.49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7,305,543.25</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维护费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17,996,543.86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7,411,506.83</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展览费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4,613,886.63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3,156,247.02</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租赁及水电费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3,773,593.05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2,028,649.26</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1,779,704.35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1,194,649.65</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10,204,865.54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4,560,059.08</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89"/>
        <w:gridCol w:w="3191"/>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47" w:right="0"/>
              <w:jc w:val="left"/>
              <w:rPr>
                <w:rFonts w:ascii="Times New Roman" w:hAnsi="Times New Roman" w:cs="Times New Roman" w:eastAsia="Times New Roman" w:hint="default"/>
                <w:sz w:val="18"/>
                <w:szCs w:val="18"/>
              </w:rPr>
            </w:pPr>
            <w:r>
              <w:rPr>
                <w:rFonts w:ascii="Times New Roman"/>
                <w:sz w:val="18"/>
              </w:rPr>
              <w:t>111,409,964.58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78,979,088.57</w:t>
            </w:r>
          </w:p>
        </w:tc>
      </w:tr>
    </w:tbl>
    <w:p>
      <w:pPr>
        <w:pStyle w:val="BodyText"/>
        <w:spacing w:line="357" w:lineRule="auto" w:before="51"/>
        <w:ind w:right="9853"/>
        <w:jc w:val="left"/>
      </w:pPr>
      <w:r>
        <w:rPr/>
        <w:t>其他说明： 无。</w:t>
      </w:r>
    </w:p>
    <w:p>
      <w:pPr>
        <w:spacing w:line="240" w:lineRule="auto" w:before="3"/>
        <w:rPr>
          <w:rFonts w:ascii="宋体" w:hAnsi="宋体" w:cs="宋体" w:eastAsia="宋体" w:hint="default"/>
          <w:sz w:val="20"/>
          <w:szCs w:val="20"/>
        </w:rPr>
      </w:pPr>
    </w:p>
    <w:p>
      <w:pPr>
        <w:pStyle w:val="Heading3"/>
        <w:spacing w:line="240" w:lineRule="auto"/>
        <w:ind w:right="0"/>
        <w:jc w:val="left"/>
        <w:rPr>
          <w:b w:val="0"/>
          <w:bCs w:val="0"/>
        </w:rPr>
      </w:pPr>
      <w:bookmarkStart w:name="64、管理费用" w:id="374"/>
      <w:bookmarkEnd w:id="374"/>
      <w:r>
        <w:rPr>
          <w:b w:val="0"/>
          <w:bCs w:val="0"/>
        </w:rPr>
      </w:r>
      <w:r>
        <w:rPr>
          <w:rFonts w:ascii="Times New Roman" w:hAnsi="Times New Roman" w:cs="Times New Roman" w:eastAsia="Times New Roman" w:hint="default"/>
        </w:rPr>
        <w:t>64</w:t>
      </w:r>
      <w:r>
        <w:rPr/>
        <w:t>、管理费用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1"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研究开发费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67,494,849.69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47,775,122.47</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工资及福利</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26,143,560.48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17,741,807.96</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股权激励费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6,599,720.00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12,734,800.00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1,351,962.30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608,220.24</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咨询费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9,487,858.69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1,849,279.71</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折旧费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3,164,643.69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2,652,192.03</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3,910,641.92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1,938,718.51</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1,075,532.43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724,505.39</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1,598,941.64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943,630.32</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8,272,298.30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5,938,365.87</w:t>
            </w:r>
          </w:p>
        </w:tc>
      </w:tr>
      <w:tr>
        <w:trPr>
          <w:trHeight w:val="404"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129,100,009.14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92,906,642.50</w:t>
            </w:r>
          </w:p>
        </w:tc>
      </w:tr>
    </w:tbl>
    <w:p>
      <w:pPr>
        <w:pStyle w:val="BodyText"/>
        <w:spacing w:line="357" w:lineRule="auto" w:before="51"/>
        <w:ind w:right="9853"/>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65、财务费用" w:id="375"/>
      <w:bookmarkEnd w:id="375"/>
      <w:r>
        <w:rPr>
          <w:b w:val="0"/>
          <w:bCs w:val="0"/>
        </w:rPr>
      </w:r>
      <w:r>
        <w:rPr>
          <w:rFonts w:ascii="Times New Roman" w:hAnsi="Times New Roman" w:cs="Times New Roman" w:eastAsia="Times New Roman" w:hint="default"/>
        </w:rPr>
        <w:t>65</w:t>
      </w:r>
      <w:r>
        <w:rPr/>
        <w:t>、财务费用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2,230,870.54</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减：利息收入</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1,847,028.33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939,388.75</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汇兑损益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13,110,461.53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-14,516,130.60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手续费及其他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843,719.55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226,730.32</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14,338,023.29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-15,228,789.03</w:t>
            </w:r>
          </w:p>
        </w:tc>
      </w:tr>
    </w:tbl>
    <w:p>
      <w:pPr>
        <w:pStyle w:val="BodyText"/>
        <w:spacing w:line="357" w:lineRule="auto" w:before="51"/>
        <w:ind w:right="9853"/>
        <w:jc w:val="left"/>
      </w:pPr>
      <w:r>
        <w:rPr/>
        <w:t>其他说明： 无。</w:t>
      </w:r>
    </w:p>
    <w:p>
      <w:pPr>
        <w:spacing w:line="240" w:lineRule="auto" w:before="3"/>
        <w:rPr>
          <w:rFonts w:ascii="宋体" w:hAnsi="宋体" w:cs="宋体" w:eastAsia="宋体" w:hint="default"/>
          <w:sz w:val="20"/>
          <w:szCs w:val="20"/>
        </w:rPr>
      </w:pPr>
    </w:p>
    <w:p>
      <w:pPr>
        <w:pStyle w:val="Heading3"/>
        <w:spacing w:line="240" w:lineRule="auto"/>
        <w:ind w:right="0"/>
        <w:jc w:val="left"/>
        <w:rPr>
          <w:b w:val="0"/>
          <w:bCs w:val="0"/>
        </w:rPr>
      </w:pPr>
      <w:bookmarkStart w:name="66、资产减值损失" w:id="376"/>
      <w:bookmarkEnd w:id="376"/>
      <w:r>
        <w:rPr>
          <w:b w:val="0"/>
          <w:bCs w:val="0"/>
        </w:rPr>
      </w:r>
      <w:r>
        <w:rPr>
          <w:rFonts w:ascii="Times New Roman" w:hAnsi="Times New Roman" w:cs="Times New Roman" w:eastAsia="Times New Roman" w:hint="default"/>
        </w:rPr>
        <w:t>66</w:t>
      </w:r>
      <w:r>
        <w:rPr/>
        <w:t>、资产减值损失</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after="0" w:line="240" w:lineRule="auto"/>
        <w:jc w:val="right"/>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一、坏账损失</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23,329,597.79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841,661.26</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二、存货跌价损失</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3,460,657.82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8,699,653.84</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26,790,255.61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9,541,315.10</w:t>
            </w:r>
          </w:p>
        </w:tc>
      </w:tr>
    </w:tbl>
    <w:p>
      <w:pPr>
        <w:pStyle w:val="BodyText"/>
        <w:spacing w:line="357" w:lineRule="auto" w:before="51"/>
        <w:ind w:right="9853"/>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67、公允价值变动收益" w:id="377"/>
      <w:bookmarkEnd w:id="377"/>
      <w:r>
        <w:rPr>
          <w:b w:val="0"/>
          <w:bCs w:val="0"/>
        </w:rPr>
      </w:r>
      <w:r>
        <w:rPr>
          <w:rFonts w:ascii="Times New Roman" w:hAnsi="Times New Roman" w:cs="Times New Roman" w:eastAsia="Times New Roman" w:hint="default"/>
        </w:rPr>
        <w:t>67</w:t>
      </w:r>
      <w:r>
        <w:rPr/>
        <w:t>、公允价值变动收益</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17" w:right="0"/>
              <w:jc w:val="left"/>
              <w:rPr>
                <w:rFonts w:ascii="宋体" w:hAnsi="宋体" w:cs="宋体" w:eastAsia="宋体" w:hint="default"/>
                <w:sz w:val="18"/>
                <w:szCs w:val="18"/>
              </w:rPr>
            </w:pPr>
            <w:r>
              <w:rPr>
                <w:rFonts w:ascii="宋体" w:hAnsi="宋体" w:cs="宋体" w:eastAsia="宋体" w:hint="default"/>
                <w:sz w:val="18"/>
                <w:szCs w:val="18"/>
              </w:rPr>
              <w:t>产生公允价值变动收益的来源</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pStyle w:val="BodyText"/>
        <w:spacing w:line="357" w:lineRule="auto" w:before="52"/>
        <w:ind w:right="9853"/>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68、投资收益" w:id="378"/>
      <w:bookmarkEnd w:id="378"/>
      <w:r>
        <w:rPr>
          <w:b w:val="0"/>
          <w:bCs w:val="0"/>
        </w:rPr>
      </w:r>
      <w:r>
        <w:rPr>
          <w:rFonts w:ascii="Times New Roman" w:hAnsi="Times New Roman" w:cs="Times New Roman" w:eastAsia="Times New Roman" w:hint="default"/>
        </w:rPr>
        <w:t>68</w:t>
      </w:r>
      <w:r>
        <w:rPr/>
        <w:t>、投资收益</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460"/>
        <w:gridCol w:w="3191"/>
        <w:gridCol w:w="2918"/>
      </w:tblGrid>
      <w:tr>
        <w:trPr>
          <w:trHeight w:val="402" w:hRule="exact"/>
        </w:trPr>
        <w:tc>
          <w:tcPr>
            <w:tcW w:w="34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29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319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177,449.00</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处置可供出售金融资产取得的投资收益</w:t>
            </w:r>
          </w:p>
        </w:tc>
        <w:tc>
          <w:tcPr>
            <w:tcW w:w="3191" w:type="dxa"/>
            <w:tcBorders>
              <w:top w:val="single" w:sz="4" w:space="0" w:color="000000"/>
              <w:left w:val="single" w:sz="13" w:space="0" w:color="D2D2D2"/>
              <w:bottom w:val="single" w:sz="4" w:space="0" w:color="000000"/>
              <w:right w:val="single" w:sz="4" w:space="0" w:color="000000"/>
            </w:tcBorders>
          </w:tcPr>
          <w:p>
            <w:pP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10,000,000.00</w:t>
            </w: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理财产品收益</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2,118,884.02</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1,222,797.13</w:t>
            </w: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2,296,333.02</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11,222,797.13</w:t>
            </w:r>
          </w:p>
        </w:tc>
      </w:tr>
    </w:tbl>
    <w:p>
      <w:pPr>
        <w:pStyle w:val="BodyText"/>
        <w:spacing w:line="357" w:lineRule="auto" w:before="51"/>
        <w:ind w:right="9853"/>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69、资产处置收益" w:id="379"/>
      <w:bookmarkEnd w:id="379"/>
      <w:r>
        <w:rPr>
          <w:b w:val="0"/>
          <w:bCs w:val="0"/>
        </w:rPr>
      </w:r>
      <w:r>
        <w:rPr>
          <w:rFonts w:ascii="Times New Roman" w:hAnsi="Times New Roman" w:cs="Times New Roman" w:eastAsia="Times New Roman" w:hint="default"/>
        </w:rPr>
        <w:t>69</w:t>
      </w:r>
      <w:r>
        <w:rPr/>
        <w:t>、资产处置收益</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79"/>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79" w:right="0"/>
              <w:jc w:val="left"/>
              <w:rPr>
                <w:rFonts w:ascii="宋体" w:hAnsi="宋体" w:cs="宋体" w:eastAsia="宋体" w:hint="default"/>
                <w:sz w:val="18"/>
                <w:szCs w:val="18"/>
              </w:rPr>
            </w:pPr>
            <w:r>
              <w:rPr>
                <w:rFonts w:ascii="宋体" w:hAnsi="宋体" w:cs="宋体" w:eastAsia="宋体" w:hint="default"/>
                <w:sz w:val="18"/>
                <w:szCs w:val="18"/>
              </w:rPr>
              <w:t>资产处置收益的来源</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line="240" w:lineRule="auto" w:before="3"/>
        <w:rPr>
          <w:rFonts w:ascii="宋体" w:hAnsi="宋体" w:cs="宋体" w:eastAsia="宋体" w:hint="default"/>
          <w:sz w:val="19"/>
          <w:szCs w:val="19"/>
        </w:rPr>
      </w:pPr>
    </w:p>
    <w:p>
      <w:pPr>
        <w:pStyle w:val="Heading3"/>
        <w:spacing w:line="240" w:lineRule="auto" w:before="35"/>
        <w:ind w:right="0"/>
        <w:jc w:val="left"/>
        <w:rPr>
          <w:b w:val="0"/>
          <w:bCs w:val="0"/>
        </w:rPr>
      </w:pPr>
      <w:bookmarkStart w:name="70、其他收益" w:id="380"/>
      <w:bookmarkEnd w:id="380"/>
      <w:r>
        <w:rPr>
          <w:b w:val="0"/>
          <w:bCs w:val="0"/>
        </w:rPr>
      </w:r>
      <w:r>
        <w:rPr>
          <w:rFonts w:ascii="Times New Roman" w:hAnsi="Times New Roman" w:cs="Times New Roman" w:eastAsia="Times New Roman" w:hint="default"/>
        </w:rPr>
        <w:t>70</w:t>
      </w:r>
      <w:r>
        <w:rPr/>
        <w:t>、其他收益</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79" w:right="0"/>
              <w:jc w:val="left"/>
              <w:rPr>
                <w:rFonts w:ascii="宋体" w:hAnsi="宋体" w:cs="宋体" w:eastAsia="宋体" w:hint="default"/>
                <w:sz w:val="18"/>
                <w:szCs w:val="18"/>
              </w:rPr>
            </w:pPr>
            <w:r>
              <w:rPr>
                <w:rFonts w:ascii="宋体" w:hAnsi="宋体" w:cs="宋体" w:eastAsia="宋体" w:hint="default"/>
                <w:sz w:val="18"/>
                <w:szCs w:val="18"/>
              </w:rPr>
              <w:t>产生其他收益的来源</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软件退税</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3,443,357.95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14,956,018.63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18,399,376.58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r>
    </w:tbl>
    <w:p>
      <w:pPr>
        <w:pStyle w:val="BodyText"/>
        <w:spacing w:line="240" w:lineRule="auto" w:before="51"/>
        <w:ind w:left="0" w:right="1130"/>
        <w:jc w:val="right"/>
      </w:pPr>
      <w:r>
        <w:rPr/>
        <w:t>单位： 元</w:t>
      </w:r>
    </w:p>
    <w:p>
      <w:pPr>
        <w:spacing w:after="0" w:line="240" w:lineRule="auto"/>
        <w:jc w:val="right"/>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r>
        <w:rPr/>
        <w:pict>
          <v:group style="position:absolute;margin-left:163.339996pt;margin-top:716.940002pt;width:52.7pt;height:15.6pt;mso-position-horizontal-relative:page;mso-position-vertical-relative:page;z-index:-1253104" coordorigin="3267,14339" coordsize="1054,312">
            <v:shape style="position:absolute;left:3267;top:14339;width:1054;height:312" coordorigin="3267,14339" coordsize="1054,312" path="m3267,14651l4320,14651,4320,14339,3267,14339,3267,14651xe" filled="true" fillcolor="#ffffff" stroked="false">
              <v:path arrowok="t"/>
              <v:fill type="solid"/>
            </v:shape>
            <w10:wrap type="none"/>
          </v:group>
        </w:pict>
      </w: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066"/>
        <w:gridCol w:w="1062"/>
        <w:gridCol w:w="1063"/>
        <w:gridCol w:w="1064"/>
        <w:gridCol w:w="1063"/>
        <w:gridCol w:w="1063"/>
        <w:gridCol w:w="1133"/>
        <w:gridCol w:w="992"/>
        <w:gridCol w:w="1063"/>
      </w:tblGrid>
      <w:tr>
        <w:trPr>
          <w:trHeight w:val="714" w:hRule="exact"/>
        </w:trPr>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补助项目</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65" w:right="0"/>
              <w:jc w:val="left"/>
              <w:rPr>
                <w:rFonts w:ascii="宋体" w:hAnsi="宋体" w:cs="宋体" w:eastAsia="宋体" w:hint="default"/>
                <w:sz w:val="18"/>
                <w:szCs w:val="18"/>
              </w:rPr>
            </w:pPr>
            <w:r>
              <w:rPr>
                <w:rFonts w:ascii="宋体" w:hAnsi="宋体" w:cs="宋体" w:eastAsia="宋体" w:hint="default"/>
                <w:sz w:val="18"/>
                <w:szCs w:val="18"/>
              </w:rPr>
              <w:t>发放主体</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发放原因</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65" w:right="0"/>
              <w:jc w:val="left"/>
              <w:rPr>
                <w:rFonts w:ascii="宋体" w:hAnsi="宋体" w:cs="宋体" w:eastAsia="宋体" w:hint="default"/>
                <w:sz w:val="18"/>
                <w:szCs w:val="18"/>
              </w:rPr>
            </w:pPr>
            <w:r>
              <w:rPr>
                <w:rFonts w:ascii="宋体" w:hAnsi="宋体" w:cs="宋体" w:eastAsia="宋体" w:hint="default"/>
                <w:sz w:val="18"/>
                <w:szCs w:val="18"/>
              </w:rPr>
              <w:t>性质类型</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75" w:right="77"/>
              <w:jc w:val="left"/>
              <w:rPr>
                <w:rFonts w:ascii="宋体" w:hAnsi="宋体" w:cs="宋体" w:eastAsia="宋体" w:hint="default"/>
                <w:sz w:val="18"/>
                <w:szCs w:val="18"/>
              </w:rPr>
            </w:pPr>
            <w:r>
              <w:rPr>
                <w:rFonts w:ascii="宋体" w:hAnsi="宋体" w:cs="宋体" w:eastAsia="宋体" w:hint="default"/>
                <w:sz w:val="18"/>
                <w:szCs w:val="18"/>
              </w:rPr>
              <w:t>补贴是否影 响当年盈亏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435" w:right="77" w:hanging="360"/>
              <w:jc w:val="left"/>
              <w:rPr>
                <w:rFonts w:ascii="宋体" w:hAnsi="宋体" w:cs="宋体" w:eastAsia="宋体" w:hint="default"/>
                <w:sz w:val="18"/>
                <w:szCs w:val="18"/>
              </w:rPr>
            </w:pPr>
            <w:r>
              <w:rPr>
                <w:rFonts w:ascii="宋体" w:hAnsi="宋体" w:cs="宋体" w:eastAsia="宋体" w:hint="default"/>
                <w:sz w:val="18"/>
                <w:szCs w:val="18"/>
              </w:rPr>
              <w:t>是否特殊补 贴</w:t>
            </w:r>
          </w:p>
        </w:tc>
        <w:tc>
          <w:tcPr>
            <w:tcW w:w="11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471" w:right="111" w:hanging="360"/>
              <w:jc w:val="left"/>
              <w:rPr>
                <w:rFonts w:ascii="宋体" w:hAnsi="宋体" w:cs="宋体" w:eastAsia="宋体" w:hint="default"/>
                <w:sz w:val="18"/>
                <w:szCs w:val="18"/>
              </w:rPr>
            </w:pPr>
            <w:r>
              <w:rPr>
                <w:rFonts w:ascii="宋体" w:hAnsi="宋体" w:cs="宋体" w:eastAsia="宋体" w:hint="default"/>
                <w:sz w:val="18"/>
                <w:szCs w:val="18"/>
              </w:rPr>
              <w:t>本期发生金 额</w:t>
            </w:r>
          </w:p>
        </w:tc>
        <w:tc>
          <w:tcPr>
            <w:tcW w:w="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400" w:right="41" w:hanging="360"/>
              <w:jc w:val="left"/>
              <w:rPr>
                <w:rFonts w:ascii="宋体" w:hAnsi="宋体" w:cs="宋体" w:eastAsia="宋体" w:hint="default"/>
                <w:sz w:val="18"/>
                <w:szCs w:val="18"/>
              </w:rPr>
            </w:pPr>
            <w:r>
              <w:rPr>
                <w:rFonts w:ascii="宋体" w:hAnsi="宋体" w:cs="宋体" w:eastAsia="宋体" w:hint="default"/>
                <w:sz w:val="18"/>
                <w:szCs w:val="18"/>
              </w:rPr>
              <w:t>上期发生金 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76" w:right="51" w:hanging="26"/>
              <w:jc w:val="left"/>
              <w:rPr>
                <w:rFonts w:ascii="宋体" w:hAnsi="宋体" w:cs="宋体" w:eastAsia="宋体" w:hint="default"/>
                <w:sz w:val="18"/>
                <w:szCs w:val="18"/>
              </w:rPr>
            </w:pPr>
            <w:r>
              <w:rPr>
                <w:rFonts w:ascii="宋体" w:hAnsi="宋体" w:cs="宋体" w:eastAsia="宋体" w:hint="default"/>
                <w:sz w:val="18"/>
                <w:szCs w:val="18"/>
              </w:rPr>
              <w:t>与资产相关</w:t>
            </w:r>
            <w:r>
              <w:rPr>
                <w:rFonts w:ascii="Times New Roman" w:hAnsi="Times New Roman" w:cs="Times New Roman" w:eastAsia="Times New Roman" w:hint="default"/>
                <w:sz w:val="18"/>
                <w:szCs w:val="18"/>
              </w:rPr>
              <w:t>/ </w:t>
            </w:r>
            <w:r>
              <w:rPr>
                <w:rFonts w:ascii="宋体" w:hAnsi="宋体" w:cs="宋体" w:eastAsia="宋体" w:hint="default"/>
                <w:sz w:val="18"/>
                <w:szCs w:val="18"/>
              </w:rPr>
              <w:t>与收益相关</w:t>
            </w:r>
          </w:p>
        </w:tc>
      </w:tr>
      <w:tr>
        <w:trPr>
          <w:trHeight w:val="1650"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6"/>
              <w:ind w:left="22" w:right="131"/>
              <w:jc w:val="both"/>
              <w:rPr>
                <w:rFonts w:ascii="宋体" w:hAnsi="宋体" w:cs="宋体" w:eastAsia="宋体" w:hint="default"/>
                <w:sz w:val="18"/>
                <w:szCs w:val="18"/>
              </w:rPr>
            </w:pPr>
            <w:r>
              <w:rPr>
                <w:rFonts w:ascii="宋体" w:hAnsi="宋体" w:cs="宋体" w:eastAsia="宋体" w:hint="default"/>
                <w:sz w:val="18"/>
                <w:szCs w:val="18"/>
              </w:rPr>
              <w:t>收深圳市南 山财政局工 业增长奖励</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06"/>
              <w:ind w:left="22" w:right="127"/>
              <w:jc w:val="left"/>
              <w:rPr>
                <w:rFonts w:ascii="宋体" w:hAnsi="宋体" w:cs="宋体" w:eastAsia="宋体" w:hint="default"/>
                <w:sz w:val="18"/>
                <w:szCs w:val="18"/>
              </w:rPr>
            </w:pPr>
            <w:r>
              <w:rPr>
                <w:rFonts w:ascii="宋体" w:hAnsi="宋体" w:cs="宋体" w:eastAsia="宋体" w:hint="default"/>
                <w:sz w:val="18"/>
                <w:szCs w:val="18"/>
              </w:rPr>
              <w:t>深圳市南山 区财政局</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29"/>
              <w:jc w:val="both"/>
              <w:rPr>
                <w:rFonts w:ascii="宋体" w:hAnsi="宋体" w:cs="宋体" w:eastAsia="宋体" w:hint="default"/>
                <w:sz w:val="18"/>
                <w:szCs w:val="18"/>
              </w:rPr>
            </w:pPr>
            <w:r>
              <w:rPr>
                <w:rFonts w:ascii="宋体" w:hAnsi="宋体" w:cs="宋体" w:eastAsia="宋体" w:hint="default"/>
                <w:sz w:val="18"/>
                <w:szCs w:val="18"/>
              </w:rPr>
              <w:t>因符合地方 政府招商引 资等地方性 扶持政策而 获得的补助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3,000,000.00</w:t>
            </w:r>
          </w:p>
        </w:tc>
        <w:tc>
          <w:tcPr>
            <w:tcW w:w="99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650"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2" w:right="47"/>
              <w:jc w:val="left"/>
              <w:rPr>
                <w:rFonts w:ascii="宋体" w:hAnsi="宋体" w:cs="宋体" w:eastAsia="宋体" w:hint="default"/>
                <w:sz w:val="18"/>
                <w:szCs w:val="18"/>
              </w:rPr>
            </w:pPr>
            <w:r>
              <w:rPr>
                <w:rFonts w:ascii="宋体" w:hAnsi="宋体" w:cs="宋体" w:eastAsia="宋体" w:hint="default"/>
                <w:sz w:val="18"/>
                <w:szCs w:val="18"/>
              </w:rPr>
              <w:t>收深圳市财 政委员会 </w:t>
            </w:r>
            <w:r>
              <w:rPr>
                <w:rFonts w:ascii="Arial" w:hAnsi="Arial" w:cs="Arial" w:eastAsia="Arial" w:hint="default"/>
                <w:sz w:val="18"/>
                <w:szCs w:val="18"/>
              </w:rPr>
              <w:t>2016</w:t>
            </w:r>
            <w:r>
              <w:rPr>
                <w:rFonts w:ascii="Arial" w:hAnsi="Arial" w:cs="Arial" w:eastAsia="Arial" w:hint="default"/>
                <w:spacing w:val="-7"/>
                <w:sz w:val="18"/>
                <w:szCs w:val="18"/>
              </w:rPr>
              <w:t> </w:t>
            </w:r>
            <w:r>
              <w:rPr>
                <w:rFonts w:ascii="宋体" w:hAnsi="宋体" w:cs="宋体" w:eastAsia="宋体" w:hint="default"/>
                <w:sz w:val="18"/>
                <w:szCs w:val="18"/>
              </w:rPr>
              <w:t>产业转 型升级专项 资金</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05"/>
              <w:ind w:left="22" w:right="127"/>
              <w:jc w:val="left"/>
              <w:rPr>
                <w:rFonts w:ascii="宋体" w:hAnsi="宋体" w:cs="宋体" w:eastAsia="宋体" w:hint="default"/>
                <w:sz w:val="18"/>
                <w:szCs w:val="18"/>
              </w:rPr>
            </w:pPr>
            <w:r>
              <w:rPr>
                <w:rFonts w:ascii="宋体" w:hAnsi="宋体" w:cs="宋体" w:eastAsia="宋体" w:hint="default"/>
                <w:sz w:val="18"/>
                <w:szCs w:val="18"/>
              </w:rPr>
              <w:t>深圳市财政 委员会</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624"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1"/>
                <w:sz w:val="20"/>
                <w:szCs w:val="20"/>
              </w:rPr>
              <w:pict>
                <v:group style="width:52.7pt;height:31.2pt;mso-position-horizontal-relative:char;mso-position-vertical-relative:line" coordorigin="0,0" coordsize="1054,624">
                  <v:group style="position:absolute;left:0;top:0;width:1054;height:624" coordorigin="0,0" coordsize="1054,624">
                    <v:shape style="position:absolute;left:0;top:0;width:1054;height:624" coordorigin="0,0" coordsize="1054,624" path="m0,624l1054,624,1054,0,0,0,0,624xe" filled="true" fillcolor="#ffffff" stroked="false">
                      <v:path arrowok="t"/>
                      <v:fill type="solid"/>
                    </v:shape>
                  </v:group>
                </v:group>
              </w:pict>
            </w:r>
            <w:r>
              <w:rPr>
                <w:rFonts w:ascii="Times New Roman" w:hAnsi="Times New Roman" w:cs="Times New Roman" w:eastAsia="Times New Roman" w:hint="default"/>
                <w:position w:val="-11"/>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2,350,000.00</w:t>
            </w:r>
          </w:p>
        </w:tc>
        <w:tc>
          <w:tcPr>
            <w:tcW w:w="99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650"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2" w:right="97"/>
              <w:jc w:val="both"/>
              <w:rPr>
                <w:rFonts w:ascii="宋体" w:hAnsi="宋体" w:cs="宋体" w:eastAsia="宋体" w:hint="default"/>
                <w:sz w:val="18"/>
                <w:szCs w:val="18"/>
              </w:rPr>
            </w:pPr>
            <w:r>
              <w:rPr>
                <w:rFonts w:ascii="宋体" w:hAnsi="宋体" w:cs="宋体" w:eastAsia="宋体" w:hint="default"/>
                <w:sz w:val="18"/>
                <w:szCs w:val="18"/>
              </w:rPr>
              <w:t>大尺寸</w:t>
            </w:r>
            <w:r>
              <w:rPr>
                <w:rFonts w:ascii="宋体" w:hAnsi="宋体" w:cs="宋体" w:eastAsia="宋体" w:hint="default"/>
                <w:spacing w:val="-47"/>
                <w:sz w:val="18"/>
                <w:szCs w:val="18"/>
              </w:rPr>
              <w:t> </w:t>
            </w:r>
            <w:r>
              <w:rPr>
                <w:rFonts w:ascii="Arial" w:hAnsi="Arial" w:cs="Arial" w:eastAsia="Arial" w:hint="default"/>
                <w:sz w:val="18"/>
                <w:szCs w:val="18"/>
              </w:rPr>
              <w:t>LED</w:t>
            </w:r>
            <w:r>
              <w:rPr>
                <w:rFonts w:ascii="Arial" w:hAnsi="Arial" w:cs="Arial" w:eastAsia="Arial" w:hint="default"/>
                <w:w w:val="99"/>
                <w:sz w:val="18"/>
                <w:szCs w:val="18"/>
              </w:rPr>
              <w:t> </w:t>
            </w:r>
            <w:r>
              <w:rPr>
                <w:rFonts w:ascii="宋体" w:hAnsi="宋体" w:cs="宋体" w:eastAsia="宋体" w:hint="default"/>
                <w:sz w:val="18"/>
                <w:szCs w:val="18"/>
              </w:rPr>
              <w:t>裸眼立体显 示政府</w:t>
            </w:r>
            <w:r>
              <w:rPr>
                <w:rFonts w:ascii="宋体" w:hAnsi="宋体" w:cs="宋体" w:eastAsia="宋体" w:hint="default"/>
                <w:spacing w:val="-47"/>
                <w:sz w:val="18"/>
                <w:szCs w:val="18"/>
              </w:rPr>
              <w:t> </w:t>
            </w:r>
            <w:r>
              <w:rPr>
                <w:rFonts w:ascii="Arial" w:hAnsi="Arial" w:cs="Arial" w:eastAsia="Arial" w:hint="default"/>
                <w:sz w:val="18"/>
                <w:szCs w:val="18"/>
              </w:rPr>
              <w:t>200</w:t>
            </w:r>
            <w:r>
              <w:rPr>
                <w:rFonts w:ascii="Arial" w:hAnsi="Arial" w:cs="Arial" w:eastAsia="Arial" w:hint="default"/>
                <w:w w:val="99"/>
                <w:sz w:val="18"/>
                <w:szCs w:val="18"/>
              </w:rPr>
              <w:t> </w:t>
            </w:r>
            <w:r>
              <w:rPr>
                <w:rFonts w:ascii="宋体" w:hAnsi="宋体" w:cs="宋体" w:eastAsia="宋体" w:hint="default"/>
                <w:sz w:val="18"/>
                <w:szCs w:val="18"/>
              </w:rPr>
              <w:t>万项目已验 收确认收入</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05"/>
              <w:ind w:left="22" w:right="127"/>
              <w:jc w:val="left"/>
              <w:rPr>
                <w:rFonts w:ascii="宋体" w:hAnsi="宋体" w:cs="宋体" w:eastAsia="宋体" w:hint="default"/>
                <w:sz w:val="18"/>
                <w:szCs w:val="18"/>
              </w:rPr>
            </w:pPr>
            <w:r>
              <w:rPr>
                <w:rFonts w:ascii="宋体" w:hAnsi="宋体" w:cs="宋体" w:eastAsia="宋体" w:hint="default"/>
                <w:sz w:val="18"/>
                <w:szCs w:val="18"/>
              </w:rPr>
              <w:t>深圳市南山 区财政局</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624"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1"/>
                <w:sz w:val="20"/>
                <w:szCs w:val="20"/>
              </w:rPr>
              <w:pict>
                <v:group style="width:52.7pt;height:31.2pt;mso-position-horizontal-relative:char;mso-position-vertical-relative:line" coordorigin="0,0" coordsize="1054,624">
                  <v:group style="position:absolute;left:0;top:0;width:1054;height:624" coordorigin="0,0" coordsize="1054,624">
                    <v:shape style="position:absolute;left:0;top:0;width:1054;height:624" coordorigin="0,0" coordsize="1054,624" path="m0,624l1054,624,1054,0,0,0,0,624xe" filled="true" fillcolor="#ffffff" stroked="false">
                      <v:path arrowok="t"/>
                      <v:fill type="solid"/>
                    </v:shape>
                  </v:group>
                </v:group>
              </w:pict>
            </w:r>
            <w:r>
              <w:rPr>
                <w:rFonts w:ascii="Times New Roman" w:hAnsi="Times New Roman" w:cs="Times New Roman" w:eastAsia="Times New Roman" w:hint="default"/>
                <w:position w:val="-11"/>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2,000,000.00</w:t>
            </w:r>
          </w:p>
        </w:tc>
        <w:tc>
          <w:tcPr>
            <w:tcW w:w="99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338"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both"/>
              <w:rPr>
                <w:rFonts w:ascii="Arial" w:hAnsi="Arial" w:cs="Arial" w:eastAsia="Arial" w:hint="default"/>
                <w:sz w:val="18"/>
                <w:szCs w:val="18"/>
              </w:rPr>
            </w:pPr>
            <w:r>
              <w:rPr>
                <w:rFonts w:ascii="Arial" w:hAnsi="Arial" w:cs="Arial" w:eastAsia="Arial" w:hint="default"/>
                <w:sz w:val="18"/>
                <w:szCs w:val="18"/>
              </w:rPr>
              <w:t>LED </w:t>
            </w:r>
            <w:r>
              <w:rPr>
                <w:rFonts w:ascii="宋体" w:hAnsi="宋体" w:cs="宋体" w:eastAsia="宋体" w:hint="default"/>
                <w:sz w:val="18"/>
                <w:szCs w:val="18"/>
              </w:rPr>
              <w:t>裸眼</w:t>
            </w:r>
            <w:r>
              <w:rPr>
                <w:rFonts w:ascii="宋体" w:hAnsi="宋体" w:cs="宋体" w:eastAsia="宋体" w:hint="default"/>
                <w:spacing w:val="-75"/>
                <w:sz w:val="18"/>
                <w:szCs w:val="18"/>
              </w:rPr>
              <w:t> </w:t>
            </w:r>
            <w:r>
              <w:rPr>
                <w:rFonts w:ascii="Arial" w:hAnsi="Arial" w:cs="Arial" w:eastAsia="Arial" w:hint="default"/>
                <w:sz w:val="18"/>
                <w:szCs w:val="18"/>
              </w:rPr>
              <w:t>3D</w:t>
            </w:r>
          </w:p>
          <w:p>
            <w:pPr>
              <w:pStyle w:val="TableParagraph"/>
              <w:spacing w:line="319" w:lineRule="auto" w:before="63"/>
              <w:ind w:left="22" w:right="131"/>
              <w:jc w:val="both"/>
              <w:rPr>
                <w:rFonts w:ascii="宋体" w:hAnsi="宋体" w:cs="宋体" w:eastAsia="宋体" w:hint="default"/>
                <w:sz w:val="18"/>
                <w:szCs w:val="18"/>
              </w:rPr>
            </w:pPr>
            <w:r>
              <w:rPr>
                <w:rFonts w:ascii="宋体" w:hAnsi="宋体" w:cs="宋体" w:eastAsia="宋体" w:hint="default"/>
                <w:sz w:val="18"/>
                <w:szCs w:val="18"/>
              </w:rPr>
              <w:t>显示技术工 程实验室项 目</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6"/>
              <w:ind w:left="22" w:right="127"/>
              <w:jc w:val="left"/>
              <w:rPr>
                <w:rFonts w:ascii="宋体" w:hAnsi="宋体" w:cs="宋体" w:eastAsia="宋体" w:hint="default"/>
                <w:sz w:val="18"/>
                <w:szCs w:val="18"/>
              </w:rPr>
            </w:pPr>
            <w:r>
              <w:rPr>
                <w:rFonts w:ascii="宋体" w:hAnsi="宋体" w:cs="宋体" w:eastAsia="宋体" w:hint="default"/>
                <w:sz w:val="18"/>
                <w:szCs w:val="18"/>
              </w:rPr>
              <w:t>深圳市财政 委员会</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468"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8"/>
                <w:sz w:val="20"/>
                <w:szCs w:val="20"/>
              </w:rPr>
              <w:pict>
                <v:group style="width:52.7pt;height:23.4pt;mso-position-horizontal-relative:char;mso-position-vertical-relative:line" coordorigin="0,0" coordsize="1054,468">
                  <v:group style="position:absolute;left:0;top:0;width:1054;height:468" coordorigin="0,0" coordsize="1054,468">
                    <v:shape style="position:absolute;left:0;top:0;width:1054;height:468" coordorigin="0,0" coordsize="1054,468" path="m0,468l1054,468,1054,0,0,0,0,468xe" filled="true" fillcolor="#ffffff" stroked="false">
                      <v:path arrowok="t"/>
                      <v:fill type="solid"/>
                    </v:shape>
                  </v:group>
                </v:group>
              </w:pict>
            </w:r>
            <w:r>
              <w:rPr>
                <w:rFonts w:ascii="Times New Roman" w:hAnsi="Times New Roman" w:cs="Times New Roman" w:eastAsia="Times New Roman" w:hint="default"/>
                <w:position w:val="-8"/>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pacing w:val="-1"/>
                <w:sz w:val="18"/>
              </w:rPr>
              <w:t>1,000,000.00</w:t>
            </w:r>
          </w:p>
        </w:tc>
        <w:tc>
          <w:tcPr>
            <w:tcW w:w="99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3"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1338"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31"/>
              <w:jc w:val="both"/>
              <w:rPr>
                <w:rFonts w:ascii="宋体" w:hAnsi="宋体" w:cs="宋体" w:eastAsia="宋体" w:hint="default"/>
                <w:sz w:val="18"/>
                <w:szCs w:val="18"/>
              </w:rPr>
            </w:pPr>
            <w:r>
              <w:rPr>
                <w:rFonts w:ascii="宋体" w:hAnsi="宋体" w:cs="宋体" w:eastAsia="宋体" w:hint="default"/>
                <w:sz w:val="18"/>
                <w:szCs w:val="18"/>
              </w:rPr>
              <w:t>收深圳市科 技创新委员 会企业研究 开发资助款</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6"/>
              <w:ind w:left="22" w:right="127"/>
              <w:jc w:val="left"/>
              <w:rPr>
                <w:rFonts w:ascii="宋体" w:hAnsi="宋体" w:cs="宋体" w:eastAsia="宋体" w:hint="default"/>
                <w:sz w:val="18"/>
                <w:szCs w:val="18"/>
              </w:rPr>
            </w:pPr>
            <w:r>
              <w:rPr>
                <w:rFonts w:ascii="宋体" w:hAnsi="宋体" w:cs="宋体" w:eastAsia="宋体" w:hint="default"/>
                <w:sz w:val="18"/>
                <w:szCs w:val="18"/>
              </w:rPr>
              <w:t>深圳市科技 创新委员会</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468"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8"/>
                <w:sz w:val="20"/>
                <w:szCs w:val="20"/>
              </w:rPr>
              <w:pict>
                <v:group style="width:52.7pt;height:23.4pt;mso-position-horizontal-relative:char;mso-position-vertical-relative:line" coordorigin="0,0" coordsize="1054,468">
                  <v:group style="position:absolute;left:0;top:0;width:1054;height:468" coordorigin="0,0" coordsize="1054,468">
                    <v:shape style="position:absolute;left:0;top:0;width:1054;height:468" coordorigin="0,0" coordsize="1054,468" path="m0,468l1054,468,1054,0,0,0,0,468xe" filled="true" fillcolor="#ffffff" stroked="false">
                      <v:path arrowok="t"/>
                      <v:fill type="solid"/>
                    </v:shape>
                  </v:group>
                </v:group>
              </w:pict>
            </w:r>
            <w:r>
              <w:rPr>
                <w:rFonts w:ascii="Times New Roman" w:hAnsi="Times New Roman" w:cs="Times New Roman" w:eastAsia="Times New Roman" w:hint="default"/>
                <w:position w:val="-8"/>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pacing w:val="-1"/>
                <w:sz w:val="18"/>
              </w:rPr>
              <w:t>1,373,000.00</w:t>
            </w:r>
          </w:p>
        </w:tc>
        <w:tc>
          <w:tcPr>
            <w:tcW w:w="99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586"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31"/>
              <w:jc w:val="both"/>
              <w:rPr>
                <w:rFonts w:ascii="宋体" w:hAnsi="宋体" w:cs="宋体" w:eastAsia="宋体" w:hint="default"/>
                <w:sz w:val="18"/>
                <w:szCs w:val="18"/>
              </w:rPr>
            </w:pPr>
            <w:r>
              <w:rPr>
                <w:rFonts w:ascii="宋体" w:hAnsi="宋体" w:cs="宋体" w:eastAsia="宋体" w:hint="default"/>
                <w:sz w:val="18"/>
                <w:szCs w:val="18"/>
              </w:rPr>
              <w:t>收到惠州大 亚湾经济技 术开发区财 政局</w:t>
            </w:r>
          </w:p>
          <w:p>
            <w:pPr>
              <w:pStyle w:val="TableParagraph"/>
              <w:spacing w:line="240" w:lineRule="auto" w:before="59"/>
              <w:ind w:left="22" w:right="0"/>
              <w:jc w:val="both"/>
              <w:rPr>
                <w:rFonts w:ascii="Arial" w:hAnsi="Arial" w:cs="Arial" w:eastAsia="Arial" w:hint="default"/>
                <w:sz w:val="18"/>
                <w:szCs w:val="18"/>
              </w:rPr>
            </w:pPr>
            <w:r>
              <w:rPr>
                <w:rFonts w:ascii="Arial"/>
                <w:sz w:val="18"/>
              </w:rPr>
              <w:t>2014-2016</w:t>
            </w:r>
          </w:p>
          <w:p>
            <w:pPr>
              <w:pStyle w:val="TableParagraph"/>
              <w:spacing w:line="319" w:lineRule="auto" w:before="65"/>
              <w:ind w:left="22" w:right="131"/>
              <w:jc w:val="both"/>
              <w:rPr>
                <w:rFonts w:ascii="宋体" w:hAnsi="宋体" w:cs="宋体" w:eastAsia="宋体" w:hint="default"/>
                <w:sz w:val="18"/>
                <w:szCs w:val="18"/>
              </w:rPr>
            </w:pPr>
            <w:r>
              <w:rPr>
                <w:rFonts w:ascii="宋体" w:hAnsi="宋体" w:cs="宋体" w:eastAsia="宋体" w:hint="default"/>
                <w:sz w:val="18"/>
                <w:szCs w:val="18"/>
              </w:rPr>
              <w:t>年企业奖励 资金（小升 规）</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9"/>
              <w:ind w:left="22" w:right="127"/>
              <w:jc w:val="left"/>
              <w:rPr>
                <w:rFonts w:ascii="宋体" w:hAnsi="宋体" w:cs="宋体" w:eastAsia="宋体" w:hint="default"/>
                <w:sz w:val="18"/>
                <w:szCs w:val="18"/>
              </w:rPr>
            </w:pPr>
            <w:r>
              <w:rPr>
                <w:rFonts w:ascii="宋体" w:hAnsi="宋体" w:cs="宋体" w:eastAsia="宋体" w:hint="default"/>
                <w:sz w:val="18"/>
                <w:szCs w:val="18"/>
              </w:rPr>
              <w:t>惠州大亚湾 区财政局</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05"/>
              <w:ind w:left="22" w:right="129"/>
              <w:jc w:val="both"/>
              <w:rPr>
                <w:rFonts w:ascii="宋体" w:hAnsi="宋体" w:cs="宋体" w:eastAsia="宋体" w:hint="default"/>
                <w:sz w:val="18"/>
                <w:szCs w:val="18"/>
              </w:rPr>
            </w:pPr>
            <w:r>
              <w:rPr>
                <w:rFonts w:ascii="宋体" w:hAnsi="宋体" w:cs="宋体" w:eastAsia="宋体" w:hint="default"/>
                <w:sz w:val="18"/>
                <w:szCs w:val="18"/>
              </w:rPr>
              <w:t>因符合地方 政府招商引 资等地方性 扶持政策而 获得的补助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20"/>
              <w:jc w:val="right"/>
              <w:rPr>
                <w:rFonts w:ascii="Times New Roman" w:hAnsi="Times New Roman" w:cs="Times New Roman" w:eastAsia="Times New Roman" w:hint="default"/>
                <w:sz w:val="18"/>
                <w:szCs w:val="18"/>
              </w:rPr>
            </w:pPr>
            <w:r>
              <w:rPr>
                <w:rFonts w:ascii="Times New Roman"/>
                <w:sz w:val="18"/>
              </w:rPr>
              <w:t>618,750.00</w:t>
            </w:r>
          </w:p>
        </w:tc>
        <w:tc>
          <w:tcPr>
            <w:tcW w:w="99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962"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2" w:right="23"/>
              <w:jc w:val="left"/>
              <w:rPr>
                <w:rFonts w:ascii="宋体" w:hAnsi="宋体" w:cs="宋体" w:eastAsia="宋体" w:hint="default"/>
                <w:sz w:val="18"/>
                <w:szCs w:val="18"/>
              </w:rPr>
            </w:pPr>
            <w:r>
              <w:rPr>
                <w:rFonts w:ascii="宋体" w:hAnsi="宋体" w:cs="宋体" w:eastAsia="宋体" w:hint="default"/>
                <w:sz w:val="18"/>
                <w:szCs w:val="18"/>
              </w:rPr>
              <w:t>收深圳市市 场和质量监 督管理委员 会</w:t>
            </w:r>
            <w:r>
              <w:rPr>
                <w:rFonts w:ascii="宋体" w:hAnsi="宋体" w:cs="宋体" w:eastAsia="宋体" w:hint="default"/>
                <w:spacing w:val="-58"/>
                <w:sz w:val="18"/>
                <w:szCs w:val="18"/>
              </w:rPr>
              <w:t> </w:t>
            </w:r>
            <w:r>
              <w:rPr>
                <w:rFonts w:ascii="Arial" w:hAnsi="Arial" w:cs="Arial" w:eastAsia="Arial" w:hint="default"/>
                <w:sz w:val="18"/>
                <w:szCs w:val="18"/>
              </w:rPr>
              <w:t>2017</w:t>
            </w:r>
            <w:r>
              <w:rPr>
                <w:rFonts w:ascii="Arial" w:hAnsi="Arial" w:cs="Arial" w:eastAsia="Arial" w:hint="default"/>
                <w:spacing w:val="-18"/>
                <w:sz w:val="18"/>
                <w:szCs w:val="18"/>
              </w:rPr>
              <w:t> </w:t>
            </w:r>
            <w:r>
              <w:rPr>
                <w:rFonts w:ascii="宋体" w:hAnsi="宋体" w:cs="宋体" w:eastAsia="宋体" w:hint="default"/>
                <w:sz w:val="18"/>
                <w:szCs w:val="18"/>
              </w:rPr>
              <w:t>年知 识产权专项 资金补助</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05"/>
              <w:ind w:left="22" w:right="127"/>
              <w:jc w:val="both"/>
              <w:rPr>
                <w:rFonts w:ascii="宋体" w:hAnsi="宋体" w:cs="宋体" w:eastAsia="宋体" w:hint="default"/>
                <w:sz w:val="18"/>
                <w:szCs w:val="18"/>
              </w:rPr>
            </w:pPr>
            <w:r>
              <w:rPr>
                <w:rFonts w:ascii="宋体" w:hAnsi="宋体" w:cs="宋体" w:eastAsia="宋体" w:hint="default"/>
                <w:sz w:val="18"/>
                <w:szCs w:val="18"/>
              </w:rPr>
              <w:t>深圳市市场 和质量监督 管理委员会</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6"/>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780"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5"/>
                <w:sz w:val="20"/>
                <w:szCs w:val="20"/>
              </w:rPr>
              <w:pict>
                <v:group style="width:52.7pt;height:39pt;mso-position-horizontal-relative:char;mso-position-vertical-relative:line" coordorigin="0,0" coordsize="1054,780">
                  <v:group style="position:absolute;left:0;top:0;width:1054;height:780" coordorigin="0,0" coordsize="1054,780">
                    <v:shape style="position:absolute;left:0;top:0;width:1054;height:780" coordorigin="0,0" coordsize="1054,780" path="m0,780l1054,780,1054,0,0,0,0,780xe" filled="true" fillcolor="#ffffff" stroked="false">
                      <v:path arrowok="t"/>
                      <v:fill type="solid"/>
                    </v:shape>
                  </v:group>
                </v:group>
              </w:pict>
            </w:r>
            <w:r>
              <w:rPr>
                <w:rFonts w:ascii="Times New Roman" w:hAnsi="Times New Roman" w:cs="Times New Roman" w:eastAsia="Times New Roman" w:hint="default"/>
                <w:position w:val="-15"/>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500,000.00</w:t>
            </w:r>
          </w:p>
        </w:tc>
        <w:tc>
          <w:tcPr>
            <w:tcW w:w="99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026" w:hRule="exact"/>
        </w:trPr>
        <w:tc>
          <w:tcPr>
            <w:tcW w:w="1066" w:type="dxa"/>
            <w:tcBorders>
              <w:top w:val="single" w:sz="4" w:space="0" w:color="000000"/>
              <w:left w:val="single" w:sz="4" w:space="0" w:color="000000"/>
              <w:bottom w:val="single" w:sz="4" w:space="0" w:color="000000"/>
              <w:right w:val="single" w:sz="9" w:space="0" w:color="FFFFFF"/>
            </w:tcBorders>
          </w:tcPr>
          <w:p>
            <w:pPr>
              <w:pStyle w:val="TableParagraph"/>
              <w:spacing w:line="316" w:lineRule="auto" w:before="71"/>
              <w:ind w:left="22" w:right="-54"/>
              <w:jc w:val="left"/>
              <w:rPr>
                <w:rFonts w:ascii="宋体" w:hAnsi="宋体" w:cs="宋体" w:eastAsia="宋体" w:hint="default"/>
                <w:sz w:val="18"/>
                <w:szCs w:val="18"/>
              </w:rPr>
            </w:pPr>
            <w:r>
              <w:rPr>
                <w:rFonts w:ascii="宋体" w:hAnsi="宋体" w:cs="宋体" w:eastAsia="宋体" w:hint="default"/>
                <w:sz w:val="18"/>
                <w:szCs w:val="18"/>
              </w:rPr>
              <w:t>中国（南京） 软件谷管理 委员会南京</w:t>
            </w:r>
          </w:p>
        </w:tc>
        <w:tc>
          <w:tcPr>
            <w:tcW w:w="1062" w:type="dxa"/>
            <w:tcBorders>
              <w:top w:val="single" w:sz="4" w:space="0" w:color="000000"/>
              <w:left w:val="single" w:sz="9" w:space="0" w:color="FFFFFF"/>
              <w:bottom w:val="single" w:sz="4" w:space="0" w:color="000000"/>
              <w:right w:val="single" w:sz="4" w:space="0" w:color="000000"/>
            </w:tcBorders>
          </w:tcPr>
          <w:p>
            <w:pPr>
              <w:pStyle w:val="TableParagraph"/>
              <w:spacing w:line="319" w:lineRule="auto" w:before="51"/>
              <w:ind w:left="16" w:right="127"/>
              <w:jc w:val="both"/>
              <w:rPr>
                <w:rFonts w:ascii="宋体" w:hAnsi="宋体" w:cs="宋体" w:eastAsia="宋体" w:hint="default"/>
                <w:sz w:val="18"/>
                <w:szCs w:val="18"/>
              </w:rPr>
            </w:pPr>
            <w:r>
              <w:rPr>
                <w:rFonts w:ascii="宋体" w:hAnsi="宋体" w:cs="宋体" w:eastAsia="宋体" w:hint="default"/>
                <w:sz w:val="18"/>
                <w:szCs w:val="18"/>
              </w:rPr>
              <w:t>中国（南京 软件谷管理 委员会</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40"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240" w:lineRule="auto" w:before="76"/>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71"/>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5"/>
                <w:sz w:val="20"/>
                <w:szCs w:val="20"/>
              </w:rPr>
              <w:pict>
                <v:group style="width:52.7pt;height:15.6pt;mso-position-horizontal-relative:char;mso-position-vertical-relative:line" coordorigin="0,0" coordsize="1054,312">
                  <v:group style="position:absolute;left:0;top:0;width:1054;height:312" coordorigin="0,0" coordsize="1054,312">
                    <v:shape style="position:absolute;left:0;top:0;width:1054;height:312" coordorigin="0,0" coordsize="1054,312" path="m0,312l1054,312,1054,0,0,0,0,312xe" filled="true" fillcolor="#ffffff" stroked="false">
                      <v:path arrowok="t"/>
                      <v:fill type="solid"/>
                    </v:shape>
                  </v:group>
                </v:group>
              </w:pict>
            </w:r>
            <w:r>
              <w:rPr>
                <w:rFonts w:ascii="Times New Roman" w:hAnsi="Times New Roman" w:cs="Times New Roman" w:eastAsia="Times New Roman" w:hint="default"/>
                <w:position w:val="-5"/>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500,000.00</w:t>
            </w:r>
          </w:p>
        </w:tc>
        <w:tc>
          <w:tcPr>
            <w:tcW w:w="99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066"/>
        <w:gridCol w:w="1062"/>
        <w:gridCol w:w="1063"/>
        <w:gridCol w:w="1064"/>
        <w:gridCol w:w="1063"/>
        <w:gridCol w:w="1063"/>
        <w:gridCol w:w="1133"/>
        <w:gridCol w:w="992"/>
        <w:gridCol w:w="1063"/>
      </w:tblGrid>
      <w:tr>
        <w:trPr>
          <w:trHeight w:val="1611"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2" w:right="131"/>
              <w:jc w:val="both"/>
              <w:rPr>
                <w:rFonts w:ascii="宋体" w:hAnsi="宋体" w:cs="宋体" w:eastAsia="宋体" w:hint="default"/>
                <w:sz w:val="18"/>
                <w:szCs w:val="18"/>
              </w:rPr>
            </w:pPr>
            <w:r>
              <w:rPr>
                <w:rFonts w:ascii="宋体" w:hAnsi="宋体" w:cs="宋体" w:eastAsia="宋体" w:hint="default"/>
                <w:sz w:val="18"/>
                <w:szCs w:val="18"/>
              </w:rPr>
              <w:t>市软件和信 息服务业发 展专项资金 第一批计划 项目</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489"/>
              <w:jc w:val="right"/>
              <w:rPr>
                <w:rFonts w:ascii="宋体" w:hAnsi="宋体" w:cs="宋体" w:eastAsia="宋体" w:hint="default"/>
                <w:sz w:val="18"/>
                <w:szCs w:val="18"/>
              </w:rPr>
            </w:pPr>
            <w:r>
              <w:rPr>
                <w:rFonts w:ascii="宋体" w:hAnsi="宋体" w:cs="宋体" w:eastAsia="宋体" w:hint="default"/>
                <w:sz w:val="18"/>
                <w:szCs w:val="18"/>
              </w:rPr>
              <w:t>的补助</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31"/>
              <w:jc w:val="both"/>
              <w:rPr>
                <w:rFonts w:ascii="宋体" w:hAnsi="宋体" w:cs="宋体" w:eastAsia="宋体" w:hint="default"/>
                <w:sz w:val="18"/>
                <w:szCs w:val="18"/>
              </w:rPr>
            </w:pPr>
            <w:r>
              <w:rPr>
                <w:rFonts w:ascii="宋体" w:hAnsi="宋体" w:cs="宋体" w:eastAsia="宋体" w:hint="default"/>
                <w:sz w:val="18"/>
                <w:szCs w:val="18"/>
              </w:rPr>
              <w:t>南京市雨花 经济开发区 管理委员会 软件专项</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22" w:right="127"/>
              <w:jc w:val="left"/>
              <w:rPr>
                <w:rFonts w:ascii="宋体" w:hAnsi="宋体" w:cs="宋体" w:eastAsia="宋体" w:hint="default"/>
                <w:sz w:val="18"/>
                <w:szCs w:val="18"/>
              </w:rPr>
            </w:pPr>
            <w:r>
              <w:rPr>
                <w:rFonts w:ascii="宋体" w:hAnsi="宋体" w:cs="宋体" w:eastAsia="宋体" w:hint="default"/>
                <w:sz w:val="18"/>
                <w:szCs w:val="18"/>
              </w:rPr>
              <w:t>南京市雨花 区管委会</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468"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8"/>
                <w:sz w:val="20"/>
                <w:szCs w:val="20"/>
              </w:rPr>
              <w:pict>
                <v:group style="width:52.7pt;height:23.4pt;mso-position-horizontal-relative:char;mso-position-vertical-relative:line" coordorigin="0,0" coordsize="1054,468">
                  <v:group style="position:absolute;left:0;top:0;width:1054;height:468" coordorigin="0,0" coordsize="1054,468">
                    <v:shape style="position:absolute;left:0;top:0;width:1054;height:468" coordorigin="0,0" coordsize="1054,468" path="m0,468l1054,468,1054,0,0,0,0,468xe" filled="true" fillcolor="#ffffff" stroked="false">
                      <v:path arrowok="t"/>
                      <v:fill type="solid"/>
                    </v:shape>
                  </v:group>
                </v:group>
              </w:pict>
            </w:r>
            <w:r>
              <w:rPr>
                <w:rFonts w:ascii="Times New Roman" w:hAnsi="Times New Roman" w:cs="Times New Roman" w:eastAsia="Times New Roman" w:hint="default"/>
                <w:position w:val="-8"/>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z w:val="18"/>
              </w:rPr>
              <w:t>486,870.00</w:t>
            </w:r>
          </w:p>
        </w:tc>
        <w:tc>
          <w:tcPr>
            <w:tcW w:w="99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338"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22" w:right="131"/>
              <w:jc w:val="left"/>
              <w:rPr>
                <w:rFonts w:ascii="宋体" w:hAnsi="宋体" w:cs="宋体" w:eastAsia="宋体" w:hint="default"/>
                <w:sz w:val="18"/>
                <w:szCs w:val="18"/>
              </w:rPr>
            </w:pPr>
            <w:r>
              <w:rPr>
                <w:rFonts w:ascii="宋体" w:hAnsi="宋体" w:cs="宋体" w:eastAsia="宋体" w:hint="default"/>
                <w:sz w:val="18"/>
                <w:szCs w:val="18"/>
              </w:rPr>
              <w:t>其他小额政 府补助</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468"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8"/>
                <w:sz w:val="20"/>
                <w:szCs w:val="20"/>
              </w:rPr>
              <w:pict>
                <v:group style="width:52.7pt;height:23.4pt;mso-position-horizontal-relative:char;mso-position-vertical-relative:line" coordorigin="0,0" coordsize="1054,468">
                  <v:group style="position:absolute;left:0;top:0;width:1054;height:468" coordorigin="0,0" coordsize="1054,468">
                    <v:shape style="position:absolute;left:0;top:0;width:1054;height:468" coordorigin="0,0" coordsize="1054,468" path="m0,468l1054,468,1054,0,0,0,0,468xe" filled="true" fillcolor="#ffffff" stroked="false">
                      <v:path arrowok="t"/>
                      <v:fill type="solid"/>
                    </v:shape>
                  </v:group>
                </v:group>
              </w:pict>
            </w:r>
            <w:r>
              <w:rPr>
                <w:rFonts w:ascii="Times New Roman" w:hAnsi="Times New Roman" w:cs="Times New Roman" w:eastAsia="Times New Roman" w:hint="default"/>
                <w:position w:val="-8"/>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9"/>
              <w:jc w:val="right"/>
              <w:rPr>
                <w:rFonts w:ascii="Times New Roman" w:hAnsi="Times New Roman" w:cs="Times New Roman" w:eastAsia="Times New Roman" w:hint="default"/>
                <w:sz w:val="18"/>
                <w:szCs w:val="18"/>
              </w:rPr>
            </w:pPr>
            <w:r>
              <w:rPr>
                <w:rFonts w:ascii="Times New Roman"/>
                <w:sz w:val="18"/>
              </w:rPr>
              <w:t>254.88</w:t>
            </w:r>
          </w:p>
        </w:tc>
        <w:tc>
          <w:tcPr>
            <w:tcW w:w="99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3"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1338"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22" w:right="131"/>
              <w:jc w:val="left"/>
              <w:rPr>
                <w:rFonts w:ascii="宋体" w:hAnsi="宋体" w:cs="宋体" w:eastAsia="宋体" w:hint="default"/>
                <w:sz w:val="18"/>
                <w:szCs w:val="18"/>
              </w:rPr>
            </w:pPr>
            <w:r>
              <w:rPr>
                <w:rFonts w:ascii="宋体" w:hAnsi="宋体" w:cs="宋体" w:eastAsia="宋体" w:hint="default"/>
                <w:sz w:val="18"/>
                <w:szCs w:val="18"/>
              </w:rPr>
              <w:t>其他小额政 府补助</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468"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8"/>
                <w:sz w:val="20"/>
                <w:szCs w:val="20"/>
              </w:rPr>
              <w:pict>
                <v:group style="width:52.7pt;height:23.4pt;mso-position-horizontal-relative:char;mso-position-vertical-relative:line" coordorigin="0,0" coordsize="1054,468">
                  <v:group style="position:absolute;left:0;top:0;width:1054;height:468" coordorigin="0,0" coordsize="1054,468">
                    <v:shape style="position:absolute;left:0;top:0;width:1054;height:468" coordorigin="0,0" coordsize="1054,468" path="m0,468l1054,468,1054,0,0,0,0,468xe" filled="true" fillcolor="#ffffff" stroked="false">
                      <v:path arrowok="t"/>
                      <v:fill type="solid"/>
                    </v:shape>
                  </v:group>
                </v:group>
              </w:pict>
            </w:r>
            <w:r>
              <w:rPr>
                <w:rFonts w:ascii="Times New Roman" w:hAnsi="Times New Roman" w:cs="Times New Roman" w:eastAsia="Times New Roman" w:hint="default"/>
                <w:position w:val="-8"/>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pacing w:val="-1"/>
                <w:sz w:val="18"/>
              </w:rPr>
              <w:t>3,127,143.75</w:t>
            </w:r>
          </w:p>
        </w:tc>
        <w:tc>
          <w:tcPr>
            <w:tcW w:w="99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402" w:hRule="exact"/>
        </w:trPr>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466"/>
              <w:jc w:val="right"/>
              <w:rPr>
                <w:rFonts w:ascii="Times New Roman" w:hAnsi="Times New Roman" w:cs="Times New Roman" w:eastAsia="Times New Roman" w:hint="default"/>
                <w:sz w:val="18"/>
                <w:szCs w:val="18"/>
              </w:rPr>
            </w:pPr>
            <w:r>
              <w:rPr>
                <w:rFonts w:ascii="Times New Roman"/>
                <w:sz w:val="18"/>
              </w:rPr>
              <w:t>--</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14,956,018.63</w:t>
            </w:r>
          </w:p>
        </w:tc>
        <w:tc>
          <w:tcPr>
            <w:tcW w:w="992" w:type="dxa"/>
            <w:tcBorders>
              <w:top w:val="single" w:sz="4" w:space="0" w:color="000000"/>
              <w:left w:val="single" w:sz="4" w:space="0" w:color="000000"/>
              <w:bottom w:val="single" w:sz="4" w:space="0" w:color="000000"/>
              <w:right w:val="single" w:sz="13" w:space="0" w:color="D2D2D2"/>
            </w:tcBorders>
          </w:tcPr>
          <w:p>
            <w:pP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pStyle w:val="Heading3"/>
        <w:spacing w:line="240" w:lineRule="auto" w:before="178"/>
        <w:ind w:right="0"/>
        <w:jc w:val="left"/>
        <w:rPr>
          <w:b w:val="0"/>
          <w:bCs w:val="0"/>
        </w:rPr>
      </w:pPr>
      <w:bookmarkStart w:name="71、营业外收入" w:id="381"/>
      <w:bookmarkEnd w:id="381"/>
      <w:r>
        <w:rPr>
          <w:b w:val="0"/>
          <w:bCs w:val="0"/>
        </w:rPr>
      </w:r>
      <w:r>
        <w:rPr>
          <w:rFonts w:ascii="Times New Roman" w:hAnsi="Times New Roman" w:cs="Times New Roman" w:eastAsia="Times New Roman" w:hint="default"/>
        </w:rPr>
        <w:t>71</w:t>
      </w:r>
      <w:r>
        <w:rPr/>
        <w:t>、营业外收入</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390"/>
        <w:gridCol w:w="2396"/>
        <w:gridCol w:w="2392"/>
        <w:gridCol w:w="2392"/>
      </w:tblGrid>
      <w:tr>
        <w:trPr>
          <w:trHeight w:val="161" w:hRule="exact"/>
        </w:trPr>
        <w:tc>
          <w:tcPr>
            <w:tcW w:w="2390"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6"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2"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1100" w:right="109" w:hanging="990"/>
              <w:jc w:val="left"/>
              <w:rPr>
                <w:rFonts w:ascii="宋体" w:hAnsi="宋体" w:cs="宋体" w:eastAsia="宋体" w:hint="default"/>
                <w:sz w:val="18"/>
                <w:szCs w:val="18"/>
              </w:rPr>
            </w:pPr>
            <w:r>
              <w:rPr>
                <w:rFonts w:ascii="宋体" w:hAnsi="宋体" w:cs="宋体" w:eastAsia="宋体" w:hint="default"/>
                <w:sz w:val="18"/>
                <w:szCs w:val="18"/>
              </w:rPr>
              <w:t>计入当期非经常性损益的金 额</w:t>
            </w:r>
          </w:p>
        </w:tc>
      </w:tr>
      <w:tr>
        <w:trPr>
          <w:trHeight w:val="392" w:hRule="exact"/>
        </w:trPr>
        <w:tc>
          <w:tcPr>
            <w:tcW w:w="239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741"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740"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392" w:type="dxa"/>
            <w:vMerge/>
            <w:tcBorders>
              <w:left w:val="single" w:sz="4" w:space="0" w:color="000000"/>
              <w:right w:val="single" w:sz="4" w:space="0" w:color="000000"/>
            </w:tcBorders>
            <w:shd w:val="clear" w:color="auto" w:fill="D2D2D2"/>
          </w:tcPr>
          <w:p>
            <w:pPr/>
          </w:p>
        </w:tc>
      </w:tr>
      <w:tr>
        <w:trPr>
          <w:trHeight w:val="161" w:hRule="exact"/>
        </w:trPr>
        <w:tc>
          <w:tcPr>
            <w:tcW w:w="2390"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6"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2"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2"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239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4,827,183.20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800,000.00</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软件企业增值税返还</w:t>
            </w:r>
          </w:p>
        </w:tc>
        <w:tc>
          <w:tcPr>
            <w:tcW w:w="2396"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2,453,994.82</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647,795.20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1,545,101.50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647,795.20</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处理固定资产净收益</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44,426.20</w:t>
            </w: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44,426.20</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1,492,221.40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8,826,279.52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1,492,221.40</w:t>
            </w:r>
          </w:p>
        </w:tc>
      </w:tr>
    </w:tbl>
    <w:p>
      <w:pPr>
        <w:pStyle w:val="BodyText"/>
        <w:spacing w:line="240" w:lineRule="auto" w:before="51"/>
        <w:ind w:left="154" w:right="0"/>
        <w:jc w:val="left"/>
      </w:pPr>
      <w:r>
        <w:rPr/>
        <w:t>计入当期损益的政府补助：</w:t>
      </w:r>
    </w:p>
    <w:p>
      <w:pPr>
        <w:pStyle w:val="BodyText"/>
        <w:spacing w:line="240" w:lineRule="auto" w:before="117"/>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066"/>
        <w:gridCol w:w="1062"/>
        <w:gridCol w:w="1063"/>
        <w:gridCol w:w="1064"/>
        <w:gridCol w:w="1063"/>
        <w:gridCol w:w="1063"/>
        <w:gridCol w:w="1064"/>
        <w:gridCol w:w="1062"/>
        <w:gridCol w:w="1063"/>
      </w:tblGrid>
      <w:tr>
        <w:trPr>
          <w:trHeight w:val="714" w:hRule="exact"/>
        </w:trPr>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补助项目</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5" w:right="0"/>
              <w:jc w:val="left"/>
              <w:rPr>
                <w:rFonts w:ascii="宋体" w:hAnsi="宋体" w:cs="宋体" w:eastAsia="宋体" w:hint="default"/>
                <w:sz w:val="18"/>
                <w:szCs w:val="18"/>
              </w:rPr>
            </w:pPr>
            <w:r>
              <w:rPr>
                <w:rFonts w:ascii="宋体" w:hAnsi="宋体" w:cs="宋体" w:eastAsia="宋体" w:hint="default"/>
                <w:sz w:val="18"/>
                <w:szCs w:val="18"/>
              </w:rPr>
              <w:t>发放主体</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发放原因</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5" w:right="0"/>
              <w:jc w:val="left"/>
              <w:rPr>
                <w:rFonts w:ascii="宋体" w:hAnsi="宋体" w:cs="宋体" w:eastAsia="宋体" w:hint="default"/>
                <w:sz w:val="18"/>
                <w:szCs w:val="18"/>
              </w:rPr>
            </w:pPr>
            <w:r>
              <w:rPr>
                <w:rFonts w:ascii="宋体" w:hAnsi="宋体" w:cs="宋体" w:eastAsia="宋体" w:hint="default"/>
                <w:sz w:val="18"/>
                <w:szCs w:val="18"/>
              </w:rPr>
              <w:t>性质类型</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75" w:right="77"/>
              <w:jc w:val="left"/>
              <w:rPr>
                <w:rFonts w:ascii="宋体" w:hAnsi="宋体" w:cs="宋体" w:eastAsia="宋体" w:hint="default"/>
                <w:sz w:val="18"/>
                <w:szCs w:val="18"/>
              </w:rPr>
            </w:pPr>
            <w:r>
              <w:rPr>
                <w:rFonts w:ascii="宋体" w:hAnsi="宋体" w:cs="宋体" w:eastAsia="宋体" w:hint="default"/>
                <w:sz w:val="18"/>
                <w:szCs w:val="18"/>
              </w:rPr>
              <w:t>补贴是否影 响当年盈亏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435" w:right="77" w:hanging="360"/>
              <w:jc w:val="left"/>
              <w:rPr>
                <w:rFonts w:ascii="宋体" w:hAnsi="宋体" w:cs="宋体" w:eastAsia="宋体" w:hint="default"/>
                <w:sz w:val="18"/>
                <w:szCs w:val="18"/>
              </w:rPr>
            </w:pPr>
            <w:r>
              <w:rPr>
                <w:rFonts w:ascii="宋体" w:hAnsi="宋体" w:cs="宋体" w:eastAsia="宋体" w:hint="default"/>
                <w:sz w:val="18"/>
                <w:szCs w:val="18"/>
              </w:rPr>
              <w:t>是否特殊补 贴</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435" w:right="76" w:hanging="360"/>
              <w:jc w:val="left"/>
              <w:rPr>
                <w:rFonts w:ascii="宋体" w:hAnsi="宋体" w:cs="宋体" w:eastAsia="宋体" w:hint="default"/>
                <w:sz w:val="18"/>
                <w:szCs w:val="18"/>
              </w:rPr>
            </w:pPr>
            <w:r>
              <w:rPr>
                <w:rFonts w:ascii="宋体" w:hAnsi="宋体" w:cs="宋体" w:eastAsia="宋体" w:hint="default"/>
                <w:sz w:val="18"/>
                <w:szCs w:val="18"/>
              </w:rPr>
              <w:t>本期发生金 额</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435" w:right="74" w:hanging="360"/>
              <w:jc w:val="left"/>
              <w:rPr>
                <w:rFonts w:ascii="宋体" w:hAnsi="宋体" w:cs="宋体" w:eastAsia="宋体" w:hint="default"/>
                <w:sz w:val="18"/>
                <w:szCs w:val="18"/>
              </w:rPr>
            </w:pPr>
            <w:r>
              <w:rPr>
                <w:rFonts w:ascii="宋体" w:hAnsi="宋体" w:cs="宋体" w:eastAsia="宋体" w:hint="default"/>
                <w:sz w:val="18"/>
                <w:szCs w:val="18"/>
              </w:rPr>
              <w:t>上期发生金 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76" w:right="51" w:hanging="26"/>
              <w:jc w:val="left"/>
              <w:rPr>
                <w:rFonts w:ascii="宋体" w:hAnsi="宋体" w:cs="宋体" w:eastAsia="宋体" w:hint="default"/>
                <w:sz w:val="18"/>
                <w:szCs w:val="18"/>
              </w:rPr>
            </w:pPr>
            <w:r>
              <w:rPr>
                <w:rFonts w:ascii="宋体" w:hAnsi="宋体" w:cs="宋体" w:eastAsia="宋体" w:hint="default"/>
                <w:sz w:val="18"/>
                <w:szCs w:val="18"/>
              </w:rPr>
              <w:t>与资产相关</w:t>
            </w:r>
            <w:r>
              <w:rPr>
                <w:rFonts w:ascii="Times New Roman" w:hAnsi="Times New Roman" w:cs="Times New Roman" w:eastAsia="Times New Roman" w:hint="default"/>
                <w:sz w:val="18"/>
                <w:szCs w:val="18"/>
              </w:rPr>
              <w:t>/ </w:t>
            </w:r>
            <w:r>
              <w:rPr>
                <w:rFonts w:ascii="宋体" w:hAnsi="宋体" w:cs="宋体" w:eastAsia="宋体" w:hint="default"/>
                <w:sz w:val="18"/>
                <w:szCs w:val="18"/>
              </w:rPr>
              <w:t>与收益相关</w:t>
            </w:r>
          </w:p>
        </w:tc>
      </w:tr>
      <w:tr>
        <w:trPr>
          <w:trHeight w:val="1962"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22" w:right="23"/>
              <w:jc w:val="left"/>
              <w:rPr>
                <w:rFonts w:ascii="宋体" w:hAnsi="宋体" w:cs="宋体" w:eastAsia="宋体" w:hint="default"/>
                <w:sz w:val="18"/>
                <w:szCs w:val="18"/>
              </w:rPr>
            </w:pPr>
            <w:r>
              <w:rPr>
                <w:rFonts w:ascii="宋体" w:hAnsi="宋体" w:cs="宋体" w:eastAsia="宋体" w:hint="default"/>
                <w:sz w:val="18"/>
                <w:szCs w:val="18"/>
              </w:rPr>
              <w:t>深圳市发展 和改革委员 会关于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LED </w:t>
            </w:r>
            <w:r>
              <w:rPr>
                <w:rFonts w:ascii="宋体" w:hAnsi="宋体" w:cs="宋体" w:eastAsia="宋体" w:hint="default"/>
                <w:sz w:val="18"/>
                <w:szCs w:val="18"/>
              </w:rPr>
              <w:t>裸眼</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3D</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显示 技术工程实 验室项目</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9" w:lineRule="auto"/>
              <w:ind w:left="22" w:right="127"/>
              <w:jc w:val="both"/>
              <w:rPr>
                <w:rFonts w:ascii="宋体" w:hAnsi="宋体" w:cs="宋体" w:eastAsia="宋体" w:hint="default"/>
                <w:sz w:val="18"/>
                <w:szCs w:val="18"/>
              </w:rPr>
            </w:pPr>
            <w:r>
              <w:rPr>
                <w:rFonts w:ascii="宋体" w:hAnsi="宋体" w:cs="宋体" w:eastAsia="宋体" w:hint="default"/>
                <w:sz w:val="18"/>
                <w:szCs w:val="18"/>
              </w:rPr>
              <w:t>深圳市发展 和改革委员 会</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780" w:lineRule="exact"/>
              <w:ind w:right="-51"/>
              <w:jc w:val="left"/>
              <w:rPr>
                <w:rFonts w:ascii="宋体" w:hAnsi="宋体" w:cs="宋体" w:eastAsia="宋体" w:hint="default"/>
                <w:sz w:val="20"/>
                <w:szCs w:val="20"/>
              </w:rPr>
            </w:pPr>
            <w:r>
              <w:rPr>
                <w:rFonts w:ascii="宋体" w:hAnsi="宋体" w:cs="宋体" w:eastAsia="宋体" w:hint="default"/>
                <w:position w:val="-15"/>
                <w:sz w:val="20"/>
                <w:szCs w:val="20"/>
              </w:rPr>
              <w:pict>
                <v:group style="width:52.7pt;height:39.050pt;mso-position-horizontal-relative:char;mso-position-vertical-relative:line" coordorigin="0,0" coordsize="1054,781">
                  <v:group style="position:absolute;left:0;top:0;width:1054;height:781" coordorigin="0,0" coordsize="1054,781">
                    <v:shape style="position:absolute;left:0;top:0;width:1054;height:781" coordorigin="0,0" coordsize="1054,781" path="m0,780l1054,780,1054,0,0,0,0,780xe" filled="true" fillcolor="#ffffff" stroked="false">
                      <v:path arrowok="t"/>
                      <v:fill type="solid"/>
                    </v:shape>
                  </v:group>
                </v:group>
              </w:pict>
            </w:r>
            <w:r>
              <w:rPr>
                <w:rFonts w:ascii="宋体" w:hAnsi="宋体" w:cs="宋体" w:eastAsia="宋体" w:hint="default"/>
                <w:position w:val="-15"/>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85" w:right="0"/>
              <w:jc w:val="left"/>
              <w:rPr>
                <w:rFonts w:ascii="Times New Roman" w:hAnsi="Times New Roman" w:cs="Times New Roman" w:eastAsia="Times New Roman" w:hint="default"/>
                <w:sz w:val="18"/>
                <w:szCs w:val="18"/>
              </w:rPr>
            </w:pPr>
            <w:r>
              <w:rPr>
                <w:rFonts w:ascii="Times New Roman"/>
                <w:sz w:val="18"/>
              </w:rPr>
              <w:t>1,000,000.00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066"/>
        <w:gridCol w:w="1062"/>
        <w:gridCol w:w="1063"/>
        <w:gridCol w:w="1064"/>
        <w:gridCol w:w="1063"/>
        <w:gridCol w:w="1063"/>
        <w:gridCol w:w="1064"/>
        <w:gridCol w:w="1062"/>
        <w:gridCol w:w="1063"/>
      </w:tblGrid>
      <w:tr>
        <w:trPr>
          <w:trHeight w:val="2274"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2" w:right="53"/>
              <w:jc w:val="left"/>
              <w:rPr>
                <w:rFonts w:ascii="宋体" w:hAnsi="宋体" w:cs="宋体" w:eastAsia="宋体" w:hint="default"/>
                <w:sz w:val="18"/>
                <w:szCs w:val="18"/>
              </w:rPr>
            </w:pPr>
            <w:r>
              <w:rPr>
                <w:rFonts w:ascii="宋体" w:hAnsi="宋体" w:cs="宋体" w:eastAsia="宋体" w:hint="default"/>
                <w:sz w:val="18"/>
                <w:szCs w:val="18"/>
              </w:rPr>
              <w:t>深圳市文化 创意产业发 展关于超高 密度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高 清平板显示 系统的研发 项目验收</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319" w:lineRule="auto"/>
              <w:ind w:left="22" w:right="127"/>
              <w:jc w:val="both"/>
              <w:rPr>
                <w:rFonts w:ascii="宋体" w:hAnsi="宋体" w:cs="宋体" w:eastAsia="宋体" w:hint="default"/>
                <w:sz w:val="18"/>
                <w:szCs w:val="18"/>
              </w:rPr>
            </w:pPr>
            <w:r>
              <w:rPr>
                <w:rFonts w:ascii="宋体" w:hAnsi="宋体" w:cs="宋体" w:eastAsia="宋体" w:hint="default"/>
                <w:sz w:val="18"/>
                <w:szCs w:val="18"/>
              </w:rPr>
              <w:t>深圳市文化 创意产业协 会</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05"/>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936"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8"/>
                <w:sz w:val="20"/>
                <w:szCs w:val="20"/>
              </w:rPr>
              <w:pict>
                <v:group style="width:52.7pt;height:46.8pt;mso-position-horizontal-relative:char;mso-position-vertical-relative:line" coordorigin="0,0" coordsize="1054,936">
                  <v:group style="position:absolute;left:0;top:0;width:1054;height:936" coordorigin="0,0" coordsize="1054,936">
                    <v:shape style="position:absolute;left:0;top:0;width:1054;height:936" coordorigin="0,0" coordsize="1054,936" path="m0,936l1054,936,1054,0,0,0,0,936xe" filled="true" fillcolor="#ffffff" stroked="false">
                      <v:path arrowok="t"/>
                      <v:fill type="solid"/>
                    </v:shape>
                  </v:group>
                </v:group>
              </w:pict>
            </w:r>
            <w:r>
              <w:rPr>
                <w:rFonts w:ascii="Times New Roman" w:hAnsi="Times New Roman" w:cs="Times New Roman" w:eastAsia="Times New Roman" w:hint="default"/>
                <w:position w:val="-18"/>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800,000.00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586"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22" w:right="42"/>
              <w:jc w:val="left"/>
              <w:rPr>
                <w:rFonts w:ascii="宋体" w:hAnsi="宋体" w:cs="宋体" w:eastAsia="宋体" w:hint="default"/>
                <w:sz w:val="18"/>
                <w:szCs w:val="18"/>
              </w:rPr>
            </w:pPr>
            <w:r>
              <w:rPr>
                <w:rFonts w:ascii="宋体" w:hAnsi="宋体" w:cs="宋体" w:eastAsia="宋体" w:hint="default"/>
                <w:sz w:val="18"/>
                <w:szCs w:val="18"/>
              </w:rPr>
              <w:t>深圳市文体 旅游局市文 化创意产业 发展专项资 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 二批资助计 划（出口</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强）</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9"/>
              <w:ind w:left="22" w:right="127"/>
              <w:jc w:val="left"/>
              <w:rPr>
                <w:rFonts w:ascii="宋体" w:hAnsi="宋体" w:cs="宋体" w:eastAsia="宋体" w:hint="default"/>
                <w:sz w:val="18"/>
                <w:szCs w:val="18"/>
              </w:rPr>
            </w:pPr>
            <w:r>
              <w:rPr>
                <w:rFonts w:ascii="宋体" w:hAnsi="宋体" w:cs="宋体" w:eastAsia="宋体" w:hint="default"/>
                <w:sz w:val="18"/>
                <w:szCs w:val="18"/>
              </w:rPr>
              <w:t>深圳市文体 旅游局</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319" w:lineRule="auto"/>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092"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1"/>
                <w:sz w:val="20"/>
                <w:szCs w:val="20"/>
              </w:rPr>
              <w:pict>
                <v:group style="width:52.7pt;height:54.6pt;mso-position-horizontal-relative:char;mso-position-vertical-relative:line" coordorigin="0,0" coordsize="1054,1092">
                  <v:group style="position:absolute;left:0;top:0;width:1054;height:1092" coordorigin="0,0" coordsize="1054,1092">
                    <v:shape style="position:absolute;left:0;top:0;width:1054;height:1092" coordorigin="0,0" coordsize="1054,1092" path="m0,1092l1054,1092,1054,0,0,0,0,1092xe" filled="true" fillcolor="#ffffff" stroked="false">
                      <v:path arrowok="t"/>
                      <v:fill type="solid"/>
                    </v:shape>
                  </v:group>
                </v:group>
              </w:pict>
            </w:r>
            <w:r>
              <w:rPr>
                <w:rFonts w:ascii="Times New Roman" w:hAnsi="Times New Roman" w:cs="Times New Roman" w:eastAsia="Times New Roman" w:hint="default"/>
                <w:position w:val="-21"/>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20"/>
              <w:jc w:val="right"/>
              <w:rPr>
                <w:rFonts w:ascii="Times New Roman" w:hAnsi="Times New Roman" w:cs="Times New Roman" w:eastAsia="Times New Roman" w:hint="default"/>
                <w:sz w:val="18"/>
                <w:szCs w:val="18"/>
              </w:rPr>
            </w:pPr>
            <w:r>
              <w:rPr>
                <w:rFonts w:ascii="Times New Roman"/>
                <w:sz w:val="18"/>
              </w:rPr>
              <w:t>700,000.00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650"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22" w:right="131"/>
              <w:jc w:val="both"/>
              <w:rPr>
                <w:rFonts w:ascii="宋体" w:hAnsi="宋体" w:cs="宋体" w:eastAsia="宋体" w:hint="default"/>
                <w:sz w:val="18"/>
                <w:szCs w:val="18"/>
              </w:rPr>
            </w:pPr>
            <w:r>
              <w:rPr>
                <w:rFonts w:ascii="宋体" w:hAnsi="宋体" w:cs="宋体" w:eastAsia="宋体" w:hint="default"/>
                <w:sz w:val="18"/>
                <w:szCs w:val="18"/>
              </w:rPr>
              <w:t>深圳市南山 区财政局出 口企业参展 补贴</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05"/>
              <w:ind w:left="22" w:right="127"/>
              <w:jc w:val="left"/>
              <w:rPr>
                <w:rFonts w:ascii="宋体" w:hAnsi="宋体" w:cs="宋体" w:eastAsia="宋体" w:hint="default"/>
                <w:sz w:val="18"/>
                <w:szCs w:val="18"/>
              </w:rPr>
            </w:pPr>
            <w:r>
              <w:rPr>
                <w:rFonts w:ascii="宋体" w:hAnsi="宋体" w:cs="宋体" w:eastAsia="宋体" w:hint="default"/>
                <w:sz w:val="18"/>
                <w:szCs w:val="18"/>
              </w:rPr>
              <w:t>深圳市南山 区财政局</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29"/>
              <w:jc w:val="both"/>
              <w:rPr>
                <w:rFonts w:ascii="宋体" w:hAnsi="宋体" w:cs="宋体" w:eastAsia="宋体" w:hint="default"/>
                <w:sz w:val="18"/>
                <w:szCs w:val="18"/>
              </w:rPr>
            </w:pPr>
            <w:r>
              <w:rPr>
                <w:rFonts w:ascii="宋体" w:hAnsi="宋体" w:cs="宋体" w:eastAsia="宋体" w:hint="default"/>
                <w:sz w:val="18"/>
                <w:szCs w:val="18"/>
              </w:rPr>
              <w:t>因符合地方 政府招商引 资等地方性 扶持政策而 获得的补助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503,000.00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274"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31"/>
              <w:jc w:val="both"/>
              <w:rPr>
                <w:rFonts w:ascii="宋体" w:hAnsi="宋体" w:cs="宋体" w:eastAsia="宋体" w:hint="default"/>
                <w:sz w:val="18"/>
                <w:szCs w:val="18"/>
              </w:rPr>
            </w:pPr>
            <w:r>
              <w:rPr>
                <w:rFonts w:ascii="宋体" w:hAnsi="宋体" w:cs="宋体" w:eastAsia="宋体" w:hint="default"/>
                <w:sz w:val="18"/>
                <w:szCs w:val="18"/>
              </w:rPr>
              <w:t>深圳市经济 贸易和信息 化委员会赵 广文战新第 五批扶持计 划品牌培育 项目补贴</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319" w:lineRule="auto"/>
              <w:ind w:left="22" w:right="127"/>
              <w:jc w:val="both"/>
              <w:rPr>
                <w:rFonts w:ascii="宋体" w:hAnsi="宋体" w:cs="宋体" w:eastAsia="宋体" w:hint="default"/>
                <w:sz w:val="18"/>
                <w:szCs w:val="18"/>
              </w:rPr>
            </w:pPr>
            <w:r>
              <w:rPr>
                <w:rFonts w:ascii="宋体" w:hAnsi="宋体" w:cs="宋体" w:eastAsia="宋体" w:hint="default"/>
                <w:sz w:val="18"/>
                <w:szCs w:val="18"/>
              </w:rPr>
              <w:t>深圳市经济 贸易和信息 化委员会</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6"/>
              <w:ind w:left="22" w:right="129"/>
              <w:jc w:val="both"/>
              <w:rPr>
                <w:rFonts w:ascii="宋体" w:hAnsi="宋体" w:cs="宋体" w:eastAsia="宋体" w:hint="default"/>
                <w:sz w:val="18"/>
                <w:szCs w:val="18"/>
              </w:rPr>
            </w:pPr>
            <w:r>
              <w:rPr>
                <w:rFonts w:ascii="宋体" w:hAnsi="宋体" w:cs="宋体" w:eastAsia="宋体" w:hint="default"/>
                <w:sz w:val="18"/>
                <w:szCs w:val="18"/>
              </w:rPr>
              <w:t>因符合地方 政府招商引 资等地方性 扶持政策而 获得的补助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480,000.00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586"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319" w:lineRule="auto"/>
              <w:ind w:left="22" w:right="131"/>
              <w:jc w:val="both"/>
              <w:rPr>
                <w:rFonts w:ascii="宋体" w:hAnsi="宋体" w:cs="宋体" w:eastAsia="宋体" w:hint="default"/>
                <w:sz w:val="18"/>
                <w:szCs w:val="18"/>
              </w:rPr>
            </w:pPr>
            <w:r>
              <w:rPr>
                <w:rFonts w:ascii="宋体" w:hAnsi="宋体" w:cs="宋体" w:eastAsia="宋体" w:hint="default"/>
                <w:sz w:val="18"/>
                <w:szCs w:val="18"/>
              </w:rPr>
              <w:t>深圳市社会 保险基金管 理局失业稳 岗补贴</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319" w:lineRule="auto"/>
              <w:ind w:left="22" w:right="127"/>
              <w:jc w:val="both"/>
              <w:rPr>
                <w:rFonts w:ascii="宋体" w:hAnsi="宋体" w:cs="宋体" w:eastAsia="宋体" w:hint="default"/>
                <w:sz w:val="18"/>
                <w:szCs w:val="18"/>
              </w:rPr>
            </w:pPr>
            <w:r>
              <w:rPr>
                <w:rFonts w:ascii="宋体" w:hAnsi="宋体" w:cs="宋体" w:eastAsia="宋体" w:hint="default"/>
                <w:sz w:val="18"/>
                <w:szCs w:val="18"/>
              </w:rPr>
              <w:t>深圳市社会 保险基金管 理局</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29"/>
              <w:jc w:val="both"/>
              <w:rPr>
                <w:rFonts w:ascii="宋体" w:hAnsi="宋体" w:cs="宋体" w:eastAsia="宋体" w:hint="default"/>
                <w:sz w:val="18"/>
                <w:szCs w:val="18"/>
              </w:rPr>
            </w:pPr>
            <w:r>
              <w:rPr>
                <w:rFonts w:ascii="宋体" w:hAnsi="宋体" w:cs="宋体" w:eastAsia="宋体" w:hint="default"/>
                <w:sz w:val="18"/>
                <w:szCs w:val="18"/>
              </w:rPr>
              <w:t>因承担国家 为保障某种 公用事业或 社会必要产 品供应或价 格控制职能 而获得的补 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20"/>
              <w:jc w:val="right"/>
              <w:rPr>
                <w:rFonts w:ascii="Times New Roman" w:hAnsi="Times New Roman" w:cs="Times New Roman" w:eastAsia="Times New Roman" w:hint="default"/>
                <w:sz w:val="18"/>
                <w:szCs w:val="18"/>
              </w:rPr>
            </w:pPr>
            <w:r>
              <w:rPr>
                <w:rFonts w:ascii="Times New Roman"/>
                <w:sz w:val="18"/>
              </w:rPr>
              <w:t>305,456.68</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650"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2" w:right="87"/>
              <w:jc w:val="left"/>
              <w:rPr>
                <w:rFonts w:ascii="宋体" w:hAnsi="宋体" w:cs="宋体" w:eastAsia="宋体" w:hint="default"/>
                <w:sz w:val="18"/>
                <w:szCs w:val="18"/>
              </w:rPr>
            </w:pPr>
            <w:r>
              <w:rPr>
                <w:rFonts w:ascii="宋体" w:hAnsi="宋体" w:cs="宋体" w:eastAsia="宋体" w:hint="default"/>
                <w:sz w:val="18"/>
                <w:szCs w:val="18"/>
              </w:rPr>
              <w:t>关于开展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年下半 年南山区境 外展会补助 款</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6"/>
              <w:ind w:left="22" w:right="127"/>
              <w:jc w:val="both"/>
              <w:rPr>
                <w:rFonts w:ascii="宋体" w:hAnsi="宋体" w:cs="宋体" w:eastAsia="宋体" w:hint="default"/>
                <w:sz w:val="18"/>
                <w:szCs w:val="18"/>
              </w:rPr>
            </w:pPr>
            <w:r>
              <w:rPr>
                <w:rFonts w:ascii="宋体" w:hAnsi="宋体" w:cs="宋体" w:eastAsia="宋体" w:hint="default"/>
                <w:sz w:val="18"/>
                <w:szCs w:val="18"/>
              </w:rPr>
              <w:t>深圳市南山 区经济促进 局</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29"/>
              <w:jc w:val="both"/>
              <w:rPr>
                <w:rFonts w:ascii="宋体" w:hAnsi="宋体" w:cs="宋体" w:eastAsia="宋体" w:hint="default"/>
                <w:sz w:val="18"/>
                <w:szCs w:val="18"/>
              </w:rPr>
            </w:pPr>
            <w:r>
              <w:rPr>
                <w:rFonts w:ascii="宋体" w:hAnsi="宋体" w:cs="宋体" w:eastAsia="宋体" w:hint="default"/>
                <w:sz w:val="18"/>
                <w:szCs w:val="18"/>
              </w:rPr>
              <w:t>因符合地方 政府招商引 资等地方性 扶持政策而 获得的补助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175,900.00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674"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31"/>
              <w:jc w:val="left"/>
              <w:rPr>
                <w:rFonts w:ascii="宋体" w:hAnsi="宋体" w:cs="宋体" w:eastAsia="宋体" w:hint="default"/>
                <w:sz w:val="18"/>
                <w:szCs w:val="18"/>
              </w:rPr>
            </w:pPr>
            <w:r>
              <w:rPr>
                <w:rFonts w:ascii="宋体" w:hAnsi="宋体" w:cs="宋体" w:eastAsia="宋体" w:hint="default"/>
                <w:sz w:val="18"/>
                <w:szCs w:val="18"/>
              </w:rPr>
              <w:t>深圳市南山 区经济促进</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27"/>
              <w:jc w:val="left"/>
              <w:rPr>
                <w:rFonts w:ascii="宋体" w:hAnsi="宋体" w:cs="宋体" w:eastAsia="宋体" w:hint="default"/>
                <w:sz w:val="18"/>
                <w:szCs w:val="18"/>
              </w:rPr>
            </w:pPr>
            <w:r>
              <w:rPr>
                <w:rFonts w:ascii="宋体" w:hAnsi="宋体" w:cs="宋体" w:eastAsia="宋体" w:hint="default"/>
                <w:sz w:val="18"/>
                <w:szCs w:val="18"/>
              </w:rPr>
              <w:t>深圳市南山 区经济促进</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6"/>
                <w:szCs w:val="16"/>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29"/>
              <w:jc w:val="left"/>
              <w:rPr>
                <w:rFonts w:ascii="宋体" w:hAnsi="宋体" w:cs="宋体" w:eastAsia="宋体" w:hint="default"/>
                <w:sz w:val="18"/>
                <w:szCs w:val="18"/>
              </w:rPr>
            </w:pPr>
            <w:r>
              <w:rPr>
                <w:rFonts w:ascii="宋体" w:hAnsi="宋体" w:cs="宋体" w:eastAsia="宋体" w:hint="default"/>
                <w:sz w:val="18"/>
                <w:szCs w:val="18"/>
              </w:rPr>
              <w:t>因符合地方 政府招商引</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6"/>
                <w:szCs w:val="16"/>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6"/>
                <w:szCs w:val="16"/>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150,000.00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6"/>
                <w:szCs w:val="16"/>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r>
        <w:rPr/>
        <w:pict>
          <v:group style="position:absolute;margin-left:110.239998pt;margin-top:121.79998pt;width:105.8pt;height:31.25pt;mso-position-horizontal-relative:page;mso-position-vertical-relative:page;z-index:-1252864" coordorigin="2205,2436" coordsize="2116,625">
            <v:group style="position:absolute;left:2205;top:2436;width:1053;height:312" coordorigin="2205,2436" coordsize="1053,312">
              <v:shape style="position:absolute;left:2205;top:2436;width:1053;height:312" coordorigin="2205,2436" coordsize="1053,312" path="m2205,2748l3257,2748,3257,2436,2205,2436,2205,2748xe" filled="true" fillcolor="#ffffff" stroked="false">
                <v:path arrowok="t"/>
                <v:fill type="solid"/>
              </v:shape>
            </v:group>
            <v:group style="position:absolute;left:3267;top:2436;width:1054;height:625" coordorigin="3267,2436" coordsize="1054,625">
              <v:shape style="position:absolute;left:3267;top:2436;width:1054;height:625" coordorigin="3267,2436" coordsize="1054,625" path="m3267,3060l4320,3060,4320,2436,3267,2436,3267,3060xe" filled="true" fillcolor="#ffffff" stroked="false">
                <v:path arrowok="t"/>
                <v:fill type="solid"/>
              </v:shape>
            </v:group>
            <w10:wrap type="none"/>
          </v:group>
        </w:pict>
      </w:r>
      <w:r>
        <w:rPr/>
        <w:pict>
          <v:group style="position:absolute;margin-left:110.239998pt;margin-top:588.459961pt;width:52.65pt;height:39pt;mso-position-horizontal-relative:page;mso-position-vertical-relative:page;z-index:-1252840" coordorigin="2205,11769" coordsize="1053,780">
            <v:shape style="position:absolute;left:2205;top:11769;width:1053;height:780" coordorigin="2205,11769" coordsize="1053,780" path="m2205,12549l3257,12549,3257,11769,2205,11769,2205,12549xe" filled="true" fillcolor="#ffffff" stroked="false">
              <v:path arrowok="t"/>
              <v:fill type="solid"/>
            </v:shape>
            <w10:wrap type="none"/>
          </v:group>
        </w:pict>
      </w: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066"/>
        <w:gridCol w:w="1062"/>
        <w:gridCol w:w="1063"/>
        <w:gridCol w:w="1064"/>
        <w:gridCol w:w="1063"/>
        <w:gridCol w:w="1063"/>
        <w:gridCol w:w="1064"/>
        <w:gridCol w:w="1062"/>
        <w:gridCol w:w="1063"/>
      </w:tblGrid>
      <w:tr>
        <w:trPr>
          <w:trHeight w:val="986"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2" w:right="131"/>
              <w:jc w:val="left"/>
              <w:rPr>
                <w:rFonts w:ascii="宋体" w:hAnsi="宋体" w:cs="宋体" w:eastAsia="宋体" w:hint="default"/>
                <w:sz w:val="18"/>
                <w:szCs w:val="18"/>
              </w:rPr>
            </w:pPr>
            <w:r>
              <w:rPr>
                <w:rFonts w:ascii="宋体" w:hAnsi="宋体" w:cs="宋体" w:eastAsia="宋体" w:hint="default"/>
                <w:sz w:val="18"/>
                <w:szCs w:val="18"/>
              </w:rPr>
              <w:t>局名牌商标 奖励</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局</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2" w:right="129"/>
              <w:jc w:val="both"/>
              <w:rPr>
                <w:rFonts w:ascii="宋体" w:hAnsi="宋体" w:cs="宋体" w:eastAsia="宋体" w:hint="default"/>
                <w:sz w:val="18"/>
                <w:szCs w:val="18"/>
              </w:rPr>
            </w:pPr>
            <w:r>
              <w:rPr>
                <w:rFonts w:ascii="宋体" w:hAnsi="宋体" w:cs="宋体" w:eastAsia="宋体" w:hint="default"/>
                <w:sz w:val="18"/>
                <w:szCs w:val="18"/>
              </w:rPr>
              <w:t>资等地方性 扶持政策而 获得的补助</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1650"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47"/>
              <w:jc w:val="left"/>
              <w:rPr>
                <w:rFonts w:ascii="宋体" w:hAnsi="宋体" w:cs="宋体" w:eastAsia="宋体" w:hint="default"/>
                <w:sz w:val="18"/>
                <w:szCs w:val="18"/>
              </w:rPr>
            </w:pPr>
            <w:r>
              <w:rPr>
                <w:rFonts w:ascii="宋体" w:hAnsi="宋体" w:cs="宋体" w:eastAsia="宋体" w:hint="default"/>
                <w:sz w:val="18"/>
                <w:szCs w:val="18"/>
              </w:rPr>
              <w:t>中国（南京） 软件谷管理 委员会软件 产业发展专 项资金</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22" w:right="127"/>
              <w:jc w:val="both"/>
              <w:rPr>
                <w:rFonts w:ascii="宋体" w:hAnsi="宋体" w:cs="宋体" w:eastAsia="宋体" w:hint="default"/>
                <w:sz w:val="18"/>
                <w:szCs w:val="18"/>
              </w:rPr>
            </w:pPr>
            <w:r>
              <w:rPr>
                <w:rFonts w:ascii="宋体" w:hAnsi="宋体" w:cs="宋体" w:eastAsia="宋体" w:hint="default"/>
                <w:sz w:val="18"/>
                <w:szCs w:val="18"/>
              </w:rPr>
              <w:t>中国（南京 软件谷管理 委员会</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40"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240" w:lineRule="auto" w:before="76"/>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316" w:lineRule="auto"/>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624"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1"/>
                <w:sz w:val="20"/>
                <w:szCs w:val="20"/>
              </w:rPr>
              <w:pict>
                <v:group style="width:52.7pt;height:31.25pt;mso-position-horizontal-relative:char;mso-position-vertical-relative:line" coordorigin="0,0" coordsize="1054,625">
                  <v:group style="position:absolute;left:0;top:0;width:1054;height:625" coordorigin="0,0" coordsize="1054,625">
                    <v:shape style="position:absolute;left:0;top:0;width:1054;height:625" coordorigin="0,0" coordsize="1054,625" path="m0,624l1054,624,1054,0,0,0,0,624xe" filled="true" fillcolor="#ffffff" stroked="false">
                      <v:path arrowok="t"/>
                      <v:fill type="solid"/>
                    </v:shape>
                  </v:group>
                </v:group>
              </w:pict>
            </w:r>
            <w:r>
              <w:rPr>
                <w:rFonts w:ascii="Times New Roman" w:hAnsi="Times New Roman" w:cs="Times New Roman" w:eastAsia="Times New Roman" w:hint="default"/>
                <w:position w:val="-11"/>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150,000.00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962"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3"/>
              <w:jc w:val="left"/>
              <w:rPr>
                <w:rFonts w:ascii="Times New Roman" w:hAnsi="Times New Roman" w:cs="Times New Roman" w:eastAsia="Times New Roman" w:hint="default"/>
                <w:sz w:val="18"/>
                <w:szCs w:val="18"/>
              </w:rPr>
            </w:pPr>
            <w:r>
              <w:rPr>
                <w:rFonts w:ascii="宋体" w:hAnsi="宋体" w:cs="宋体" w:eastAsia="宋体" w:hint="default"/>
                <w:sz w:val="18"/>
                <w:szCs w:val="18"/>
              </w:rPr>
              <w:t>深圳市经济 贸易和信息 化委员会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1"/>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21-24</w:t>
            </w:r>
          </w:p>
          <w:p>
            <w:pPr>
              <w:pStyle w:val="TableParagraph"/>
              <w:spacing w:line="319" w:lineRule="auto"/>
              <w:ind w:left="22" w:right="131"/>
              <w:jc w:val="left"/>
              <w:rPr>
                <w:rFonts w:ascii="宋体" w:hAnsi="宋体" w:cs="宋体" w:eastAsia="宋体" w:hint="default"/>
                <w:sz w:val="18"/>
                <w:szCs w:val="18"/>
              </w:rPr>
            </w:pPr>
            <w:r>
              <w:rPr>
                <w:rFonts w:ascii="宋体" w:hAnsi="宋体" w:cs="宋体" w:eastAsia="宋体" w:hint="default"/>
                <w:sz w:val="18"/>
                <w:szCs w:val="18"/>
              </w:rPr>
              <w:t>批提升国际 化资金</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5"/>
              <w:ind w:left="22" w:right="127"/>
              <w:jc w:val="both"/>
              <w:rPr>
                <w:rFonts w:ascii="宋体" w:hAnsi="宋体" w:cs="宋体" w:eastAsia="宋体" w:hint="default"/>
                <w:sz w:val="18"/>
                <w:szCs w:val="18"/>
              </w:rPr>
            </w:pPr>
            <w:r>
              <w:rPr>
                <w:rFonts w:ascii="宋体" w:hAnsi="宋体" w:cs="宋体" w:eastAsia="宋体" w:hint="default"/>
                <w:sz w:val="18"/>
                <w:szCs w:val="18"/>
              </w:rPr>
              <w:t>深圳市经济 贸易和信息 化委员会</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22" w:right="129"/>
              <w:jc w:val="both"/>
              <w:rPr>
                <w:rFonts w:ascii="宋体" w:hAnsi="宋体" w:cs="宋体" w:eastAsia="宋体" w:hint="default"/>
                <w:sz w:val="18"/>
                <w:szCs w:val="18"/>
              </w:rPr>
            </w:pPr>
            <w:r>
              <w:rPr>
                <w:rFonts w:ascii="宋体" w:hAnsi="宋体" w:cs="宋体" w:eastAsia="宋体" w:hint="default"/>
                <w:sz w:val="18"/>
                <w:szCs w:val="18"/>
              </w:rPr>
              <w:t>因符合地方 政府招商引 资等地方性 扶持政策而 获得的补助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144,713.00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586"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9"/>
              <w:ind w:left="22" w:right="131"/>
              <w:jc w:val="left"/>
              <w:rPr>
                <w:rFonts w:ascii="宋体" w:hAnsi="宋体" w:cs="宋体" w:eastAsia="宋体" w:hint="default"/>
                <w:sz w:val="18"/>
                <w:szCs w:val="18"/>
              </w:rPr>
            </w:pPr>
            <w:r>
              <w:rPr>
                <w:rFonts w:ascii="宋体" w:hAnsi="宋体" w:cs="宋体" w:eastAsia="宋体" w:hint="default"/>
                <w:sz w:val="18"/>
                <w:szCs w:val="18"/>
              </w:rPr>
              <w:t>华阳街道房 租补贴</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316" w:lineRule="auto"/>
              <w:ind w:left="22" w:right="127"/>
              <w:jc w:val="both"/>
              <w:rPr>
                <w:rFonts w:ascii="宋体" w:hAnsi="宋体" w:cs="宋体" w:eastAsia="宋体" w:hint="default"/>
                <w:sz w:val="18"/>
                <w:szCs w:val="18"/>
              </w:rPr>
            </w:pPr>
            <w:r>
              <w:rPr>
                <w:rFonts w:ascii="宋体" w:hAnsi="宋体" w:cs="宋体" w:eastAsia="宋体" w:hint="default"/>
                <w:sz w:val="18"/>
                <w:szCs w:val="18"/>
              </w:rPr>
              <w:t>深圳市福田 区华阳街道 办</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29"/>
              <w:jc w:val="both"/>
              <w:rPr>
                <w:rFonts w:ascii="宋体" w:hAnsi="宋体" w:cs="宋体" w:eastAsia="宋体" w:hint="default"/>
                <w:sz w:val="18"/>
                <w:szCs w:val="18"/>
              </w:rPr>
            </w:pPr>
            <w:r>
              <w:rPr>
                <w:rFonts w:ascii="宋体" w:hAnsi="宋体" w:cs="宋体" w:eastAsia="宋体" w:hint="default"/>
                <w:sz w:val="18"/>
                <w:szCs w:val="18"/>
              </w:rPr>
              <w:t>因承担国家 为保障某种 公用事业或 社会必要产 品供应或价 格控制职能 而获得的补 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20"/>
              <w:jc w:val="right"/>
              <w:rPr>
                <w:rFonts w:ascii="Times New Roman" w:hAnsi="Times New Roman" w:cs="Times New Roman" w:eastAsia="Times New Roman" w:hint="default"/>
                <w:sz w:val="18"/>
                <w:szCs w:val="18"/>
              </w:rPr>
            </w:pPr>
            <w:r>
              <w:rPr>
                <w:rFonts w:ascii="Times New Roman"/>
                <w:sz w:val="18"/>
              </w:rPr>
              <w:t>120,000.00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650"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5"/>
              <w:ind w:left="22" w:right="131"/>
              <w:jc w:val="left"/>
              <w:rPr>
                <w:rFonts w:ascii="宋体" w:hAnsi="宋体" w:cs="宋体" w:eastAsia="宋体" w:hint="default"/>
                <w:sz w:val="18"/>
                <w:szCs w:val="18"/>
              </w:rPr>
            </w:pPr>
            <w:r>
              <w:rPr>
                <w:rFonts w:ascii="宋体" w:hAnsi="宋体" w:cs="宋体" w:eastAsia="宋体" w:hint="default"/>
                <w:sz w:val="18"/>
                <w:szCs w:val="18"/>
              </w:rPr>
              <w:t>其他小额政 府补助</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深圳市</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29"/>
              <w:jc w:val="both"/>
              <w:rPr>
                <w:rFonts w:ascii="宋体" w:hAnsi="宋体" w:cs="宋体" w:eastAsia="宋体" w:hint="default"/>
                <w:sz w:val="18"/>
                <w:szCs w:val="18"/>
              </w:rPr>
            </w:pPr>
            <w:r>
              <w:rPr>
                <w:rFonts w:ascii="宋体" w:hAnsi="宋体" w:cs="宋体" w:eastAsia="宋体" w:hint="default"/>
                <w:sz w:val="18"/>
                <w:szCs w:val="18"/>
              </w:rPr>
              <w:t>因符合地方 政府招商引 资等地方性 扶持政策而 获得的补助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298,113.52</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274"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2" w:right="87"/>
              <w:jc w:val="left"/>
              <w:rPr>
                <w:rFonts w:ascii="宋体" w:hAnsi="宋体" w:cs="宋体" w:eastAsia="宋体" w:hint="default"/>
                <w:sz w:val="18"/>
                <w:szCs w:val="18"/>
              </w:rPr>
            </w:pPr>
            <w:r>
              <w:rPr>
                <w:rFonts w:ascii="宋体" w:hAnsi="宋体" w:cs="宋体" w:eastAsia="宋体" w:hint="default"/>
                <w:sz w:val="18"/>
                <w:szCs w:val="18"/>
              </w:rPr>
              <w:t>收到大亚湾 区财政局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年广东 省高新技术 企业培育入</w:t>
            </w:r>
          </w:p>
          <w:p>
            <w:pPr>
              <w:pStyle w:val="TableParagraph"/>
              <w:spacing w:line="319" w:lineRule="auto" w:before="20"/>
              <w:ind w:left="22" w:right="-47"/>
              <w:jc w:val="left"/>
              <w:rPr>
                <w:rFonts w:ascii="宋体" w:hAnsi="宋体" w:cs="宋体" w:eastAsia="宋体" w:hint="default"/>
                <w:sz w:val="18"/>
                <w:szCs w:val="18"/>
              </w:rPr>
            </w:pPr>
            <w:r>
              <w:rPr>
                <w:rFonts w:ascii="宋体" w:hAnsi="宋体" w:cs="宋体" w:eastAsia="宋体" w:hint="default"/>
                <w:sz w:val="18"/>
                <w:szCs w:val="18"/>
              </w:rPr>
              <w:t>库（第一批） 奖补资金</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316" w:lineRule="auto"/>
              <w:ind w:left="22" w:right="127"/>
              <w:jc w:val="left"/>
              <w:rPr>
                <w:rFonts w:ascii="宋体" w:hAnsi="宋体" w:cs="宋体" w:eastAsia="宋体" w:hint="default"/>
                <w:sz w:val="18"/>
                <w:szCs w:val="18"/>
              </w:rPr>
            </w:pPr>
            <w:r>
              <w:rPr>
                <w:rFonts w:ascii="宋体" w:hAnsi="宋体" w:cs="宋体" w:eastAsia="宋体" w:hint="default"/>
                <w:sz w:val="18"/>
                <w:szCs w:val="18"/>
              </w:rPr>
              <w:t>惠州市大亚 湾区财政局</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5"/>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936"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8"/>
                <w:sz w:val="20"/>
                <w:szCs w:val="20"/>
              </w:rPr>
              <w:pict>
                <v:group style="width:52.7pt;height:46.8pt;mso-position-horizontal-relative:char;mso-position-vertical-relative:line" coordorigin="0,0" coordsize="1054,936">
                  <v:group style="position:absolute;left:0;top:0;width:1054;height:936" coordorigin="0,0" coordsize="1054,936">
                    <v:shape style="position:absolute;left:0;top:0;width:1054;height:936" coordorigin="0,0" coordsize="1054,936" path="m0,936l1054,936,1054,0,0,0,0,936xe" filled="true" fillcolor="#ffffff" stroked="false">
                      <v:path arrowok="t"/>
                      <v:fill type="solid"/>
                    </v:shape>
                  </v:group>
                </v:group>
              </w:pict>
            </w:r>
            <w:r>
              <w:rPr>
                <w:rFonts w:ascii="Times New Roman" w:hAnsi="Times New Roman" w:cs="Times New Roman" w:eastAsia="Times New Roman" w:hint="default"/>
                <w:position w:val="-18"/>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300,000.00</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547"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31"/>
              <w:jc w:val="both"/>
              <w:rPr>
                <w:rFonts w:ascii="宋体" w:hAnsi="宋体" w:cs="宋体" w:eastAsia="宋体" w:hint="default"/>
                <w:sz w:val="18"/>
                <w:szCs w:val="18"/>
              </w:rPr>
            </w:pPr>
            <w:r>
              <w:rPr>
                <w:rFonts w:ascii="宋体" w:hAnsi="宋体" w:cs="宋体" w:eastAsia="宋体" w:hint="default"/>
                <w:sz w:val="18"/>
                <w:szCs w:val="18"/>
              </w:rPr>
              <w:t>收到大亚湾 财政局根据 惠财工</w:t>
            </w:r>
          </w:p>
          <w:p>
            <w:pPr>
              <w:pStyle w:val="TableParagraph"/>
              <w:spacing w:line="240" w:lineRule="auto" w:before="58"/>
              <w:ind w:left="22" w:right="0"/>
              <w:jc w:val="left"/>
              <w:rPr>
                <w:rFonts w:ascii="Times New Roman" w:hAnsi="Times New Roman" w:cs="Times New Roman" w:eastAsia="Times New Roman" w:hint="default"/>
                <w:sz w:val="18"/>
                <w:szCs w:val="18"/>
              </w:rPr>
            </w:pPr>
            <w:r>
              <w:rPr>
                <w:rFonts w:ascii="Times New Roman"/>
                <w:sz w:val="18"/>
              </w:rPr>
              <w:t>{2017}205</w:t>
            </w:r>
          </w:p>
          <w:p>
            <w:pPr>
              <w:pStyle w:val="TableParagraph"/>
              <w:spacing w:line="312" w:lineRule="auto" w:before="65"/>
              <w:ind w:left="22" w:right="87"/>
              <w:jc w:val="left"/>
              <w:rPr>
                <w:rFonts w:ascii="宋体" w:hAnsi="宋体" w:cs="宋体" w:eastAsia="宋体" w:hint="default"/>
                <w:sz w:val="18"/>
                <w:szCs w:val="18"/>
              </w:rPr>
            </w:pPr>
            <w:r>
              <w:rPr>
                <w:rFonts w:ascii="宋体" w:hAnsi="宋体" w:cs="宋体" w:eastAsia="宋体" w:hint="default"/>
                <w:sz w:val="18"/>
                <w:szCs w:val="18"/>
              </w:rPr>
              <w:t>号，下达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年市级 高新技术企 业与创新型</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39"/>
              <w:ind w:left="22" w:right="127"/>
              <w:jc w:val="left"/>
              <w:rPr>
                <w:rFonts w:ascii="宋体" w:hAnsi="宋体" w:cs="宋体" w:eastAsia="宋体" w:hint="default"/>
                <w:sz w:val="18"/>
                <w:szCs w:val="18"/>
              </w:rPr>
            </w:pPr>
            <w:r>
              <w:rPr>
                <w:rFonts w:ascii="宋体" w:hAnsi="宋体" w:cs="宋体" w:eastAsia="宋体" w:hint="default"/>
                <w:sz w:val="18"/>
                <w:szCs w:val="18"/>
              </w:rPr>
              <w:t>惠州市大亚 湾区财政局</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5"/>
                <w:szCs w:val="2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0"/>
                <w:szCs w:val="20"/>
              </w:rPr>
            </w:pPr>
          </w:p>
          <w:p>
            <w:pPr>
              <w:pStyle w:val="TableParagraph"/>
              <w:spacing w:line="319" w:lineRule="auto"/>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071"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0"/>
                <w:sz w:val="20"/>
                <w:szCs w:val="20"/>
              </w:rPr>
              <w:pict>
                <v:group style="width:52.7pt;height:53.6pt;mso-position-horizontal-relative:char;mso-position-vertical-relative:line" coordorigin="0,0" coordsize="1054,1072">
                  <v:group style="position:absolute;left:0;top:0;width:1054;height:1072" coordorigin="0,0" coordsize="1054,1072">
                    <v:shape style="position:absolute;left:0;top:0;width:1054;height:1072" coordorigin="0,0" coordsize="1054,1072" path="m0,1072l1054,1072,1054,0,0,0,0,1072xe" filled="true" fillcolor="#ffffff" stroked="false">
                      <v:path arrowok="t"/>
                      <v:fill type="solid"/>
                    </v:shape>
                  </v:group>
                </v:group>
              </w:pict>
            </w:r>
            <w:r>
              <w:rPr>
                <w:rFonts w:ascii="Times New Roman" w:hAnsi="Times New Roman" w:cs="Times New Roman" w:eastAsia="Times New Roman" w:hint="default"/>
                <w:position w:val="-20"/>
                <w:sz w:val="20"/>
                <w:szCs w:val="20"/>
              </w:rPr>
            </w:r>
          </w:p>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5"/>
                <w:szCs w:val="2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8"/>
              <w:ind w:right="21"/>
              <w:jc w:val="right"/>
              <w:rPr>
                <w:rFonts w:ascii="Times New Roman" w:hAnsi="Times New Roman" w:cs="Times New Roman" w:eastAsia="Times New Roman" w:hint="default"/>
                <w:sz w:val="18"/>
                <w:szCs w:val="18"/>
              </w:rPr>
            </w:pPr>
            <w:r>
              <w:rPr>
                <w:rFonts w:ascii="Times New Roman"/>
                <w:sz w:val="18"/>
              </w:rPr>
              <w:t>100,000.00</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5"/>
                <w:szCs w:val="2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066"/>
        <w:gridCol w:w="1062"/>
        <w:gridCol w:w="1063"/>
        <w:gridCol w:w="1064"/>
        <w:gridCol w:w="1063"/>
        <w:gridCol w:w="1063"/>
        <w:gridCol w:w="1064"/>
        <w:gridCol w:w="1062"/>
        <w:gridCol w:w="1063"/>
      </w:tblGrid>
      <w:tr>
        <w:trPr>
          <w:trHeight w:val="674"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2" w:right="131"/>
              <w:jc w:val="left"/>
              <w:rPr>
                <w:rFonts w:ascii="宋体" w:hAnsi="宋体" w:cs="宋体" w:eastAsia="宋体" w:hint="default"/>
                <w:sz w:val="18"/>
                <w:szCs w:val="18"/>
              </w:rPr>
            </w:pPr>
            <w:r>
              <w:rPr>
                <w:rFonts w:ascii="宋体" w:hAnsi="宋体" w:cs="宋体" w:eastAsia="宋体" w:hint="default"/>
                <w:sz w:val="18"/>
                <w:szCs w:val="18"/>
              </w:rPr>
              <w:t>企业认定专 项经费</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2274"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2" w:right="86"/>
              <w:jc w:val="both"/>
              <w:rPr>
                <w:rFonts w:ascii="宋体" w:hAnsi="宋体" w:cs="宋体" w:eastAsia="宋体" w:hint="default"/>
                <w:sz w:val="18"/>
                <w:szCs w:val="18"/>
              </w:rPr>
            </w:pPr>
            <w:r>
              <w:rPr>
                <w:rFonts w:ascii="宋体" w:hAnsi="宋体" w:cs="宋体" w:eastAsia="宋体" w:hint="default"/>
                <w:sz w:val="18"/>
                <w:szCs w:val="18"/>
              </w:rPr>
              <w:t>收到大亚湾 财政局</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年度大亚湾 区高新技术 企业培育与 认定工作经 费</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8"/>
                <w:szCs w:val="18"/>
              </w:rPr>
            </w:pPr>
          </w:p>
          <w:p>
            <w:pPr>
              <w:pStyle w:val="TableParagraph"/>
              <w:spacing w:line="316" w:lineRule="auto"/>
              <w:ind w:left="22" w:right="127"/>
              <w:jc w:val="left"/>
              <w:rPr>
                <w:rFonts w:ascii="宋体" w:hAnsi="宋体" w:cs="宋体" w:eastAsia="宋体" w:hint="default"/>
                <w:sz w:val="18"/>
                <w:szCs w:val="18"/>
              </w:rPr>
            </w:pPr>
            <w:r>
              <w:rPr>
                <w:rFonts w:ascii="宋体" w:hAnsi="宋体" w:cs="宋体" w:eastAsia="宋体" w:hint="default"/>
                <w:sz w:val="18"/>
                <w:szCs w:val="18"/>
              </w:rPr>
              <w:t>惠州市大亚 湾区财政局</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6"/>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936"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8"/>
                <w:sz w:val="20"/>
                <w:szCs w:val="20"/>
              </w:rPr>
              <w:pict>
                <v:group style="width:52.7pt;height:46.85pt;mso-position-horizontal-relative:char;mso-position-vertical-relative:line" coordorigin="0,0" coordsize="1054,937">
                  <v:group style="position:absolute;left:0;top:0;width:1054;height:937" coordorigin="0,0" coordsize="1054,937">
                    <v:shape style="position:absolute;left:0;top:0;width:1054;height:937" coordorigin="0,0" coordsize="1054,937" path="m0,936l1054,936,1054,0,0,0,0,936xe" filled="true" fillcolor="#ffffff" stroked="false">
                      <v:path arrowok="t"/>
                      <v:fill type="solid"/>
                    </v:shape>
                  </v:group>
                </v:group>
              </w:pict>
            </w:r>
            <w:r>
              <w:rPr>
                <w:rFonts w:ascii="Times New Roman" w:hAnsi="Times New Roman" w:cs="Times New Roman" w:eastAsia="Times New Roman" w:hint="default"/>
                <w:position w:val="-18"/>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200,000.00</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338"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22" w:right="131"/>
              <w:jc w:val="both"/>
              <w:rPr>
                <w:rFonts w:ascii="宋体" w:hAnsi="宋体" w:cs="宋体" w:eastAsia="宋体" w:hint="default"/>
                <w:sz w:val="18"/>
                <w:szCs w:val="18"/>
              </w:rPr>
            </w:pPr>
            <w:r>
              <w:rPr>
                <w:rFonts w:ascii="宋体" w:hAnsi="宋体" w:cs="宋体" w:eastAsia="宋体" w:hint="default"/>
                <w:sz w:val="18"/>
                <w:szCs w:val="18"/>
              </w:rPr>
              <w:t>收到福田区 国高企业认 定支持补助</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22" w:right="127"/>
              <w:jc w:val="left"/>
              <w:rPr>
                <w:rFonts w:ascii="宋体" w:hAnsi="宋体" w:cs="宋体" w:eastAsia="宋体" w:hint="default"/>
                <w:sz w:val="18"/>
                <w:szCs w:val="18"/>
              </w:rPr>
            </w:pPr>
            <w:r>
              <w:rPr>
                <w:rFonts w:ascii="宋体" w:hAnsi="宋体" w:cs="宋体" w:eastAsia="宋体" w:hint="default"/>
                <w:sz w:val="18"/>
                <w:szCs w:val="18"/>
              </w:rPr>
              <w:t>深圳市福田 区财政局</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468"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8"/>
                <w:sz w:val="20"/>
                <w:szCs w:val="20"/>
              </w:rPr>
              <w:pict>
                <v:group style="width:52.7pt;height:23.4pt;mso-position-horizontal-relative:char;mso-position-vertical-relative:line" coordorigin="0,0" coordsize="1054,468">
                  <v:group style="position:absolute;left:0;top:0;width:1054;height:468" coordorigin="0,0" coordsize="1054,468">
                    <v:shape style="position:absolute;left:0;top:0;width:1054;height:468" coordorigin="0,0" coordsize="1054,468" path="m0,468l1054,468,1054,0,0,0,0,468xe" filled="true" fillcolor="#ffffff" stroked="false">
                      <v:path arrowok="t"/>
                      <v:fill type="solid"/>
                    </v:shape>
                  </v:group>
                </v:group>
              </w:pict>
            </w:r>
            <w:r>
              <w:rPr>
                <w:rFonts w:ascii="Times New Roman" w:hAnsi="Times New Roman" w:cs="Times New Roman" w:eastAsia="Times New Roman" w:hint="default"/>
                <w:position w:val="-8"/>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200,000.00</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402" w:hRule="exact"/>
        </w:trPr>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800,000.00</w:t>
            </w:r>
          </w:p>
        </w:tc>
        <w:tc>
          <w:tcPr>
            <w:tcW w:w="1062"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left="85" w:right="0"/>
              <w:jc w:val="left"/>
              <w:rPr>
                <w:rFonts w:ascii="Times New Roman" w:hAnsi="Times New Roman" w:cs="Times New Roman" w:eastAsia="Times New Roman" w:hint="default"/>
                <w:sz w:val="18"/>
                <w:szCs w:val="18"/>
              </w:rPr>
            </w:pPr>
            <w:r>
              <w:rPr>
                <w:rFonts w:ascii="Times New Roman"/>
                <w:sz w:val="18"/>
              </w:rPr>
              <w:t>4,827,183.20</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357" w:lineRule="auto" w:before="51"/>
        <w:ind w:right="9853"/>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72、营业外支出" w:id="382"/>
      <w:bookmarkEnd w:id="382"/>
      <w:r>
        <w:rPr>
          <w:b w:val="0"/>
          <w:bCs w:val="0"/>
        </w:rPr>
      </w:r>
      <w:r>
        <w:rPr>
          <w:rFonts w:ascii="Times New Roman" w:hAnsi="Times New Roman" w:cs="Times New Roman" w:eastAsia="Times New Roman" w:hint="default"/>
        </w:rPr>
        <w:t>72</w:t>
      </w:r>
      <w:r>
        <w:rPr/>
        <w:t>、营业外支出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390"/>
        <w:gridCol w:w="2396"/>
        <w:gridCol w:w="2392"/>
        <w:gridCol w:w="2392"/>
      </w:tblGrid>
      <w:tr>
        <w:trPr>
          <w:trHeight w:val="161" w:hRule="exact"/>
        </w:trPr>
        <w:tc>
          <w:tcPr>
            <w:tcW w:w="2390"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6"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2"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1100" w:right="109" w:hanging="990"/>
              <w:jc w:val="left"/>
              <w:rPr>
                <w:rFonts w:ascii="宋体" w:hAnsi="宋体" w:cs="宋体" w:eastAsia="宋体" w:hint="default"/>
                <w:sz w:val="18"/>
                <w:szCs w:val="18"/>
              </w:rPr>
            </w:pPr>
            <w:r>
              <w:rPr>
                <w:rFonts w:ascii="宋体" w:hAnsi="宋体" w:cs="宋体" w:eastAsia="宋体" w:hint="default"/>
                <w:sz w:val="18"/>
                <w:szCs w:val="18"/>
              </w:rPr>
              <w:t>计入当期非经常性损益的金 额</w:t>
            </w:r>
          </w:p>
        </w:tc>
      </w:tr>
      <w:tr>
        <w:trPr>
          <w:trHeight w:val="393" w:hRule="exact"/>
        </w:trPr>
        <w:tc>
          <w:tcPr>
            <w:tcW w:w="239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741"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740"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392" w:type="dxa"/>
            <w:vMerge/>
            <w:tcBorders>
              <w:left w:val="single" w:sz="4" w:space="0" w:color="000000"/>
              <w:right w:val="single" w:sz="4" w:space="0" w:color="000000"/>
            </w:tcBorders>
            <w:shd w:val="clear" w:color="auto" w:fill="D2D2D2"/>
          </w:tcPr>
          <w:p>
            <w:pPr/>
          </w:p>
        </w:tc>
      </w:tr>
      <w:tr>
        <w:trPr>
          <w:trHeight w:val="161" w:hRule="exact"/>
        </w:trPr>
        <w:tc>
          <w:tcPr>
            <w:tcW w:w="2390"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6"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2"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2"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对外捐赠</w:t>
            </w:r>
          </w:p>
        </w:tc>
        <w:tc>
          <w:tcPr>
            <w:tcW w:w="239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5,000.01</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非流动资产处置损失合计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189,033.22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550,869.24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189,033.22</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其中：固定资产处置损失</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189,033.22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550,869.24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189,033.22</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违约及滞纳金</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24,019.66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31,199.25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110,000.00</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117,327.03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208,885.94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141,346.69</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440,379.91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795,954.44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440,379.91</w:t>
            </w:r>
          </w:p>
        </w:tc>
      </w:tr>
    </w:tbl>
    <w:p>
      <w:pPr>
        <w:pStyle w:val="BodyText"/>
        <w:spacing w:line="357" w:lineRule="auto" w:before="51"/>
        <w:ind w:right="9853"/>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73、所得税费用" w:id="383"/>
      <w:bookmarkEnd w:id="383"/>
      <w:r>
        <w:rPr>
          <w:b w:val="0"/>
          <w:bCs w:val="0"/>
        </w:rPr>
      </w:r>
      <w:r>
        <w:rPr>
          <w:rFonts w:ascii="Times New Roman" w:hAnsi="Times New Roman" w:cs="Times New Roman" w:eastAsia="Times New Roman" w:hint="default"/>
        </w:rPr>
        <w:t>73</w:t>
      </w:r>
      <w:r>
        <w:rPr/>
        <w:t>、所得税费用</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所得税费用表" w:id="384"/>
      <w:bookmarkEnd w:id="384"/>
      <w:r>
        <w:rPr>
          <w:b w:val="0"/>
          <w:bCs w:val="0"/>
        </w:rPr>
      </w:r>
      <w:r>
        <w:rPr/>
        <w:t>（</w:t>
      </w:r>
      <w:r>
        <w:rPr>
          <w:rFonts w:ascii="Times New Roman" w:hAnsi="Times New Roman" w:cs="Times New Roman" w:eastAsia="Times New Roman" w:hint="default"/>
        </w:rPr>
        <w:t>1</w:t>
      </w:r>
      <w:r>
        <w:rPr/>
        <w:t>）所得税费用表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当期所得税费用</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17,059,914.86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16,626,091.89</w:t>
            </w:r>
          </w:p>
        </w:tc>
      </w:tr>
      <w:tr>
        <w:trPr>
          <w:trHeight w:val="403"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递延所得税费用</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-7,291,875.25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-2,805,614.00</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9,768,039.62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13,820,477.89</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会计利润与所得税费用调整过程" w:id="385"/>
      <w:bookmarkEnd w:id="385"/>
      <w:r>
        <w:rPr>
          <w:b w:val="0"/>
          <w:bCs w:val="0"/>
        </w:rPr>
      </w:r>
      <w:r>
        <w:rPr/>
        <w:t>（</w:t>
      </w:r>
      <w:r>
        <w:rPr>
          <w:rFonts w:ascii="Times New Roman" w:hAnsi="Times New Roman" w:cs="Times New Roman" w:eastAsia="Times New Roman" w:hint="default"/>
        </w:rPr>
        <w:t>2</w:t>
      </w:r>
      <w:r>
        <w:rPr/>
        <w:t>）会计利润与所得税费用调整过程</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4757"/>
        <w:gridCol w:w="4800"/>
      </w:tblGrid>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141,147,149.94</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按法定</w:t>
            </w:r>
            <w:r>
              <w:rPr>
                <w:rFonts w:ascii="Times New Roman" w:hAnsi="Times New Roman" w:cs="Times New Roman" w:eastAsia="Times New Roman" w:hint="default"/>
                <w:sz w:val="18"/>
                <w:szCs w:val="18"/>
              </w:rPr>
              <w:t>/</w:t>
            </w:r>
            <w:r>
              <w:rPr>
                <w:rFonts w:ascii="宋体" w:hAnsi="宋体" w:cs="宋体" w:eastAsia="宋体" w:hint="default"/>
                <w:sz w:val="18"/>
                <w:szCs w:val="18"/>
              </w:rPr>
              <w:t>适用税率计算的所得税费用</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21,172,072.49</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子公司适用不同税率的影响</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-1,381,594.87</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调整以前期间所得税的影响</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-171,092.88</w:t>
            </w:r>
            <w:r>
              <w:rPr>
                <w:rFonts w:ascii="Times New Roman"/>
                <w:sz w:val="18"/>
              </w:rPr>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不可抵扣的成本、费用和损失的影响</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859,723.14</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使用前期未确认递延所得税资产的可抵扣亏损的影响</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-2,791,525.79</w:t>
            </w:r>
          </w:p>
        </w:tc>
      </w:tr>
      <w:tr>
        <w:trPr>
          <w:trHeight w:val="714"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55"/>
              <w:jc w:val="left"/>
              <w:rPr>
                <w:rFonts w:ascii="宋体" w:hAnsi="宋体" w:cs="宋体" w:eastAsia="宋体" w:hint="default"/>
                <w:sz w:val="18"/>
                <w:szCs w:val="18"/>
              </w:rPr>
            </w:pPr>
            <w:r>
              <w:rPr>
                <w:rFonts w:ascii="宋体" w:hAnsi="宋体" w:cs="宋体" w:eastAsia="宋体" w:hint="default"/>
                <w:sz w:val="18"/>
                <w:szCs w:val="18"/>
              </w:rPr>
              <w:t>本期未确认递延所得税资产的可抵扣暂时性差异或可抵扣亏 损的影响</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2,395,658.32</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研发加计扣除的影响</w:t>
            </w:r>
          </w:p>
        </w:tc>
        <w:tc>
          <w:tcPr>
            <w:tcW w:w="4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-10,315,200.79</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4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9,768,039.62</w:t>
            </w:r>
          </w:p>
        </w:tc>
      </w:tr>
    </w:tbl>
    <w:p>
      <w:pPr>
        <w:pStyle w:val="BodyText"/>
        <w:spacing w:line="357" w:lineRule="auto" w:before="51"/>
        <w:ind w:right="10033"/>
        <w:jc w:val="left"/>
      </w:pPr>
      <w:r>
        <w:rPr/>
        <w:t>其他说明 无。</w:t>
      </w:r>
    </w:p>
    <w:p>
      <w:pPr>
        <w:spacing w:line="240" w:lineRule="auto" w:before="3"/>
        <w:rPr>
          <w:rFonts w:ascii="宋体" w:hAnsi="宋体" w:cs="宋体" w:eastAsia="宋体" w:hint="default"/>
          <w:sz w:val="20"/>
          <w:szCs w:val="20"/>
        </w:rPr>
      </w:pPr>
    </w:p>
    <w:p>
      <w:pPr>
        <w:pStyle w:val="Heading3"/>
        <w:spacing w:line="240" w:lineRule="auto"/>
        <w:ind w:right="0"/>
        <w:jc w:val="left"/>
        <w:rPr>
          <w:b w:val="0"/>
          <w:bCs w:val="0"/>
        </w:rPr>
      </w:pPr>
      <w:bookmarkStart w:name="74、其他综合收益" w:id="386"/>
      <w:bookmarkEnd w:id="386"/>
      <w:r>
        <w:rPr>
          <w:b w:val="0"/>
          <w:bCs w:val="0"/>
        </w:rPr>
      </w:r>
      <w:r>
        <w:rPr>
          <w:rFonts w:ascii="Times New Roman" w:hAnsi="Times New Roman" w:cs="Times New Roman" w:eastAsia="Times New Roman" w:hint="default"/>
        </w:rPr>
        <w:t>74</w:t>
      </w:r>
      <w:r>
        <w:rPr/>
        <w:t>、其他综合收益</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154" w:right="0"/>
        <w:jc w:val="left"/>
      </w:pPr>
      <w:r>
        <w:rPr/>
        <w:t>详见附注。</w:t>
      </w: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bookmarkStart w:name="75、现金流量表项目" w:id="387"/>
      <w:bookmarkEnd w:id="387"/>
      <w:r>
        <w:rPr>
          <w:b w:val="0"/>
          <w:bCs w:val="0"/>
        </w:rPr>
      </w:r>
      <w:r>
        <w:rPr>
          <w:rFonts w:ascii="Times New Roman" w:hAnsi="Times New Roman" w:cs="Times New Roman" w:eastAsia="Times New Roman" w:hint="default"/>
        </w:rPr>
        <w:t>75</w:t>
      </w:r>
      <w:r>
        <w:rPr/>
        <w:t>、现金流量表项目</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left="153" w:right="0"/>
        <w:jc w:val="left"/>
        <w:rPr>
          <w:b w:val="0"/>
          <w:bCs w:val="0"/>
        </w:rPr>
      </w:pPr>
      <w:bookmarkStart w:name="（1）收到的其他与经营活动有关的现金" w:id="388"/>
      <w:bookmarkEnd w:id="388"/>
      <w:r>
        <w:rPr>
          <w:b w:val="0"/>
          <w:bCs w:val="0"/>
        </w:rPr>
      </w:r>
      <w:r>
        <w:rPr/>
        <w:t>（</w:t>
      </w:r>
      <w:r>
        <w:rPr>
          <w:rFonts w:ascii="Times New Roman" w:hAnsi="Times New Roman" w:cs="Times New Roman" w:eastAsia="Times New Roman" w:hint="default"/>
        </w:rPr>
        <w:t>1</w:t>
      </w:r>
      <w:r>
        <w:rPr/>
        <w:t>）收到的其他与经营活动有关的现金</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12,783,244.94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3,177,691.85</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1,847,028.33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808,316.98</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4,020,336.55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3,682,035.85</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3,727,631.72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1,828,468.72</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22,378,241.54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9,496,513.40</w:t>
            </w:r>
          </w:p>
        </w:tc>
      </w:tr>
    </w:tbl>
    <w:p>
      <w:pPr>
        <w:pStyle w:val="BodyText"/>
        <w:spacing w:line="357" w:lineRule="auto" w:before="51"/>
        <w:ind w:left="154" w:right="7512"/>
        <w:jc w:val="left"/>
      </w:pPr>
      <w:r>
        <w:rPr/>
        <w:t>收到的其他与经营活动有关的现金说明： 无。</w:t>
      </w:r>
    </w:p>
    <w:p>
      <w:pPr>
        <w:spacing w:after="0" w:line="357" w:lineRule="auto"/>
        <w:jc w:val="left"/>
        <w:sectPr>
          <w:pgSz w:w="11910" w:h="16840"/>
          <w:pgMar w:header="747" w:footer="979"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5"/>
        <w:ind w:left="153" w:right="0"/>
        <w:jc w:val="left"/>
        <w:rPr>
          <w:b w:val="0"/>
          <w:bCs w:val="0"/>
        </w:rPr>
      </w:pPr>
      <w:bookmarkStart w:name="（2）支付的其他与经营活动有关的现金" w:id="389"/>
      <w:bookmarkEnd w:id="389"/>
      <w:r>
        <w:rPr>
          <w:b w:val="0"/>
          <w:bCs w:val="0"/>
        </w:rPr>
      </w:r>
      <w:r>
        <w:rPr/>
        <w:t>（</w:t>
      </w:r>
      <w:r>
        <w:rPr>
          <w:rFonts w:ascii="Times New Roman" w:hAnsi="Times New Roman" w:cs="Times New Roman" w:eastAsia="Times New Roman" w:hint="default"/>
        </w:rPr>
        <w:t>2</w:t>
      </w:r>
      <w:r>
        <w:rPr/>
        <w:t>）支付的其他与经营活动有关的现金</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租赁及水电费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12,565,979.49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7,492,644.79</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6,299,172.73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4,172,088.06</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4,928,095.55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3,303,791.35</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10,709,773.71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9,085,765.16</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展览费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4,493,051.08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3,531,846.27</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运输费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6,158,747.25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7,422,045.96</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5,876,417.53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1,548,944.50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中介机构费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9,615,940.19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3,211,335.10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维护费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15,912,064.58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4,441,906.35</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安装费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4,467,363.14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4,872,447.89</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2,878,067.80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2,038,289.91</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24,101,441.11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1,596,343.40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18,328,221.63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1,039,480.82</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126,334,335.79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53,756,929.56</w:t>
            </w:r>
          </w:p>
        </w:tc>
      </w:tr>
    </w:tbl>
    <w:p>
      <w:pPr>
        <w:pStyle w:val="BodyText"/>
        <w:spacing w:line="357" w:lineRule="auto" w:before="51"/>
        <w:ind w:left="154" w:right="7512"/>
        <w:jc w:val="left"/>
      </w:pPr>
      <w:r>
        <w:rPr/>
        <w:t>支付的其他与经营活动有关的现金说明：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3）收到的其他与投资活动有关的现金" w:id="390"/>
      <w:bookmarkEnd w:id="390"/>
      <w:r>
        <w:rPr>
          <w:b w:val="0"/>
          <w:bCs w:val="0"/>
        </w:rPr>
      </w:r>
      <w:r>
        <w:rPr/>
        <w:t>（</w:t>
      </w:r>
      <w:r>
        <w:rPr>
          <w:rFonts w:ascii="Times New Roman" w:hAnsi="Times New Roman" w:cs="Times New Roman" w:eastAsia="Times New Roman" w:hint="default"/>
        </w:rPr>
        <w:t>3</w:t>
      </w:r>
      <w:r>
        <w:rPr/>
        <w:t>）收到的其他与投资活动有关的现金</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千百辉收购日货币资金余额</w:t>
            </w:r>
          </w:p>
        </w:tc>
        <w:tc>
          <w:tcPr>
            <w:tcW w:w="3194"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7,484,469.95</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7,484,469.95</w:t>
            </w:r>
          </w:p>
        </w:tc>
      </w:tr>
    </w:tbl>
    <w:p>
      <w:pPr>
        <w:pStyle w:val="BodyText"/>
        <w:spacing w:line="357" w:lineRule="auto" w:before="51"/>
        <w:ind w:left="154" w:right="7512"/>
        <w:jc w:val="left"/>
      </w:pPr>
      <w:r>
        <w:rPr/>
        <w:t>收到的其他与投资活动有关的现金说明：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4）支付的其他与投资活动有关的现金" w:id="391"/>
      <w:bookmarkEnd w:id="391"/>
      <w:r>
        <w:rPr>
          <w:b w:val="0"/>
          <w:bCs w:val="0"/>
        </w:rPr>
      </w:r>
      <w:r>
        <w:rPr/>
        <w:t>（</w:t>
      </w:r>
      <w:r>
        <w:rPr>
          <w:rFonts w:ascii="Times New Roman" w:hAnsi="Times New Roman" w:cs="Times New Roman" w:eastAsia="Times New Roman" w:hint="default"/>
        </w:rPr>
        <w:t>4</w:t>
      </w:r>
      <w:r>
        <w:rPr/>
        <w:t>）支付的其他与投资活动有关的现金</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pStyle w:val="BodyText"/>
        <w:spacing w:line="357" w:lineRule="auto" w:before="52"/>
        <w:ind w:left="154" w:right="7512"/>
        <w:jc w:val="left"/>
      </w:pPr>
      <w:r>
        <w:rPr/>
        <w:t>支付的其他与投资活动有关的现金说明： 无。</w:t>
      </w:r>
    </w:p>
    <w:p>
      <w:pPr>
        <w:spacing w:after="0" w:line="357" w:lineRule="auto"/>
        <w:jc w:val="left"/>
        <w:sectPr>
          <w:pgSz w:w="11910" w:h="16840"/>
          <w:pgMar w:header="747" w:footer="979" w:top="1060" w:bottom="1160" w:left="980" w:right="0"/>
        </w:sectPr>
      </w:pPr>
    </w:p>
    <w:p>
      <w:pPr>
        <w:spacing w:line="240" w:lineRule="auto" w:before="10"/>
        <w:rPr>
          <w:rFonts w:ascii="宋体" w:hAnsi="宋体" w:cs="宋体" w:eastAsia="宋体" w:hint="default"/>
          <w:sz w:val="24"/>
          <w:szCs w:val="24"/>
        </w:rPr>
      </w:pPr>
      <w:r>
        <w:rPr/>
        <w:pict>
          <v:group style="position:absolute;margin-left:223.339996pt;margin-top:741.869995pt;width:151.25pt;height:20.7pt;mso-position-horizontal-relative:page;mso-position-vertical-relative:page;z-index:-1252768" coordorigin="4467,14837" coordsize="3025,414">
            <v:group style="position:absolute;left:4478;top:14849;width:2;height:392" coordorigin="4478,14849" coordsize="2,392">
              <v:shape style="position:absolute;left:4478;top:14849;width:2;height:392" coordorigin="4478,14849" coordsize="0,392" path="m4478,14849l4478,15240e" filled="false" stroked="true" strokeweight="1.140pt" strokecolor="#ffffff">
                <v:path arrowok="t"/>
              </v:shape>
            </v:group>
            <v:group style="position:absolute;left:4490;top:14849;width:3002;height:392" coordorigin="4490,14849" coordsize="3002,392">
              <v:shape style="position:absolute;left:4490;top:14849;width:3002;height:392" coordorigin="4490,14849" coordsize="3002,392" path="m4490,15240l7491,15240,7491,14849,4490,14849,4490,15240xe" filled="true" fillcolor="#ffffff" stroked="false">
                <v:path arrowok="t"/>
                <v:fill type="solid"/>
              </v:shape>
            </v:group>
            <w10:wrap type="none"/>
          </v:group>
        </w:pict>
      </w:r>
    </w:p>
    <w:p>
      <w:pPr>
        <w:pStyle w:val="Heading3"/>
        <w:spacing w:line="240" w:lineRule="auto" w:before="35"/>
        <w:ind w:left="153" w:right="0"/>
        <w:jc w:val="left"/>
        <w:rPr>
          <w:b w:val="0"/>
          <w:bCs w:val="0"/>
        </w:rPr>
      </w:pPr>
      <w:bookmarkStart w:name="（5）收到的其他与筹资活动有关的现金" w:id="392"/>
      <w:bookmarkEnd w:id="392"/>
      <w:r>
        <w:rPr>
          <w:b w:val="0"/>
          <w:bCs w:val="0"/>
        </w:rPr>
      </w:r>
      <w:r>
        <w:rPr/>
        <w:t>（</w:t>
      </w:r>
      <w:r>
        <w:rPr>
          <w:rFonts w:ascii="Times New Roman" w:hAnsi="Times New Roman" w:cs="Times New Roman" w:eastAsia="Times New Roman" w:hint="default"/>
        </w:rPr>
        <w:t>5</w:t>
      </w:r>
      <w:r>
        <w:rPr/>
        <w:t>）收到的其他与筹资活动有关的现金</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收到置换顾问费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5,377,358.49</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募集资金存款利息</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639,007.84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52,157.34</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6,016,366.33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52,157.34</w:t>
            </w:r>
          </w:p>
        </w:tc>
      </w:tr>
    </w:tbl>
    <w:p>
      <w:pPr>
        <w:pStyle w:val="BodyText"/>
        <w:spacing w:line="357" w:lineRule="auto" w:before="51"/>
        <w:ind w:left="154" w:right="7512"/>
        <w:jc w:val="left"/>
      </w:pPr>
      <w:r>
        <w:rPr/>
        <w:t>收到的其他与筹资活动有关的现金说明：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6）支付的其他与筹资活动有关的现金" w:id="393"/>
      <w:bookmarkEnd w:id="393"/>
      <w:r>
        <w:rPr>
          <w:b w:val="0"/>
          <w:bCs w:val="0"/>
        </w:rPr>
      </w:r>
      <w:r>
        <w:rPr/>
        <w:t>（</w:t>
      </w:r>
      <w:r>
        <w:rPr>
          <w:rFonts w:ascii="Times New Roman" w:hAnsi="Times New Roman" w:cs="Times New Roman" w:eastAsia="Times New Roman" w:hint="default"/>
        </w:rPr>
        <w:t>6</w:t>
      </w:r>
      <w:r>
        <w:rPr/>
        <w:t>）支付的其他与筹资活动有关的现金</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回购注销股权激励股份</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630,740.00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4,684,083.24</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交易所年费、顾问费等（注）</w:t>
            </w:r>
          </w:p>
        </w:tc>
        <w:tc>
          <w:tcPr>
            <w:tcW w:w="3194"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5,141,509.43</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630,740.00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9,825,592.67</w:t>
            </w:r>
          </w:p>
        </w:tc>
      </w:tr>
    </w:tbl>
    <w:p>
      <w:pPr>
        <w:pStyle w:val="BodyText"/>
        <w:spacing w:line="357" w:lineRule="auto" w:before="51"/>
        <w:ind w:left="154" w:right="7512"/>
        <w:jc w:val="left"/>
      </w:pPr>
      <w:r>
        <w:rPr/>
        <w:t>支付的其他与筹资活动有关的现金说明： 无。</w:t>
      </w:r>
    </w:p>
    <w:p>
      <w:pPr>
        <w:spacing w:line="240" w:lineRule="auto" w:before="3"/>
        <w:rPr>
          <w:rFonts w:ascii="宋体" w:hAnsi="宋体" w:cs="宋体" w:eastAsia="宋体" w:hint="default"/>
          <w:sz w:val="20"/>
          <w:szCs w:val="20"/>
        </w:rPr>
      </w:pPr>
    </w:p>
    <w:p>
      <w:pPr>
        <w:pStyle w:val="Heading3"/>
        <w:spacing w:line="240" w:lineRule="auto"/>
        <w:ind w:right="0"/>
        <w:jc w:val="left"/>
        <w:rPr>
          <w:b w:val="0"/>
          <w:bCs w:val="0"/>
        </w:rPr>
      </w:pPr>
      <w:bookmarkStart w:name="76、现金流量表补充资料" w:id="394"/>
      <w:bookmarkEnd w:id="394"/>
      <w:r>
        <w:rPr>
          <w:b w:val="0"/>
          <w:bCs w:val="0"/>
        </w:rPr>
      </w:r>
      <w:r>
        <w:rPr>
          <w:rFonts w:ascii="Times New Roman" w:hAnsi="Times New Roman" w:cs="Times New Roman" w:eastAsia="Times New Roman" w:hint="default"/>
        </w:rPr>
        <w:t>76</w:t>
      </w:r>
      <w:r>
        <w:rPr/>
        <w:t>、现金流量表补充资料</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53" w:right="0"/>
        <w:jc w:val="left"/>
        <w:rPr>
          <w:b w:val="0"/>
          <w:bCs w:val="0"/>
        </w:rPr>
      </w:pPr>
      <w:bookmarkStart w:name="（1）现金流量表补充资料" w:id="395"/>
      <w:bookmarkEnd w:id="395"/>
      <w:r>
        <w:rPr>
          <w:b w:val="0"/>
          <w:bCs w:val="0"/>
        </w:rPr>
      </w:r>
      <w:r>
        <w:rPr/>
        <w:t>（</w:t>
      </w:r>
      <w:r>
        <w:rPr>
          <w:rFonts w:ascii="Times New Roman" w:hAnsi="Times New Roman" w:cs="Times New Roman" w:eastAsia="Times New Roman" w:hint="default"/>
        </w:rPr>
        <w:t>1</w:t>
      </w:r>
      <w:r>
        <w:rPr/>
        <w:t>）现金流量表补充资料</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305"/>
        <w:gridCol w:w="1055"/>
        <w:gridCol w:w="2014"/>
        <w:gridCol w:w="3184"/>
      </w:tblGrid>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补充资料</w:t>
            </w:r>
          </w:p>
        </w:tc>
        <w:tc>
          <w:tcPr>
            <w:tcW w:w="30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．将净利润调节为经营活动现金流量：</w:t>
            </w:r>
          </w:p>
        </w:tc>
        <w:tc>
          <w:tcPr>
            <w:tcW w:w="30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center"/>
              <w:rPr>
                <w:rFonts w:ascii="Times New Roman" w:hAnsi="Times New Roman" w:cs="Times New Roman" w:eastAsia="Times New Roman" w:hint="default"/>
                <w:sz w:val="18"/>
                <w:szCs w:val="18"/>
              </w:rPr>
            </w:pPr>
            <w:r>
              <w:rPr>
                <w:rFonts w:ascii="Times New Roman"/>
                <w:sz w:val="18"/>
              </w:rPr>
              <w:t>--</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left="1905" w:right="0"/>
              <w:jc w:val="left"/>
              <w:rPr>
                <w:rFonts w:ascii="Times New Roman" w:hAnsi="Times New Roman" w:cs="Times New Roman" w:eastAsia="Times New Roman" w:hint="default"/>
                <w:sz w:val="18"/>
                <w:szCs w:val="18"/>
              </w:rPr>
            </w:pPr>
            <w:r>
              <w:rPr>
                <w:rFonts w:ascii="Times New Roman"/>
                <w:sz w:val="18"/>
              </w:rPr>
              <w:t>131,379,110.32</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87,259,390.22</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left="1989" w:right="0"/>
              <w:jc w:val="left"/>
              <w:rPr>
                <w:rFonts w:ascii="Times New Roman" w:hAnsi="Times New Roman" w:cs="Times New Roman" w:eastAsia="Times New Roman" w:hint="default"/>
                <w:sz w:val="18"/>
                <w:szCs w:val="18"/>
              </w:rPr>
            </w:pPr>
            <w:r>
              <w:rPr>
                <w:rFonts w:ascii="Times New Roman"/>
                <w:sz w:val="18"/>
              </w:rPr>
              <w:t>26,790,255.61</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9,541,315.10</w:t>
            </w:r>
          </w:p>
        </w:tc>
      </w:tr>
      <w:tr>
        <w:trPr>
          <w:trHeight w:val="714"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41"/>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 物资产折旧</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989" w:right="0"/>
              <w:jc w:val="left"/>
              <w:rPr>
                <w:rFonts w:ascii="Times New Roman" w:hAnsi="Times New Roman" w:cs="Times New Roman" w:eastAsia="Times New Roman" w:hint="default"/>
                <w:sz w:val="18"/>
                <w:szCs w:val="18"/>
              </w:rPr>
            </w:pPr>
            <w:r>
              <w:rPr>
                <w:rFonts w:ascii="Times New Roman"/>
                <w:sz w:val="18"/>
              </w:rPr>
              <w:t>13,825,289.56</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10,653,730.19</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2,144,816.91</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1,220,005.97</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418,826.52</w:t>
            </w:r>
          </w:p>
        </w:tc>
        <w:tc>
          <w:tcPr>
            <w:tcW w:w="318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41"/>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 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144,607.02</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550,869.24</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3,622,759.14</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-7,423,651.28</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left="2019" w:right="0"/>
              <w:jc w:val="left"/>
              <w:rPr>
                <w:rFonts w:ascii="Times New Roman" w:hAnsi="Times New Roman" w:cs="Times New Roman" w:eastAsia="Times New Roman" w:hint="default"/>
                <w:sz w:val="18"/>
                <w:szCs w:val="18"/>
              </w:rPr>
            </w:pPr>
            <w:r>
              <w:rPr>
                <w:rFonts w:ascii="Times New Roman"/>
                <w:sz w:val="18"/>
              </w:rPr>
              <w:t>-2,296,333.02</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-11,222,797.13</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pacing w:val="-3"/>
                <w:sz w:val="18"/>
                <w:szCs w:val="18"/>
              </w:rPr>
              <w:t>递延所得税资产减少（增加以</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号填列</w:t>
            </w:r>
          </w:p>
        </w:tc>
        <w:tc>
          <w:tcPr>
            <w:tcW w:w="1055" w:type="dxa"/>
            <w:tcBorders>
              <w:top w:val="single" w:sz="4" w:space="0" w:color="000000"/>
              <w:left w:val="single" w:sz="13" w:space="0" w:color="D2D2D2"/>
              <w:bottom w:val="single" w:sz="4" w:space="0" w:color="000000"/>
              <w:right w:val="nil" w:sz="6" w:space="0" w:color="auto"/>
            </w:tcBorders>
          </w:tcPr>
          <w:p>
            <w:pPr>
              <w:pStyle w:val="TableParagraph"/>
              <w:spacing w:line="240" w:lineRule="auto" w:before="52"/>
              <w:ind w:left="-124" w:right="0"/>
              <w:jc w:val="left"/>
              <w:rPr>
                <w:rFonts w:ascii="宋体" w:hAnsi="宋体" w:cs="宋体" w:eastAsia="宋体" w:hint="default"/>
                <w:sz w:val="18"/>
                <w:szCs w:val="18"/>
              </w:rPr>
            </w:pPr>
            <w:r>
              <w:rPr>
                <w:rFonts w:ascii="宋体" w:hAnsi="宋体" w:cs="宋体" w:eastAsia="宋体" w:hint="default"/>
                <w:sz w:val="18"/>
                <w:szCs w:val="18"/>
              </w:rPr>
              <w:t>）</w:t>
            </w:r>
          </w:p>
        </w:tc>
        <w:tc>
          <w:tcPr>
            <w:tcW w:w="201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2"/>
              <w:ind w:left="981" w:right="0"/>
              <w:jc w:val="left"/>
              <w:rPr>
                <w:rFonts w:ascii="Times New Roman" w:hAnsi="Times New Roman" w:cs="Times New Roman" w:eastAsia="Times New Roman" w:hint="default"/>
                <w:sz w:val="18"/>
                <w:szCs w:val="18"/>
              </w:rPr>
            </w:pPr>
            <w:r>
              <w:rPr>
                <w:rFonts w:ascii="Times New Roman"/>
                <w:sz w:val="18"/>
              </w:rPr>
              <w:t>-7,161,677.33</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-2,809,587.21</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3305"/>
        <w:gridCol w:w="3069"/>
        <w:gridCol w:w="3184"/>
      </w:tblGrid>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存货的减少（增加以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-88,345,541.17</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1,694,316.41</w:t>
            </w:r>
          </w:p>
        </w:tc>
      </w:tr>
      <w:tr>
        <w:trPr>
          <w:trHeight w:val="714"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1" w:right="61"/>
              <w:jc w:val="left"/>
              <w:rPr>
                <w:rFonts w:ascii="宋体" w:hAnsi="宋体" w:cs="宋体" w:eastAsia="宋体" w:hint="default"/>
                <w:sz w:val="18"/>
                <w:szCs w:val="18"/>
              </w:rPr>
            </w:pPr>
            <w:r>
              <w:rPr>
                <w:rFonts w:ascii="宋体" w:hAnsi="宋体" w:cs="宋体" w:eastAsia="宋体" w:hint="default"/>
                <w:sz w:val="18"/>
                <w:szCs w:val="18"/>
              </w:rPr>
              <w:t>经营性应收项目的减少（增加以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-351,992,547.55</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-7,810,060.61</w:t>
            </w:r>
          </w:p>
        </w:tc>
      </w:tr>
      <w:tr>
        <w:trPr>
          <w:trHeight w:val="714"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1" w:right="61"/>
              <w:jc w:val="left"/>
              <w:rPr>
                <w:rFonts w:ascii="宋体" w:hAnsi="宋体" w:cs="宋体" w:eastAsia="宋体" w:hint="default"/>
                <w:sz w:val="18"/>
                <w:szCs w:val="18"/>
              </w:rPr>
            </w:pPr>
            <w:r>
              <w:rPr>
                <w:rFonts w:ascii="宋体" w:hAnsi="宋体" w:cs="宋体" w:eastAsia="宋体" w:hint="default"/>
                <w:sz w:val="18"/>
                <w:szCs w:val="18"/>
              </w:rPr>
              <w:t>经营性应付项目的增加（减少以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271,397,360.36</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58,061,106.57</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9,430,080.00</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12,734,800.00</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9,357,006.37</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152,449,437.47</w:t>
            </w:r>
          </w:p>
        </w:tc>
      </w:tr>
      <w:tr>
        <w:trPr>
          <w:trHeight w:val="161" w:hRule="exact"/>
        </w:trPr>
        <w:tc>
          <w:tcPr>
            <w:tcW w:w="3305" w:type="dxa"/>
            <w:vMerge w:val="restart"/>
            <w:tcBorders>
              <w:top w:val="single" w:sz="4" w:space="0" w:color="000000"/>
              <w:left w:val="single" w:sz="4" w:space="0" w:color="000000"/>
              <w:right w:val="single" w:sz="4" w:space="0" w:color="000000"/>
            </w:tcBorders>
            <w:shd w:val="clear" w:color="auto" w:fill="D2D2D2"/>
          </w:tcPr>
          <w:p>
            <w:pPr>
              <w:pStyle w:val="TableParagraph"/>
              <w:spacing w:line="302" w:lineRule="auto" w:before="51"/>
              <w:ind w:left="11" w:right="131"/>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．不涉及现金收支的重大投资和筹资活 动：</w:t>
            </w:r>
          </w:p>
        </w:tc>
        <w:tc>
          <w:tcPr>
            <w:tcW w:w="3069" w:type="dxa"/>
            <w:tcBorders>
              <w:top w:val="single" w:sz="4" w:space="0" w:color="000000"/>
              <w:left w:val="single" w:sz="4" w:space="0" w:color="000000"/>
              <w:bottom w:val="nil" w:sz="6" w:space="0" w:color="auto"/>
              <w:right w:val="single" w:sz="4" w:space="0" w:color="000000"/>
            </w:tcBorders>
            <w:shd w:val="clear" w:color="auto" w:fill="D2D2D2"/>
          </w:tcPr>
          <w:p>
            <w:pPr/>
          </w:p>
        </w:tc>
        <w:tc>
          <w:tcPr>
            <w:tcW w:w="3184"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2" w:hRule="exact"/>
        </w:trPr>
        <w:tc>
          <w:tcPr>
            <w:tcW w:w="3305" w:type="dxa"/>
            <w:vMerge/>
            <w:tcBorders>
              <w:left w:val="single" w:sz="4" w:space="0" w:color="000000"/>
              <w:right w:val="single" w:sz="4" w:space="0" w:color="000000"/>
            </w:tcBorders>
            <w:shd w:val="clear" w:color="auto" w:fill="D2D2D2"/>
          </w:tcPr>
          <w:p>
            <w:pPr/>
          </w:p>
        </w:tc>
        <w:tc>
          <w:tcPr>
            <w:tcW w:w="306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1475" w:right="0"/>
              <w:jc w:val="left"/>
              <w:rPr>
                <w:rFonts w:ascii="Times New Roman" w:hAnsi="Times New Roman" w:cs="Times New Roman" w:eastAsia="Times New Roman" w:hint="default"/>
                <w:sz w:val="18"/>
                <w:szCs w:val="18"/>
              </w:rPr>
            </w:pPr>
            <w:r>
              <w:rPr>
                <w:rFonts w:ascii="Times New Roman"/>
                <w:sz w:val="18"/>
              </w:rPr>
              <w:t>--</w:t>
            </w:r>
          </w:p>
        </w:tc>
        <w:tc>
          <w:tcPr>
            <w:tcW w:w="318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1526" w:right="0"/>
              <w:jc w:val="left"/>
              <w:rPr>
                <w:rFonts w:ascii="Times New Roman" w:hAnsi="Times New Roman" w:cs="Times New Roman" w:eastAsia="Times New Roman" w:hint="default"/>
                <w:sz w:val="18"/>
                <w:szCs w:val="18"/>
              </w:rPr>
            </w:pPr>
            <w:r>
              <w:rPr>
                <w:rFonts w:ascii="Times New Roman"/>
                <w:sz w:val="18"/>
              </w:rPr>
              <w:t>--</w:t>
            </w:r>
          </w:p>
        </w:tc>
      </w:tr>
      <w:tr>
        <w:trPr>
          <w:trHeight w:val="161" w:hRule="exact"/>
        </w:trPr>
        <w:tc>
          <w:tcPr>
            <w:tcW w:w="3305" w:type="dxa"/>
            <w:vMerge/>
            <w:tcBorders>
              <w:left w:val="single" w:sz="4" w:space="0" w:color="000000"/>
              <w:bottom w:val="single" w:sz="4" w:space="0" w:color="000000"/>
              <w:right w:val="single" w:sz="4" w:space="0" w:color="000000"/>
            </w:tcBorders>
            <w:shd w:val="clear" w:color="auto" w:fill="D2D2D2"/>
          </w:tcPr>
          <w:p>
            <w:pPr/>
          </w:p>
        </w:tc>
        <w:tc>
          <w:tcPr>
            <w:tcW w:w="3069" w:type="dxa"/>
            <w:tcBorders>
              <w:top w:val="nil" w:sz="6" w:space="0" w:color="auto"/>
              <w:left w:val="single" w:sz="4" w:space="0" w:color="000000"/>
              <w:bottom w:val="single" w:sz="4" w:space="0" w:color="000000"/>
              <w:right w:val="single" w:sz="4" w:space="0" w:color="000000"/>
            </w:tcBorders>
            <w:shd w:val="clear" w:color="auto" w:fill="D2D2D2"/>
          </w:tcPr>
          <w:p>
            <w:pPr/>
          </w:p>
        </w:tc>
        <w:tc>
          <w:tcPr>
            <w:tcW w:w="3184"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．现金及现金等价物净变动情况：</w:t>
            </w:r>
          </w:p>
        </w:tc>
        <w:tc>
          <w:tcPr>
            <w:tcW w:w="30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475" w:right="0"/>
              <w:jc w:val="left"/>
              <w:rPr>
                <w:rFonts w:ascii="Times New Roman" w:hAnsi="Times New Roman" w:cs="Times New Roman" w:eastAsia="Times New Roman" w:hint="default"/>
                <w:sz w:val="18"/>
                <w:szCs w:val="18"/>
              </w:rPr>
            </w:pPr>
            <w:r>
              <w:rPr>
                <w:rFonts w:ascii="Times New Roman"/>
                <w:sz w:val="18"/>
              </w:rPr>
              <w:t>--</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526" w:right="0"/>
              <w:jc w:val="left"/>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320,465,466.19</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364,679,853.81</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减：现金的期初余额</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364,679,853.81</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180,297,235.41</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-44,214,387.62</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184,382,618.40</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本期支付的取得子公司的现金净额" w:id="396"/>
      <w:bookmarkEnd w:id="396"/>
      <w:r>
        <w:rPr>
          <w:b w:val="0"/>
          <w:bCs w:val="0"/>
        </w:rPr>
      </w:r>
      <w:r>
        <w:rPr/>
        <w:t>（</w:t>
      </w:r>
      <w:r>
        <w:rPr>
          <w:rFonts w:ascii="Times New Roman" w:hAnsi="Times New Roman" w:cs="Times New Roman" w:eastAsia="Times New Roman" w:hint="default"/>
        </w:rPr>
        <w:t>2</w:t>
      </w:r>
      <w:r>
        <w:rPr/>
        <w:t>）本期支付的取得子公司的现金净额</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977"/>
        <w:gridCol w:w="4592"/>
      </w:tblGrid>
      <w:tr>
        <w:trPr>
          <w:trHeight w:val="402" w:hRule="exact"/>
        </w:trPr>
        <w:tc>
          <w:tcPr>
            <w:tcW w:w="497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45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金额</w:t>
            </w:r>
          </w:p>
        </w:tc>
      </w:tr>
      <w:tr>
        <w:trPr>
          <w:trHeight w:val="402" w:hRule="exact"/>
        </w:trPr>
        <w:tc>
          <w:tcPr>
            <w:tcW w:w="49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本期发生的企业合并于本期支付的现金或现金等价物</w:t>
            </w:r>
          </w:p>
        </w:tc>
        <w:tc>
          <w:tcPr>
            <w:tcW w:w="459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75,000,000.00</w:t>
            </w:r>
          </w:p>
        </w:tc>
      </w:tr>
      <w:tr>
        <w:trPr>
          <w:trHeight w:val="402" w:hRule="exact"/>
        </w:trPr>
        <w:tc>
          <w:tcPr>
            <w:tcW w:w="49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2"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49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2"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49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2"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49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取得子公司支付的现金净额</w:t>
            </w:r>
          </w:p>
        </w:tc>
        <w:tc>
          <w:tcPr>
            <w:tcW w:w="459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75,000,000.00</w:t>
            </w:r>
          </w:p>
        </w:tc>
      </w:tr>
    </w:tbl>
    <w:p>
      <w:pPr>
        <w:pStyle w:val="BodyText"/>
        <w:spacing w:line="357" w:lineRule="auto" w:before="51"/>
        <w:ind w:right="9853"/>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3）本期收到的处置子公司的现金净额" w:id="397"/>
      <w:bookmarkEnd w:id="397"/>
      <w:r>
        <w:rPr>
          <w:b w:val="0"/>
          <w:bCs w:val="0"/>
        </w:rPr>
      </w:r>
      <w:r>
        <w:rPr/>
        <w:t>（</w:t>
      </w:r>
      <w:r>
        <w:rPr>
          <w:rFonts w:ascii="Times New Roman" w:hAnsi="Times New Roman" w:cs="Times New Roman" w:eastAsia="Times New Roman" w:hint="default"/>
        </w:rPr>
        <w:t>3</w:t>
      </w:r>
      <w:r>
        <w:rPr/>
        <w:t>）本期收到的处置子公司的现金净额</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4989"/>
        <w:gridCol w:w="4580"/>
      </w:tblGrid>
      <w:tr>
        <w:trPr>
          <w:trHeight w:val="402"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金额</w:t>
            </w:r>
          </w:p>
        </w:tc>
      </w:tr>
      <w:tr>
        <w:trPr>
          <w:trHeight w:val="402"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357" w:lineRule="auto" w:before="51"/>
        <w:ind w:right="9853"/>
        <w:jc w:val="left"/>
      </w:pPr>
      <w:r>
        <w:rPr/>
        <w:t>其他说明： 无。</w:t>
      </w:r>
    </w:p>
    <w:p>
      <w:pPr>
        <w:spacing w:after="0" w:line="357" w:lineRule="auto"/>
        <w:jc w:val="left"/>
        <w:sectPr>
          <w:pgSz w:w="11910" w:h="16840"/>
          <w:pgMar w:header="747" w:footer="979"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5"/>
        <w:ind w:left="153" w:right="0"/>
        <w:jc w:val="left"/>
        <w:rPr>
          <w:b w:val="0"/>
          <w:bCs w:val="0"/>
        </w:rPr>
      </w:pPr>
      <w:bookmarkStart w:name="（4）现金和现金等价物的构成" w:id="398"/>
      <w:bookmarkEnd w:id="398"/>
      <w:r>
        <w:rPr>
          <w:b w:val="0"/>
          <w:bCs w:val="0"/>
        </w:rPr>
      </w:r>
      <w:r>
        <w:rPr/>
        <w:t>（</w:t>
      </w:r>
      <w:r>
        <w:rPr>
          <w:rFonts w:ascii="Times New Roman" w:hAnsi="Times New Roman" w:cs="Times New Roman" w:eastAsia="Times New Roman" w:hint="default"/>
        </w:rPr>
        <w:t>4</w:t>
      </w:r>
      <w:r>
        <w:rPr/>
        <w:t>）现金和现金等价物的构成</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305"/>
        <w:gridCol w:w="3069"/>
        <w:gridCol w:w="3184"/>
      </w:tblGrid>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一、现金</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320,465,466.19</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364,679,853.81</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其中：库存现金</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234,091.31</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156,926.17</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51" w:right="0"/>
              <w:jc w:val="left"/>
              <w:rPr>
                <w:rFonts w:ascii="宋体" w:hAnsi="宋体" w:cs="宋体" w:eastAsia="宋体" w:hint="default"/>
                <w:sz w:val="18"/>
                <w:szCs w:val="18"/>
              </w:rPr>
            </w:pPr>
            <w:r>
              <w:rPr>
                <w:rFonts w:ascii="宋体" w:hAnsi="宋体" w:cs="宋体" w:eastAsia="宋体" w:hint="default"/>
                <w:sz w:val="18"/>
                <w:szCs w:val="18"/>
              </w:rPr>
              <w:t>可随时用于支付的银行存款</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320,231,374.88</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364,522,927.64</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三、期末现金及现金等价物余额</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320,465,466.19</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364,679,853.81</w:t>
            </w:r>
          </w:p>
        </w:tc>
      </w:tr>
    </w:tbl>
    <w:p>
      <w:pPr>
        <w:pStyle w:val="BodyText"/>
        <w:spacing w:line="357" w:lineRule="auto" w:before="51"/>
        <w:ind w:right="9853"/>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77、所有者权益变动表项目注释" w:id="399"/>
      <w:bookmarkEnd w:id="399"/>
      <w:r>
        <w:rPr>
          <w:b w:val="0"/>
          <w:bCs w:val="0"/>
        </w:rPr>
      </w:r>
      <w:r>
        <w:rPr>
          <w:rFonts w:ascii="Times New Roman" w:hAnsi="Times New Roman" w:cs="Times New Roman" w:eastAsia="Times New Roman" w:hint="default"/>
        </w:rPr>
        <w:t>77</w:t>
      </w:r>
      <w:r>
        <w:rPr/>
        <w:t>、所有者权益变动表项目注释</w:t>
      </w:r>
      <w:r>
        <w:rPr>
          <w:b w:val="0"/>
          <w:bCs w:val="0"/>
        </w:rPr>
      </w:r>
    </w:p>
    <w:p>
      <w:pPr>
        <w:spacing w:line="240" w:lineRule="auto" w:before="8"/>
        <w:rPr>
          <w:rFonts w:ascii="宋体" w:hAnsi="宋体" w:cs="宋体" w:eastAsia="宋体" w:hint="default"/>
          <w:b/>
          <w:bCs/>
          <w:sz w:val="26"/>
          <w:szCs w:val="26"/>
        </w:rPr>
      </w:pPr>
    </w:p>
    <w:p>
      <w:pPr>
        <w:pStyle w:val="BodyText"/>
        <w:spacing w:line="338" w:lineRule="auto"/>
        <w:ind w:left="154" w:right="5372"/>
        <w:jc w:val="left"/>
      </w:pPr>
      <w:r>
        <w:rPr/>
        <w:t>说明对上年期末余额进行调整的</w:t>
      </w:r>
      <w:r>
        <w:rPr>
          <w:rFonts w:ascii="Times New Roman" w:hAnsi="Times New Roman" w:cs="Times New Roman" w:eastAsia="Times New Roman" w:hint="default"/>
        </w:rPr>
        <w:t>“</w:t>
      </w:r>
      <w:r>
        <w:rPr/>
        <w:t>其他</w:t>
      </w:r>
      <w:r>
        <w:rPr>
          <w:rFonts w:ascii="Times New Roman" w:hAnsi="Times New Roman" w:cs="Times New Roman" w:eastAsia="Times New Roman" w:hint="default"/>
        </w:rPr>
        <w:t>”</w:t>
      </w:r>
      <w:r>
        <w:rPr/>
        <w:t>项目名称及调整金额等事项： 无。</w:t>
      </w:r>
    </w:p>
    <w:p>
      <w:pPr>
        <w:spacing w:line="240" w:lineRule="auto" w:before="4"/>
        <w:rPr>
          <w:rFonts w:ascii="宋体" w:hAnsi="宋体" w:cs="宋体" w:eastAsia="宋体" w:hint="default"/>
          <w:sz w:val="21"/>
          <w:szCs w:val="21"/>
        </w:rPr>
      </w:pPr>
    </w:p>
    <w:p>
      <w:pPr>
        <w:pStyle w:val="Heading3"/>
        <w:spacing w:line="240" w:lineRule="auto"/>
        <w:ind w:right="0"/>
        <w:jc w:val="left"/>
        <w:rPr>
          <w:b w:val="0"/>
          <w:bCs w:val="0"/>
        </w:rPr>
      </w:pPr>
      <w:bookmarkStart w:name="78、所有权或使用权受到限制的资产" w:id="400"/>
      <w:bookmarkEnd w:id="400"/>
      <w:r>
        <w:rPr>
          <w:b w:val="0"/>
          <w:bCs w:val="0"/>
        </w:rPr>
      </w:r>
      <w:r>
        <w:rPr>
          <w:rFonts w:ascii="Times New Roman" w:hAnsi="Times New Roman" w:cs="Times New Roman" w:eastAsia="Times New Roman" w:hint="default"/>
        </w:rPr>
        <w:t>78</w:t>
      </w:r>
      <w:r>
        <w:rPr/>
        <w:t>、所有权或使用权受到限制的资产</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305"/>
        <w:gridCol w:w="3069"/>
        <w:gridCol w:w="3184"/>
      </w:tblGrid>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95" w:right="0"/>
              <w:jc w:val="left"/>
              <w:rPr>
                <w:rFonts w:ascii="宋体" w:hAnsi="宋体" w:cs="宋体" w:eastAsia="宋体" w:hint="default"/>
                <w:sz w:val="18"/>
                <w:szCs w:val="18"/>
              </w:rPr>
            </w:pPr>
            <w:r>
              <w:rPr>
                <w:rFonts w:ascii="宋体" w:hAnsi="宋体" w:cs="宋体" w:eastAsia="宋体" w:hint="default"/>
                <w:sz w:val="18"/>
                <w:szCs w:val="18"/>
              </w:rPr>
              <w:t>期末账面价值</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受限原因</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7,689,654.52</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保证金</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69" w:type="dxa"/>
            <w:tcBorders>
              <w:top w:val="single" w:sz="4" w:space="0" w:color="000000"/>
              <w:left w:val="single" w:sz="13" w:space="0" w:color="D2D2D2"/>
              <w:bottom w:val="single" w:sz="4" w:space="0" w:color="000000"/>
              <w:right w:val="single" w:sz="13" w:space="0" w:color="D2D2D2"/>
            </w:tcBorders>
          </w:tcPr>
          <w:p>
            <w:pPr>
              <w:pStyle w:val="TableParagraph"/>
              <w:spacing w:line="240" w:lineRule="auto" w:before="92"/>
              <w:ind w:right="8"/>
              <w:jc w:val="right"/>
              <w:rPr>
                <w:rFonts w:ascii="Times New Roman" w:hAnsi="Times New Roman" w:cs="Times New Roman" w:eastAsia="Times New Roman" w:hint="default"/>
                <w:sz w:val="18"/>
                <w:szCs w:val="18"/>
              </w:rPr>
            </w:pPr>
            <w:r>
              <w:rPr>
                <w:rFonts w:ascii="Times New Roman"/>
                <w:spacing w:val="-1"/>
                <w:sz w:val="18"/>
              </w:rPr>
              <w:t>7,689,654.52</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357" w:lineRule="auto" w:before="51"/>
        <w:ind w:right="9853"/>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79、外币货币性项目" w:id="401"/>
      <w:bookmarkEnd w:id="401"/>
      <w:r>
        <w:rPr>
          <w:b w:val="0"/>
          <w:bCs w:val="0"/>
        </w:rPr>
      </w:r>
      <w:r>
        <w:rPr>
          <w:rFonts w:ascii="Times New Roman" w:hAnsi="Times New Roman" w:cs="Times New Roman" w:eastAsia="Times New Roman" w:hint="default"/>
        </w:rPr>
        <w:t>79</w:t>
      </w:r>
      <w:r>
        <w:rPr/>
        <w:t>、外币货币性项目</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53" w:right="0"/>
        <w:jc w:val="left"/>
        <w:rPr>
          <w:b w:val="0"/>
          <w:bCs w:val="0"/>
        </w:rPr>
      </w:pPr>
      <w:bookmarkStart w:name="（1）外币货币性项目" w:id="402"/>
      <w:bookmarkEnd w:id="402"/>
      <w:r>
        <w:rPr>
          <w:b w:val="0"/>
          <w:bCs w:val="0"/>
        </w:rPr>
      </w:r>
      <w:r>
        <w:rPr/>
        <w:t>（</w:t>
      </w:r>
      <w:r>
        <w:rPr>
          <w:rFonts w:ascii="Times New Roman" w:hAnsi="Times New Roman" w:cs="Times New Roman" w:eastAsia="Times New Roman" w:hint="default"/>
        </w:rPr>
        <w:t>1</w:t>
      </w:r>
      <w:r>
        <w:rPr/>
        <w:t>）外币货币性项目</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484"/>
        <w:gridCol w:w="2305"/>
        <w:gridCol w:w="2391"/>
        <w:gridCol w:w="2389"/>
      </w:tblGrid>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12" w:right="0"/>
              <w:jc w:val="left"/>
              <w:rPr>
                <w:rFonts w:ascii="宋体" w:hAnsi="宋体" w:cs="宋体" w:eastAsia="宋体" w:hint="default"/>
                <w:sz w:val="18"/>
                <w:szCs w:val="18"/>
              </w:rPr>
            </w:pPr>
            <w:r>
              <w:rPr>
                <w:rFonts w:ascii="宋体" w:hAnsi="宋体" w:cs="宋体" w:eastAsia="宋体" w:hint="default"/>
                <w:sz w:val="18"/>
                <w:szCs w:val="18"/>
              </w:rPr>
              <w:t>期末外币余额</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折算汇率</w:t>
            </w:r>
          </w:p>
        </w:tc>
        <w:tc>
          <w:tcPr>
            <w:tcW w:w="2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9" w:right="0"/>
              <w:jc w:val="left"/>
              <w:rPr>
                <w:rFonts w:ascii="宋体" w:hAnsi="宋体" w:cs="宋体" w:eastAsia="宋体" w:hint="default"/>
                <w:sz w:val="18"/>
                <w:szCs w:val="18"/>
              </w:rPr>
            </w:pPr>
            <w:r>
              <w:rPr>
                <w:rFonts w:ascii="宋体" w:hAnsi="宋体" w:cs="宋体" w:eastAsia="宋体" w:hint="default"/>
                <w:sz w:val="18"/>
                <w:szCs w:val="18"/>
              </w:rPr>
              <w:t>期末折算人民币余额</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305" w:type="dxa"/>
            <w:tcBorders>
              <w:top w:val="single" w:sz="4" w:space="0" w:color="000000"/>
              <w:left w:val="single" w:sz="9" w:space="0" w:color="D2D2D2"/>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30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31,834,605.41</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6.53420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208,013,677.76</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230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160,338.77</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7.80230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1,251,017.81</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30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3,272,736.94</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0.83591</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2,735,713.53</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英镑</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90,580.19</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8.77920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795,221.88</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日元</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5,413,585.00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0.05788</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313,373.54</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305" w:type="dxa"/>
            <w:tcBorders>
              <w:top w:val="single" w:sz="4" w:space="0" w:color="000000"/>
              <w:left w:val="single" w:sz="9" w:space="0" w:color="D2D2D2"/>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2495"/>
        <w:gridCol w:w="2294"/>
        <w:gridCol w:w="2391"/>
        <w:gridCol w:w="2389"/>
      </w:tblGrid>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2,803,514.84</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6.53420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18,318,726.67</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英镑</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300.00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8.77920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2,633.76</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294"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7,486.50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6.53420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48,918.29</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28,047.25</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0.83591</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23,444.98</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日元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2,852,400.00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0.05788</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165,096.91</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英镑</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22,321.53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8.77920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195,965.18</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墨西哥比索</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144,000.00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0.33151</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47,737.44</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预付账款：</w:t>
            </w:r>
          </w:p>
        </w:tc>
        <w:tc>
          <w:tcPr>
            <w:tcW w:w="2294"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其中：港币</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121,451.72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0.83591</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101,522.71</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英镑</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19,032.24</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8.77920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167,087.84</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日元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308,059.00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0.05788</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17,830.45</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预收账款</w:t>
            </w:r>
            <w:r>
              <w:rPr>
                <w:rFonts w:ascii="Times New Roman" w:hAnsi="Times New Roman" w:cs="Times New Roman" w:eastAsia="Times New Roman" w:hint="default"/>
                <w:sz w:val="18"/>
                <w:szCs w:val="18"/>
              </w:rPr>
              <w:t>:</w:t>
            </w:r>
          </w:p>
        </w:tc>
        <w:tc>
          <w:tcPr>
            <w:tcW w:w="2294"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134,425.98</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6.53420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878,366.24</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294"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40,932.33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6.53420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267,460.03</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294"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133,994.51</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6.53420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875,546.93</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英镑</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6,474.57</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8.77920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56,841.54</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49,515.94</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0.83591</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41,390.87</w:t>
            </w:r>
          </w:p>
        </w:tc>
      </w:tr>
    </w:tbl>
    <w:p>
      <w:pPr>
        <w:pStyle w:val="BodyText"/>
        <w:spacing w:line="357" w:lineRule="auto" w:before="51"/>
        <w:ind w:right="9853"/>
        <w:jc w:val="left"/>
      </w:pPr>
      <w:r>
        <w:rPr/>
        <w:t>其他说明： 无。</w:t>
      </w:r>
    </w:p>
    <w:p>
      <w:pPr>
        <w:spacing w:line="240" w:lineRule="auto" w:before="2"/>
        <w:rPr>
          <w:rFonts w:ascii="宋体" w:hAnsi="宋体" w:cs="宋体" w:eastAsia="宋体" w:hint="default"/>
          <w:sz w:val="20"/>
          <w:szCs w:val="20"/>
        </w:rPr>
      </w:pPr>
    </w:p>
    <w:p>
      <w:pPr>
        <w:pStyle w:val="Heading3"/>
        <w:spacing w:line="259" w:lineRule="auto"/>
        <w:ind w:right="0"/>
        <w:jc w:val="left"/>
        <w:rPr>
          <w:b w:val="0"/>
          <w:bCs w:val="0"/>
        </w:rPr>
      </w:pPr>
      <w:bookmarkStart w:name="（2）境外经营实体说明，包括对于重要的境外经营实体，应披露其境外主要经营地、记账" w:id="403"/>
      <w:bookmarkEnd w:id="403"/>
      <w:r>
        <w:rPr>
          <w:b w:val="0"/>
          <w:bCs w:val="0"/>
        </w:rPr>
      </w:r>
      <w:r>
        <w:rPr/>
        <w:t>（</w:t>
      </w:r>
      <w:r>
        <w:rPr>
          <w:rFonts w:ascii="Times New Roman" w:hAnsi="Times New Roman" w:cs="Times New Roman" w:eastAsia="Times New Roman" w:hint="default"/>
        </w:rPr>
        <w:t>2</w:t>
      </w:r>
      <w:r>
        <w:rPr/>
        <w:t>）境外经营实体说明，包括对于重要的境外经营实体，应披露其境外主要经营地、记账本位币及选择</w:t>
      </w:r>
      <w:r>
        <w:rPr>
          <w:spacing w:val="-74"/>
        </w:rPr>
        <w:t> </w:t>
      </w:r>
      <w:r>
        <w:rPr>
          <w:spacing w:val="-74"/>
        </w:rPr>
      </w:r>
      <w:r>
        <w:rPr/>
        <w:t>依据，记账本位币发生变化的还应披露原因。</w:t>
      </w:r>
      <w:r>
        <w:rPr>
          <w:b w:val="0"/>
          <w:bCs w:val="0"/>
        </w:rPr>
      </w:r>
    </w:p>
    <w:p>
      <w:pPr>
        <w:spacing w:line="240" w:lineRule="auto" w:before="7"/>
        <w:rPr>
          <w:rFonts w:ascii="宋体" w:hAnsi="宋体" w:cs="宋体" w:eastAsia="宋体" w:hint="default"/>
          <w:b/>
          <w:bCs/>
          <w:sz w:val="26"/>
          <w:szCs w:val="26"/>
        </w:rPr>
      </w:pPr>
    </w:p>
    <w:p>
      <w:pPr>
        <w:pStyle w:val="BodyText"/>
        <w:spacing w:line="328"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w:t>
      </w:r>
      <w:r>
        <w:rPr>
          <w:spacing w:val="-2"/>
        </w:rPr>
        <w:t>本公司属下有四家境外实体，其中一家为全资子公司香港奥拓，注册地香港；另三家均为香港奥拓之全资子公司，注册地分</w:t>
      </w:r>
      <w:r>
        <w:rPr>
          <w:spacing w:val="-66"/>
        </w:rPr>
        <w:t> </w:t>
      </w:r>
      <w:r>
        <w:rPr>
          <w:spacing w:val="-66"/>
        </w:rPr>
      </w:r>
      <w:r>
        <w:rPr/>
        <w:t>别为美国、英国和日本。</w:t>
      </w:r>
    </w:p>
    <w:p>
      <w:pPr>
        <w:spacing w:line="240" w:lineRule="auto" w:before="10"/>
        <w:rPr>
          <w:rFonts w:ascii="宋体" w:hAnsi="宋体" w:cs="宋体" w:eastAsia="宋体" w:hint="default"/>
          <w:sz w:val="21"/>
          <w:szCs w:val="21"/>
        </w:rPr>
      </w:pPr>
    </w:p>
    <w:p>
      <w:pPr>
        <w:pStyle w:val="Heading3"/>
        <w:spacing w:line="240" w:lineRule="auto"/>
        <w:ind w:left="153" w:right="0"/>
        <w:jc w:val="left"/>
        <w:rPr>
          <w:b w:val="0"/>
          <w:bCs w:val="0"/>
        </w:rPr>
      </w:pPr>
      <w:bookmarkStart w:name="80、套期" w:id="404"/>
      <w:bookmarkEnd w:id="404"/>
      <w:r>
        <w:rPr>
          <w:b w:val="0"/>
          <w:bCs w:val="0"/>
        </w:rPr>
      </w:r>
      <w:r>
        <w:rPr>
          <w:rFonts w:ascii="Times New Roman" w:hAnsi="Times New Roman" w:cs="Times New Roman" w:eastAsia="Times New Roman" w:hint="default"/>
        </w:rPr>
        <w:t>80</w:t>
      </w:r>
      <w:r>
        <w:rPr/>
        <w:t>、套期</w:t>
      </w:r>
      <w:r>
        <w:rPr>
          <w:b w:val="0"/>
          <w:bCs w:val="0"/>
        </w:rPr>
      </w:r>
    </w:p>
    <w:p>
      <w:pPr>
        <w:spacing w:line="240" w:lineRule="auto" w:before="9"/>
        <w:rPr>
          <w:rFonts w:ascii="宋体" w:hAnsi="宋体" w:cs="宋体" w:eastAsia="宋体" w:hint="default"/>
          <w:b/>
          <w:bCs/>
          <w:sz w:val="26"/>
          <w:szCs w:val="26"/>
        </w:rPr>
      </w:pPr>
    </w:p>
    <w:p>
      <w:pPr>
        <w:pStyle w:val="BodyText"/>
        <w:spacing w:line="357" w:lineRule="auto"/>
        <w:ind w:right="4633"/>
        <w:jc w:val="left"/>
      </w:pPr>
      <w:r>
        <w:rPr/>
        <w:t>按照套期类别披露套期项目及相关套期工具、被套期风险的定性和定量信息： 无。</w:t>
      </w:r>
    </w:p>
    <w:p>
      <w:pPr>
        <w:spacing w:line="240" w:lineRule="auto" w:before="3"/>
        <w:rPr>
          <w:rFonts w:ascii="宋体" w:hAnsi="宋体" w:cs="宋体" w:eastAsia="宋体" w:hint="default"/>
          <w:sz w:val="20"/>
          <w:szCs w:val="20"/>
        </w:rPr>
      </w:pPr>
    </w:p>
    <w:p>
      <w:pPr>
        <w:pStyle w:val="Heading3"/>
        <w:spacing w:line="240" w:lineRule="auto"/>
        <w:ind w:right="0"/>
        <w:jc w:val="left"/>
        <w:rPr>
          <w:b w:val="0"/>
          <w:bCs w:val="0"/>
        </w:rPr>
      </w:pPr>
      <w:bookmarkStart w:name="81、其他" w:id="405"/>
      <w:bookmarkEnd w:id="405"/>
      <w:r>
        <w:rPr>
          <w:b w:val="0"/>
          <w:bCs w:val="0"/>
        </w:rPr>
      </w:r>
      <w:r>
        <w:rPr>
          <w:rFonts w:ascii="Times New Roman" w:hAnsi="Times New Roman" w:cs="Times New Roman" w:eastAsia="Times New Roman" w:hint="default"/>
        </w:rPr>
        <w:t>81</w:t>
      </w:r>
      <w:r>
        <w:rPr/>
        <w:t>、其他</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154" w:right="0"/>
        <w:jc w:val="left"/>
      </w:pPr>
      <w:r>
        <w:rPr/>
        <w:t>无。</w:t>
      </w:r>
    </w:p>
    <w:p>
      <w:pPr>
        <w:spacing w:after="0" w:line="240" w:lineRule="auto"/>
        <w:jc w:val="left"/>
        <w:sectPr>
          <w:pgSz w:w="11910" w:h="16840"/>
          <w:pgMar w:header="747" w:footer="979" w:top="1060" w:bottom="1160" w:left="980" w:right="0"/>
        </w:sectPr>
      </w:pPr>
    </w:p>
    <w:p>
      <w:pPr>
        <w:spacing w:line="240" w:lineRule="auto" w:before="9"/>
        <w:rPr>
          <w:rFonts w:ascii="宋体" w:hAnsi="宋体" w:cs="宋体" w:eastAsia="宋体" w:hint="default"/>
          <w:sz w:val="23"/>
          <w:szCs w:val="23"/>
        </w:rPr>
      </w:pPr>
    </w:p>
    <w:p>
      <w:pPr>
        <w:pStyle w:val="Heading2"/>
        <w:spacing w:line="240" w:lineRule="auto" w:before="26"/>
        <w:ind w:right="0"/>
        <w:jc w:val="left"/>
        <w:rPr>
          <w:b w:val="0"/>
          <w:bCs w:val="0"/>
        </w:rPr>
      </w:pPr>
      <w:bookmarkStart w:name="八、合并范围的变更" w:id="406"/>
      <w:bookmarkEnd w:id="406"/>
      <w:r>
        <w:rPr>
          <w:b w:val="0"/>
          <w:bCs w:val="0"/>
        </w:rPr>
      </w:r>
      <w:r>
        <w:rPr/>
        <w:t>八、合并范围的变更</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53" w:right="0"/>
        <w:jc w:val="left"/>
        <w:rPr>
          <w:b w:val="0"/>
          <w:bCs w:val="0"/>
        </w:rPr>
      </w:pPr>
      <w:bookmarkStart w:name="1、非同一控制下企业合并" w:id="407"/>
      <w:bookmarkEnd w:id="407"/>
      <w:r>
        <w:rPr>
          <w:b w:val="0"/>
          <w:bCs w:val="0"/>
        </w:rPr>
      </w:r>
      <w:r>
        <w:rPr>
          <w:rFonts w:ascii="Times New Roman" w:hAnsi="Times New Roman" w:cs="Times New Roman" w:eastAsia="Times New Roman" w:hint="default"/>
        </w:rPr>
        <w:t>1</w:t>
      </w:r>
      <w:r>
        <w:rPr/>
        <w:t>、非同一控制下企业合并</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left="153" w:right="0"/>
        <w:jc w:val="left"/>
        <w:rPr>
          <w:b w:val="0"/>
          <w:bCs w:val="0"/>
        </w:rPr>
      </w:pPr>
      <w:bookmarkStart w:name="（1）本期发生的非同一控制下企业合并" w:id="408"/>
      <w:bookmarkEnd w:id="408"/>
      <w:r>
        <w:rPr>
          <w:b w:val="0"/>
          <w:bCs w:val="0"/>
        </w:rPr>
      </w:r>
      <w:r>
        <w:rPr/>
        <w:t>（</w:t>
      </w:r>
      <w:r>
        <w:rPr>
          <w:rFonts w:ascii="Times New Roman" w:hAnsi="Times New Roman" w:cs="Times New Roman" w:eastAsia="Times New Roman" w:hint="default"/>
        </w:rPr>
        <w:t>1</w:t>
      </w:r>
      <w:r>
        <w:rPr/>
        <w:t>）本期发生的非同一控制下企业合并</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064"/>
        <w:gridCol w:w="1064"/>
        <w:gridCol w:w="1063"/>
        <w:gridCol w:w="1065"/>
        <w:gridCol w:w="1064"/>
        <w:gridCol w:w="1063"/>
        <w:gridCol w:w="1062"/>
        <w:gridCol w:w="1062"/>
        <w:gridCol w:w="1051"/>
      </w:tblGrid>
      <w:tr>
        <w:trPr>
          <w:trHeight w:val="1026"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435" w:right="76" w:hanging="360"/>
              <w:jc w:val="left"/>
              <w:rPr>
                <w:rFonts w:ascii="宋体" w:hAnsi="宋体" w:cs="宋体" w:eastAsia="宋体" w:hint="default"/>
                <w:sz w:val="18"/>
                <w:szCs w:val="18"/>
              </w:rPr>
            </w:pPr>
            <w:r>
              <w:rPr>
                <w:rFonts w:ascii="宋体" w:hAnsi="宋体" w:cs="宋体" w:eastAsia="宋体" w:hint="default"/>
                <w:sz w:val="18"/>
                <w:szCs w:val="18"/>
              </w:rPr>
              <w:t>被购买方名 称</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436" w:right="77" w:hanging="360"/>
              <w:jc w:val="left"/>
              <w:rPr>
                <w:rFonts w:ascii="宋体" w:hAnsi="宋体" w:cs="宋体" w:eastAsia="宋体" w:hint="default"/>
                <w:sz w:val="18"/>
                <w:szCs w:val="18"/>
              </w:rPr>
            </w:pPr>
            <w:r>
              <w:rPr>
                <w:rFonts w:ascii="宋体" w:hAnsi="宋体" w:cs="宋体" w:eastAsia="宋体" w:hint="default"/>
                <w:sz w:val="18"/>
                <w:szCs w:val="18"/>
              </w:rPr>
              <w:t>股权取得时 点</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436" w:right="74" w:hanging="360"/>
              <w:jc w:val="left"/>
              <w:rPr>
                <w:rFonts w:ascii="宋体" w:hAnsi="宋体" w:cs="宋体" w:eastAsia="宋体" w:hint="default"/>
                <w:sz w:val="18"/>
                <w:szCs w:val="18"/>
              </w:rPr>
            </w:pPr>
            <w:r>
              <w:rPr>
                <w:rFonts w:ascii="宋体" w:hAnsi="宋体" w:cs="宋体" w:eastAsia="宋体" w:hint="default"/>
                <w:sz w:val="18"/>
                <w:szCs w:val="18"/>
              </w:rPr>
              <w:t>股权取得成 本</w:t>
            </w:r>
          </w:p>
        </w:tc>
        <w:tc>
          <w:tcPr>
            <w:tcW w:w="10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436" w:right="76" w:hanging="360"/>
              <w:jc w:val="left"/>
              <w:rPr>
                <w:rFonts w:ascii="宋体" w:hAnsi="宋体" w:cs="宋体" w:eastAsia="宋体" w:hint="default"/>
                <w:sz w:val="18"/>
                <w:szCs w:val="18"/>
              </w:rPr>
            </w:pPr>
            <w:r>
              <w:rPr>
                <w:rFonts w:ascii="宋体" w:hAnsi="宋体" w:cs="宋体" w:eastAsia="宋体" w:hint="default"/>
                <w:sz w:val="18"/>
                <w:szCs w:val="18"/>
              </w:rPr>
              <w:t>股权取得比 例</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436" w:right="77" w:hanging="360"/>
              <w:jc w:val="left"/>
              <w:rPr>
                <w:rFonts w:ascii="宋体" w:hAnsi="宋体" w:cs="宋体" w:eastAsia="宋体" w:hint="default"/>
                <w:sz w:val="18"/>
                <w:szCs w:val="18"/>
              </w:rPr>
            </w:pPr>
            <w:r>
              <w:rPr>
                <w:rFonts w:ascii="宋体" w:hAnsi="宋体" w:cs="宋体" w:eastAsia="宋体" w:hint="default"/>
                <w:sz w:val="18"/>
                <w:szCs w:val="18"/>
              </w:rPr>
              <w:t>股权取得方 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56" w:right="0"/>
              <w:jc w:val="left"/>
              <w:rPr>
                <w:rFonts w:ascii="宋体" w:hAnsi="宋体" w:cs="宋体" w:eastAsia="宋体" w:hint="default"/>
                <w:sz w:val="18"/>
                <w:szCs w:val="18"/>
              </w:rPr>
            </w:pPr>
            <w:r>
              <w:rPr>
                <w:rFonts w:ascii="宋体" w:hAnsi="宋体" w:cs="宋体" w:eastAsia="宋体" w:hint="default"/>
                <w:sz w:val="18"/>
                <w:szCs w:val="18"/>
              </w:rPr>
              <w:t>购买日</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55" w:right="75" w:hanging="180"/>
              <w:jc w:val="left"/>
              <w:rPr>
                <w:rFonts w:ascii="宋体" w:hAnsi="宋体" w:cs="宋体" w:eastAsia="宋体" w:hint="default"/>
                <w:sz w:val="18"/>
                <w:szCs w:val="18"/>
              </w:rPr>
            </w:pPr>
            <w:r>
              <w:rPr>
                <w:rFonts w:ascii="宋体" w:hAnsi="宋体" w:cs="宋体" w:eastAsia="宋体" w:hint="default"/>
                <w:sz w:val="18"/>
                <w:szCs w:val="18"/>
              </w:rPr>
              <w:t>购买日的确 定依据</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75" w:right="74"/>
              <w:jc w:val="center"/>
              <w:rPr>
                <w:rFonts w:ascii="宋体" w:hAnsi="宋体" w:cs="宋体" w:eastAsia="宋体" w:hint="default"/>
                <w:sz w:val="18"/>
                <w:szCs w:val="18"/>
              </w:rPr>
            </w:pPr>
            <w:r>
              <w:rPr>
                <w:rFonts w:ascii="宋体" w:hAnsi="宋体" w:cs="宋体" w:eastAsia="宋体" w:hint="default"/>
                <w:sz w:val="18"/>
                <w:szCs w:val="18"/>
              </w:rPr>
              <w:t>购买日至期 末被购买方 的收入</w:t>
            </w:r>
          </w:p>
        </w:tc>
        <w:tc>
          <w:tcPr>
            <w:tcW w:w="10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75" w:right="63"/>
              <w:jc w:val="both"/>
              <w:rPr>
                <w:rFonts w:ascii="宋体" w:hAnsi="宋体" w:cs="宋体" w:eastAsia="宋体" w:hint="default"/>
                <w:sz w:val="18"/>
                <w:szCs w:val="18"/>
              </w:rPr>
            </w:pPr>
            <w:r>
              <w:rPr>
                <w:rFonts w:ascii="宋体" w:hAnsi="宋体" w:cs="宋体" w:eastAsia="宋体" w:hint="default"/>
                <w:sz w:val="18"/>
                <w:szCs w:val="18"/>
              </w:rPr>
              <w:t>购买日至期 末被购买方 的净利润</w:t>
            </w:r>
          </w:p>
        </w:tc>
      </w:tr>
    </w:tbl>
    <w:p>
      <w:pPr>
        <w:pStyle w:val="BodyText"/>
        <w:spacing w:line="357" w:lineRule="auto" w:before="51"/>
        <w:ind w:right="9853"/>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2）合并成本及商誉" w:id="409"/>
      <w:bookmarkEnd w:id="409"/>
      <w:r>
        <w:rPr>
          <w:b w:val="0"/>
          <w:bCs w:val="0"/>
        </w:rPr>
      </w:r>
      <w:r>
        <w:rPr/>
        <w:t>（</w:t>
      </w:r>
      <w:r>
        <w:rPr>
          <w:rFonts w:ascii="Times New Roman" w:hAnsi="Times New Roman" w:cs="Times New Roman" w:eastAsia="Times New Roman" w:hint="default"/>
        </w:rPr>
        <w:t>2</w:t>
      </w:r>
      <w:r>
        <w:rPr/>
        <w:t>）合并成本及商誉</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8"/>
        <w:rPr>
          <w:rFonts w:ascii="宋体" w:hAnsi="宋体" w:cs="宋体" w:eastAsia="宋体" w:hint="default"/>
          <w:sz w:val="7"/>
          <w:szCs w:val="7"/>
        </w:rPr>
      </w:pPr>
    </w:p>
    <w:p>
      <w:pPr>
        <w:spacing w:line="421" w:lineRule="exact"/>
        <w:ind w:left="149"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8.95pt;height:21.1pt;mso-position-horizontal-relative:char;mso-position-vertical-relative:line" coordorigin="0,0" coordsize="9579,422">
            <v:group style="position:absolute;left:21;top:14;width:2;height:393" coordorigin="21,14" coordsize="2,393">
              <v:shape style="position:absolute;left:21;top:14;width:2;height:393" coordorigin="21,14" coordsize="0,393" path="m21,14l21,407e" filled="false" stroked="true" strokeweight="1.140pt" strokecolor="#d2d2d2">
                <v:path arrowok="t"/>
              </v:shape>
            </v:group>
            <v:group style="position:absolute;left:4773;top:14;width:2;height:393" coordorigin="4773,14" coordsize="2,393">
              <v:shape style="position:absolute;left:4773;top:14;width:2;height:393" coordorigin="4773,14" coordsize="0,393" path="m4773,14l4773,407e" filled="false" stroked="true" strokeweight="1.140pt" strokecolor="#d2d2d2">
                <v:path arrowok="t"/>
              </v:shape>
            </v:group>
            <v:group style="position:absolute;left:32;top:14;width:4729;height:393" coordorigin="32,14" coordsize="4729,393">
              <v:shape style="position:absolute;left:32;top:14;width:4729;height:393" coordorigin="32,14" coordsize="4729,393" path="m32,407l4761,407,4761,14,32,14,32,407xe" filled="true" fillcolor="#d2d2d2" stroked="false">
                <v:path arrowok="t"/>
                <v:fill type="solid"/>
              </v:shape>
            </v:group>
            <v:group style="position:absolute;left:4806;top:14;width:2;height:393" coordorigin="4806,14" coordsize="2,393">
              <v:shape style="position:absolute;left:4806;top:14;width:2;height:393" coordorigin="4806,14" coordsize="0,393" path="m4806,14l4806,407e" filled="false" stroked="true" strokeweight="1.140pt" strokecolor="#e0ffff">
                <v:path arrowok="t"/>
              </v:shape>
            </v:group>
            <v:group style="position:absolute;left:9557;top:14;width:2;height:393" coordorigin="9557,14" coordsize="2,393">
              <v:shape style="position:absolute;left:9557;top:14;width:2;height:393" coordorigin="9557,14" coordsize="0,393" path="m9557,14l9557,407e" filled="false" stroked="true" strokeweight="1.140pt" strokecolor="#e0ffff">
                <v:path arrowok="t"/>
              </v:shape>
            </v:group>
            <v:group style="position:absolute;left:4818;top:14;width:4729;height:393" coordorigin="4818,14" coordsize="4729,393">
              <v:shape style="position:absolute;left:4818;top:14;width:4729;height:393" coordorigin="4818,14" coordsize="4729,393" path="m4818,407l9546,407,9546,14,4818,14,4818,407xe" filled="true" fillcolor="#e0ffff" stroked="false">
                <v:path arrowok="t"/>
                <v:fill type="solid"/>
              </v:shape>
            </v:group>
            <v:group style="position:absolute;left:10;top:10;width:4776;height:2" coordorigin="10,10" coordsize="4776,2">
              <v:shape style="position:absolute;left:10;top:10;width:4776;height:2" coordorigin="10,10" coordsize="4776,0" path="m10,10l4785,10e" filled="false" stroked="true" strokeweight=".48pt" strokecolor="#000000">
                <v:path arrowok="t"/>
              </v:shape>
            </v:group>
            <v:group style="position:absolute;left:4795;top:10;width:4774;height:2" coordorigin="4795,10" coordsize="4774,2">
              <v:shape style="position:absolute;left:4795;top:10;width:4774;height:2" coordorigin="4795,10" coordsize="4774,0" path="m4795,10l9569,10e" filled="false" stroked="true" strokeweight=".48pt" strokecolor="#000000">
                <v:path arrowok="t"/>
              </v:shape>
            </v:group>
            <v:group style="position:absolute;left:5;top:5;width:2;height:412" coordorigin="5,5" coordsize="2,412">
              <v:shape style="position:absolute;left:5;top:5;width:2;height:412" coordorigin="5,5" coordsize="0,412" path="m5,5l5,416e" filled="false" stroked="true" strokeweight=".48pt" strokecolor="#000000">
                <v:path arrowok="t"/>
              </v:shape>
            </v:group>
            <v:group style="position:absolute;left:10;top:412;width:4776;height:2" coordorigin="10,412" coordsize="4776,2">
              <v:shape style="position:absolute;left:10;top:412;width:4776;height:2" coordorigin="10,412" coordsize="4776,0" path="m10,412l4785,412e" filled="false" stroked="true" strokeweight=".48pt" strokecolor="#000000">
                <v:path arrowok="t"/>
              </v:shape>
            </v:group>
            <v:group style="position:absolute;left:4790;top:5;width:2;height:412" coordorigin="4790,5" coordsize="2,412">
              <v:shape style="position:absolute;left:4790;top:5;width:2;height:412" coordorigin="4790,5" coordsize="0,412" path="m4790,5l4790,416e" filled="false" stroked="true" strokeweight=".48pt" strokecolor="#000000">
                <v:path arrowok="t"/>
              </v:shape>
            </v:group>
            <v:group style="position:absolute;left:4795;top:412;width:4774;height:2" coordorigin="4795,412" coordsize="4774,2">
              <v:shape style="position:absolute;left:4795;top:412;width:4774;height:2" coordorigin="4795,412" coordsize="4774,0" path="m4795,412l9569,412e" filled="false" stroked="true" strokeweight=".48pt" strokecolor="#000000">
                <v:path arrowok="t"/>
              </v:shape>
            </v:group>
            <v:group style="position:absolute;left:9574;top:5;width:2;height:412" coordorigin="9574,5" coordsize="2,412">
              <v:shape style="position:absolute;left:9574;top:5;width:2;height:412" coordorigin="9574,5" coordsize="0,412" path="m9574,5l9574,416e" filled="false" stroked="true" strokeweight=".48pt" strokecolor="#000000">
                <v:path arrowok="t"/>
              </v:shape>
              <v:shape style="position:absolute;left:5;top:10;width:4785;height:402" type="#_x0000_t202" filled="false" stroked="false">
                <v:textbox inset="0,0,0,0">
                  <w:txbxContent>
                    <w:p>
                      <w:pPr>
                        <w:spacing w:before="56"/>
                        <w:ind w:left="0" w:right="0" w:firstLine="0"/>
                        <w:jc w:val="center"/>
                        <w:rPr>
                          <w:rFonts w:ascii="宋体" w:hAnsi="宋体" w:cs="宋体" w:eastAsia="宋体" w:hint="default"/>
                          <w:sz w:val="18"/>
                          <w:szCs w:val="18"/>
                        </w:rPr>
                      </w:pPr>
                      <w:r>
                        <w:rPr>
                          <w:rFonts w:ascii="宋体" w:hAnsi="宋体" w:cs="宋体" w:eastAsia="宋体" w:hint="default"/>
                          <w:sz w:val="18"/>
                          <w:szCs w:val="18"/>
                        </w:rPr>
                        <w:t>合并成本</w:t>
                      </w:r>
                    </w:p>
                  </w:txbxContent>
                </v:textbox>
                <w10:wrap type="none"/>
              </v:shape>
            </v:group>
          </v:group>
        </w:pict>
      </w:r>
      <w:r>
        <w:rPr>
          <w:rFonts w:ascii="宋体" w:hAnsi="宋体" w:cs="宋体" w:eastAsia="宋体" w:hint="default"/>
          <w:position w:val="-7"/>
          <w:sz w:val="20"/>
          <w:szCs w:val="20"/>
        </w:rPr>
      </w:r>
    </w:p>
    <w:p>
      <w:pPr>
        <w:pStyle w:val="BodyText"/>
        <w:spacing w:line="357" w:lineRule="auto" w:before="46"/>
        <w:ind w:left="154" w:right="6072"/>
        <w:jc w:val="left"/>
      </w:pPr>
      <w:r>
        <w:rPr/>
        <w:t>合并成本公允价值的确定方法、或有对价及其变动的说明： 无。</w:t>
      </w:r>
    </w:p>
    <w:p>
      <w:pPr>
        <w:pStyle w:val="BodyText"/>
        <w:spacing w:line="357" w:lineRule="auto" w:before="29"/>
        <w:ind w:left="154" w:right="8592"/>
        <w:jc w:val="left"/>
      </w:pPr>
      <w:r>
        <w:rPr/>
        <w:t>大额商誉形成的主要原因： 无。</w:t>
      </w:r>
    </w:p>
    <w:p>
      <w:pPr>
        <w:pStyle w:val="BodyText"/>
        <w:spacing w:line="357" w:lineRule="auto" w:before="29"/>
        <w:ind w:right="9853"/>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3）被购买方于购买日可辨认资产、负债" w:id="410"/>
      <w:bookmarkEnd w:id="410"/>
      <w:r>
        <w:rPr>
          <w:b w:val="0"/>
          <w:bCs w:val="0"/>
        </w:rPr>
      </w:r>
      <w:r>
        <w:rPr/>
        <w:t>（</w:t>
      </w:r>
      <w:r>
        <w:rPr>
          <w:rFonts w:ascii="Times New Roman" w:hAnsi="Times New Roman" w:cs="Times New Roman" w:eastAsia="Times New Roman" w:hint="default"/>
        </w:rPr>
        <w:t>3</w:t>
      </w:r>
      <w:r>
        <w:rPr/>
        <w:t>）被购买方于购买日可辨认资产、负债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79"/>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6381" w:type="dxa"/>
            <w:gridSpan w:val="2"/>
            <w:tcBorders>
              <w:top w:val="single" w:sz="4" w:space="0" w:color="000000"/>
              <w:left w:val="single" w:sz="13" w:space="0" w:color="D2D2D2"/>
              <w:bottom w:val="single" w:sz="4" w:space="0" w:color="000000"/>
              <w:right w:val="single" w:sz="4" w:space="0" w:color="000000"/>
            </w:tcBorders>
            <w:shd w:val="clear" w:color="auto" w:fill="E0FFFF"/>
          </w:tcPr>
          <w:p>
            <w:pP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72" w:right="0"/>
              <w:jc w:val="left"/>
              <w:rPr>
                <w:rFonts w:ascii="宋体" w:hAnsi="宋体" w:cs="宋体" w:eastAsia="宋体" w:hint="default"/>
                <w:sz w:val="18"/>
                <w:szCs w:val="18"/>
              </w:rPr>
            </w:pPr>
            <w:r>
              <w:rPr>
                <w:rFonts w:ascii="宋体" w:hAnsi="宋体" w:cs="宋体" w:eastAsia="宋体" w:hint="default"/>
                <w:sz w:val="18"/>
                <w:szCs w:val="18"/>
              </w:rPr>
              <w:t>购买日公允价值</w:t>
            </w:r>
          </w:p>
        </w:tc>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60" w:right="0"/>
              <w:jc w:val="left"/>
              <w:rPr>
                <w:rFonts w:ascii="宋体" w:hAnsi="宋体" w:cs="宋体" w:eastAsia="宋体" w:hint="default"/>
                <w:sz w:val="18"/>
                <w:szCs w:val="18"/>
              </w:rPr>
            </w:pPr>
            <w:r>
              <w:rPr>
                <w:rFonts w:ascii="宋体" w:hAnsi="宋体" w:cs="宋体" w:eastAsia="宋体" w:hint="default"/>
                <w:sz w:val="18"/>
                <w:szCs w:val="18"/>
              </w:rPr>
              <w:t>购买日账面价值</w:t>
            </w:r>
          </w:p>
        </w:tc>
      </w:tr>
    </w:tbl>
    <w:p>
      <w:pPr>
        <w:pStyle w:val="BodyText"/>
        <w:spacing w:line="357" w:lineRule="auto" w:before="51"/>
        <w:ind w:left="154" w:right="7512"/>
        <w:jc w:val="left"/>
      </w:pPr>
      <w:r>
        <w:rPr/>
        <w:t>可辨认资产、负债公允价值的确定方法： 无。 企业合并中承担的被购买方的或有负债： 无。</w:t>
      </w:r>
    </w:p>
    <w:p>
      <w:pPr>
        <w:pStyle w:val="BodyText"/>
        <w:spacing w:line="357" w:lineRule="auto" w:before="29"/>
        <w:ind w:right="9853"/>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4）购买日之前持有的股权按照公允价值重新计量产生的利得或损失" w:id="411"/>
      <w:bookmarkEnd w:id="411"/>
      <w:r>
        <w:rPr>
          <w:b w:val="0"/>
          <w:bCs w:val="0"/>
        </w:rPr>
      </w:r>
      <w:r>
        <w:rPr/>
        <w:t>（</w:t>
      </w:r>
      <w:r>
        <w:rPr>
          <w:rFonts w:ascii="Times New Roman" w:hAnsi="Times New Roman" w:cs="Times New Roman" w:eastAsia="Times New Roman" w:hint="default"/>
        </w:rPr>
        <w:t>4</w:t>
      </w:r>
      <w:r>
        <w:rPr/>
        <w:t>）购买日之前持有的股权按照公允价值重新计量产生的利得或损失</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154" w:right="0"/>
        <w:jc w:val="left"/>
      </w:pPr>
      <w:r>
        <w:rPr/>
        <w:t>是否存在通过多次交易分步实现企业合并且在报告期内取得控制权的交易</w:t>
      </w:r>
    </w:p>
    <w:p>
      <w:pPr>
        <w:pStyle w:val="BodyText"/>
        <w:spacing w:line="240" w:lineRule="auto" w:before="116"/>
        <w:ind w:left="154" w:right="0"/>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否</w:t>
      </w:r>
    </w:p>
    <w:p>
      <w:pPr>
        <w:spacing w:after="0" w:line="240" w:lineRule="auto"/>
        <w:jc w:val="left"/>
        <w:sectPr>
          <w:pgSz w:w="11910" w:h="16840"/>
          <w:pgMar w:header="747" w:footer="979" w:top="1060" w:bottom="1160" w:left="980" w:right="0"/>
        </w:sectPr>
      </w:pPr>
    </w:p>
    <w:p>
      <w:pPr>
        <w:spacing w:line="240" w:lineRule="auto" w:before="9"/>
        <w:rPr>
          <w:rFonts w:ascii="宋体" w:hAnsi="宋体" w:cs="宋体" w:eastAsia="宋体" w:hint="default"/>
          <w:sz w:val="24"/>
          <w:szCs w:val="24"/>
        </w:rPr>
      </w:pPr>
    </w:p>
    <w:p>
      <w:pPr>
        <w:pStyle w:val="Heading3"/>
        <w:spacing w:line="240" w:lineRule="auto" w:before="35"/>
        <w:ind w:left="153" w:right="0"/>
        <w:jc w:val="left"/>
        <w:rPr>
          <w:b w:val="0"/>
          <w:bCs w:val="0"/>
        </w:rPr>
      </w:pPr>
      <w:bookmarkStart w:name="（5）购买日或合并当期期末无法合理确定合并对价或被购买方可辨认资产、负债公允价值" w:id="412"/>
      <w:bookmarkEnd w:id="412"/>
      <w:r>
        <w:rPr>
          <w:b w:val="0"/>
          <w:bCs w:val="0"/>
        </w:rPr>
      </w:r>
      <w:r>
        <w:rPr/>
        <w:t>（</w:t>
      </w:r>
      <w:r>
        <w:rPr>
          <w:rFonts w:ascii="Times New Roman" w:hAnsi="Times New Roman" w:cs="Times New Roman" w:eastAsia="Times New Roman" w:hint="default"/>
        </w:rPr>
        <w:t>5</w:t>
      </w:r>
      <w:r>
        <w:rPr/>
        <w:t>）购买日或合并当期期末无法合理确定合并对价或被购买方可辨认资产、负债公允价值的相关说明</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6）其他说明" w:id="413"/>
      <w:bookmarkEnd w:id="413"/>
      <w:r>
        <w:rPr>
          <w:b w:val="0"/>
          <w:bCs w:val="0"/>
        </w:rPr>
      </w:r>
      <w:r>
        <w:rPr/>
        <w:t>（</w:t>
      </w:r>
      <w:r>
        <w:rPr>
          <w:rFonts w:ascii="Times New Roman" w:hAnsi="Times New Roman" w:cs="Times New Roman" w:eastAsia="Times New Roman" w:hint="default"/>
        </w:rPr>
        <w:t>6</w:t>
      </w:r>
      <w:r>
        <w:rPr/>
        <w:t>）其他说明</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154" w:right="0"/>
        <w:jc w:val="left"/>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2、同一控制下企业合并" w:id="414"/>
      <w:bookmarkEnd w:id="414"/>
      <w:r>
        <w:rPr>
          <w:b w:val="0"/>
          <w:bCs w:val="0"/>
        </w:rPr>
      </w:r>
      <w:r>
        <w:rPr>
          <w:rFonts w:ascii="Times New Roman" w:hAnsi="Times New Roman" w:cs="Times New Roman" w:eastAsia="Times New Roman" w:hint="default"/>
        </w:rPr>
        <w:t>2</w:t>
      </w:r>
      <w:r>
        <w:rPr/>
        <w:t>、同一控制下企业合并</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本期发生的同一控制下企业合并" w:id="415"/>
      <w:bookmarkEnd w:id="415"/>
      <w:r>
        <w:rPr>
          <w:b w:val="0"/>
          <w:bCs w:val="0"/>
        </w:rPr>
      </w:r>
      <w:r>
        <w:rPr/>
        <w:t>（</w:t>
      </w:r>
      <w:r>
        <w:rPr>
          <w:rFonts w:ascii="Times New Roman" w:hAnsi="Times New Roman" w:cs="Times New Roman" w:eastAsia="Times New Roman" w:hint="default"/>
        </w:rPr>
        <w:t>1</w:t>
      </w:r>
      <w:r>
        <w:rPr/>
        <w:t>）本期发生的同一控制下企业合并</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061"/>
        <w:gridCol w:w="1061"/>
        <w:gridCol w:w="1063"/>
        <w:gridCol w:w="1065"/>
        <w:gridCol w:w="1064"/>
        <w:gridCol w:w="1063"/>
        <w:gridCol w:w="1065"/>
        <w:gridCol w:w="1064"/>
        <w:gridCol w:w="1063"/>
      </w:tblGrid>
      <w:tr>
        <w:trPr>
          <w:trHeight w:val="1338" w:hRule="exact"/>
        </w:trPr>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435" w:right="75" w:hanging="360"/>
              <w:jc w:val="left"/>
              <w:rPr>
                <w:rFonts w:ascii="宋体" w:hAnsi="宋体" w:cs="宋体" w:eastAsia="宋体" w:hint="default"/>
                <w:sz w:val="18"/>
                <w:szCs w:val="18"/>
              </w:rPr>
            </w:pPr>
            <w:r>
              <w:rPr>
                <w:rFonts w:ascii="宋体" w:hAnsi="宋体" w:cs="宋体" w:eastAsia="宋体" w:hint="default"/>
                <w:sz w:val="18"/>
                <w:szCs w:val="18"/>
              </w:rPr>
              <w:t>被合并方名 称</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75" w:right="73"/>
              <w:jc w:val="center"/>
              <w:rPr>
                <w:rFonts w:ascii="宋体" w:hAnsi="宋体" w:cs="宋体" w:eastAsia="宋体" w:hint="default"/>
                <w:sz w:val="18"/>
                <w:szCs w:val="18"/>
              </w:rPr>
            </w:pPr>
            <w:r>
              <w:rPr>
                <w:rFonts w:ascii="宋体" w:hAnsi="宋体" w:cs="宋体" w:eastAsia="宋体" w:hint="default"/>
                <w:sz w:val="18"/>
                <w:szCs w:val="18"/>
              </w:rPr>
              <w:t>企业合并中 取得的权益 比例</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76" w:right="74"/>
              <w:jc w:val="both"/>
              <w:rPr>
                <w:rFonts w:ascii="宋体" w:hAnsi="宋体" w:cs="宋体" w:eastAsia="宋体" w:hint="default"/>
                <w:sz w:val="18"/>
                <w:szCs w:val="18"/>
              </w:rPr>
            </w:pPr>
            <w:r>
              <w:rPr>
                <w:rFonts w:ascii="宋体" w:hAnsi="宋体" w:cs="宋体" w:eastAsia="宋体" w:hint="default"/>
                <w:sz w:val="18"/>
                <w:szCs w:val="18"/>
              </w:rPr>
              <w:t>构成同一控 制下企业合 并的依据</w:t>
            </w:r>
          </w:p>
        </w:tc>
        <w:tc>
          <w:tcPr>
            <w:tcW w:w="10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56" w:right="0"/>
              <w:jc w:val="left"/>
              <w:rPr>
                <w:rFonts w:ascii="宋体" w:hAnsi="宋体" w:cs="宋体" w:eastAsia="宋体" w:hint="default"/>
                <w:sz w:val="18"/>
                <w:szCs w:val="18"/>
              </w:rPr>
            </w:pPr>
            <w:r>
              <w:rPr>
                <w:rFonts w:ascii="宋体" w:hAnsi="宋体" w:cs="宋体" w:eastAsia="宋体" w:hint="default"/>
                <w:sz w:val="18"/>
                <w:szCs w:val="18"/>
              </w:rPr>
              <w:t>合并日</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56" w:right="77" w:hanging="180"/>
              <w:jc w:val="left"/>
              <w:rPr>
                <w:rFonts w:ascii="宋体" w:hAnsi="宋体" w:cs="宋体" w:eastAsia="宋体" w:hint="default"/>
                <w:sz w:val="18"/>
                <w:szCs w:val="18"/>
              </w:rPr>
            </w:pPr>
            <w:r>
              <w:rPr>
                <w:rFonts w:ascii="宋体" w:hAnsi="宋体" w:cs="宋体" w:eastAsia="宋体" w:hint="default"/>
                <w:sz w:val="18"/>
                <w:szCs w:val="18"/>
              </w:rPr>
              <w:t>合并日的确 定依据</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76" w:right="74"/>
              <w:jc w:val="center"/>
              <w:rPr>
                <w:rFonts w:ascii="宋体" w:hAnsi="宋体" w:cs="宋体" w:eastAsia="宋体" w:hint="default"/>
                <w:sz w:val="18"/>
                <w:szCs w:val="18"/>
              </w:rPr>
            </w:pPr>
            <w:r>
              <w:rPr>
                <w:rFonts w:ascii="宋体" w:hAnsi="宋体" w:cs="宋体" w:eastAsia="宋体" w:hint="default"/>
                <w:sz w:val="18"/>
                <w:szCs w:val="18"/>
              </w:rPr>
              <w:t>合并当期期 初至合并日 被合并方的 收入</w:t>
            </w:r>
          </w:p>
        </w:tc>
        <w:tc>
          <w:tcPr>
            <w:tcW w:w="10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76" w:right="76"/>
              <w:jc w:val="center"/>
              <w:rPr>
                <w:rFonts w:ascii="宋体" w:hAnsi="宋体" w:cs="宋体" w:eastAsia="宋体" w:hint="default"/>
                <w:sz w:val="18"/>
                <w:szCs w:val="18"/>
              </w:rPr>
            </w:pPr>
            <w:r>
              <w:rPr>
                <w:rFonts w:ascii="宋体" w:hAnsi="宋体" w:cs="宋体" w:eastAsia="宋体" w:hint="default"/>
                <w:sz w:val="18"/>
                <w:szCs w:val="18"/>
              </w:rPr>
              <w:t>合并当期期 初至合并日 被合并方的 净利润</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76" w:right="77"/>
              <w:jc w:val="center"/>
              <w:rPr>
                <w:rFonts w:ascii="宋体" w:hAnsi="宋体" w:cs="宋体" w:eastAsia="宋体" w:hint="default"/>
                <w:sz w:val="18"/>
                <w:szCs w:val="18"/>
              </w:rPr>
            </w:pPr>
            <w:r>
              <w:rPr>
                <w:rFonts w:ascii="宋体" w:hAnsi="宋体" w:cs="宋体" w:eastAsia="宋体" w:hint="default"/>
                <w:sz w:val="18"/>
                <w:szCs w:val="18"/>
              </w:rPr>
              <w:t>比较期间被 合并方的收 入</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76" w:right="74"/>
              <w:jc w:val="center"/>
              <w:rPr>
                <w:rFonts w:ascii="宋体" w:hAnsi="宋体" w:cs="宋体" w:eastAsia="宋体" w:hint="default"/>
                <w:sz w:val="18"/>
                <w:szCs w:val="18"/>
              </w:rPr>
            </w:pPr>
            <w:r>
              <w:rPr>
                <w:rFonts w:ascii="宋体" w:hAnsi="宋体" w:cs="宋体" w:eastAsia="宋体" w:hint="default"/>
                <w:sz w:val="18"/>
                <w:szCs w:val="18"/>
              </w:rPr>
              <w:t>比较期间被 合并方的净 利润</w:t>
            </w:r>
          </w:p>
        </w:tc>
      </w:tr>
    </w:tbl>
    <w:p>
      <w:pPr>
        <w:pStyle w:val="BodyText"/>
        <w:spacing w:line="360" w:lineRule="auto" w:before="51"/>
        <w:ind w:right="9853"/>
        <w:jc w:val="left"/>
      </w:pPr>
      <w:r>
        <w:rPr/>
        <w:t>其他说明： 无。</w:t>
      </w:r>
    </w:p>
    <w:p>
      <w:pPr>
        <w:spacing w:line="240" w:lineRule="auto" w:before="11"/>
        <w:rPr>
          <w:rFonts w:ascii="宋体" w:hAnsi="宋体" w:cs="宋体" w:eastAsia="宋体" w:hint="default"/>
          <w:sz w:val="19"/>
          <w:szCs w:val="19"/>
        </w:rPr>
      </w:pPr>
    </w:p>
    <w:p>
      <w:pPr>
        <w:pStyle w:val="Heading3"/>
        <w:spacing w:line="240" w:lineRule="auto"/>
        <w:ind w:right="0"/>
        <w:jc w:val="left"/>
        <w:rPr>
          <w:b w:val="0"/>
          <w:bCs w:val="0"/>
        </w:rPr>
      </w:pPr>
      <w:bookmarkStart w:name="（2）合并成本" w:id="416"/>
      <w:bookmarkEnd w:id="416"/>
      <w:r>
        <w:rPr>
          <w:b w:val="0"/>
          <w:bCs w:val="0"/>
        </w:rPr>
      </w:r>
      <w:r>
        <w:rPr/>
        <w:t>（</w:t>
      </w:r>
      <w:r>
        <w:rPr>
          <w:rFonts w:ascii="Times New Roman" w:hAnsi="Times New Roman" w:cs="Times New Roman" w:eastAsia="Times New Roman" w:hint="default"/>
        </w:rPr>
        <w:t>2</w:t>
      </w:r>
      <w:r>
        <w:rPr/>
        <w:t>）合并成本</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8"/>
        <w:rPr>
          <w:rFonts w:ascii="宋体" w:hAnsi="宋体" w:cs="宋体" w:eastAsia="宋体" w:hint="default"/>
          <w:sz w:val="7"/>
          <w:szCs w:val="7"/>
        </w:rPr>
      </w:pPr>
    </w:p>
    <w:p>
      <w:pPr>
        <w:spacing w:line="421" w:lineRule="exact"/>
        <w:ind w:left="149"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8.95pt;height:21.1pt;mso-position-horizontal-relative:char;mso-position-vertical-relative:line" coordorigin="0,0" coordsize="9579,422">
            <v:group style="position:absolute;left:21;top:14;width:2;height:393" coordorigin="21,14" coordsize="2,393">
              <v:shape style="position:absolute;left:21;top:14;width:2;height:393" coordorigin="21,14" coordsize="0,393" path="m21,14l21,407e" filled="false" stroked="true" strokeweight="1.140pt" strokecolor="#d2d2d2">
                <v:path arrowok="t"/>
              </v:shape>
            </v:group>
            <v:group style="position:absolute;left:4773;top:14;width:2;height:393" coordorigin="4773,14" coordsize="2,393">
              <v:shape style="position:absolute;left:4773;top:14;width:2;height:393" coordorigin="4773,14" coordsize="0,393" path="m4773,14l4773,407e" filled="false" stroked="true" strokeweight="1.140pt" strokecolor="#d2d2d2">
                <v:path arrowok="t"/>
              </v:shape>
            </v:group>
            <v:group style="position:absolute;left:32;top:14;width:4729;height:393" coordorigin="32,14" coordsize="4729,393">
              <v:shape style="position:absolute;left:32;top:14;width:4729;height:393" coordorigin="32,14" coordsize="4729,393" path="m32,407l4761,407,4761,14,32,14,32,407xe" filled="true" fillcolor="#d2d2d2" stroked="false">
                <v:path arrowok="t"/>
                <v:fill type="solid"/>
              </v:shape>
            </v:group>
            <v:group style="position:absolute;left:4806;top:14;width:2;height:393" coordorigin="4806,14" coordsize="2,393">
              <v:shape style="position:absolute;left:4806;top:14;width:2;height:393" coordorigin="4806,14" coordsize="0,393" path="m4806,14l4806,407e" filled="false" stroked="true" strokeweight="1.140pt" strokecolor="#e0ffff">
                <v:path arrowok="t"/>
              </v:shape>
            </v:group>
            <v:group style="position:absolute;left:9557;top:14;width:2;height:393" coordorigin="9557,14" coordsize="2,393">
              <v:shape style="position:absolute;left:9557;top:14;width:2;height:393" coordorigin="9557,14" coordsize="0,393" path="m9557,14l9557,407e" filled="false" stroked="true" strokeweight="1.140pt" strokecolor="#e0ffff">
                <v:path arrowok="t"/>
              </v:shape>
            </v:group>
            <v:group style="position:absolute;left:4818;top:14;width:4729;height:393" coordorigin="4818,14" coordsize="4729,393">
              <v:shape style="position:absolute;left:4818;top:14;width:4729;height:393" coordorigin="4818,14" coordsize="4729,393" path="m4818,407l9546,407,9546,14,4818,14,4818,407xe" filled="true" fillcolor="#e0ffff" stroked="false">
                <v:path arrowok="t"/>
                <v:fill type="solid"/>
              </v:shape>
            </v:group>
            <v:group style="position:absolute;left:10;top:10;width:4776;height:2" coordorigin="10,10" coordsize="4776,2">
              <v:shape style="position:absolute;left:10;top:10;width:4776;height:2" coordorigin="10,10" coordsize="4776,0" path="m10,10l4785,10e" filled="false" stroked="true" strokeweight=".48pt" strokecolor="#000000">
                <v:path arrowok="t"/>
              </v:shape>
            </v:group>
            <v:group style="position:absolute;left:4795;top:10;width:4774;height:2" coordorigin="4795,10" coordsize="4774,2">
              <v:shape style="position:absolute;left:4795;top:10;width:4774;height:2" coordorigin="4795,10" coordsize="4774,0" path="m4795,10l9569,10e" filled="false" stroked="true" strokeweight=".48pt" strokecolor="#000000">
                <v:path arrowok="t"/>
              </v:shape>
            </v:group>
            <v:group style="position:absolute;left:5;top:5;width:2;height:412" coordorigin="5,5" coordsize="2,412">
              <v:shape style="position:absolute;left:5;top:5;width:2;height:412" coordorigin="5,5" coordsize="0,412" path="m5,5l5,416e" filled="false" stroked="true" strokeweight=".48pt" strokecolor="#000000">
                <v:path arrowok="t"/>
              </v:shape>
            </v:group>
            <v:group style="position:absolute;left:10;top:412;width:4776;height:2" coordorigin="10,412" coordsize="4776,2">
              <v:shape style="position:absolute;left:10;top:412;width:4776;height:2" coordorigin="10,412" coordsize="4776,0" path="m10,412l4785,412e" filled="false" stroked="true" strokeweight=".48pt" strokecolor="#000000">
                <v:path arrowok="t"/>
              </v:shape>
            </v:group>
            <v:group style="position:absolute;left:4790;top:5;width:2;height:412" coordorigin="4790,5" coordsize="2,412">
              <v:shape style="position:absolute;left:4790;top:5;width:2;height:412" coordorigin="4790,5" coordsize="0,412" path="m4790,5l4790,416e" filled="false" stroked="true" strokeweight=".48pt" strokecolor="#000000">
                <v:path arrowok="t"/>
              </v:shape>
            </v:group>
            <v:group style="position:absolute;left:4795;top:412;width:4774;height:2" coordorigin="4795,412" coordsize="4774,2">
              <v:shape style="position:absolute;left:4795;top:412;width:4774;height:2" coordorigin="4795,412" coordsize="4774,0" path="m4795,412l9569,412e" filled="false" stroked="true" strokeweight=".48pt" strokecolor="#000000">
                <v:path arrowok="t"/>
              </v:shape>
            </v:group>
            <v:group style="position:absolute;left:9574;top:5;width:2;height:412" coordorigin="9574,5" coordsize="2,412">
              <v:shape style="position:absolute;left:9574;top:5;width:2;height:412" coordorigin="9574,5" coordsize="0,412" path="m9574,5l9574,416e" filled="false" stroked="true" strokeweight=".48pt" strokecolor="#000000">
                <v:path arrowok="t"/>
              </v:shape>
              <v:shape style="position:absolute;left:5;top:10;width:4785;height:402" type="#_x0000_t202" filled="false" stroked="false">
                <v:textbox inset="0,0,0,0">
                  <w:txbxContent>
                    <w:p>
                      <w:pPr>
                        <w:spacing w:before="56"/>
                        <w:ind w:left="0" w:right="0" w:firstLine="0"/>
                        <w:jc w:val="center"/>
                        <w:rPr>
                          <w:rFonts w:ascii="宋体" w:hAnsi="宋体" w:cs="宋体" w:eastAsia="宋体" w:hint="default"/>
                          <w:sz w:val="18"/>
                          <w:szCs w:val="18"/>
                        </w:rPr>
                      </w:pPr>
                      <w:r>
                        <w:rPr>
                          <w:rFonts w:ascii="宋体" w:hAnsi="宋体" w:cs="宋体" w:eastAsia="宋体" w:hint="default"/>
                          <w:sz w:val="18"/>
                          <w:szCs w:val="18"/>
                        </w:rPr>
                        <w:t>合并成本</w:t>
                      </w:r>
                    </w:p>
                  </w:txbxContent>
                </v:textbox>
                <w10:wrap type="none"/>
              </v:shape>
            </v:group>
          </v:group>
        </w:pict>
      </w:r>
      <w:r>
        <w:rPr>
          <w:rFonts w:ascii="宋体" w:hAnsi="宋体" w:cs="宋体" w:eastAsia="宋体" w:hint="default"/>
          <w:position w:val="-7"/>
          <w:sz w:val="20"/>
          <w:szCs w:val="20"/>
        </w:rPr>
      </w:r>
    </w:p>
    <w:p>
      <w:pPr>
        <w:pStyle w:val="BodyText"/>
        <w:spacing w:line="357" w:lineRule="auto" w:before="46"/>
        <w:ind w:left="154" w:right="8592"/>
        <w:jc w:val="left"/>
      </w:pPr>
      <w:r>
        <w:rPr/>
        <w:t>或有对价及其变动的说明： 无。</w:t>
      </w:r>
    </w:p>
    <w:p>
      <w:pPr>
        <w:pStyle w:val="BodyText"/>
        <w:spacing w:line="357" w:lineRule="auto" w:before="29"/>
        <w:ind w:right="9853"/>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3）合并日被合并方资产、负债的账面价值" w:id="417"/>
      <w:bookmarkEnd w:id="417"/>
      <w:r>
        <w:rPr>
          <w:b w:val="0"/>
          <w:bCs w:val="0"/>
        </w:rPr>
      </w:r>
      <w:r>
        <w:rPr/>
        <w:t>（</w:t>
      </w:r>
      <w:r>
        <w:rPr>
          <w:rFonts w:ascii="Times New Roman" w:hAnsi="Times New Roman" w:cs="Times New Roman" w:eastAsia="Times New Roman" w:hint="default"/>
        </w:rPr>
        <w:t>3</w:t>
      </w:r>
      <w:r>
        <w:rPr/>
        <w:t>）合并日被合并方资产、负债的账面价值</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8"/>
        <w:rPr>
          <w:rFonts w:ascii="宋体" w:hAnsi="宋体" w:cs="宋体" w:eastAsia="宋体" w:hint="default"/>
          <w:sz w:val="7"/>
          <w:szCs w:val="7"/>
        </w:rPr>
      </w:pPr>
    </w:p>
    <w:p>
      <w:pPr>
        <w:spacing w:line="823" w:lineRule="exact"/>
        <w:ind w:left="149"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79.05pt;height:41.2pt;mso-position-horizontal-relative:char;mso-position-vertical-relative:line" coordorigin="0,0" coordsize="9581,824">
            <v:group style="position:absolute;left:21;top:14;width:2;height:393" coordorigin="21,14" coordsize="2,393">
              <v:shape style="position:absolute;left:21;top:14;width:2;height:393" coordorigin="21,14" coordsize="0,393" path="m21,14l21,407e" filled="false" stroked="true" strokeweight="1.140pt" strokecolor="#d2d2d2">
                <v:path arrowok="t"/>
              </v:shape>
            </v:group>
            <v:group style="position:absolute;left:3179;top:14;width:2;height:393" coordorigin="3179,14" coordsize="2,393">
              <v:shape style="position:absolute;left:3179;top:14;width:2;height:393" coordorigin="3179,14" coordsize="0,393" path="m3179,14l3179,407e" filled="false" stroked="true" strokeweight="1.140pt" strokecolor="#d2d2d2">
                <v:path arrowok="t"/>
              </v:shape>
            </v:group>
            <v:group style="position:absolute;left:32;top:14;width:3135;height:393" coordorigin="32,14" coordsize="3135,393">
              <v:shape style="position:absolute;left:32;top:14;width:3135;height:393" coordorigin="32,14" coordsize="3135,393" path="m32,407l3167,407,3167,14,32,14,32,407xe" filled="true" fillcolor="#d2d2d2" stroked="false">
                <v:path arrowok="t"/>
                <v:fill type="solid"/>
              </v:shape>
            </v:group>
            <v:group style="position:absolute;left:3212;top:14;width:2;height:393" coordorigin="3212,14" coordsize="2,393">
              <v:shape style="position:absolute;left:3212;top:14;width:2;height:393" coordorigin="3212,14" coordsize="0,393" path="m3212,14l3212,407e" filled="false" stroked="true" strokeweight="1.2pt" strokecolor="#e0ffff">
                <v:path arrowok="t"/>
              </v:shape>
            </v:group>
            <v:group style="position:absolute;left:9560;top:14;width:2;height:393" coordorigin="9560,14" coordsize="2,393">
              <v:shape style="position:absolute;left:9560;top:14;width:2;height:393" coordorigin="9560,14" coordsize="0,393" path="m9560,14l9560,407e" filled="false" stroked="true" strokeweight="1.140pt" strokecolor="#e0ffff">
                <v:path arrowok="t"/>
              </v:shape>
            </v:group>
            <v:group style="position:absolute;left:3224;top:14;width:6325;height:393" coordorigin="3224,14" coordsize="6325,393">
              <v:shape style="position:absolute;left:3224;top:14;width:6325;height:393" coordorigin="3224,14" coordsize="6325,393" path="m3224,407l9548,407,9548,14,3224,14,3224,407xe" filled="true" fillcolor="#e0ffff" stroked="false">
                <v:path arrowok="t"/>
                <v:fill type="solid"/>
              </v:shape>
            </v:group>
            <v:group style="position:absolute;left:10;top:10;width:3181;height:2" coordorigin="10,10" coordsize="3181,2">
              <v:shape style="position:absolute;left:10;top:10;width:3181;height:2" coordorigin="10,10" coordsize="3181,0" path="m10,10l3190,10e" filled="false" stroked="true" strokeweight=".48pt" strokecolor="#000000">
                <v:path arrowok="t"/>
              </v:shape>
            </v:group>
            <v:group style="position:absolute;left:3200;top:10;width:6372;height:2" coordorigin="3200,10" coordsize="6372,2">
              <v:shape style="position:absolute;left:3200;top:10;width:6372;height:2" coordorigin="3200,10" coordsize="6372,0" path="m3200,10l9571,10e" filled="false" stroked="true" strokeweight=".48pt" strokecolor="#000000">
                <v:path arrowok="t"/>
              </v:shape>
            </v:group>
            <v:group style="position:absolute;left:21;top:416;width:2;height:393" coordorigin="21,416" coordsize="2,393">
              <v:shape style="position:absolute;left:21;top:416;width:2;height:393" coordorigin="21,416" coordsize="0,393" path="m21,416l21,809e" filled="false" stroked="true" strokeweight="1.140pt" strokecolor="#d2d2d2">
                <v:path arrowok="t"/>
              </v:shape>
            </v:group>
            <v:group style="position:absolute;left:3179;top:416;width:2;height:393" coordorigin="3179,416" coordsize="2,393">
              <v:shape style="position:absolute;left:3179;top:416;width:2;height:393" coordorigin="3179,416" coordsize="0,393" path="m3179,416l3179,809e" filled="false" stroked="true" strokeweight="1.140pt" strokecolor="#d2d2d2">
                <v:path arrowok="t"/>
              </v:shape>
            </v:group>
            <v:group style="position:absolute;left:32;top:416;width:3135;height:393" coordorigin="32,416" coordsize="3135,393">
              <v:shape style="position:absolute;left:32;top:416;width:3135;height:393" coordorigin="32,416" coordsize="3135,393" path="m32,809l3167,809,3167,416,32,416,32,809xe" filled="true" fillcolor="#d2d2d2" stroked="false">
                <v:path arrowok="t"/>
                <v:fill type="solid"/>
              </v:shape>
            </v:group>
            <v:group style="position:absolute;left:3212;top:416;width:2;height:393" coordorigin="3212,416" coordsize="2,393">
              <v:shape style="position:absolute;left:3212;top:416;width:2;height:393" coordorigin="3212,416" coordsize="0,393" path="m3212,416l3212,809e" filled="false" stroked="true" strokeweight="1.2pt" strokecolor="#d2d2d2">
                <v:path arrowok="t"/>
              </v:shape>
            </v:group>
            <v:group style="position:absolute;left:6369;top:416;width:2;height:393" coordorigin="6369,416" coordsize="2,393">
              <v:shape style="position:absolute;left:6369;top:416;width:2;height:393" coordorigin="6369,416" coordsize="0,393" path="m6369,416l6369,809e" filled="false" stroked="true" strokeweight="1.140pt" strokecolor="#d2d2d2">
                <v:path arrowok="t"/>
              </v:shape>
            </v:group>
            <v:group style="position:absolute;left:3224;top:416;width:3134;height:393" coordorigin="3224,416" coordsize="3134,393">
              <v:shape style="position:absolute;left:3224;top:416;width:3134;height:393" coordorigin="3224,416" coordsize="3134,393" path="m3224,809l6357,809,6357,416,3224,416,3224,809xe" filled="true" fillcolor="#d2d2d2" stroked="false">
                <v:path arrowok="t"/>
                <v:fill type="solid"/>
              </v:shape>
            </v:group>
            <v:group style="position:absolute;left:6402;top:416;width:2;height:393" coordorigin="6402,416" coordsize="2,393">
              <v:shape style="position:absolute;left:6402;top:416;width:2;height:393" coordorigin="6402,416" coordsize="0,393" path="m6402,416l6402,809e" filled="false" stroked="true" strokeweight="1.140pt" strokecolor="#d2d2d2">
                <v:path arrowok="t"/>
              </v:shape>
            </v:group>
            <v:group style="position:absolute;left:9560;top:416;width:2;height:393" coordorigin="9560,416" coordsize="2,393">
              <v:shape style="position:absolute;left:9560;top:416;width:2;height:393" coordorigin="9560,416" coordsize="0,393" path="m9560,416l9560,809e" filled="false" stroked="true" strokeweight="1.140pt" strokecolor="#d2d2d2">
                <v:path arrowok="t"/>
              </v:shape>
            </v:group>
            <v:group style="position:absolute;left:6414;top:416;width:3135;height:393" coordorigin="6414,416" coordsize="3135,393">
              <v:shape style="position:absolute;left:6414;top:416;width:3135;height:393" coordorigin="6414,416" coordsize="3135,393" path="m6414,809l9548,809,9548,416,6414,416,6414,809xe" filled="true" fillcolor="#d2d2d2" stroked="false">
                <v:path arrowok="t"/>
                <v:fill type="solid"/>
              </v:shape>
            </v:group>
            <v:group style="position:absolute;left:10;top:412;width:3181;height:2" coordorigin="10,412" coordsize="3181,2">
              <v:shape style="position:absolute;left:10;top:412;width:3181;height:2" coordorigin="10,412" coordsize="3181,0" path="m10,412l3190,412e" filled="false" stroked="true" strokeweight=".48pt" strokecolor="#000000">
                <v:path arrowok="t"/>
              </v:shape>
            </v:group>
            <v:group style="position:absolute;left:3200;top:412;width:3182;height:2" coordorigin="3200,412" coordsize="3182,2">
              <v:shape style="position:absolute;left:3200;top:412;width:3182;height:2" coordorigin="3200,412" coordsize="3182,0" path="m3200,412l6381,412e" filled="false" stroked="true" strokeweight=".48pt" strokecolor="#000000">
                <v:path arrowok="t"/>
              </v:shape>
            </v:group>
            <v:group style="position:absolute;left:6391;top:412;width:3181;height:2" coordorigin="6391,412" coordsize="3181,2">
              <v:shape style="position:absolute;left:6391;top:412;width:3181;height:2" coordorigin="6391,412" coordsize="3181,0" path="m6391,412l9571,412e" filled="false" stroked="true" strokeweight=".48pt" strokecolor="#000000">
                <v:path arrowok="t"/>
              </v:shape>
            </v:group>
            <v:group style="position:absolute;left:5;top:5;width:2;height:814" coordorigin="5,5" coordsize="2,814">
              <v:shape style="position:absolute;left:5;top:5;width:2;height:814" coordorigin="5,5" coordsize="0,814" path="m5,5l5,818e" filled="false" stroked="true" strokeweight=".48pt" strokecolor="#000000">
                <v:path arrowok="t"/>
              </v:shape>
            </v:group>
            <v:group style="position:absolute;left:10;top:814;width:3181;height:2" coordorigin="10,814" coordsize="3181,2">
              <v:shape style="position:absolute;left:10;top:814;width:3181;height:2" coordorigin="10,814" coordsize="3181,0" path="m10,814l3190,814e" filled="false" stroked="true" strokeweight=".48pt" strokecolor="#000000">
                <v:path arrowok="t"/>
              </v:shape>
            </v:group>
            <v:group style="position:absolute;left:3195;top:5;width:2;height:814" coordorigin="3195,5" coordsize="2,814">
              <v:shape style="position:absolute;left:3195;top:5;width:2;height:814" coordorigin="3195,5" coordsize="0,814" path="m3195,5l3195,818e" filled="false" stroked="true" strokeweight=".48pt" strokecolor="#000000">
                <v:path arrowok="t"/>
              </v:shape>
            </v:group>
            <v:group style="position:absolute;left:3200;top:814;width:3182;height:2" coordorigin="3200,814" coordsize="3182,2">
              <v:shape style="position:absolute;left:3200;top:814;width:3182;height:2" coordorigin="3200,814" coordsize="3182,0" path="m3200,814l6381,814e" filled="false" stroked="true" strokeweight=".48pt" strokecolor="#000000">
                <v:path arrowok="t"/>
              </v:shape>
            </v:group>
            <v:group style="position:absolute;left:6386;top:407;width:2;height:412" coordorigin="6386,407" coordsize="2,412">
              <v:shape style="position:absolute;left:6386;top:407;width:2;height:412" coordorigin="6386,407" coordsize="0,412" path="m6386,407l6386,818e" filled="false" stroked="true" strokeweight=".48pt" strokecolor="#000000">
                <v:path arrowok="t"/>
              </v:shape>
            </v:group>
            <v:group style="position:absolute;left:6391;top:814;width:3181;height:2" coordorigin="6391,814" coordsize="3181,2">
              <v:shape style="position:absolute;left:6391;top:814;width:3181;height:2" coordorigin="6391,814" coordsize="3181,0" path="m6391,814l9571,814e" filled="false" stroked="true" strokeweight=".48pt" strokecolor="#000000">
                <v:path arrowok="t"/>
              </v:shape>
            </v:group>
            <v:group style="position:absolute;left:9576;top:5;width:2;height:814" coordorigin="9576,5" coordsize="2,814">
              <v:shape style="position:absolute;left:9576;top:5;width:2;height:814" coordorigin="9576,5" coordsize="0,814" path="m9576,5l9576,818e" filled="false" stroked="true" strokeweight=".48pt" strokecolor="#000000">
                <v:path arrowok="t"/>
              </v:shape>
              <v:shape style="position:absolute;left:3183;top:412;width:3202;height:402" type="#_x0000_t202" filled="false" stroked="false">
                <v:textbox inset="0,0,0,0">
                  <w:txbxContent>
                    <w:p>
                      <w:pPr>
                        <w:spacing w:before="56"/>
                        <w:ind w:left="13" w:right="0" w:firstLine="0"/>
                        <w:jc w:val="center"/>
                        <w:rPr>
                          <w:rFonts w:ascii="宋体" w:hAnsi="宋体" w:cs="宋体" w:eastAsia="宋体" w:hint="default"/>
                          <w:sz w:val="18"/>
                          <w:szCs w:val="18"/>
                        </w:rPr>
                      </w:pPr>
                      <w:r>
                        <w:rPr>
                          <w:rFonts w:ascii="宋体" w:hAnsi="宋体" w:cs="宋体" w:eastAsia="宋体" w:hint="default"/>
                          <w:sz w:val="18"/>
                          <w:szCs w:val="18"/>
                        </w:rPr>
                        <w:t>合并日</w:t>
                      </w:r>
                    </w:p>
                  </w:txbxContent>
                </v:textbox>
                <w10:wrap type="none"/>
              </v:shape>
              <v:shape style="position:absolute;left:6385;top:412;width:3180;height:402" type="#_x0000_t202" filled="false" stroked="false">
                <v:textbox inset="0,0,0,0">
                  <w:txbxContent>
                    <w:p>
                      <w:pPr>
                        <w:spacing w:before="56"/>
                        <w:ind w:left="12" w:right="0" w:firstLine="0"/>
                        <w:jc w:val="center"/>
                        <w:rPr>
                          <w:rFonts w:ascii="宋体" w:hAnsi="宋体" w:cs="宋体" w:eastAsia="宋体" w:hint="default"/>
                          <w:sz w:val="18"/>
                          <w:szCs w:val="18"/>
                        </w:rPr>
                      </w:pPr>
                      <w:r>
                        <w:rPr>
                          <w:rFonts w:ascii="宋体" w:hAnsi="宋体" w:cs="宋体" w:eastAsia="宋体" w:hint="default"/>
                          <w:sz w:val="18"/>
                          <w:szCs w:val="18"/>
                        </w:rPr>
                        <w:t>上期期末</w:t>
                      </w:r>
                    </w:p>
                  </w:txbxContent>
                </v:textbox>
                <w10:wrap type="none"/>
              </v:shape>
            </v:group>
          </v:group>
        </w:pict>
      </w:r>
      <w:r>
        <w:rPr>
          <w:rFonts w:ascii="宋体" w:hAnsi="宋体" w:cs="宋体" w:eastAsia="宋体" w:hint="default"/>
          <w:position w:val="-15"/>
          <w:sz w:val="20"/>
          <w:szCs w:val="20"/>
        </w:rPr>
      </w:r>
    </w:p>
    <w:p>
      <w:pPr>
        <w:pStyle w:val="BodyText"/>
        <w:spacing w:line="357" w:lineRule="auto" w:before="46"/>
        <w:ind w:left="154" w:right="7512"/>
        <w:jc w:val="left"/>
      </w:pPr>
      <w:r>
        <w:rPr/>
        <w:t>企业合并中承担的被合并方的或有负债： 无。</w:t>
      </w:r>
    </w:p>
    <w:p>
      <w:pPr>
        <w:pStyle w:val="BodyText"/>
        <w:spacing w:line="357" w:lineRule="auto" w:before="29"/>
        <w:ind w:right="9533"/>
        <w:jc w:val="left"/>
      </w:pPr>
      <w:r>
        <w:rPr/>
        <w:t>其他说明： 无。</w:t>
      </w:r>
    </w:p>
    <w:p>
      <w:pPr>
        <w:spacing w:line="240" w:lineRule="auto" w:before="3"/>
        <w:rPr>
          <w:rFonts w:ascii="宋体" w:hAnsi="宋体" w:cs="宋体" w:eastAsia="宋体" w:hint="default"/>
          <w:sz w:val="20"/>
          <w:szCs w:val="20"/>
        </w:rPr>
      </w:pPr>
    </w:p>
    <w:p>
      <w:pPr>
        <w:pStyle w:val="Heading3"/>
        <w:spacing w:line="240" w:lineRule="auto"/>
        <w:ind w:right="0"/>
        <w:jc w:val="left"/>
        <w:rPr>
          <w:b w:val="0"/>
          <w:bCs w:val="0"/>
        </w:rPr>
      </w:pPr>
      <w:bookmarkStart w:name="3、反向购买" w:id="418"/>
      <w:bookmarkEnd w:id="418"/>
      <w:r>
        <w:rPr>
          <w:b w:val="0"/>
          <w:bCs w:val="0"/>
        </w:rPr>
      </w:r>
      <w:r>
        <w:rPr>
          <w:rFonts w:ascii="Times New Roman" w:hAnsi="Times New Roman" w:cs="Times New Roman" w:eastAsia="Times New Roman" w:hint="default"/>
        </w:rPr>
        <w:t>3</w:t>
      </w:r>
      <w:r>
        <w:rPr/>
        <w:t>、反向购买</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154" w:right="0"/>
        <w:jc w:val="left"/>
      </w:pPr>
      <w:r>
        <w:rPr/>
        <w:t>交易基本信息、交易构成反向购买的依据、上市公司保留的资产、负债是否构成业务及其依据、合并成本的确定、按照权益</w:t>
      </w:r>
    </w:p>
    <w:p>
      <w:pPr>
        <w:spacing w:after="0" w:line="240" w:lineRule="auto"/>
        <w:jc w:val="left"/>
        <w:sectPr>
          <w:pgSz w:w="11910" w:h="16840"/>
          <w:pgMar w:header="747" w:footer="979" w:top="1060" w:bottom="1160" w:left="980" w:right="0"/>
        </w:sectPr>
      </w:pPr>
    </w:p>
    <w:p>
      <w:pPr>
        <w:spacing w:line="240" w:lineRule="auto" w:before="13"/>
        <w:rPr>
          <w:rFonts w:ascii="宋体" w:hAnsi="宋体" w:cs="宋体" w:eastAsia="宋体" w:hint="default"/>
          <w:sz w:val="25"/>
          <w:szCs w:val="25"/>
        </w:rPr>
      </w:pPr>
      <w:r>
        <w:rPr/>
        <w:pict>
          <v:shape style="position:absolute;margin-left:92.343002pt;margin-top:664.119995pt;width:101.1pt;height:15.6pt;mso-position-horizontal-relative:page;mso-position-vertical-relative:page;z-index:-1252552" type="#_x0000_t202" filled="false" stroked="false">
            <v:textbox inset="0,0,0,0">
              <w:txbxContent>
                <w:p>
                  <w:pPr>
                    <w:pStyle w:val="BodyText"/>
                    <w:spacing w:line="240" w:lineRule="auto" w:before="51"/>
                    <w:ind w:left="0" w:right="0"/>
                    <w:jc w:val="left"/>
                  </w:pPr>
                  <w:r>
                    <w:rPr/>
                    <w:t>（香港）</w:t>
                  </w:r>
                </w:p>
              </w:txbxContent>
            </v:textbox>
            <w10:wrap type="none"/>
          </v:shape>
        </w:pict>
      </w:r>
    </w:p>
    <w:p>
      <w:pPr>
        <w:pStyle w:val="BodyText"/>
        <w:spacing w:line="240" w:lineRule="auto" w:before="44"/>
        <w:ind w:right="0"/>
        <w:jc w:val="left"/>
      </w:pPr>
      <w:r>
        <w:rPr/>
        <w:t>性交易处理时调整权益的金额及其计算：</w:t>
      </w:r>
    </w:p>
    <w:p>
      <w:pPr>
        <w:spacing w:line="240" w:lineRule="auto" w:before="10"/>
        <w:rPr>
          <w:rFonts w:ascii="宋体" w:hAnsi="宋体" w:cs="宋体" w:eastAsia="宋体" w:hint="default"/>
          <w:sz w:val="26"/>
          <w:szCs w:val="26"/>
        </w:rPr>
      </w:pPr>
    </w:p>
    <w:p>
      <w:pPr>
        <w:pStyle w:val="Heading3"/>
        <w:spacing w:line="240" w:lineRule="auto"/>
        <w:ind w:left="153" w:right="0"/>
        <w:jc w:val="left"/>
        <w:rPr>
          <w:b w:val="0"/>
          <w:bCs w:val="0"/>
        </w:rPr>
      </w:pPr>
      <w:bookmarkStart w:name="4、处置子公司" w:id="419"/>
      <w:bookmarkEnd w:id="419"/>
      <w:r>
        <w:rPr>
          <w:b w:val="0"/>
          <w:bCs w:val="0"/>
        </w:rPr>
      </w:r>
      <w:r>
        <w:rPr>
          <w:rFonts w:ascii="Times New Roman" w:hAnsi="Times New Roman" w:cs="Times New Roman" w:eastAsia="Times New Roman" w:hint="default"/>
        </w:rPr>
        <w:t>4</w:t>
      </w:r>
      <w:r>
        <w:rPr/>
        <w:t>、处置子公司</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t>是否存在单次处置对子公司投资即丧失控制权的情形</w:t>
      </w:r>
    </w:p>
    <w:p>
      <w:pPr>
        <w:pStyle w:val="BodyText"/>
        <w:spacing w:line="340" w:lineRule="auto" w:before="116"/>
        <w:ind w:right="4993"/>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否 是否存在通过多次交易分步处置对子公司投资且在本期丧失控制权的情形</w:t>
      </w:r>
    </w:p>
    <w:p>
      <w:pPr>
        <w:pStyle w:val="BodyText"/>
        <w:spacing w:line="240" w:lineRule="auto" w:before="40"/>
        <w:ind w:right="0"/>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否</w:t>
      </w:r>
    </w:p>
    <w:p>
      <w:pPr>
        <w:spacing w:line="240" w:lineRule="auto" w:before="9"/>
        <w:rPr>
          <w:rFonts w:ascii="宋体" w:hAnsi="宋体" w:cs="宋体" w:eastAsia="宋体" w:hint="default"/>
          <w:sz w:val="25"/>
          <w:szCs w:val="25"/>
        </w:rPr>
      </w:pPr>
    </w:p>
    <w:p>
      <w:pPr>
        <w:pStyle w:val="Heading3"/>
        <w:spacing w:line="240" w:lineRule="auto"/>
        <w:ind w:left="153" w:right="0"/>
        <w:jc w:val="left"/>
        <w:rPr>
          <w:b w:val="0"/>
          <w:bCs w:val="0"/>
        </w:rPr>
      </w:pPr>
      <w:bookmarkStart w:name="5、其他原因的合并范围变动" w:id="420"/>
      <w:bookmarkEnd w:id="420"/>
      <w:r>
        <w:rPr>
          <w:b w:val="0"/>
          <w:bCs w:val="0"/>
        </w:rPr>
      </w:r>
      <w:r>
        <w:rPr>
          <w:rFonts w:ascii="Times New Roman" w:hAnsi="Times New Roman" w:cs="Times New Roman" w:eastAsia="Times New Roman" w:hint="default"/>
        </w:rPr>
        <w:t>5</w:t>
      </w:r>
      <w:r>
        <w:rPr/>
        <w:t>、其他原因的合并范围变动</w:t>
      </w:r>
      <w:r>
        <w:rPr>
          <w:b w:val="0"/>
          <w:bCs w:val="0"/>
        </w:rPr>
      </w:r>
    </w:p>
    <w:p>
      <w:pPr>
        <w:spacing w:line="240" w:lineRule="auto" w:before="9"/>
        <w:rPr>
          <w:rFonts w:ascii="宋体" w:hAnsi="宋体" w:cs="宋体" w:eastAsia="宋体" w:hint="default"/>
          <w:b/>
          <w:bCs/>
          <w:sz w:val="26"/>
          <w:szCs w:val="26"/>
        </w:rPr>
      </w:pPr>
    </w:p>
    <w:p>
      <w:pPr>
        <w:pStyle w:val="BodyText"/>
        <w:spacing w:line="357" w:lineRule="auto"/>
        <w:ind w:right="3913"/>
        <w:jc w:val="left"/>
      </w:pPr>
      <w:r>
        <w:rPr/>
        <w:t>说明其他原因导致的合并范围变动（如，新设子公司、清算子公司等）及其相关情况： 因</w:t>
      </w:r>
      <w:r>
        <w:rPr>
          <w:spacing w:val="-46"/>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w:t>
      </w:r>
      <w:r>
        <w:rPr>
          <w:spacing w:val="-45"/>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t>月设立子公司深圳市奥拓立翔光电科技有限公司相应增加合并范围。</w:t>
      </w:r>
    </w:p>
    <w:p>
      <w:pPr>
        <w:spacing w:line="240" w:lineRule="auto" w:before="4"/>
        <w:rPr>
          <w:rFonts w:ascii="宋体" w:hAnsi="宋体" w:cs="宋体" w:eastAsia="宋体" w:hint="default"/>
          <w:sz w:val="18"/>
          <w:szCs w:val="18"/>
        </w:rPr>
      </w:pPr>
    </w:p>
    <w:p>
      <w:pPr>
        <w:spacing w:line="487" w:lineRule="auto" w:before="0"/>
        <w:ind w:left="153" w:right="8103" w:firstLine="0"/>
        <w:jc w:val="left"/>
        <w:rPr>
          <w:rFonts w:ascii="宋体" w:hAnsi="宋体" w:cs="宋体" w:eastAsia="宋体" w:hint="default"/>
          <w:sz w:val="21"/>
          <w:szCs w:val="21"/>
        </w:rPr>
      </w:pPr>
      <w:bookmarkStart w:name="6、其他" w:id="421"/>
      <w:bookmarkEnd w:id="421"/>
      <w:r>
        <w:rPr/>
      </w: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、其他</w:t>
      </w:r>
      <w:r>
        <w:rPr>
          <w:rFonts w:ascii="宋体" w:hAnsi="宋体" w:cs="宋体" w:eastAsia="宋体" w:hint="default"/>
          <w:b/>
          <w:bCs/>
          <w:spacing w:val="1"/>
          <w:w w:val="99"/>
          <w:sz w:val="21"/>
          <w:szCs w:val="21"/>
        </w:rPr>
        <w:t> </w:t>
      </w:r>
      <w:bookmarkStart w:name="九、在其他主体中的权益" w:id="422"/>
      <w:bookmarkEnd w:id="422"/>
      <w:r>
        <w:rPr>
          <w:rFonts w:ascii="宋体" w:hAnsi="宋体" w:cs="宋体" w:eastAsia="宋体" w:hint="default"/>
          <w:b/>
          <w:bCs/>
          <w:spacing w:val="1"/>
          <w:w w:val="99"/>
          <w:sz w:val="21"/>
          <w:szCs w:val="21"/>
        </w:rPr>
      </w:r>
      <w:r>
        <w:rPr>
          <w:rFonts w:ascii="宋体" w:hAnsi="宋体" w:cs="宋体" w:eastAsia="宋体" w:hint="default"/>
          <w:b/>
          <w:bCs/>
          <w:sz w:val="24"/>
          <w:szCs w:val="24"/>
        </w:rPr>
        <w:t>九、在其他主体中的权益</w:t>
      </w:r>
      <w:r>
        <w:rPr>
          <w:rFonts w:ascii="宋体" w:hAnsi="宋体" w:cs="宋体" w:eastAsia="宋体" w:hint="default"/>
          <w:b/>
          <w:bCs/>
          <w:w w:val="99"/>
          <w:sz w:val="24"/>
          <w:szCs w:val="24"/>
        </w:rPr>
        <w:t> </w:t>
      </w:r>
      <w:bookmarkStart w:name="1、在子公司中的权益" w:id="423"/>
      <w:bookmarkEnd w:id="423"/>
      <w:r>
        <w:rPr>
          <w:rFonts w:ascii="宋体" w:hAnsi="宋体" w:cs="宋体" w:eastAsia="宋体" w:hint="default"/>
          <w:b/>
          <w:bCs/>
          <w:w w:val="99"/>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、在子公司中的权益</w:t>
      </w:r>
      <w:r>
        <w:rPr>
          <w:rFonts w:ascii="宋体" w:hAnsi="宋体" w:cs="宋体" w:eastAsia="宋体" w:hint="default"/>
          <w:sz w:val="21"/>
          <w:szCs w:val="21"/>
        </w:rPr>
      </w:r>
    </w:p>
    <w:p>
      <w:pPr>
        <w:pStyle w:val="Heading3"/>
        <w:spacing w:line="240" w:lineRule="auto" w:before="83"/>
        <w:ind w:left="153" w:right="0"/>
        <w:jc w:val="left"/>
        <w:rPr>
          <w:b w:val="0"/>
          <w:bCs w:val="0"/>
        </w:rPr>
      </w:pPr>
      <w:bookmarkStart w:name="（1）企业集团的构成" w:id="424"/>
      <w:bookmarkEnd w:id="424"/>
      <w:r>
        <w:rPr>
          <w:b w:val="0"/>
          <w:bCs w:val="0"/>
        </w:rPr>
      </w:r>
      <w:r>
        <w:rPr/>
        <w:t>（</w:t>
      </w:r>
      <w:r>
        <w:rPr>
          <w:rFonts w:ascii="Times New Roman" w:hAnsi="Times New Roman" w:cs="Times New Roman" w:eastAsia="Times New Roman" w:hint="default"/>
        </w:rPr>
        <w:t>1</w:t>
      </w:r>
      <w:r>
        <w:rPr/>
        <w:t>）企业集团的构成</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1372"/>
        <w:gridCol w:w="1367"/>
        <w:gridCol w:w="1367"/>
        <w:gridCol w:w="1367"/>
        <w:gridCol w:w="1367"/>
        <w:gridCol w:w="1367"/>
        <w:gridCol w:w="1366"/>
      </w:tblGrid>
      <w:tr>
        <w:trPr>
          <w:trHeight w:val="402" w:hRule="exact"/>
        </w:trPr>
        <w:tc>
          <w:tcPr>
            <w:tcW w:w="137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b/>
                <w:bCs/>
                <w:sz w:val="19"/>
                <w:szCs w:val="19"/>
              </w:rPr>
            </w:pPr>
          </w:p>
          <w:p>
            <w:pPr>
              <w:pStyle w:val="TableParagraph"/>
              <w:spacing w:line="240" w:lineRule="auto"/>
              <w:ind w:left="230"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b/>
                <w:bCs/>
                <w:sz w:val="19"/>
                <w:szCs w:val="19"/>
              </w:rPr>
            </w:pPr>
          </w:p>
          <w:p>
            <w:pPr>
              <w:pStyle w:val="TableParagraph"/>
              <w:spacing w:line="240" w:lineRule="auto"/>
              <w:ind w:left="227"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b/>
                <w:bCs/>
                <w:sz w:val="19"/>
                <w:szCs w:val="19"/>
              </w:rPr>
            </w:pPr>
          </w:p>
          <w:p>
            <w:pPr>
              <w:pStyle w:val="TableParagraph"/>
              <w:spacing w:line="240" w:lineRule="auto"/>
              <w:ind w:left="408"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b/>
                <w:bCs/>
                <w:sz w:val="19"/>
                <w:szCs w:val="19"/>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持股比例</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b/>
                <w:bCs/>
                <w:sz w:val="19"/>
                <w:szCs w:val="19"/>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取得方式</w:t>
            </w:r>
          </w:p>
        </w:tc>
      </w:tr>
      <w:tr>
        <w:trPr>
          <w:trHeight w:val="402" w:hRule="exact"/>
        </w:trPr>
        <w:tc>
          <w:tcPr>
            <w:tcW w:w="1372"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直接</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间接</w:t>
            </w:r>
          </w:p>
        </w:tc>
        <w:tc>
          <w:tcPr>
            <w:tcW w:w="1366"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深圳市奥拓软件 技术有限公司</w:t>
            </w:r>
          </w:p>
          <w:p>
            <w:pPr>
              <w:pStyle w:val="TableParagraph"/>
              <w:spacing w:line="240" w:lineRule="auto" w:before="20"/>
              <w:ind w:left="22" w:right="0"/>
              <w:jc w:val="left"/>
              <w:rPr>
                <w:rFonts w:ascii="宋体" w:hAnsi="宋体" w:cs="宋体" w:eastAsia="宋体" w:hint="default"/>
                <w:sz w:val="18"/>
                <w:szCs w:val="18"/>
              </w:rPr>
            </w:pPr>
            <w:r>
              <w:rPr>
                <w:rFonts w:ascii="宋体" w:hAnsi="宋体" w:cs="宋体" w:eastAsia="宋体" w:hint="default"/>
                <w:sz w:val="18"/>
                <w:szCs w:val="18"/>
              </w:rPr>
              <w:t>（奥拓软件）</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出资设立</w:t>
            </w:r>
          </w:p>
        </w:tc>
      </w:tr>
      <w:tr>
        <w:trPr>
          <w:trHeight w:val="1026"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深圳市奥拓光电 科技有限公司</w:t>
            </w:r>
          </w:p>
          <w:p>
            <w:pPr>
              <w:pStyle w:val="TableParagraph"/>
              <w:spacing w:line="240" w:lineRule="auto" w:before="20"/>
              <w:ind w:left="22" w:right="0"/>
              <w:jc w:val="left"/>
              <w:rPr>
                <w:rFonts w:ascii="宋体" w:hAnsi="宋体" w:cs="宋体" w:eastAsia="宋体" w:hint="default"/>
                <w:sz w:val="18"/>
                <w:szCs w:val="18"/>
              </w:rPr>
            </w:pPr>
            <w:r>
              <w:rPr>
                <w:rFonts w:ascii="宋体" w:hAnsi="宋体" w:cs="宋体" w:eastAsia="宋体" w:hint="default"/>
                <w:sz w:val="18"/>
                <w:szCs w:val="18"/>
              </w:rPr>
              <w:t>（奥拓光电）</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85.00%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left="779" w:right="0"/>
              <w:jc w:val="left"/>
              <w:rPr>
                <w:rFonts w:ascii="Times New Roman" w:hAnsi="Times New Roman" w:cs="Times New Roman" w:eastAsia="Times New Roman" w:hint="default"/>
                <w:sz w:val="18"/>
                <w:szCs w:val="18"/>
              </w:rPr>
            </w:pPr>
            <w:r>
              <w:rPr>
                <w:rFonts w:ascii="Times New Roman"/>
                <w:sz w:val="18"/>
              </w:rPr>
              <w:t>15.00%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出资设立</w:t>
            </w:r>
          </w:p>
        </w:tc>
      </w:tr>
      <w:tr>
        <w:trPr>
          <w:trHeight w:val="1026"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7"/>
              <w:jc w:val="both"/>
              <w:rPr>
                <w:rFonts w:ascii="宋体" w:hAnsi="宋体" w:cs="宋体" w:eastAsia="宋体" w:hint="default"/>
                <w:sz w:val="18"/>
                <w:szCs w:val="18"/>
              </w:rPr>
            </w:pPr>
            <w:r>
              <w:rPr>
                <w:rFonts w:ascii="宋体" w:hAnsi="宋体" w:cs="宋体" w:eastAsia="宋体" w:hint="default"/>
                <w:sz w:val="18"/>
                <w:szCs w:val="18"/>
              </w:rPr>
              <w:t>南京奥拓电子科 技有限公司（南 京奥拓）</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出资设立</w:t>
            </w:r>
          </w:p>
        </w:tc>
      </w:tr>
      <w:tr>
        <w:trPr>
          <w:trHeight w:val="1026"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惠州市奥拓电子 科技有限公司</w:t>
            </w:r>
          </w:p>
          <w:p>
            <w:pPr>
              <w:pStyle w:val="TableParagraph"/>
              <w:spacing w:line="240" w:lineRule="auto" w:before="20"/>
              <w:ind w:left="22" w:right="0"/>
              <w:jc w:val="left"/>
              <w:rPr>
                <w:rFonts w:ascii="宋体" w:hAnsi="宋体" w:cs="宋体" w:eastAsia="宋体" w:hint="default"/>
                <w:sz w:val="18"/>
                <w:szCs w:val="18"/>
              </w:rPr>
            </w:pPr>
            <w:r>
              <w:rPr>
                <w:rFonts w:ascii="宋体" w:hAnsi="宋体" w:cs="宋体" w:eastAsia="宋体" w:hint="default"/>
                <w:sz w:val="18"/>
                <w:szCs w:val="18"/>
              </w:rPr>
              <w:t>（惠州奥拓）</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惠州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惠州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出资设立</w:t>
            </w:r>
          </w:p>
        </w:tc>
      </w:tr>
      <w:tr>
        <w:trPr>
          <w:trHeight w:val="1026"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奥拓电子 有限公司（香港 奥拓）</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ind w:right="-51"/>
              <w:jc w:val="left"/>
              <w:rPr>
                <w:rFonts w:ascii="宋体" w:hAnsi="宋体" w:cs="宋体" w:eastAsia="宋体" w:hint="default"/>
                <w:sz w:val="20"/>
                <w:szCs w:val="20"/>
              </w:rPr>
            </w:pPr>
            <w:r>
              <w:rPr>
                <w:rFonts w:ascii="宋体" w:hAnsi="宋体" w:cs="宋体" w:eastAsia="宋体" w:hint="default"/>
                <w:position w:val="-5"/>
                <w:sz w:val="20"/>
                <w:szCs w:val="20"/>
              </w:rPr>
              <w:pict>
                <v:group style="width:67.9pt;height:15.6pt;mso-position-horizontal-relative:char;mso-position-vertical-relative:line" coordorigin="0,0" coordsize="1358,312">
                  <v:group style="position:absolute;left:0;top:0;width:1358;height:312" coordorigin="0,0" coordsize="1358,312">
                    <v:shape style="position:absolute;left:0;top:0;width:1358;height:312" coordorigin="0,0" coordsize="1358,312" path="m0,312l1357,312,1357,0,0,0,0,312xe" filled="true" fillcolor="#ffffff" stroked="false">
                      <v:path arrowok="t"/>
                      <v:fill type="solid"/>
                    </v:shape>
                  </v:group>
                </v:group>
              </w:pict>
            </w:r>
            <w:r>
              <w:rPr>
                <w:rFonts w:ascii="宋体" w:hAnsi="宋体" w:cs="宋体" w:eastAsia="宋体" w:hint="default"/>
                <w:position w:val="-5"/>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香港</w:t>
            </w: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9"/>
              <w:ind w:right="0"/>
              <w:jc w:val="left"/>
              <w:rPr>
                <w:rFonts w:ascii="宋体" w:hAnsi="宋体" w:cs="宋体" w:eastAsia="宋体" w:hint="default"/>
                <w:b/>
                <w:bCs/>
                <w:sz w:val="17"/>
                <w:szCs w:val="17"/>
              </w:rPr>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出资设立</w:t>
            </w:r>
          </w:p>
        </w:tc>
      </w:tr>
      <w:tr>
        <w:trPr>
          <w:trHeight w:val="1026"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7"/>
              <w:jc w:val="both"/>
              <w:rPr>
                <w:rFonts w:ascii="宋体" w:hAnsi="宋体" w:cs="宋体" w:eastAsia="宋体" w:hint="default"/>
                <w:sz w:val="18"/>
                <w:szCs w:val="18"/>
              </w:rPr>
            </w:pPr>
            <w:r>
              <w:rPr>
                <w:rFonts w:ascii="宋体" w:hAnsi="宋体" w:cs="宋体" w:eastAsia="宋体" w:hint="default"/>
                <w:sz w:val="18"/>
                <w:szCs w:val="18"/>
              </w:rPr>
              <w:t>深圳前海奥拓投 资有限公司（前 海奥拓）</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出资设立</w:t>
            </w:r>
          </w:p>
        </w:tc>
      </w:tr>
    </w:tbl>
    <w:p>
      <w:pPr>
        <w:spacing w:after="0" w:line="240" w:lineRule="auto"/>
        <w:jc w:val="left"/>
        <w:rPr>
          <w:rFonts w:ascii="宋体" w:hAnsi="宋体" w:cs="宋体" w:eastAsia="宋体" w:hint="default"/>
          <w:sz w:val="18"/>
          <w:szCs w:val="18"/>
        </w:rPr>
        <w:sectPr>
          <w:footerReference w:type="default" r:id="rId66"/>
          <w:pgSz w:w="11910" w:h="16840"/>
          <w:pgMar w:footer="979" w:header="747" w:top="1060" w:bottom="1160" w:left="980" w:right="0"/>
        </w:sectPr>
      </w:pPr>
    </w:p>
    <w:p>
      <w:pPr>
        <w:spacing w:line="240" w:lineRule="auto" w:before="6"/>
        <w:rPr>
          <w:rFonts w:ascii="宋体" w:hAnsi="宋体" w:cs="宋体" w:eastAsia="宋体" w:hint="default"/>
          <w:b/>
          <w:bCs/>
          <w:sz w:val="28"/>
          <w:szCs w:val="28"/>
        </w:rPr>
      </w:pPr>
    </w:p>
    <w:tbl>
      <w:tblPr>
        <w:tblW w:w="0" w:type="auto"/>
        <w:jc w:val="left"/>
        <w:tblInd w:w="149" w:type="dxa"/>
        <w:tblLayout w:type="fixed"/>
        <w:tblCellMar>
          <w:top w:w="0" w:type="dxa"/>
          <w:left w:w="0" w:type="dxa"/>
          <w:bottom w:w="0" w:type="dxa"/>
          <w:right w:w="0" w:type="dxa"/>
        </w:tblCellMar>
        <w:tblLook w:val="01E0"/>
      </w:tblPr>
      <w:tblGrid>
        <w:gridCol w:w="1372"/>
        <w:gridCol w:w="1367"/>
        <w:gridCol w:w="1367"/>
        <w:gridCol w:w="1367"/>
        <w:gridCol w:w="1367"/>
        <w:gridCol w:w="1367"/>
        <w:gridCol w:w="1366"/>
      </w:tblGrid>
      <w:tr>
        <w:trPr>
          <w:trHeight w:val="1026"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北京市奥拓电子 科技有限公司</w:t>
            </w:r>
          </w:p>
          <w:p>
            <w:pPr>
              <w:pStyle w:val="TableParagraph"/>
              <w:spacing w:line="240" w:lineRule="auto" w:before="20"/>
              <w:ind w:left="22" w:right="0"/>
              <w:jc w:val="left"/>
              <w:rPr>
                <w:rFonts w:ascii="宋体" w:hAnsi="宋体" w:cs="宋体" w:eastAsia="宋体" w:hint="default"/>
                <w:sz w:val="18"/>
                <w:szCs w:val="18"/>
              </w:rPr>
            </w:pPr>
            <w:r>
              <w:rPr>
                <w:rFonts w:ascii="宋体" w:hAnsi="宋体" w:cs="宋体" w:eastAsia="宋体" w:hint="default"/>
                <w:sz w:val="18"/>
                <w:szCs w:val="18"/>
              </w:rPr>
              <w:t>（北京奥拓）</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出资设立</w:t>
            </w:r>
          </w:p>
        </w:tc>
      </w:tr>
      <w:tr>
        <w:trPr>
          <w:trHeight w:val="1026"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7"/>
              <w:jc w:val="left"/>
              <w:rPr>
                <w:rFonts w:ascii="Times New Roman" w:hAnsi="Times New Roman" w:cs="Times New Roman" w:eastAsia="Times New Roman" w:hint="default"/>
                <w:sz w:val="18"/>
                <w:szCs w:val="18"/>
              </w:rPr>
            </w:pPr>
            <w:r>
              <w:rPr>
                <w:rFonts w:ascii="宋体" w:hAnsi="宋体" w:cs="宋体" w:eastAsia="宋体" w:hint="default"/>
                <w:sz w:val="18"/>
                <w:szCs w:val="18"/>
              </w:rPr>
              <w:t>上海翰明计算机 科技有限公司 </w:t>
            </w:r>
            <w:r>
              <w:rPr>
                <w:rFonts w:ascii="Times New Roman" w:hAnsi="Times New Roman" w:cs="Times New Roman" w:eastAsia="Times New Roman" w:hint="default"/>
                <w:sz w:val="18"/>
                <w:szCs w:val="18"/>
              </w:rPr>
              <w:t>(</w:t>
            </w:r>
            <w:r>
              <w:rPr>
                <w:rFonts w:ascii="宋体" w:hAnsi="宋体" w:cs="宋体" w:eastAsia="宋体" w:hint="default"/>
                <w:sz w:val="18"/>
                <w:szCs w:val="18"/>
              </w:rPr>
              <w:t>上海翰明</w:t>
            </w:r>
            <w:r>
              <w:rPr>
                <w:rFonts w:ascii="Times New Roman" w:hAnsi="Times New Roman" w:cs="Times New Roman" w:eastAsia="Times New Roman" w:hint="default"/>
                <w:sz w:val="18"/>
                <w:szCs w:val="18"/>
              </w:rPr>
              <w:t>)</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70.26%</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企业合并</w:t>
            </w:r>
          </w:p>
        </w:tc>
      </w:tr>
      <w:tr>
        <w:trPr>
          <w:trHeight w:val="1026"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7"/>
              <w:jc w:val="both"/>
              <w:rPr>
                <w:rFonts w:ascii="宋体" w:hAnsi="宋体" w:cs="宋体" w:eastAsia="宋体" w:hint="default"/>
                <w:sz w:val="18"/>
                <w:szCs w:val="18"/>
              </w:rPr>
            </w:pPr>
            <w:r>
              <w:rPr>
                <w:rFonts w:ascii="宋体" w:hAnsi="宋体" w:cs="宋体" w:eastAsia="宋体" w:hint="default"/>
                <w:sz w:val="18"/>
                <w:szCs w:val="18"/>
              </w:rPr>
              <w:t>深圳市奥拓体育 文化发展有限公 司</w:t>
            </w:r>
            <w:r>
              <w:rPr>
                <w:rFonts w:ascii="Times New Roman" w:hAnsi="Times New Roman" w:cs="Times New Roman" w:eastAsia="Times New Roman" w:hint="default"/>
                <w:sz w:val="18"/>
                <w:szCs w:val="18"/>
              </w:rPr>
              <w:t>(</w:t>
            </w:r>
            <w:r>
              <w:rPr>
                <w:rFonts w:ascii="宋体" w:hAnsi="宋体" w:cs="宋体" w:eastAsia="宋体" w:hint="default"/>
                <w:sz w:val="18"/>
                <w:szCs w:val="18"/>
              </w:rPr>
              <w:t>奥拓体育）</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51.00%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left="779" w:right="0"/>
              <w:jc w:val="left"/>
              <w:rPr>
                <w:rFonts w:ascii="Times New Roman" w:hAnsi="Times New Roman" w:cs="Times New Roman" w:eastAsia="Times New Roman" w:hint="default"/>
                <w:sz w:val="18"/>
                <w:szCs w:val="18"/>
              </w:rPr>
            </w:pPr>
            <w:r>
              <w:rPr>
                <w:rFonts w:ascii="Times New Roman"/>
                <w:sz w:val="18"/>
              </w:rPr>
              <w:t>27.00%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出资设立</w:t>
            </w:r>
          </w:p>
        </w:tc>
      </w:tr>
      <w:tr>
        <w:trPr>
          <w:trHeight w:val="1026"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7"/>
              <w:jc w:val="both"/>
              <w:rPr>
                <w:rFonts w:ascii="Times New Roman" w:hAnsi="Times New Roman" w:cs="Times New Roman" w:eastAsia="Times New Roman" w:hint="default"/>
                <w:sz w:val="18"/>
                <w:szCs w:val="18"/>
              </w:rPr>
            </w:pPr>
            <w:r>
              <w:rPr>
                <w:rFonts w:ascii="宋体" w:hAnsi="宋体" w:cs="宋体" w:eastAsia="宋体" w:hint="default"/>
                <w:sz w:val="18"/>
                <w:szCs w:val="18"/>
              </w:rPr>
              <w:t>深圳市千百辉照 明工程有限公司 </w:t>
            </w:r>
            <w:r>
              <w:rPr>
                <w:rFonts w:ascii="Times New Roman" w:hAnsi="Times New Roman" w:cs="Times New Roman" w:eastAsia="Times New Roman" w:hint="default"/>
                <w:sz w:val="18"/>
                <w:szCs w:val="18"/>
              </w:rPr>
              <w:t>(</w:t>
            </w:r>
            <w:r>
              <w:rPr>
                <w:rFonts w:ascii="宋体" w:hAnsi="宋体" w:cs="宋体" w:eastAsia="宋体" w:hint="default"/>
                <w:sz w:val="18"/>
                <w:szCs w:val="18"/>
              </w:rPr>
              <w:t>千百辉</w:t>
            </w:r>
            <w:r>
              <w:rPr>
                <w:rFonts w:ascii="Times New Roman" w:hAnsi="Times New Roman" w:cs="Times New Roman" w:eastAsia="Times New Roman" w:hint="default"/>
                <w:sz w:val="18"/>
                <w:szCs w:val="18"/>
              </w:rPr>
              <w:t>)</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企业合并</w:t>
            </w:r>
          </w:p>
        </w:tc>
      </w:tr>
      <w:tr>
        <w:trPr>
          <w:trHeight w:val="1026"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7"/>
              <w:jc w:val="both"/>
              <w:rPr>
                <w:rFonts w:ascii="宋体" w:hAnsi="宋体" w:cs="宋体" w:eastAsia="宋体" w:hint="default"/>
                <w:sz w:val="18"/>
                <w:szCs w:val="18"/>
              </w:rPr>
            </w:pPr>
            <w:r>
              <w:rPr>
                <w:rFonts w:ascii="宋体" w:hAnsi="宋体" w:cs="宋体" w:eastAsia="宋体" w:hint="default"/>
                <w:sz w:val="18"/>
                <w:szCs w:val="18"/>
              </w:rPr>
              <w:t>深圳市奥拓立翔 光电科技有限公 司（奥拓立翔）</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60.00%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出资设立</w:t>
            </w:r>
          </w:p>
        </w:tc>
      </w:tr>
    </w:tbl>
    <w:p>
      <w:pPr>
        <w:pStyle w:val="BodyText"/>
        <w:spacing w:line="357" w:lineRule="auto" w:before="51"/>
        <w:ind w:left="154" w:right="6972"/>
        <w:jc w:val="left"/>
      </w:pPr>
      <w:r>
        <w:rPr/>
        <w:t>在子公司的持股比例不同于表决权比例的说明： 无。</w:t>
      </w:r>
    </w:p>
    <w:p>
      <w:pPr>
        <w:pStyle w:val="BodyText"/>
        <w:spacing w:line="357" w:lineRule="auto" w:before="29"/>
        <w:ind w:right="2833"/>
        <w:jc w:val="left"/>
      </w:pPr>
      <w:r>
        <w:rPr/>
        <w:t>持有半数或以下表决权但仍控制被投资单位、以及持有半数以上表决权但不控制被投资单位的依据： 无。</w:t>
      </w:r>
    </w:p>
    <w:p>
      <w:pPr>
        <w:pStyle w:val="BodyText"/>
        <w:spacing w:line="357" w:lineRule="auto" w:before="29"/>
        <w:ind w:left="154" w:right="6432"/>
        <w:jc w:val="left"/>
      </w:pPr>
      <w:r>
        <w:rPr/>
        <w:t>对于纳入合并范围的重要的结构化主体，控制的依据： 无。</w:t>
      </w:r>
    </w:p>
    <w:p>
      <w:pPr>
        <w:pStyle w:val="BodyText"/>
        <w:spacing w:line="357" w:lineRule="auto" w:before="29"/>
        <w:ind w:left="154" w:right="7692"/>
        <w:jc w:val="left"/>
      </w:pPr>
      <w:r>
        <w:rPr/>
        <w:t>确定公司是代理人还是委托人的依据： 无。</w:t>
      </w:r>
    </w:p>
    <w:p>
      <w:pPr>
        <w:pStyle w:val="BodyText"/>
        <w:spacing w:line="357" w:lineRule="auto" w:before="29"/>
        <w:ind w:right="9853"/>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2）重要的非全资子公司" w:id="425"/>
      <w:bookmarkEnd w:id="425"/>
      <w:r>
        <w:rPr>
          <w:b w:val="0"/>
          <w:bCs w:val="0"/>
        </w:rPr>
      </w:r>
      <w:r>
        <w:rPr/>
        <w:t>（</w:t>
      </w:r>
      <w:r>
        <w:rPr>
          <w:rFonts w:ascii="Times New Roman" w:hAnsi="Times New Roman" w:cs="Times New Roman" w:eastAsia="Times New Roman" w:hint="default"/>
        </w:rPr>
        <w:t>2</w:t>
      </w:r>
      <w:r>
        <w:rPr/>
        <w:t>）重要的非全资子公司</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917"/>
        <w:gridCol w:w="1914"/>
        <w:gridCol w:w="1914"/>
        <w:gridCol w:w="1913"/>
        <w:gridCol w:w="1913"/>
      </w:tblGrid>
      <w:tr>
        <w:trPr>
          <w:trHeight w:val="764" w:hRule="exact"/>
        </w:trPr>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503"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231" w:right="0"/>
              <w:jc w:val="left"/>
              <w:rPr>
                <w:rFonts w:ascii="宋体" w:hAnsi="宋体" w:cs="宋体" w:eastAsia="宋体" w:hint="default"/>
                <w:sz w:val="18"/>
                <w:szCs w:val="18"/>
              </w:rPr>
            </w:pPr>
            <w:r>
              <w:rPr>
                <w:rFonts w:ascii="宋体" w:hAnsi="宋体" w:cs="宋体" w:eastAsia="宋体" w:hint="default"/>
                <w:sz w:val="18"/>
                <w:szCs w:val="18"/>
              </w:rPr>
              <w:t>少数股东持股比例</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76"/>
              <w:ind w:left="771" w:right="50" w:hanging="720"/>
              <w:jc w:val="left"/>
              <w:rPr>
                <w:rFonts w:ascii="宋体" w:hAnsi="宋体" w:cs="宋体" w:eastAsia="宋体" w:hint="default"/>
                <w:sz w:val="18"/>
                <w:szCs w:val="18"/>
              </w:rPr>
            </w:pPr>
            <w:r>
              <w:rPr>
                <w:rFonts w:ascii="宋体" w:hAnsi="宋体" w:cs="宋体" w:eastAsia="宋体" w:hint="default"/>
                <w:sz w:val="18"/>
                <w:szCs w:val="18"/>
              </w:rPr>
              <w:t>本期归属于少数股东的 损益</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76"/>
              <w:ind w:left="591" w:right="51" w:hanging="540"/>
              <w:jc w:val="left"/>
              <w:rPr>
                <w:rFonts w:ascii="宋体" w:hAnsi="宋体" w:cs="宋体" w:eastAsia="宋体" w:hint="default"/>
                <w:sz w:val="18"/>
                <w:szCs w:val="18"/>
              </w:rPr>
            </w:pPr>
            <w:r>
              <w:rPr>
                <w:rFonts w:ascii="宋体" w:hAnsi="宋体" w:cs="宋体" w:eastAsia="宋体" w:hint="default"/>
                <w:sz w:val="18"/>
                <w:szCs w:val="18"/>
              </w:rPr>
              <w:t>本期向少数股东宣告分 派的股利</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49"/>
              <w:jc w:val="right"/>
              <w:rPr>
                <w:rFonts w:ascii="宋体" w:hAnsi="宋体" w:cs="宋体" w:eastAsia="宋体" w:hint="default"/>
                <w:sz w:val="18"/>
                <w:szCs w:val="18"/>
              </w:rPr>
            </w:pPr>
            <w:r>
              <w:rPr>
                <w:rFonts w:ascii="宋体" w:hAnsi="宋体" w:cs="宋体" w:eastAsia="宋体" w:hint="default"/>
                <w:sz w:val="18"/>
                <w:szCs w:val="18"/>
              </w:rPr>
              <w:t>期末少数股东权益余额</w:t>
            </w:r>
          </w:p>
        </w:tc>
      </w:tr>
      <w:tr>
        <w:trPr>
          <w:trHeight w:val="402" w:hRule="exact"/>
        </w:trPr>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上海翰明</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29.74%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267,144.19</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4,655,617.75</w:t>
            </w:r>
          </w:p>
        </w:tc>
      </w:tr>
      <w:tr>
        <w:trPr>
          <w:trHeight w:val="402" w:hRule="exact"/>
        </w:trPr>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奥拓立翔</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-770,976.75</w:t>
            </w:r>
            <w:r>
              <w:rPr>
                <w:rFonts w:ascii="Times New Roman"/>
                <w:sz w:val="18"/>
              </w:rPr>
            </w: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14,261,225.28</w:t>
            </w:r>
          </w:p>
        </w:tc>
      </w:tr>
      <w:tr>
        <w:trPr>
          <w:trHeight w:val="402" w:hRule="exact"/>
        </w:trPr>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奥拓体育发展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22.00%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131,171.34</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168,828.66</w:t>
            </w:r>
          </w:p>
        </w:tc>
      </w:tr>
    </w:tbl>
    <w:p>
      <w:pPr>
        <w:pStyle w:val="BodyText"/>
        <w:spacing w:line="360" w:lineRule="auto" w:before="51"/>
        <w:ind w:left="154" w:right="6432"/>
        <w:jc w:val="left"/>
      </w:pPr>
      <w:r>
        <w:rPr/>
        <w:t>子公司少数股东的持股比例不同于表决权比例的说明： 其他说明：</w:t>
      </w:r>
    </w:p>
    <w:p>
      <w:pPr>
        <w:spacing w:line="240" w:lineRule="auto" w:before="12"/>
        <w:rPr>
          <w:rFonts w:ascii="宋体" w:hAnsi="宋体" w:cs="宋体" w:eastAsia="宋体" w:hint="default"/>
          <w:sz w:val="19"/>
          <w:szCs w:val="19"/>
        </w:rPr>
      </w:pPr>
    </w:p>
    <w:p>
      <w:pPr>
        <w:pStyle w:val="Heading3"/>
        <w:spacing w:line="240" w:lineRule="auto"/>
        <w:ind w:right="0"/>
        <w:jc w:val="left"/>
        <w:rPr>
          <w:b w:val="0"/>
          <w:bCs w:val="0"/>
        </w:rPr>
      </w:pPr>
      <w:bookmarkStart w:name="（3）重要非全资子公司的主要财务信息" w:id="426"/>
      <w:bookmarkEnd w:id="426"/>
      <w:r>
        <w:rPr>
          <w:b w:val="0"/>
          <w:bCs w:val="0"/>
        </w:rPr>
      </w:r>
      <w:r>
        <w:rPr/>
        <w:t>（</w:t>
      </w:r>
      <w:r>
        <w:rPr>
          <w:rFonts w:ascii="Times New Roman" w:hAnsi="Times New Roman" w:cs="Times New Roman" w:eastAsia="Times New Roman" w:hint="default"/>
        </w:rPr>
        <w:t>3</w:t>
      </w:r>
      <w:r>
        <w:rPr/>
        <w:t>）重要非全资子公司的主要财务信息</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after="0" w:line="240" w:lineRule="auto"/>
        <w:jc w:val="right"/>
        <w:sectPr>
          <w:footerReference w:type="default" r:id="rId67"/>
          <w:pgSz w:w="11910" w:h="16840"/>
          <w:pgMar w:footer="979" w:header="747" w:top="1060" w:bottom="1160" w:left="980" w:right="0"/>
          <w:pgNumType w:start="201"/>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736"/>
        <w:gridCol w:w="737"/>
        <w:gridCol w:w="736"/>
        <w:gridCol w:w="736"/>
        <w:gridCol w:w="737"/>
        <w:gridCol w:w="735"/>
        <w:gridCol w:w="736"/>
        <w:gridCol w:w="734"/>
        <w:gridCol w:w="736"/>
        <w:gridCol w:w="735"/>
        <w:gridCol w:w="737"/>
        <w:gridCol w:w="737"/>
        <w:gridCol w:w="736"/>
      </w:tblGrid>
      <w:tr>
        <w:trPr>
          <w:trHeight w:val="402" w:hRule="exact"/>
        </w:trPr>
        <w:tc>
          <w:tcPr>
            <w:tcW w:w="73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182" w:right="93" w:hanging="90"/>
              <w:jc w:val="left"/>
              <w:rPr>
                <w:rFonts w:ascii="宋体" w:hAnsi="宋体" w:cs="宋体" w:eastAsia="宋体" w:hint="default"/>
                <w:sz w:val="18"/>
                <w:szCs w:val="18"/>
              </w:rPr>
            </w:pPr>
            <w:r>
              <w:rPr>
                <w:rFonts w:ascii="宋体" w:hAnsi="宋体" w:cs="宋体" w:eastAsia="宋体" w:hint="default"/>
                <w:sz w:val="18"/>
                <w:szCs w:val="18"/>
              </w:rPr>
              <w:t>子公司 名称</w:t>
            </w:r>
          </w:p>
        </w:tc>
        <w:tc>
          <w:tcPr>
            <w:tcW w:w="4415"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414"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714" w:hRule="exact"/>
        </w:trPr>
        <w:tc>
          <w:tcPr>
            <w:tcW w:w="736" w:type="dxa"/>
            <w:vMerge/>
            <w:tcBorders>
              <w:left w:val="single" w:sz="4" w:space="0" w:color="000000"/>
              <w:bottom w:val="single" w:sz="4" w:space="0" w:color="000000"/>
              <w:right w:val="single" w:sz="4" w:space="0" w:color="000000"/>
            </w:tcBorders>
            <w:shd w:val="clear" w:color="auto" w:fill="D2D2D2"/>
          </w:tcPr>
          <w:p>
            <w:pP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73" w:right="91" w:hanging="180"/>
              <w:jc w:val="left"/>
              <w:rPr>
                <w:rFonts w:ascii="宋体" w:hAnsi="宋体" w:cs="宋体" w:eastAsia="宋体" w:hint="default"/>
                <w:sz w:val="18"/>
                <w:szCs w:val="18"/>
              </w:rPr>
            </w:pPr>
            <w:r>
              <w:rPr>
                <w:rFonts w:ascii="宋体" w:hAnsi="宋体" w:cs="宋体" w:eastAsia="宋体" w:hint="default"/>
                <w:sz w:val="18"/>
                <w:szCs w:val="18"/>
              </w:rPr>
              <w:t>流动资 产</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82" w:right="91" w:hanging="90"/>
              <w:jc w:val="left"/>
              <w:rPr>
                <w:rFonts w:ascii="宋体" w:hAnsi="宋体" w:cs="宋体" w:eastAsia="宋体" w:hint="default"/>
                <w:sz w:val="18"/>
                <w:szCs w:val="18"/>
              </w:rPr>
            </w:pPr>
            <w:r>
              <w:rPr>
                <w:rFonts w:ascii="宋体" w:hAnsi="宋体" w:cs="宋体" w:eastAsia="宋体" w:hint="default"/>
                <w:sz w:val="18"/>
                <w:szCs w:val="18"/>
              </w:rPr>
              <w:t>非流动 资产</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72" w:right="91" w:hanging="180"/>
              <w:jc w:val="left"/>
              <w:rPr>
                <w:rFonts w:ascii="宋体" w:hAnsi="宋体" w:cs="宋体" w:eastAsia="宋体" w:hint="default"/>
                <w:sz w:val="18"/>
                <w:szCs w:val="18"/>
              </w:rPr>
            </w:pPr>
            <w:r>
              <w:rPr>
                <w:rFonts w:ascii="宋体" w:hAnsi="宋体" w:cs="宋体" w:eastAsia="宋体" w:hint="default"/>
                <w:sz w:val="18"/>
                <w:szCs w:val="18"/>
              </w:rPr>
              <w:t>资产合 计</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73" w:right="91" w:hanging="180"/>
              <w:jc w:val="left"/>
              <w:rPr>
                <w:rFonts w:ascii="宋体" w:hAnsi="宋体" w:cs="宋体" w:eastAsia="宋体" w:hint="default"/>
                <w:sz w:val="18"/>
                <w:szCs w:val="18"/>
              </w:rPr>
            </w:pPr>
            <w:r>
              <w:rPr>
                <w:rFonts w:ascii="宋体" w:hAnsi="宋体" w:cs="宋体" w:eastAsia="宋体" w:hint="default"/>
                <w:sz w:val="18"/>
                <w:szCs w:val="18"/>
              </w:rPr>
              <w:t>流动负 债</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82" w:right="90" w:hanging="90"/>
              <w:jc w:val="left"/>
              <w:rPr>
                <w:rFonts w:ascii="宋体" w:hAnsi="宋体" w:cs="宋体" w:eastAsia="宋体" w:hint="default"/>
                <w:sz w:val="18"/>
                <w:szCs w:val="18"/>
              </w:rPr>
            </w:pPr>
            <w:r>
              <w:rPr>
                <w:rFonts w:ascii="宋体" w:hAnsi="宋体" w:cs="宋体" w:eastAsia="宋体" w:hint="default"/>
                <w:sz w:val="18"/>
                <w:szCs w:val="18"/>
              </w:rPr>
              <w:t>非流动 负债</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72" w:right="91" w:hanging="180"/>
              <w:jc w:val="left"/>
              <w:rPr>
                <w:rFonts w:ascii="宋体" w:hAnsi="宋体" w:cs="宋体" w:eastAsia="宋体" w:hint="default"/>
                <w:sz w:val="18"/>
                <w:szCs w:val="18"/>
              </w:rPr>
            </w:pPr>
            <w:r>
              <w:rPr>
                <w:rFonts w:ascii="宋体" w:hAnsi="宋体" w:cs="宋体" w:eastAsia="宋体" w:hint="default"/>
                <w:sz w:val="18"/>
                <w:szCs w:val="18"/>
              </w:rPr>
              <w:t>负债合 计</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72" w:right="90" w:hanging="180"/>
              <w:jc w:val="left"/>
              <w:rPr>
                <w:rFonts w:ascii="宋体" w:hAnsi="宋体" w:cs="宋体" w:eastAsia="宋体" w:hint="default"/>
                <w:sz w:val="18"/>
                <w:szCs w:val="18"/>
              </w:rPr>
            </w:pPr>
            <w:r>
              <w:rPr>
                <w:rFonts w:ascii="宋体" w:hAnsi="宋体" w:cs="宋体" w:eastAsia="宋体" w:hint="default"/>
                <w:sz w:val="18"/>
                <w:szCs w:val="18"/>
              </w:rPr>
              <w:t>流动资 产</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82" w:right="91" w:hanging="90"/>
              <w:jc w:val="left"/>
              <w:rPr>
                <w:rFonts w:ascii="宋体" w:hAnsi="宋体" w:cs="宋体" w:eastAsia="宋体" w:hint="default"/>
                <w:sz w:val="18"/>
                <w:szCs w:val="18"/>
              </w:rPr>
            </w:pPr>
            <w:r>
              <w:rPr>
                <w:rFonts w:ascii="宋体" w:hAnsi="宋体" w:cs="宋体" w:eastAsia="宋体" w:hint="default"/>
                <w:sz w:val="18"/>
                <w:szCs w:val="18"/>
              </w:rPr>
              <w:t>非流动 资产</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72" w:right="90" w:hanging="180"/>
              <w:jc w:val="left"/>
              <w:rPr>
                <w:rFonts w:ascii="宋体" w:hAnsi="宋体" w:cs="宋体" w:eastAsia="宋体" w:hint="default"/>
                <w:sz w:val="18"/>
                <w:szCs w:val="18"/>
              </w:rPr>
            </w:pPr>
            <w:r>
              <w:rPr>
                <w:rFonts w:ascii="宋体" w:hAnsi="宋体" w:cs="宋体" w:eastAsia="宋体" w:hint="default"/>
                <w:sz w:val="18"/>
                <w:szCs w:val="18"/>
              </w:rPr>
              <w:t>资产合 计</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73" w:right="91" w:hanging="180"/>
              <w:jc w:val="left"/>
              <w:rPr>
                <w:rFonts w:ascii="宋体" w:hAnsi="宋体" w:cs="宋体" w:eastAsia="宋体" w:hint="default"/>
                <w:sz w:val="18"/>
                <w:szCs w:val="18"/>
              </w:rPr>
            </w:pPr>
            <w:r>
              <w:rPr>
                <w:rFonts w:ascii="宋体" w:hAnsi="宋体" w:cs="宋体" w:eastAsia="宋体" w:hint="default"/>
                <w:sz w:val="18"/>
                <w:szCs w:val="18"/>
              </w:rPr>
              <w:t>流动负 债</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83" w:right="91" w:hanging="90"/>
              <w:jc w:val="left"/>
              <w:rPr>
                <w:rFonts w:ascii="宋体" w:hAnsi="宋体" w:cs="宋体" w:eastAsia="宋体" w:hint="default"/>
                <w:sz w:val="18"/>
                <w:szCs w:val="18"/>
              </w:rPr>
            </w:pPr>
            <w:r>
              <w:rPr>
                <w:rFonts w:ascii="宋体" w:hAnsi="宋体" w:cs="宋体" w:eastAsia="宋体" w:hint="default"/>
                <w:sz w:val="18"/>
                <w:szCs w:val="18"/>
              </w:rPr>
              <w:t>非流动 负债</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72" w:right="91" w:hanging="180"/>
              <w:jc w:val="left"/>
              <w:rPr>
                <w:rFonts w:ascii="宋体" w:hAnsi="宋体" w:cs="宋体" w:eastAsia="宋体" w:hint="default"/>
                <w:sz w:val="18"/>
                <w:szCs w:val="18"/>
              </w:rPr>
            </w:pPr>
            <w:r>
              <w:rPr>
                <w:rFonts w:ascii="宋体" w:hAnsi="宋体" w:cs="宋体" w:eastAsia="宋体" w:hint="default"/>
                <w:sz w:val="18"/>
                <w:szCs w:val="18"/>
              </w:rPr>
              <w:t>负债合 计</w:t>
            </w:r>
          </w:p>
        </w:tc>
      </w:tr>
      <w:tr>
        <w:trPr>
          <w:trHeight w:val="714" w:hRule="exact"/>
        </w:trPr>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61"/>
              <w:jc w:val="left"/>
              <w:rPr>
                <w:rFonts w:ascii="宋体" w:hAnsi="宋体" w:cs="宋体" w:eastAsia="宋体" w:hint="default"/>
                <w:sz w:val="18"/>
                <w:szCs w:val="18"/>
              </w:rPr>
            </w:pPr>
            <w:r>
              <w:rPr>
                <w:rFonts w:ascii="宋体" w:hAnsi="宋体" w:cs="宋体" w:eastAsia="宋体" w:hint="default"/>
                <w:sz w:val="18"/>
                <w:szCs w:val="18"/>
              </w:rPr>
              <w:t>上海翰 明</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19,584,5</w:t>
            </w:r>
          </w:p>
          <w:p>
            <w:pPr>
              <w:pStyle w:val="TableParagraph"/>
              <w:spacing w:line="240" w:lineRule="auto" w:before="106"/>
              <w:ind w:left="299" w:right="0"/>
              <w:jc w:val="left"/>
              <w:rPr>
                <w:rFonts w:ascii="Times New Roman" w:hAnsi="Times New Roman" w:cs="Times New Roman" w:eastAsia="Times New Roman" w:hint="default"/>
                <w:sz w:val="18"/>
                <w:szCs w:val="18"/>
              </w:rPr>
            </w:pPr>
            <w:r>
              <w:rPr>
                <w:rFonts w:ascii="Times New Roman"/>
                <w:sz w:val="18"/>
              </w:rPr>
              <w:t>22.50</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357,410.</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75</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3" w:right="0"/>
              <w:jc w:val="left"/>
              <w:rPr>
                <w:rFonts w:ascii="Times New Roman" w:hAnsi="Times New Roman" w:cs="Times New Roman" w:eastAsia="Times New Roman" w:hint="default"/>
                <w:sz w:val="18"/>
                <w:szCs w:val="18"/>
              </w:rPr>
            </w:pPr>
            <w:r>
              <w:rPr>
                <w:rFonts w:ascii="Times New Roman"/>
                <w:sz w:val="18"/>
              </w:rPr>
              <w:t>19,941,9</w:t>
            </w:r>
          </w:p>
          <w:p>
            <w:pPr>
              <w:pStyle w:val="TableParagraph"/>
              <w:spacing w:line="240" w:lineRule="auto" w:before="106"/>
              <w:ind w:left="298" w:right="0"/>
              <w:jc w:val="left"/>
              <w:rPr>
                <w:rFonts w:ascii="Times New Roman" w:hAnsi="Times New Roman" w:cs="Times New Roman" w:eastAsia="Times New Roman" w:hint="default"/>
                <w:sz w:val="18"/>
                <w:szCs w:val="18"/>
              </w:rPr>
            </w:pPr>
            <w:r>
              <w:rPr>
                <w:rFonts w:ascii="Times New Roman"/>
                <w:sz w:val="18"/>
              </w:rPr>
              <w:t>33.25</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4,701,61</w:t>
            </w:r>
          </w:p>
          <w:p>
            <w:pPr>
              <w:pStyle w:val="TableParagraph"/>
              <w:spacing w:line="240" w:lineRule="auto" w:before="106"/>
              <w:ind w:left="390" w:right="0"/>
              <w:jc w:val="left"/>
              <w:rPr>
                <w:rFonts w:ascii="Times New Roman" w:hAnsi="Times New Roman" w:cs="Times New Roman" w:eastAsia="Times New Roman" w:hint="default"/>
                <w:sz w:val="18"/>
                <w:szCs w:val="18"/>
              </w:rPr>
            </w:pPr>
            <w:r>
              <w:rPr>
                <w:rFonts w:ascii="Times New Roman"/>
                <w:sz w:val="18"/>
              </w:rPr>
              <w:t>4.91</w:t>
            </w:r>
          </w:p>
        </w:tc>
        <w:tc>
          <w:tcPr>
            <w:tcW w:w="735"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1" w:right="0"/>
              <w:jc w:val="left"/>
              <w:rPr>
                <w:rFonts w:ascii="Times New Roman" w:hAnsi="Times New Roman" w:cs="Times New Roman" w:eastAsia="Times New Roman" w:hint="default"/>
                <w:sz w:val="18"/>
                <w:szCs w:val="18"/>
              </w:rPr>
            </w:pPr>
            <w:r>
              <w:rPr>
                <w:rFonts w:ascii="Times New Roman"/>
                <w:sz w:val="18"/>
              </w:rPr>
              <w:t>4,701,61</w:t>
            </w:r>
          </w:p>
          <w:p>
            <w:pPr>
              <w:pStyle w:val="TableParagraph"/>
              <w:spacing w:line="240" w:lineRule="auto" w:before="106"/>
              <w:ind w:left="387" w:right="0"/>
              <w:jc w:val="left"/>
              <w:rPr>
                <w:rFonts w:ascii="Times New Roman" w:hAnsi="Times New Roman" w:cs="Times New Roman" w:eastAsia="Times New Roman" w:hint="default"/>
                <w:sz w:val="18"/>
                <w:szCs w:val="18"/>
              </w:rPr>
            </w:pPr>
            <w:r>
              <w:rPr>
                <w:rFonts w:ascii="Times New Roman"/>
                <w:sz w:val="18"/>
              </w:rPr>
              <w:t>4.91</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2" w:right="0"/>
              <w:jc w:val="left"/>
              <w:rPr>
                <w:rFonts w:ascii="Times New Roman" w:hAnsi="Times New Roman" w:cs="Times New Roman" w:eastAsia="Times New Roman" w:hint="default"/>
                <w:sz w:val="18"/>
                <w:szCs w:val="18"/>
              </w:rPr>
            </w:pPr>
            <w:r>
              <w:rPr>
                <w:rFonts w:ascii="Times New Roman"/>
                <w:sz w:val="18"/>
              </w:rPr>
              <w:t>22,513,6</w:t>
            </w:r>
          </w:p>
          <w:p>
            <w:pPr>
              <w:pStyle w:val="TableParagraph"/>
              <w:spacing w:line="240" w:lineRule="auto" w:before="106"/>
              <w:ind w:left="297" w:right="0"/>
              <w:jc w:val="left"/>
              <w:rPr>
                <w:rFonts w:ascii="Times New Roman" w:hAnsi="Times New Roman" w:cs="Times New Roman" w:eastAsia="Times New Roman" w:hint="default"/>
                <w:sz w:val="18"/>
                <w:szCs w:val="18"/>
              </w:rPr>
            </w:pPr>
            <w:r>
              <w:rPr>
                <w:rFonts w:ascii="Times New Roman"/>
                <w:sz w:val="18"/>
              </w:rPr>
              <w:t>55.02</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238,018.</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49</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2" w:right="0"/>
              <w:jc w:val="left"/>
              <w:rPr>
                <w:rFonts w:ascii="Times New Roman" w:hAnsi="Times New Roman" w:cs="Times New Roman" w:eastAsia="Times New Roman" w:hint="default"/>
                <w:sz w:val="18"/>
                <w:szCs w:val="18"/>
              </w:rPr>
            </w:pPr>
            <w:r>
              <w:rPr>
                <w:rFonts w:ascii="Times New Roman"/>
                <w:sz w:val="18"/>
              </w:rPr>
              <w:t>22,751,6</w:t>
            </w:r>
          </w:p>
          <w:p>
            <w:pPr>
              <w:pStyle w:val="TableParagraph"/>
              <w:spacing w:line="240" w:lineRule="auto" w:before="106"/>
              <w:ind w:left="297" w:right="0"/>
              <w:jc w:val="left"/>
              <w:rPr>
                <w:rFonts w:ascii="Times New Roman" w:hAnsi="Times New Roman" w:cs="Times New Roman" w:eastAsia="Times New Roman" w:hint="default"/>
                <w:sz w:val="18"/>
                <w:szCs w:val="18"/>
              </w:rPr>
            </w:pPr>
            <w:r>
              <w:rPr>
                <w:rFonts w:ascii="Times New Roman"/>
                <w:sz w:val="18"/>
              </w:rPr>
              <w:t>73.51</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7,993,85</w:t>
            </w:r>
          </w:p>
          <w:p>
            <w:pPr>
              <w:pStyle w:val="TableParagraph"/>
              <w:spacing w:line="240" w:lineRule="auto" w:before="106"/>
              <w:ind w:left="390" w:right="0"/>
              <w:jc w:val="left"/>
              <w:rPr>
                <w:rFonts w:ascii="Times New Roman" w:hAnsi="Times New Roman" w:cs="Times New Roman" w:eastAsia="Times New Roman" w:hint="default"/>
                <w:sz w:val="18"/>
                <w:szCs w:val="18"/>
              </w:rPr>
            </w:pPr>
            <w:r>
              <w:rPr>
                <w:rFonts w:ascii="Times New Roman"/>
                <w:sz w:val="18"/>
              </w:rPr>
              <w:t>4.69</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89" w:right="0"/>
              <w:jc w:val="left"/>
              <w:rPr>
                <w:rFonts w:ascii="Times New Roman" w:hAnsi="Times New Roman" w:cs="Times New Roman" w:eastAsia="Times New Roman" w:hint="default"/>
                <w:sz w:val="18"/>
                <w:szCs w:val="18"/>
              </w:rPr>
            </w:pPr>
            <w:r>
              <w:rPr>
                <w:rFonts w:ascii="Times New Roman"/>
                <w:sz w:val="18"/>
              </w:rPr>
              <w:t>0.00</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3" w:right="0"/>
              <w:jc w:val="left"/>
              <w:rPr>
                <w:rFonts w:ascii="Times New Roman" w:hAnsi="Times New Roman" w:cs="Times New Roman" w:eastAsia="Times New Roman" w:hint="default"/>
                <w:sz w:val="18"/>
                <w:szCs w:val="18"/>
              </w:rPr>
            </w:pPr>
            <w:r>
              <w:rPr>
                <w:rFonts w:ascii="Times New Roman"/>
                <w:sz w:val="18"/>
              </w:rPr>
              <w:t>7,993,85</w:t>
            </w:r>
          </w:p>
          <w:p>
            <w:pPr>
              <w:pStyle w:val="TableParagraph"/>
              <w:spacing w:line="240" w:lineRule="auto" w:before="106"/>
              <w:ind w:left="388" w:right="0"/>
              <w:jc w:val="left"/>
              <w:rPr>
                <w:rFonts w:ascii="Times New Roman" w:hAnsi="Times New Roman" w:cs="Times New Roman" w:eastAsia="Times New Roman" w:hint="default"/>
                <w:sz w:val="18"/>
                <w:szCs w:val="18"/>
              </w:rPr>
            </w:pPr>
            <w:r>
              <w:rPr>
                <w:rFonts w:ascii="Times New Roman"/>
                <w:sz w:val="18"/>
              </w:rPr>
              <w:t>4.69</w:t>
            </w:r>
          </w:p>
        </w:tc>
      </w:tr>
      <w:tr>
        <w:trPr>
          <w:trHeight w:val="714" w:hRule="exact"/>
        </w:trPr>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61"/>
              <w:jc w:val="left"/>
              <w:rPr>
                <w:rFonts w:ascii="宋体" w:hAnsi="宋体" w:cs="宋体" w:eastAsia="宋体" w:hint="default"/>
                <w:sz w:val="18"/>
                <w:szCs w:val="18"/>
              </w:rPr>
            </w:pPr>
            <w:r>
              <w:rPr>
                <w:rFonts w:ascii="宋体" w:hAnsi="宋体" w:cs="宋体" w:eastAsia="宋体" w:hint="default"/>
                <w:sz w:val="18"/>
                <w:szCs w:val="18"/>
              </w:rPr>
              <w:t>奥拓立 翔</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1" w:right="0"/>
              <w:jc w:val="left"/>
              <w:rPr>
                <w:rFonts w:ascii="Times New Roman" w:hAnsi="Times New Roman" w:cs="Times New Roman" w:eastAsia="Times New Roman" w:hint="default"/>
                <w:sz w:val="18"/>
                <w:szCs w:val="18"/>
              </w:rPr>
            </w:pPr>
            <w:r>
              <w:rPr>
                <w:rFonts w:ascii="Times New Roman"/>
                <w:sz w:val="18"/>
              </w:rPr>
              <w:t>12,115,8</w:t>
            </w:r>
          </w:p>
          <w:p>
            <w:pPr>
              <w:pStyle w:val="TableParagraph"/>
              <w:spacing w:line="240" w:lineRule="auto" w:before="106"/>
              <w:ind w:left="299" w:right="0"/>
              <w:jc w:val="left"/>
              <w:rPr>
                <w:rFonts w:ascii="Times New Roman" w:hAnsi="Times New Roman" w:cs="Times New Roman" w:eastAsia="Times New Roman" w:hint="default"/>
                <w:sz w:val="18"/>
                <w:szCs w:val="18"/>
              </w:rPr>
            </w:pPr>
            <w:r>
              <w:rPr>
                <w:rFonts w:ascii="Times New Roman"/>
                <w:sz w:val="18"/>
              </w:rPr>
              <w:t>48.81</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3" w:right="0"/>
              <w:jc w:val="left"/>
              <w:rPr>
                <w:rFonts w:ascii="Times New Roman" w:hAnsi="Times New Roman" w:cs="Times New Roman" w:eastAsia="Times New Roman" w:hint="default"/>
                <w:sz w:val="18"/>
                <w:szCs w:val="18"/>
              </w:rPr>
            </w:pPr>
            <w:r>
              <w:rPr>
                <w:rFonts w:ascii="Times New Roman"/>
                <w:sz w:val="18"/>
              </w:rPr>
              <w:t>14,542,7</w:t>
            </w:r>
          </w:p>
          <w:p>
            <w:pPr>
              <w:pStyle w:val="TableParagraph"/>
              <w:spacing w:line="240" w:lineRule="auto" w:before="106"/>
              <w:ind w:left="298" w:right="0"/>
              <w:jc w:val="left"/>
              <w:rPr>
                <w:rFonts w:ascii="Times New Roman" w:hAnsi="Times New Roman" w:cs="Times New Roman" w:eastAsia="Times New Roman" w:hint="default"/>
                <w:sz w:val="18"/>
                <w:szCs w:val="18"/>
              </w:rPr>
            </w:pPr>
            <w:r>
              <w:rPr>
                <w:rFonts w:ascii="Times New Roman"/>
                <w:sz w:val="18"/>
              </w:rPr>
              <w:t>87.80</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3" w:right="0"/>
              <w:jc w:val="left"/>
              <w:rPr>
                <w:rFonts w:ascii="Times New Roman" w:hAnsi="Times New Roman" w:cs="Times New Roman" w:eastAsia="Times New Roman" w:hint="default"/>
                <w:sz w:val="18"/>
                <w:szCs w:val="18"/>
              </w:rPr>
            </w:pPr>
            <w:r>
              <w:rPr>
                <w:rFonts w:ascii="Times New Roman"/>
                <w:sz w:val="18"/>
              </w:rPr>
              <w:t>26,658,6</w:t>
            </w:r>
          </w:p>
          <w:p>
            <w:pPr>
              <w:pStyle w:val="TableParagraph"/>
              <w:spacing w:line="240" w:lineRule="auto" w:before="106"/>
              <w:ind w:left="298" w:right="0"/>
              <w:jc w:val="left"/>
              <w:rPr>
                <w:rFonts w:ascii="Times New Roman" w:hAnsi="Times New Roman" w:cs="Times New Roman" w:eastAsia="Times New Roman" w:hint="default"/>
                <w:sz w:val="18"/>
                <w:szCs w:val="18"/>
              </w:rPr>
            </w:pPr>
            <w:r>
              <w:rPr>
                <w:rFonts w:ascii="Times New Roman"/>
                <w:sz w:val="18"/>
              </w:rPr>
              <w:t>36.61</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3,274,12</w:t>
            </w:r>
          </w:p>
          <w:p>
            <w:pPr>
              <w:pStyle w:val="TableParagraph"/>
              <w:spacing w:line="240" w:lineRule="auto" w:before="106"/>
              <w:ind w:left="390" w:right="0"/>
              <w:jc w:val="left"/>
              <w:rPr>
                <w:rFonts w:ascii="Times New Roman" w:hAnsi="Times New Roman" w:cs="Times New Roman" w:eastAsia="Times New Roman" w:hint="default"/>
                <w:sz w:val="18"/>
                <w:szCs w:val="18"/>
              </w:rPr>
            </w:pPr>
            <w:r>
              <w:rPr>
                <w:rFonts w:ascii="Times New Roman"/>
                <w:sz w:val="18"/>
              </w:rPr>
              <w:t>5.38</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279,751.</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08</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1" w:right="0"/>
              <w:jc w:val="left"/>
              <w:rPr>
                <w:rFonts w:ascii="Times New Roman" w:hAnsi="Times New Roman" w:cs="Times New Roman" w:eastAsia="Times New Roman" w:hint="default"/>
                <w:sz w:val="18"/>
                <w:szCs w:val="18"/>
              </w:rPr>
            </w:pPr>
            <w:r>
              <w:rPr>
                <w:rFonts w:ascii="Times New Roman"/>
                <w:sz w:val="18"/>
              </w:rPr>
              <w:t>3,553,87</w:t>
            </w:r>
          </w:p>
          <w:p>
            <w:pPr>
              <w:pStyle w:val="TableParagraph"/>
              <w:spacing w:line="240" w:lineRule="auto" w:before="106"/>
              <w:ind w:left="387" w:right="0"/>
              <w:jc w:val="left"/>
              <w:rPr>
                <w:rFonts w:ascii="Times New Roman" w:hAnsi="Times New Roman" w:cs="Times New Roman" w:eastAsia="Times New Roman" w:hint="default"/>
                <w:sz w:val="18"/>
                <w:szCs w:val="18"/>
              </w:rPr>
            </w:pPr>
            <w:r>
              <w:rPr>
                <w:rFonts w:ascii="Times New Roman"/>
                <w:sz w:val="18"/>
              </w:rPr>
              <w:t>6.46</w:t>
            </w:r>
          </w:p>
        </w:tc>
        <w:tc>
          <w:tcPr>
            <w:tcW w:w="734"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735"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61"/>
              <w:jc w:val="left"/>
              <w:rPr>
                <w:rFonts w:ascii="宋体" w:hAnsi="宋体" w:cs="宋体" w:eastAsia="宋体" w:hint="default"/>
                <w:sz w:val="18"/>
                <w:szCs w:val="18"/>
              </w:rPr>
            </w:pPr>
            <w:r>
              <w:rPr>
                <w:rFonts w:ascii="宋体" w:hAnsi="宋体" w:cs="宋体" w:eastAsia="宋体" w:hint="default"/>
                <w:sz w:val="18"/>
                <w:szCs w:val="18"/>
              </w:rPr>
              <w:t>奥拓体 育发展</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1,528,77</w:t>
            </w:r>
          </w:p>
          <w:p>
            <w:pPr>
              <w:pStyle w:val="TableParagraph"/>
              <w:spacing w:line="240" w:lineRule="auto" w:before="106"/>
              <w:ind w:left="389" w:right="0"/>
              <w:jc w:val="left"/>
              <w:rPr>
                <w:rFonts w:ascii="Times New Roman" w:hAnsi="Times New Roman" w:cs="Times New Roman" w:eastAsia="Times New Roman" w:hint="default"/>
                <w:sz w:val="18"/>
                <w:szCs w:val="18"/>
              </w:rPr>
            </w:pPr>
            <w:r>
              <w:rPr>
                <w:rFonts w:ascii="Times New Roman"/>
                <w:sz w:val="18"/>
              </w:rPr>
              <w:t>2.33</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3" w:right="0"/>
              <w:jc w:val="left"/>
              <w:rPr>
                <w:rFonts w:ascii="Times New Roman" w:hAnsi="Times New Roman" w:cs="Times New Roman" w:eastAsia="Times New Roman" w:hint="default"/>
                <w:sz w:val="18"/>
                <w:szCs w:val="18"/>
              </w:rPr>
            </w:pPr>
            <w:r>
              <w:rPr>
                <w:rFonts w:ascii="Times New Roman"/>
                <w:sz w:val="18"/>
              </w:rPr>
              <w:t>1,766,99</w:t>
            </w:r>
          </w:p>
          <w:p>
            <w:pPr>
              <w:pStyle w:val="TableParagraph"/>
              <w:spacing w:line="240" w:lineRule="auto" w:before="106"/>
              <w:ind w:left="388" w:right="0"/>
              <w:jc w:val="left"/>
              <w:rPr>
                <w:rFonts w:ascii="Times New Roman" w:hAnsi="Times New Roman" w:cs="Times New Roman" w:eastAsia="Times New Roman" w:hint="default"/>
                <w:sz w:val="18"/>
                <w:szCs w:val="18"/>
              </w:rPr>
            </w:pPr>
            <w:r>
              <w:rPr>
                <w:rFonts w:ascii="Times New Roman"/>
                <w:sz w:val="18"/>
              </w:rPr>
              <w:t>8.23</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3" w:right="0"/>
              <w:jc w:val="left"/>
              <w:rPr>
                <w:rFonts w:ascii="Times New Roman" w:hAnsi="Times New Roman" w:cs="Times New Roman" w:eastAsia="Times New Roman" w:hint="default"/>
                <w:sz w:val="18"/>
                <w:szCs w:val="18"/>
              </w:rPr>
            </w:pPr>
            <w:r>
              <w:rPr>
                <w:rFonts w:ascii="Times New Roman"/>
                <w:sz w:val="18"/>
              </w:rPr>
              <w:t>3,295,77</w:t>
            </w:r>
          </w:p>
          <w:p>
            <w:pPr>
              <w:pStyle w:val="TableParagraph"/>
              <w:spacing w:line="240" w:lineRule="auto" w:before="106"/>
              <w:ind w:left="388" w:right="0"/>
              <w:jc w:val="left"/>
              <w:rPr>
                <w:rFonts w:ascii="Times New Roman" w:hAnsi="Times New Roman" w:cs="Times New Roman" w:eastAsia="Times New Roman" w:hint="default"/>
                <w:sz w:val="18"/>
                <w:szCs w:val="18"/>
              </w:rPr>
            </w:pPr>
            <w:r>
              <w:rPr>
                <w:rFonts w:ascii="Times New Roman"/>
                <w:sz w:val="18"/>
              </w:rPr>
              <w:t>0.56</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1,592,00</w:t>
            </w:r>
          </w:p>
          <w:p>
            <w:pPr>
              <w:pStyle w:val="TableParagraph"/>
              <w:spacing w:line="240" w:lineRule="auto" w:before="106"/>
              <w:ind w:left="390" w:right="0"/>
              <w:jc w:val="left"/>
              <w:rPr>
                <w:rFonts w:ascii="Times New Roman" w:hAnsi="Times New Roman" w:cs="Times New Roman" w:eastAsia="Times New Roman" w:hint="default"/>
                <w:sz w:val="18"/>
                <w:szCs w:val="18"/>
              </w:rPr>
            </w:pPr>
            <w:r>
              <w:rPr>
                <w:rFonts w:ascii="Times New Roman"/>
                <w:sz w:val="18"/>
              </w:rPr>
              <w:t>3.94</w:t>
            </w:r>
          </w:p>
        </w:tc>
        <w:tc>
          <w:tcPr>
            <w:tcW w:w="735"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1" w:right="0"/>
              <w:jc w:val="left"/>
              <w:rPr>
                <w:rFonts w:ascii="Times New Roman" w:hAnsi="Times New Roman" w:cs="Times New Roman" w:eastAsia="Times New Roman" w:hint="default"/>
                <w:sz w:val="18"/>
                <w:szCs w:val="18"/>
              </w:rPr>
            </w:pPr>
            <w:r>
              <w:rPr>
                <w:rFonts w:ascii="Times New Roman"/>
                <w:sz w:val="18"/>
              </w:rPr>
              <w:t>1,592,00</w:t>
            </w:r>
          </w:p>
          <w:p>
            <w:pPr>
              <w:pStyle w:val="TableParagraph"/>
              <w:spacing w:line="240" w:lineRule="auto" w:before="106"/>
              <w:ind w:left="387" w:right="0"/>
              <w:jc w:val="left"/>
              <w:rPr>
                <w:rFonts w:ascii="Times New Roman" w:hAnsi="Times New Roman" w:cs="Times New Roman" w:eastAsia="Times New Roman" w:hint="default"/>
                <w:sz w:val="18"/>
                <w:szCs w:val="18"/>
              </w:rPr>
            </w:pPr>
            <w:r>
              <w:rPr>
                <w:rFonts w:ascii="Times New Roman"/>
                <w:sz w:val="18"/>
              </w:rPr>
              <w:t>3.94</w:t>
            </w:r>
          </w:p>
        </w:tc>
        <w:tc>
          <w:tcPr>
            <w:tcW w:w="734"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735"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1"/>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061"/>
        <w:gridCol w:w="1061"/>
        <w:gridCol w:w="1062"/>
        <w:gridCol w:w="1066"/>
        <w:gridCol w:w="1064"/>
        <w:gridCol w:w="1063"/>
        <w:gridCol w:w="1064"/>
        <w:gridCol w:w="1063"/>
        <w:gridCol w:w="1066"/>
      </w:tblGrid>
      <w:tr>
        <w:trPr>
          <w:trHeight w:val="402" w:hRule="exact"/>
        </w:trPr>
        <w:tc>
          <w:tcPr>
            <w:tcW w:w="106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75"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4253"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425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4" w:hRule="exact"/>
        </w:trPr>
        <w:tc>
          <w:tcPr>
            <w:tcW w:w="1061" w:type="dxa"/>
            <w:vMerge/>
            <w:tcBorders>
              <w:left w:val="single" w:sz="4" w:space="0" w:color="000000"/>
              <w:bottom w:val="single" w:sz="4" w:space="0" w:color="000000"/>
              <w:right w:val="single" w:sz="4" w:space="0" w:color="000000"/>
            </w:tcBorders>
            <w:shd w:val="clear" w:color="auto" w:fill="D2D2D2"/>
          </w:tcPr>
          <w:p>
            <w:pP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56"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438" w:right="76" w:hanging="360"/>
              <w:jc w:val="left"/>
              <w:rPr>
                <w:rFonts w:ascii="宋体" w:hAnsi="宋体" w:cs="宋体" w:eastAsia="宋体" w:hint="default"/>
                <w:sz w:val="18"/>
                <w:szCs w:val="18"/>
              </w:rPr>
            </w:pPr>
            <w:r>
              <w:rPr>
                <w:rFonts w:ascii="宋体" w:hAnsi="宋体" w:cs="宋体" w:eastAsia="宋体" w:hint="default"/>
                <w:sz w:val="18"/>
                <w:szCs w:val="18"/>
              </w:rPr>
              <w:t>综合收益总 额</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56" w:right="77" w:hanging="180"/>
              <w:jc w:val="left"/>
              <w:rPr>
                <w:rFonts w:ascii="宋体" w:hAnsi="宋体" w:cs="宋体" w:eastAsia="宋体" w:hint="default"/>
                <w:sz w:val="18"/>
                <w:szCs w:val="18"/>
              </w:rPr>
            </w:pPr>
            <w:r>
              <w:rPr>
                <w:rFonts w:ascii="宋体" w:hAnsi="宋体" w:cs="宋体" w:eastAsia="宋体" w:hint="default"/>
                <w:sz w:val="18"/>
                <w:szCs w:val="18"/>
              </w:rPr>
              <w:t>经营活动现 金流量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净利润</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435" w:right="77" w:hanging="360"/>
              <w:jc w:val="left"/>
              <w:rPr>
                <w:rFonts w:ascii="宋体" w:hAnsi="宋体" w:cs="宋体" w:eastAsia="宋体" w:hint="default"/>
                <w:sz w:val="18"/>
                <w:szCs w:val="18"/>
              </w:rPr>
            </w:pPr>
            <w:r>
              <w:rPr>
                <w:rFonts w:ascii="宋体" w:hAnsi="宋体" w:cs="宋体" w:eastAsia="宋体" w:hint="default"/>
                <w:sz w:val="18"/>
                <w:szCs w:val="18"/>
              </w:rPr>
              <w:t>综合收益总 额</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57" w:right="77" w:hanging="180"/>
              <w:jc w:val="left"/>
              <w:rPr>
                <w:rFonts w:ascii="宋体" w:hAnsi="宋体" w:cs="宋体" w:eastAsia="宋体" w:hint="default"/>
                <w:sz w:val="18"/>
                <w:szCs w:val="18"/>
              </w:rPr>
            </w:pPr>
            <w:r>
              <w:rPr>
                <w:rFonts w:ascii="宋体" w:hAnsi="宋体" w:cs="宋体" w:eastAsia="宋体" w:hint="default"/>
                <w:sz w:val="18"/>
                <w:szCs w:val="18"/>
              </w:rPr>
              <w:t>经营活动现 金流量</w:t>
            </w:r>
          </w:p>
        </w:tc>
      </w:tr>
      <w:tr>
        <w:trPr>
          <w:trHeight w:val="714" w:hRule="exact"/>
        </w:trPr>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上海翰明</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21,862,712.8</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7</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482,499.52</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482,499.52</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-3,472,079.00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31,713,400.1</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5</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1" w:right="0"/>
              <w:jc w:val="center"/>
              <w:rPr>
                <w:rFonts w:ascii="Times New Roman" w:hAnsi="Times New Roman" w:cs="Times New Roman" w:eastAsia="Times New Roman" w:hint="default"/>
                <w:sz w:val="18"/>
                <w:szCs w:val="18"/>
              </w:rPr>
            </w:pPr>
            <w:r>
              <w:rPr>
                <w:rFonts w:ascii="Times New Roman"/>
                <w:sz w:val="18"/>
              </w:rPr>
              <w:t>3,285,576.82</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5" w:right="0"/>
              <w:jc w:val="left"/>
              <w:rPr>
                <w:rFonts w:ascii="Times New Roman" w:hAnsi="Times New Roman" w:cs="Times New Roman" w:eastAsia="Times New Roman" w:hint="default"/>
                <w:sz w:val="18"/>
                <w:szCs w:val="18"/>
              </w:rPr>
            </w:pPr>
            <w:r>
              <w:rPr>
                <w:rFonts w:ascii="Times New Roman"/>
                <w:sz w:val="18"/>
              </w:rPr>
              <w:t>3,285,576.82</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8" w:right="0"/>
              <w:jc w:val="left"/>
              <w:rPr>
                <w:rFonts w:ascii="Times New Roman" w:hAnsi="Times New Roman" w:cs="Times New Roman" w:eastAsia="Times New Roman" w:hint="default"/>
                <w:sz w:val="18"/>
                <w:szCs w:val="18"/>
              </w:rPr>
            </w:pPr>
            <w:r>
              <w:rPr>
                <w:rFonts w:ascii="Times New Roman"/>
                <w:sz w:val="18"/>
              </w:rPr>
              <w:t>4,978,541.54</w:t>
            </w:r>
          </w:p>
        </w:tc>
      </w:tr>
      <w:tr>
        <w:trPr>
          <w:trHeight w:val="714" w:hRule="exact"/>
        </w:trPr>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奥拓立翔</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27,975,108.0</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1</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-1,927,441.88</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-1,927,441.88</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-9,292,626.39</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26"/>
              <w:jc w:val="left"/>
              <w:rPr>
                <w:rFonts w:ascii="宋体" w:hAnsi="宋体" w:cs="宋体" w:eastAsia="宋体" w:hint="default"/>
                <w:sz w:val="18"/>
                <w:szCs w:val="18"/>
              </w:rPr>
            </w:pPr>
            <w:r>
              <w:rPr>
                <w:rFonts w:ascii="宋体" w:hAnsi="宋体" w:cs="宋体" w:eastAsia="宋体" w:hint="default"/>
                <w:sz w:val="18"/>
                <w:szCs w:val="18"/>
              </w:rPr>
              <w:t>奥拓体育发 展</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1" w:right="0"/>
              <w:jc w:val="center"/>
              <w:rPr>
                <w:rFonts w:ascii="Times New Roman" w:hAnsi="Times New Roman" w:cs="Times New Roman" w:eastAsia="Times New Roman" w:hint="default"/>
                <w:sz w:val="18"/>
                <w:szCs w:val="18"/>
              </w:rPr>
            </w:pPr>
            <w:r>
              <w:rPr>
                <w:rFonts w:ascii="Times New Roman"/>
                <w:sz w:val="18"/>
              </w:rPr>
              <w:t>3,051,638.26</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-596,233.38</w:t>
            </w:r>
            <w:r>
              <w:rPr>
                <w:rFonts w:ascii="Times New Roman"/>
                <w:sz w:val="18"/>
              </w:rPr>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-596,233.38</w:t>
            </w:r>
            <w:r>
              <w:rPr>
                <w:rFonts w:ascii="Times New Roman"/>
                <w:sz w:val="18"/>
              </w:rPr>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75,067.21</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1"/>
        <w:ind w:left="154" w:right="0"/>
        <w:jc w:val="left"/>
      </w:pPr>
      <w:r>
        <w:rPr/>
        <w:t>其他说明：</w:t>
      </w:r>
    </w:p>
    <w:p>
      <w:pPr>
        <w:spacing w:line="240" w:lineRule="auto" w:before="11"/>
        <w:rPr>
          <w:rFonts w:ascii="宋体" w:hAnsi="宋体" w:cs="宋体" w:eastAsia="宋体" w:hint="default"/>
          <w:sz w:val="26"/>
          <w:szCs w:val="26"/>
        </w:rPr>
      </w:pPr>
    </w:p>
    <w:p>
      <w:pPr>
        <w:pStyle w:val="Heading3"/>
        <w:spacing w:line="240" w:lineRule="auto"/>
        <w:ind w:left="153" w:right="0"/>
        <w:jc w:val="left"/>
        <w:rPr>
          <w:b w:val="0"/>
          <w:bCs w:val="0"/>
        </w:rPr>
      </w:pPr>
      <w:bookmarkStart w:name="（4）使用企业集团资产和清偿企业集团债务的重大限制" w:id="427"/>
      <w:bookmarkEnd w:id="427"/>
      <w:r>
        <w:rPr>
          <w:b w:val="0"/>
          <w:bCs w:val="0"/>
        </w:rPr>
      </w:r>
      <w:r>
        <w:rPr/>
        <w:t>（</w:t>
      </w:r>
      <w:r>
        <w:rPr>
          <w:rFonts w:ascii="Times New Roman" w:hAnsi="Times New Roman" w:cs="Times New Roman" w:eastAsia="Times New Roman" w:hint="default"/>
        </w:rPr>
        <w:t>4</w:t>
      </w:r>
      <w:r>
        <w:rPr/>
        <w:t>）使用企业集团资产和清偿企业集团债务的重大限制</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left="153" w:right="0"/>
        <w:jc w:val="left"/>
        <w:rPr>
          <w:b w:val="0"/>
          <w:bCs w:val="0"/>
        </w:rPr>
      </w:pPr>
      <w:bookmarkStart w:name="（5）向纳入合并财务报表范围的结构化主体提供的财务支持或其他支持" w:id="428"/>
      <w:bookmarkEnd w:id="428"/>
      <w:r>
        <w:rPr>
          <w:b w:val="0"/>
          <w:bCs w:val="0"/>
        </w:rPr>
      </w:r>
      <w:r>
        <w:rPr/>
        <w:t>（</w:t>
      </w:r>
      <w:r>
        <w:rPr>
          <w:rFonts w:ascii="Times New Roman" w:hAnsi="Times New Roman" w:cs="Times New Roman" w:eastAsia="Times New Roman" w:hint="default"/>
        </w:rPr>
        <w:t>5</w:t>
      </w:r>
      <w:r>
        <w:rPr/>
        <w:t>）向纳入合并财务报表范围的结构化主体提供的财务支持或其他支持</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其他说明：</w:t>
      </w:r>
    </w:p>
    <w:p>
      <w:pPr>
        <w:spacing w:line="240" w:lineRule="auto" w:before="10"/>
        <w:rPr>
          <w:rFonts w:ascii="宋体" w:hAnsi="宋体" w:cs="宋体" w:eastAsia="宋体" w:hint="default"/>
          <w:sz w:val="26"/>
          <w:szCs w:val="26"/>
        </w:rPr>
      </w:pPr>
    </w:p>
    <w:p>
      <w:pPr>
        <w:pStyle w:val="Heading3"/>
        <w:spacing w:line="240" w:lineRule="auto"/>
        <w:ind w:left="153" w:right="0"/>
        <w:jc w:val="left"/>
        <w:rPr>
          <w:b w:val="0"/>
          <w:bCs w:val="0"/>
        </w:rPr>
      </w:pPr>
      <w:bookmarkStart w:name="2、在子公司的所有者权益份额发生变化且仍控制子公司的交易" w:id="429"/>
      <w:bookmarkEnd w:id="429"/>
      <w:r>
        <w:rPr>
          <w:b w:val="0"/>
          <w:bCs w:val="0"/>
        </w:rPr>
      </w:r>
      <w:r>
        <w:rPr>
          <w:rFonts w:ascii="Times New Roman" w:hAnsi="Times New Roman" w:cs="Times New Roman" w:eastAsia="Times New Roman" w:hint="default"/>
        </w:rPr>
        <w:t>2</w:t>
      </w:r>
      <w:r>
        <w:rPr/>
        <w:t>、在子公司的所有者权益份额发生变化且仍控制子公司的交易</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1）在子公司所有者权益份额发生变化的情况说明" w:id="430"/>
      <w:bookmarkEnd w:id="430"/>
      <w:r>
        <w:rPr>
          <w:b w:val="0"/>
          <w:bCs w:val="0"/>
        </w:rPr>
      </w:r>
      <w:r>
        <w:rPr/>
        <w:t>（</w:t>
      </w:r>
      <w:r>
        <w:rPr>
          <w:rFonts w:ascii="Times New Roman" w:hAnsi="Times New Roman" w:cs="Times New Roman" w:eastAsia="Times New Roman" w:hint="default"/>
        </w:rPr>
        <w:t>1</w:t>
      </w:r>
      <w:r>
        <w:rPr/>
        <w:t>）在子公司所有者权益份额发生变化的情况说明</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2）交易对于少数股东权益及归属于母公司所有者权益的影响" w:id="431"/>
      <w:bookmarkEnd w:id="431"/>
      <w:r>
        <w:rPr>
          <w:b w:val="0"/>
          <w:bCs w:val="0"/>
        </w:rPr>
      </w:r>
      <w:r>
        <w:rPr/>
        <w:t>（</w:t>
      </w:r>
      <w:r>
        <w:rPr>
          <w:rFonts w:ascii="Times New Roman" w:hAnsi="Times New Roman" w:cs="Times New Roman" w:eastAsia="Times New Roman" w:hint="default"/>
        </w:rPr>
        <w:t>2</w:t>
      </w:r>
      <w:r>
        <w:rPr/>
        <w:t>）交易对于少数股东权益及归属于母公司所有者权益的影响</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8"/>
        <w:rPr>
          <w:rFonts w:ascii="宋体" w:hAnsi="宋体" w:cs="宋体" w:eastAsia="宋体" w:hint="default"/>
          <w:sz w:val="7"/>
          <w:szCs w:val="7"/>
        </w:rPr>
      </w:pPr>
    </w:p>
    <w:p>
      <w:pPr>
        <w:spacing w:line="422" w:lineRule="exact"/>
        <w:ind w:left="149"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8.95pt;height:21.15pt;mso-position-horizontal-relative:char;mso-position-vertical-relative:line" coordorigin="0,0" coordsize="9579,423">
            <v:group style="position:absolute;left:21;top:16;width:2;height:392" coordorigin="21,16" coordsize="2,392">
              <v:shape style="position:absolute;left:21;top:16;width:2;height:392" coordorigin="21,16" coordsize="0,392" path="m21,16l21,407e" filled="false" stroked="true" strokeweight="1.140pt" strokecolor="#d2d2d2">
                <v:path arrowok="t"/>
              </v:shape>
            </v:group>
            <v:group style="position:absolute;left:4773;top:16;width:2;height:392" coordorigin="4773,16" coordsize="2,392">
              <v:shape style="position:absolute;left:4773;top:16;width:2;height:392" coordorigin="4773,16" coordsize="0,392" path="m4773,16l4773,407e" filled="false" stroked="true" strokeweight="1.140pt" strokecolor="#d2d2d2">
                <v:path arrowok="t"/>
              </v:shape>
            </v:group>
            <v:group style="position:absolute;left:32;top:16;width:4729;height:392" coordorigin="32,16" coordsize="4729,392">
              <v:shape style="position:absolute;left:32;top:16;width:4729;height:392" coordorigin="32,16" coordsize="4729,392" path="m32,407l4761,407,4761,16,32,16,32,407xe" filled="true" fillcolor="#d2d2d2" stroked="false">
                <v:path arrowok="t"/>
                <v:fill type="solid"/>
              </v:shape>
            </v:group>
            <v:group style="position:absolute;left:4806;top:16;width:2;height:392" coordorigin="4806,16" coordsize="2,392">
              <v:shape style="position:absolute;left:4806;top:16;width:2;height:392" coordorigin="4806,16" coordsize="0,392" path="m4806,16l4806,407e" filled="false" stroked="true" strokeweight="1.140pt" strokecolor="#e0ffff">
                <v:path arrowok="t"/>
              </v:shape>
            </v:group>
            <v:group style="position:absolute;left:9557;top:16;width:2;height:392" coordorigin="9557,16" coordsize="2,392">
              <v:shape style="position:absolute;left:9557;top:16;width:2;height:392" coordorigin="9557,16" coordsize="0,392" path="m9557,16l9557,407e" filled="false" stroked="true" strokeweight="1.140pt" strokecolor="#e0ffff">
                <v:path arrowok="t"/>
              </v:shape>
            </v:group>
            <v:group style="position:absolute;left:4818;top:16;width:4729;height:392" coordorigin="4818,16" coordsize="4729,392">
              <v:shape style="position:absolute;left:4818;top:16;width:4729;height:392" coordorigin="4818,16" coordsize="4729,392" path="m4818,407l9546,407,9546,16,4818,16,4818,407xe" filled="true" fillcolor="#e0ffff" stroked="false">
                <v:path arrowok="t"/>
                <v:fill type="solid"/>
              </v:shape>
            </v:group>
            <v:group style="position:absolute;left:10;top:10;width:4776;height:2" coordorigin="10,10" coordsize="4776,2">
              <v:shape style="position:absolute;left:10;top:10;width:4776;height:2" coordorigin="10,10" coordsize="4776,0" path="m10,10l4785,10e" filled="false" stroked="true" strokeweight=".48pt" strokecolor="#000000">
                <v:path arrowok="t"/>
              </v:shape>
            </v:group>
            <v:group style="position:absolute;left:4795;top:10;width:4774;height:2" coordorigin="4795,10" coordsize="4774,2">
              <v:shape style="position:absolute;left:4795;top:10;width:4774;height:2" coordorigin="4795,10" coordsize="4774,0" path="m4795,10l9569,10e" filled="false" stroked="true" strokeweight=".48pt" strokecolor="#000000">
                <v:path arrowok="t"/>
              </v:shape>
            </v:group>
            <v:group style="position:absolute;left:5;top:5;width:2;height:413" coordorigin="5,5" coordsize="2,413">
              <v:shape style="position:absolute;left:5;top:5;width:2;height:413" coordorigin="5,5" coordsize="0,413" path="m5,5l5,418e" filled="false" stroked="true" strokeweight=".48pt" strokecolor="#000000">
                <v:path arrowok="t"/>
              </v:shape>
            </v:group>
            <v:group style="position:absolute;left:10;top:413;width:4776;height:2" coordorigin="10,413" coordsize="4776,2">
              <v:shape style="position:absolute;left:10;top:413;width:4776;height:2" coordorigin="10,413" coordsize="4776,0" path="m10,413l4785,413e" filled="false" stroked="true" strokeweight=".48pt" strokecolor="#000000">
                <v:path arrowok="t"/>
              </v:shape>
            </v:group>
            <v:group style="position:absolute;left:4790;top:5;width:2;height:413" coordorigin="4790,5" coordsize="2,413">
              <v:shape style="position:absolute;left:4790;top:5;width:2;height:413" coordorigin="4790,5" coordsize="0,413" path="m4790,5l4790,418e" filled="false" stroked="true" strokeweight=".48pt" strokecolor="#000000">
                <v:path arrowok="t"/>
              </v:shape>
            </v:group>
            <v:group style="position:absolute;left:4795;top:413;width:4774;height:2" coordorigin="4795,413" coordsize="4774,2">
              <v:shape style="position:absolute;left:4795;top:413;width:4774;height:2" coordorigin="4795,413" coordsize="4774,0" path="m4795,413l9569,413e" filled="false" stroked="true" strokeweight=".48pt" strokecolor="#000000">
                <v:path arrowok="t"/>
              </v:shape>
            </v:group>
            <v:group style="position:absolute;left:9574;top:5;width:2;height:413" coordorigin="9574,5" coordsize="2,413">
              <v:shape style="position:absolute;left:9574;top:5;width:2;height:413" coordorigin="9574,5" coordsize="0,413" path="m9574,5l9574,418e" filled="false" stroked="true" strokeweight=".48pt" strokecolor="#000000">
                <v:path arrowok="t"/>
              </v:shape>
            </v:group>
          </v:group>
        </w:pict>
      </w:r>
      <w:r>
        <w:rPr>
          <w:rFonts w:ascii="宋体" w:hAnsi="宋体" w:cs="宋体" w:eastAsia="宋体" w:hint="default"/>
          <w:position w:val="-7"/>
          <w:sz w:val="20"/>
          <w:szCs w:val="20"/>
        </w:rPr>
      </w:r>
    </w:p>
    <w:p>
      <w:pPr>
        <w:pStyle w:val="BodyText"/>
        <w:spacing w:line="240" w:lineRule="auto" w:before="47"/>
        <w:ind w:left="154" w:right="0"/>
        <w:jc w:val="left"/>
      </w:pPr>
      <w:r>
        <w:rPr/>
        <w:t>其他说明</w:t>
      </w:r>
    </w:p>
    <w:p>
      <w:pPr>
        <w:spacing w:after="0" w:line="240" w:lineRule="auto"/>
        <w:jc w:val="left"/>
        <w:sectPr>
          <w:pgSz w:w="11910" w:h="16840"/>
          <w:pgMar w:header="747" w:footer="979" w:top="1060" w:bottom="1160" w:left="980" w:right="0"/>
        </w:sectPr>
      </w:pPr>
    </w:p>
    <w:p>
      <w:pPr>
        <w:spacing w:line="240" w:lineRule="auto" w:before="9"/>
        <w:rPr>
          <w:rFonts w:ascii="宋体" w:hAnsi="宋体" w:cs="宋体" w:eastAsia="宋体" w:hint="default"/>
          <w:sz w:val="24"/>
          <w:szCs w:val="24"/>
        </w:rPr>
      </w:pPr>
    </w:p>
    <w:p>
      <w:pPr>
        <w:pStyle w:val="Heading3"/>
        <w:spacing w:line="240" w:lineRule="auto" w:before="35"/>
        <w:ind w:left="153" w:right="0"/>
        <w:jc w:val="left"/>
        <w:rPr>
          <w:b w:val="0"/>
          <w:bCs w:val="0"/>
        </w:rPr>
      </w:pPr>
      <w:bookmarkStart w:name="3、在合营安排或联营企业中的权益" w:id="432"/>
      <w:bookmarkEnd w:id="432"/>
      <w:r>
        <w:rPr>
          <w:b w:val="0"/>
          <w:bCs w:val="0"/>
        </w:rPr>
      </w:r>
      <w:r>
        <w:rPr>
          <w:rFonts w:ascii="Times New Roman" w:hAnsi="Times New Roman" w:cs="Times New Roman" w:eastAsia="Times New Roman" w:hint="default"/>
        </w:rPr>
        <w:t>3</w:t>
      </w:r>
      <w:r>
        <w:rPr/>
        <w:t>、在合营安排或联营企业中的权益</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left="153" w:right="0"/>
        <w:jc w:val="left"/>
        <w:rPr>
          <w:b w:val="0"/>
          <w:bCs w:val="0"/>
        </w:rPr>
      </w:pPr>
      <w:bookmarkStart w:name="（1）重要的合营企业或联营企业" w:id="433"/>
      <w:bookmarkEnd w:id="433"/>
      <w:r>
        <w:rPr>
          <w:b w:val="0"/>
          <w:bCs w:val="0"/>
        </w:rPr>
      </w:r>
      <w:r>
        <w:rPr/>
        <w:t>（</w:t>
      </w:r>
      <w:r>
        <w:rPr>
          <w:rFonts w:ascii="Times New Roman" w:hAnsi="Times New Roman" w:cs="Times New Roman" w:eastAsia="Times New Roman" w:hint="default"/>
        </w:rPr>
        <w:t>1</w:t>
      </w:r>
      <w:r>
        <w:rPr/>
        <w:t>）重要的合营企业或联营企业</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1372"/>
        <w:gridCol w:w="1367"/>
        <w:gridCol w:w="1367"/>
        <w:gridCol w:w="1367"/>
        <w:gridCol w:w="1367"/>
        <w:gridCol w:w="1367"/>
        <w:gridCol w:w="1366"/>
      </w:tblGrid>
      <w:tr>
        <w:trPr>
          <w:trHeight w:val="402" w:hRule="exact"/>
        </w:trPr>
        <w:tc>
          <w:tcPr>
            <w:tcW w:w="137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9" w:lineRule="auto"/>
              <w:ind w:left="320" w:right="51" w:hanging="270"/>
              <w:jc w:val="left"/>
              <w:rPr>
                <w:rFonts w:ascii="宋体" w:hAnsi="宋体" w:cs="宋体" w:eastAsia="宋体" w:hint="default"/>
                <w:sz w:val="18"/>
                <w:szCs w:val="18"/>
              </w:rPr>
            </w:pPr>
            <w:r>
              <w:rPr>
                <w:rFonts w:ascii="宋体" w:hAnsi="宋体" w:cs="宋体" w:eastAsia="宋体" w:hint="default"/>
                <w:sz w:val="18"/>
                <w:szCs w:val="18"/>
              </w:rPr>
              <w:t>合营企业或联营 企业名称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7"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408"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317"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持股比例</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48" w:right="47"/>
              <w:jc w:val="center"/>
              <w:rPr>
                <w:rFonts w:ascii="宋体" w:hAnsi="宋体" w:cs="宋体" w:eastAsia="宋体" w:hint="default"/>
                <w:sz w:val="18"/>
                <w:szCs w:val="18"/>
              </w:rPr>
            </w:pPr>
            <w:r>
              <w:rPr>
                <w:rFonts w:ascii="宋体" w:hAnsi="宋体" w:cs="宋体" w:eastAsia="宋体" w:hint="default"/>
                <w:sz w:val="18"/>
                <w:szCs w:val="18"/>
              </w:rPr>
              <w:t>对合营企业或联 营企业投资的会 计处理方法</w:t>
            </w:r>
          </w:p>
        </w:tc>
      </w:tr>
      <w:tr>
        <w:trPr>
          <w:trHeight w:val="624" w:hRule="exact"/>
        </w:trPr>
        <w:tc>
          <w:tcPr>
            <w:tcW w:w="1372"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直接</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间接</w:t>
            </w:r>
          </w:p>
        </w:tc>
        <w:tc>
          <w:tcPr>
            <w:tcW w:w="1366" w:type="dxa"/>
            <w:vMerge/>
            <w:tcBorders>
              <w:left w:val="single" w:sz="4" w:space="0" w:color="000000"/>
              <w:bottom w:val="single" w:sz="4" w:space="0" w:color="000000"/>
              <w:right w:val="single" w:sz="4" w:space="0" w:color="000000"/>
            </w:tcBorders>
            <w:shd w:val="clear" w:color="auto" w:fill="D2D2D2"/>
          </w:tcPr>
          <w:p>
            <w:pPr/>
          </w:p>
        </w:tc>
      </w:tr>
    </w:tbl>
    <w:p>
      <w:pPr>
        <w:pStyle w:val="BodyText"/>
        <w:spacing w:line="240" w:lineRule="auto" w:before="51"/>
        <w:ind w:left="154" w:right="0"/>
        <w:jc w:val="left"/>
      </w:pPr>
      <w:r>
        <w:rPr/>
        <w:t>在合营企业或联营企业的持股比例不同于表决权比例的说明：</w:t>
      </w:r>
    </w:p>
    <w:p>
      <w:pPr>
        <w:pStyle w:val="BodyText"/>
        <w:spacing w:line="240" w:lineRule="auto" w:before="117"/>
        <w:ind w:left="154" w:right="0"/>
        <w:jc w:val="left"/>
      </w:pPr>
      <w:r>
        <w:rPr/>
        <w:t>持有</w:t>
      </w:r>
      <w:r>
        <w:rPr>
          <w:spacing w:val="-46"/>
        </w:rPr>
        <w:t> </w:t>
      </w:r>
      <w:r>
        <w:rPr>
          <w:rFonts w:ascii="Times New Roman" w:hAnsi="Times New Roman" w:cs="Times New Roman" w:eastAsia="Times New Roman" w:hint="default"/>
        </w:rPr>
        <w:t>20%</w:t>
      </w:r>
      <w:r>
        <w:rPr/>
        <w:t>以下表决权但具有重大影响，或者持有</w:t>
      </w:r>
      <w:r>
        <w:rPr>
          <w:spacing w:val="-46"/>
        </w:rPr>
        <w:t> </w:t>
      </w:r>
      <w:r>
        <w:rPr>
          <w:rFonts w:ascii="Times New Roman" w:hAnsi="Times New Roman" w:cs="Times New Roman" w:eastAsia="Times New Roman" w:hint="default"/>
        </w:rPr>
        <w:t>20%</w:t>
      </w:r>
      <w:r>
        <w:rPr/>
        <w:t>或以上表决权但不具有重大影响的依据：</w:t>
      </w:r>
    </w:p>
    <w:p>
      <w:pPr>
        <w:spacing w:line="240" w:lineRule="auto" w:before="9"/>
        <w:rPr>
          <w:rFonts w:ascii="宋体" w:hAnsi="宋体" w:cs="宋体" w:eastAsia="宋体" w:hint="default"/>
          <w:sz w:val="25"/>
          <w:szCs w:val="25"/>
        </w:rPr>
      </w:pPr>
    </w:p>
    <w:p>
      <w:pPr>
        <w:pStyle w:val="Heading3"/>
        <w:spacing w:line="240" w:lineRule="auto"/>
        <w:ind w:right="0"/>
        <w:jc w:val="left"/>
        <w:rPr>
          <w:b w:val="0"/>
          <w:bCs w:val="0"/>
        </w:rPr>
      </w:pPr>
      <w:bookmarkStart w:name="（2）重要合营企业的主要财务信息" w:id="434"/>
      <w:bookmarkEnd w:id="434"/>
      <w:r>
        <w:rPr>
          <w:b w:val="0"/>
          <w:bCs w:val="0"/>
        </w:rPr>
      </w:r>
      <w:r>
        <w:rPr/>
        <w:t>（</w:t>
      </w:r>
      <w:r>
        <w:rPr>
          <w:rFonts w:ascii="Times New Roman" w:hAnsi="Times New Roman" w:cs="Times New Roman" w:eastAsia="Times New Roman" w:hint="default"/>
        </w:rPr>
        <w:t>2</w:t>
      </w:r>
      <w:r>
        <w:rPr/>
        <w:t>）重要合营企业的主要财务信息</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79"/>
        <w:gridCol w:w="3191"/>
        <w:gridCol w:w="3179"/>
      </w:tblGrid>
      <w:tr>
        <w:trPr>
          <w:trHeight w:val="402" w:hRule="exact"/>
        </w:trPr>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55"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55"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402" w:hRule="exact"/>
        </w:trPr>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1" w:type="dxa"/>
            <w:tcBorders>
              <w:top w:val="single" w:sz="4" w:space="0" w:color="000000"/>
              <w:left w:val="single" w:sz="13" w:space="0" w:color="D2D2D2"/>
              <w:bottom w:val="single" w:sz="4" w:space="0" w:color="000000"/>
              <w:right w:val="single" w:sz="4" w:space="0" w:color="000000"/>
            </w:tcBorders>
            <w:shd w:val="clear" w:color="auto" w:fill="E0FFFF"/>
          </w:tcPr>
          <w:p>
            <w:pPr/>
          </w:p>
        </w:tc>
        <w:tc>
          <w:tcPr>
            <w:tcW w:w="3179" w:type="dxa"/>
            <w:tcBorders>
              <w:top w:val="single" w:sz="4" w:space="0" w:color="000000"/>
              <w:left w:val="single" w:sz="4" w:space="0" w:color="000000"/>
              <w:bottom w:val="single" w:sz="4" w:space="0" w:color="000000"/>
              <w:right w:val="single" w:sz="4" w:space="0" w:color="000000"/>
            </w:tcBorders>
            <w:shd w:val="clear" w:color="auto" w:fill="E0FFFF"/>
          </w:tcPr>
          <w:p>
            <w:pPr/>
          </w:p>
        </w:tc>
      </w:tr>
    </w:tbl>
    <w:p>
      <w:pPr>
        <w:pStyle w:val="BodyText"/>
        <w:spacing w:line="240" w:lineRule="auto" w:before="51"/>
        <w:ind w:left="154" w:right="0"/>
        <w:jc w:val="left"/>
      </w:pPr>
      <w:r>
        <w:rPr/>
        <w:t>其他说明</w:t>
      </w:r>
    </w:p>
    <w:p>
      <w:pPr>
        <w:spacing w:line="240" w:lineRule="auto" w:before="11"/>
        <w:rPr>
          <w:rFonts w:ascii="宋体" w:hAnsi="宋体" w:cs="宋体" w:eastAsia="宋体" w:hint="default"/>
          <w:sz w:val="26"/>
          <w:szCs w:val="26"/>
        </w:rPr>
      </w:pPr>
    </w:p>
    <w:p>
      <w:pPr>
        <w:pStyle w:val="Heading3"/>
        <w:spacing w:line="240" w:lineRule="auto"/>
        <w:ind w:left="153" w:right="0"/>
        <w:jc w:val="left"/>
        <w:rPr>
          <w:b w:val="0"/>
          <w:bCs w:val="0"/>
        </w:rPr>
      </w:pPr>
      <w:bookmarkStart w:name="（3）重要联营企业的主要财务信息" w:id="435"/>
      <w:bookmarkEnd w:id="435"/>
      <w:r>
        <w:rPr>
          <w:b w:val="0"/>
          <w:bCs w:val="0"/>
        </w:rPr>
      </w:r>
      <w:r>
        <w:rPr/>
        <w:t>（</w:t>
      </w:r>
      <w:r>
        <w:rPr>
          <w:rFonts w:ascii="Times New Roman" w:hAnsi="Times New Roman" w:cs="Times New Roman" w:eastAsia="Times New Roman" w:hint="default"/>
        </w:rPr>
        <w:t>3</w:t>
      </w:r>
      <w:r>
        <w:rPr/>
        <w:t>）重要联营企业的主要财务信息</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7"/>
        <w:gridCol w:w="3203"/>
        <w:gridCol w:w="3179"/>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67"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55"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03" w:type="dxa"/>
            <w:tcBorders>
              <w:top w:val="single" w:sz="4" w:space="0" w:color="000000"/>
              <w:left w:val="single" w:sz="13" w:space="0" w:color="D2D2D2"/>
              <w:bottom w:val="single" w:sz="4" w:space="0" w:color="000000"/>
              <w:right w:val="single" w:sz="4" w:space="0" w:color="000000"/>
            </w:tcBorders>
            <w:shd w:val="clear" w:color="auto" w:fill="E0FFFF"/>
          </w:tcPr>
          <w:p>
            <w:pPr/>
          </w:p>
        </w:tc>
        <w:tc>
          <w:tcPr>
            <w:tcW w:w="3179" w:type="dxa"/>
            <w:tcBorders>
              <w:top w:val="single" w:sz="4" w:space="0" w:color="000000"/>
              <w:left w:val="single" w:sz="4" w:space="0" w:color="000000"/>
              <w:bottom w:val="single" w:sz="4" w:space="0" w:color="000000"/>
              <w:right w:val="single" w:sz="4" w:space="0" w:color="000000"/>
            </w:tcBorders>
            <w:shd w:val="clear" w:color="auto" w:fill="E0FFFF"/>
          </w:tcPr>
          <w:p>
            <w:pPr/>
          </w:p>
        </w:tc>
      </w:tr>
    </w:tbl>
    <w:p>
      <w:pPr>
        <w:pStyle w:val="BodyText"/>
        <w:spacing w:line="240" w:lineRule="auto" w:before="51"/>
        <w:ind w:left="154" w:right="0"/>
        <w:jc w:val="left"/>
      </w:pPr>
      <w:r>
        <w:rPr/>
        <w:t>其他说明</w:t>
      </w:r>
    </w:p>
    <w:p>
      <w:pPr>
        <w:spacing w:line="240" w:lineRule="auto" w:before="11"/>
        <w:rPr>
          <w:rFonts w:ascii="宋体" w:hAnsi="宋体" w:cs="宋体" w:eastAsia="宋体" w:hint="default"/>
          <w:sz w:val="26"/>
          <w:szCs w:val="26"/>
        </w:rPr>
      </w:pPr>
    </w:p>
    <w:p>
      <w:pPr>
        <w:pStyle w:val="Heading3"/>
        <w:spacing w:line="240" w:lineRule="auto"/>
        <w:ind w:left="153" w:right="0"/>
        <w:jc w:val="left"/>
        <w:rPr>
          <w:b w:val="0"/>
          <w:bCs w:val="0"/>
        </w:rPr>
      </w:pPr>
      <w:bookmarkStart w:name="（4）不重要的合营企业和联营企业的汇总财务信息" w:id="436"/>
      <w:bookmarkEnd w:id="436"/>
      <w:r>
        <w:rPr>
          <w:b w:val="0"/>
          <w:bCs w:val="0"/>
        </w:rPr>
      </w:r>
      <w:r>
        <w:rPr/>
        <w:t>（</w:t>
      </w:r>
      <w:r>
        <w:rPr>
          <w:rFonts w:ascii="Times New Roman" w:hAnsi="Times New Roman" w:cs="Times New Roman" w:eastAsia="Times New Roman" w:hint="default"/>
        </w:rPr>
        <w:t>4</w:t>
      </w:r>
      <w:r>
        <w:rPr/>
        <w:t>）不重要的合营企业和联营企业的汇总财务信息</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324"/>
        <w:gridCol w:w="3059"/>
        <w:gridCol w:w="3175"/>
      </w:tblGrid>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1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合营企业：</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31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下列各项按持股比例计算的合计数</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31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联营企业：</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31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下列各项按持股比例计算的合计数</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31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51"/>
        <w:ind w:left="154" w:right="0"/>
        <w:jc w:val="left"/>
      </w:pPr>
      <w:r>
        <w:rPr/>
        <w:t>其他说明</w:t>
      </w:r>
    </w:p>
    <w:p>
      <w:pPr>
        <w:spacing w:line="240" w:lineRule="auto" w:before="11"/>
        <w:rPr>
          <w:rFonts w:ascii="宋体" w:hAnsi="宋体" w:cs="宋体" w:eastAsia="宋体" w:hint="default"/>
          <w:sz w:val="26"/>
          <w:szCs w:val="26"/>
        </w:rPr>
      </w:pPr>
    </w:p>
    <w:p>
      <w:pPr>
        <w:pStyle w:val="Heading3"/>
        <w:spacing w:line="240" w:lineRule="auto"/>
        <w:ind w:left="153" w:right="0"/>
        <w:jc w:val="left"/>
        <w:rPr>
          <w:b w:val="0"/>
          <w:bCs w:val="0"/>
        </w:rPr>
      </w:pPr>
      <w:bookmarkStart w:name="（5）合营企业或联营企业向本公司转移资金的能力存在重大限制的说明" w:id="437"/>
      <w:bookmarkEnd w:id="437"/>
      <w:r>
        <w:rPr>
          <w:b w:val="0"/>
          <w:bCs w:val="0"/>
        </w:rPr>
      </w:r>
      <w:r>
        <w:rPr/>
        <w:t>（</w:t>
      </w:r>
      <w:r>
        <w:rPr>
          <w:rFonts w:ascii="Times New Roman" w:hAnsi="Times New Roman" w:cs="Times New Roman" w:eastAsia="Times New Roman" w:hint="default"/>
        </w:rPr>
        <w:t>5</w:t>
      </w:r>
      <w:r>
        <w:rPr/>
        <w:t>）合营企业或联营企业向本公司转移资金的能力存在重大限制的说明</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left="153" w:right="0"/>
        <w:jc w:val="left"/>
        <w:rPr>
          <w:b w:val="0"/>
          <w:bCs w:val="0"/>
        </w:rPr>
      </w:pPr>
      <w:bookmarkStart w:name="（6）合营企业或联营企业发生的超额亏损" w:id="438"/>
      <w:bookmarkEnd w:id="438"/>
      <w:r>
        <w:rPr>
          <w:b w:val="0"/>
          <w:bCs w:val="0"/>
        </w:rPr>
      </w:r>
      <w:r>
        <w:rPr/>
        <w:t>（</w:t>
      </w:r>
      <w:r>
        <w:rPr>
          <w:rFonts w:ascii="Times New Roman" w:hAnsi="Times New Roman" w:cs="Times New Roman" w:eastAsia="Times New Roman" w:hint="default"/>
        </w:rPr>
        <w:t>6</w:t>
      </w:r>
      <w:r>
        <w:rPr/>
        <w:t>）合营企业或联营企业发生的超额亏损</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0"/>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379"/>
        <w:gridCol w:w="2393"/>
        <w:gridCol w:w="2393"/>
        <w:gridCol w:w="2382"/>
      </w:tblGrid>
      <w:tr>
        <w:trPr>
          <w:trHeight w:val="382" w:hRule="exact"/>
        </w:trPr>
        <w:tc>
          <w:tcPr>
            <w:tcW w:w="23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1"/>
              <w:ind w:left="187" w:right="0"/>
              <w:jc w:val="left"/>
              <w:rPr>
                <w:rFonts w:ascii="宋体" w:hAnsi="宋体" w:cs="宋体" w:eastAsia="宋体" w:hint="default"/>
                <w:sz w:val="18"/>
                <w:szCs w:val="18"/>
              </w:rPr>
            </w:pPr>
            <w:r>
              <w:rPr>
                <w:rFonts w:ascii="宋体" w:hAnsi="宋体" w:cs="宋体" w:eastAsia="宋体" w:hint="default"/>
                <w:sz w:val="18"/>
                <w:szCs w:val="18"/>
              </w:rPr>
              <w:t>合营企业或联营企业名称</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1"/>
              <w:ind w:left="110" w:right="0"/>
              <w:jc w:val="left"/>
              <w:rPr>
                <w:rFonts w:ascii="宋体" w:hAnsi="宋体" w:cs="宋体" w:eastAsia="宋体" w:hint="default"/>
                <w:sz w:val="18"/>
                <w:szCs w:val="18"/>
              </w:rPr>
            </w:pPr>
            <w:r>
              <w:rPr>
                <w:rFonts w:ascii="宋体" w:hAnsi="宋体" w:cs="宋体" w:eastAsia="宋体" w:hint="default"/>
                <w:sz w:val="18"/>
                <w:szCs w:val="18"/>
              </w:rPr>
              <w:t>累积未确认前期累计认的损</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1"/>
              <w:ind w:left="22" w:right="0"/>
              <w:jc w:val="left"/>
              <w:rPr>
                <w:rFonts w:ascii="宋体" w:hAnsi="宋体" w:cs="宋体" w:eastAsia="宋体" w:hint="default"/>
                <w:sz w:val="18"/>
                <w:szCs w:val="18"/>
              </w:rPr>
            </w:pPr>
            <w:r>
              <w:rPr>
                <w:rFonts w:ascii="宋体" w:hAnsi="宋体" w:cs="宋体" w:eastAsia="宋体" w:hint="default"/>
                <w:sz w:val="18"/>
                <w:szCs w:val="18"/>
              </w:rPr>
              <w:t>本期未确认的损失（或本期分</w:t>
            </w:r>
          </w:p>
        </w:tc>
        <w:tc>
          <w:tcPr>
            <w:tcW w:w="23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1"/>
              <w:ind w:left="202" w:right="0"/>
              <w:jc w:val="left"/>
              <w:rPr>
                <w:rFonts w:ascii="宋体" w:hAnsi="宋体" w:cs="宋体" w:eastAsia="宋体" w:hint="default"/>
                <w:sz w:val="18"/>
                <w:szCs w:val="18"/>
              </w:rPr>
            </w:pPr>
            <w:r>
              <w:rPr>
                <w:rFonts w:ascii="宋体" w:hAnsi="宋体" w:cs="宋体" w:eastAsia="宋体" w:hint="default"/>
                <w:sz w:val="18"/>
                <w:szCs w:val="18"/>
              </w:rPr>
              <w:t>本期末累积未确认的损失</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2391"/>
        <w:gridCol w:w="2392"/>
        <w:gridCol w:w="2392"/>
        <w:gridCol w:w="2394"/>
      </w:tblGrid>
      <w:tr>
        <w:trPr>
          <w:trHeight w:val="362"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失</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650" w:right="0"/>
              <w:jc w:val="left"/>
              <w:rPr>
                <w:rFonts w:ascii="宋体" w:hAnsi="宋体" w:cs="宋体" w:eastAsia="宋体" w:hint="default"/>
                <w:sz w:val="18"/>
                <w:szCs w:val="18"/>
              </w:rPr>
            </w:pPr>
            <w:r>
              <w:rPr>
                <w:rFonts w:ascii="宋体" w:hAnsi="宋体" w:cs="宋体" w:eastAsia="宋体" w:hint="default"/>
                <w:sz w:val="18"/>
                <w:szCs w:val="18"/>
              </w:rPr>
              <w:t>享的净利润）</w:t>
            </w:r>
          </w:p>
        </w:tc>
        <w:tc>
          <w:tcPr>
            <w:tcW w:w="2394" w:type="dxa"/>
            <w:tcBorders>
              <w:top w:val="single" w:sz="4" w:space="0" w:color="000000"/>
              <w:left w:val="single" w:sz="4" w:space="0" w:color="000000"/>
              <w:bottom w:val="single" w:sz="4" w:space="0" w:color="000000"/>
              <w:right w:val="single" w:sz="4" w:space="0" w:color="000000"/>
            </w:tcBorders>
            <w:shd w:val="clear" w:color="auto" w:fill="D2D2D2"/>
          </w:tcPr>
          <w:p>
            <w:pPr/>
          </w:p>
        </w:tc>
      </w:tr>
    </w:tbl>
    <w:p>
      <w:pPr>
        <w:pStyle w:val="BodyText"/>
        <w:spacing w:line="240" w:lineRule="auto" w:before="51"/>
        <w:ind w:left="154" w:right="0"/>
        <w:jc w:val="left"/>
      </w:pPr>
      <w:r>
        <w:rPr/>
        <w:t>其他说明</w:t>
      </w:r>
    </w:p>
    <w:p>
      <w:pPr>
        <w:spacing w:line="240" w:lineRule="auto" w:before="11"/>
        <w:rPr>
          <w:rFonts w:ascii="宋体" w:hAnsi="宋体" w:cs="宋体" w:eastAsia="宋体" w:hint="default"/>
          <w:sz w:val="26"/>
          <w:szCs w:val="26"/>
        </w:rPr>
      </w:pPr>
    </w:p>
    <w:p>
      <w:pPr>
        <w:pStyle w:val="Heading3"/>
        <w:spacing w:line="240" w:lineRule="auto"/>
        <w:ind w:left="153" w:right="0"/>
        <w:jc w:val="left"/>
        <w:rPr>
          <w:b w:val="0"/>
          <w:bCs w:val="0"/>
        </w:rPr>
      </w:pPr>
      <w:bookmarkStart w:name="（7）与合营企业投资相关的未确认承诺" w:id="439"/>
      <w:bookmarkEnd w:id="439"/>
      <w:r>
        <w:rPr>
          <w:b w:val="0"/>
          <w:bCs w:val="0"/>
        </w:rPr>
      </w:r>
      <w:r>
        <w:rPr/>
        <w:t>（</w:t>
      </w:r>
      <w:r>
        <w:rPr>
          <w:rFonts w:ascii="Times New Roman" w:hAnsi="Times New Roman" w:cs="Times New Roman" w:eastAsia="Times New Roman" w:hint="default"/>
        </w:rPr>
        <w:t>7</w:t>
      </w:r>
      <w:r>
        <w:rPr/>
        <w:t>）与合营企业投资相关的未确认承诺</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left="153" w:right="0"/>
        <w:jc w:val="left"/>
        <w:rPr>
          <w:b w:val="0"/>
          <w:bCs w:val="0"/>
        </w:rPr>
      </w:pPr>
      <w:bookmarkStart w:name="（8）与合营企业或联营企业投资相关的或有负债" w:id="440"/>
      <w:bookmarkEnd w:id="440"/>
      <w:r>
        <w:rPr>
          <w:b w:val="0"/>
          <w:bCs w:val="0"/>
        </w:rPr>
      </w:r>
      <w:r>
        <w:rPr/>
        <w:t>（</w:t>
      </w:r>
      <w:r>
        <w:rPr>
          <w:rFonts w:ascii="Times New Roman" w:hAnsi="Times New Roman" w:cs="Times New Roman" w:eastAsia="Times New Roman" w:hint="default"/>
        </w:rPr>
        <w:t>8</w:t>
      </w:r>
      <w:r>
        <w:rPr/>
        <w:t>）与合营企业或联营企业投资相关的或有负债</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53" w:right="0"/>
        <w:jc w:val="left"/>
        <w:rPr>
          <w:b w:val="0"/>
          <w:bCs w:val="0"/>
        </w:rPr>
      </w:pPr>
      <w:bookmarkStart w:name="4、重要的共同经营" w:id="441"/>
      <w:bookmarkEnd w:id="441"/>
      <w:r>
        <w:rPr>
          <w:b w:val="0"/>
          <w:bCs w:val="0"/>
        </w:rPr>
      </w:r>
      <w:r>
        <w:rPr>
          <w:rFonts w:ascii="Times New Roman" w:hAnsi="Times New Roman" w:cs="Times New Roman" w:eastAsia="Times New Roman" w:hint="default"/>
        </w:rPr>
        <w:t>4</w:t>
      </w:r>
      <w:r>
        <w:rPr/>
        <w:t>、重要的共同经营</w:t>
      </w:r>
      <w:r>
        <w:rPr>
          <w:b w:val="0"/>
          <w:bCs w:val="0"/>
        </w:rPr>
      </w:r>
    </w:p>
    <w:p>
      <w:pPr>
        <w:spacing w:line="240" w:lineRule="auto" w:before="10"/>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1598"/>
        <w:gridCol w:w="1594"/>
        <w:gridCol w:w="1595"/>
        <w:gridCol w:w="1594"/>
        <w:gridCol w:w="1594"/>
        <w:gridCol w:w="1594"/>
      </w:tblGrid>
      <w:tr>
        <w:trPr>
          <w:trHeight w:val="402" w:hRule="exact"/>
        </w:trPr>
        <w:tc>
          <w:tcPr>
            <w:tcW w:w="15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left="253" w:right="0"/>
              <w:jc w:val="left"/>
              <w:rPr>
                <w:rFonts w:ascii="宋体" w:hAnsi="宋体" w:cs="宋体" w:eastAsia="宋体" w:hint="default"/>
                <w:sz w:val="18"/>
                <w:szCs w:val="18"/>
              </w:rPr>
            </w:pPr>
            <w:r>
              <w:rPr>
                <w:rFonts w:ascii="宋体" w:hAnsi="宋体" w:cs="宋体" w:eastAsia="宋体" w:hint="default"/>
                <w:sz w:val="18"/>
                <w:szCs w:val="18"/>
              </w:rPr>
              <w:t>共同经营名称</w:t>
            </w: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left="341"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5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left="521"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318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52" w:right="0"/>
              <w:jc w:val="left"/>
              <w:rPr>
                <w:rFonts w:ascii="宋体" w:hAnsi="宋体" w:cs="宋体" w:eastAsia="宋体" w:hint="default"/>
                <w:sz w:val="18"/>
                <w:szCs w:val="18"/>
              </w:rPr>
            </w:pPr>
            <w:r>
              <w:rPr>
                <w:rFonts w:ascii="宋体" w:hAnsi="宋体" w:cs="宋体" w:eastAsia="宋体" w:hint="default"/>
                <w:sz w:val="18"/>
                <w:szCs w:val="18"/>
              </w:rPr>
              <w:t>持股比例</w:t>
            </w:r>
            <w:r>
              <w:rPr>
                <w:rFonts w:ascii="Times New Roman" w:hAnsi="Times New Roman" w:cs="Times New Roman" w:eastAsia="Times New Roman" w:hint="default"/>
                <w:sz w:val="18"/>
                <w:szCs w:val="18"/>
              </w:rPr>
              <w:t>/</w:t>
            </w:r>
            <w:r>
              <w:rPr>
                <w:rFonts w:ascii="宋体" w:hAnsi="宋体" w:cs="宋体" w:eastAsia="宋体" w:hint="default"/>
                <w:sz w:val="18"/>
                <w:szCs w:val="18"/>
              </w:rPr>
              <w:t>享有的份额</w:t>
            </w:r>
          </w:p>
        </w:tc>
      </w:tr>
      <w:tr>
        <w:trPr>
          <w:trHeight w:val="402" w:hRule="exact"/>
        </w:trPr>
        <w:tc>
          <w:tcPr>
            <w:tcW w:w="1598" w:type="dxa"/>
            <w:vMerge/>
            <w:tcBorders>
              <w:left w:val="single" w:sz="4" w:space="0" w:color="000000"/>
              <w:bottom w:val="single" w:sz="4" w:space="0" w:color="000000"/>
              <w:right w:val="single" w:sz="4" w:space="0" w:color="000000"/>
            </w:tcBorders>
            <w:shd w:val="clear" w:color="auto" w:fill="D2D2D2"/>
          </w:tcPr>
          <w:p>
            <w:pPr/>
          </w:p>
        </w:tc>
        <w:tc>
          <w:tcPr>
            <w:tcW w:w="1594" w:type="dxa"/>
            <w:vMerge/>
            <w:tcBorders>
              <w:left w:val="single" w:sz="4" w:space="0" w:color="000000"/>
              <w:bottom w:val="single" w:sz="4" w:space="0" w:color="000000"/>
              <w:right w:val="single" w:sz="4" w:space="0" w:color="000000"/>
            </w:tcBorders>
            <w:shd w:val="clear" w:color="auto" w:fill="D2D2D2"/>
          </w:tcPr>
          <w:p>
            <w:pPr/>
          </w:p>
        </w:tc>
        <w:tc>
          <w:tcPr>
            <w:tcW w:w="1595" w:type="dxa"/>
            <w:vMerge/>
            <w:tcBorders>
              <w:left w:val="single" w:sz="4" w:space="0" w:color="000000"/>
              <w:bottom w:val="single" w:sz="4" w:space="0" w:color="000000"/>
              <w:right w:val="single" w:sz="4" w:space="0" w:color="000000"/>
            </w:tcBorders>
            <w:shd w:val="clear" w:color="auto" w:fill="D2D2D2"/>
          </w:tcPr>
          <w:p>
            <w:pPr/>
          </w:p>
        </w:tc>
        <w:tc>
          <w:tcPr>
            <w:tcW w:w="1594" w:type="dxa"/>
            <w:vMerge/>
            <w:tcBorders>
              <w:left w:val="single" w:sz="4" w:space="0" w:color="000000"/>
              <w:bottom w:val="single" w:sz="4" w:space="0" w:color="000000"/>
              <w:right w:val="single" w:sz="4" w:space="0" w:color="000000"/>
            </w:tcBorders>
            <w:shd w:val="clear" w:color="auto" w:fill="D2D2D2"/>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直接</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间接</w:t>
            </w:r>
          </w:p>
        </w:tc>
      </w:tr>
    </w:tbl>
    <w:p>
      <w:pPr>
        <w:pStyle w:val="BodyText"/>
        <w:spacing w:line="360" w:lineRule="auto" w:before="51"/>
        <w:ind w:right="5533"/>
        <w:jc w:val="left"/>
      </w:pPr>
      <w:r>
        <w:rPr/>
        <w:t>在共同经营中的持股比例或享有的份额不同于表决权比例的说明： 共同经营为单独主体的，分类为共同经营的依据：</w:t>
      </w:r>
    </w:p>
    <w:p>
      <w:pPr>
        <w:pStyle w:val="BodyText"/>
        <w:spacing w:line="240" w:lineRule="auto" w:before="26"/>
        <w:ind w:right="0"/>
        <w:jc w:val="left"/>
      </w:pPr>
      <w:r>
        <w:rPr/>
        <w:t>其他说明</w:t>
      </w:r>
    </w:p>
    <w:p>
      <w:pPr>
        <w:spacing w:line="240" w:lineRule="auto" w:before="10"/>
        <w:rPr>
          <w:rFonts w:ascii="宋体" w:hAnsi="宋体" w:cs="宋体" w:eastAsia="宋体" w:hint="default"/>
          <w:sz w:val="26"/>
          <w:szCs w:val="26"/>
        </w:rPr>
      </w:pPr>
    </w:p>
    <w:p>
      <w:pPr>
        <w:pStyle w:val="Heading3"/>
        <w:spacing w:line="240" w:lineRule="auto"/>
        <w:ind w:left="153" w:right="0"/>
        <w:jc w:val="left"/>
        <w:rPr>
          <w:b w:val="0"/>
          <w:bCs w:val="0"/>
        </w:rPr>
      </w:pPr>
      <w:bookmarkStart w:name="5、在未纳入合并财务报表范围的结构化主体中的权益" w:id="442"/>
      <w:bookmarkEnd w:id="442"/>
      <w:r>
        <w:rPr>
          <w:b w:val="0"/>
          <w:bCs w:val="0"/>
        </w:rPr>
      </w:r>
      <w:r>
        <w:rPr>
          <w:rFonts w:ascii="Times New Roman" w:hAnsi="Times New Roman" w:cs="Times New Roman" w:eastAsia="Times New Roman" w:hint="default"/>
        </w:rPr>
        <w:t>5</w:t>
      </w:r>
      <w:r>
        <w:rPr/>
        <w:t>、在未纳入合并财务报表范围的结构化主体中的权益</w:t>
      </w:r>
      <w:r>
        <w:rPr>
          <w:b w:val="0"/>
          <w:bCs w:val="0"/>
        </w:rPr>
      </w:r>
    </w:p>
    <w:p>
      <w:pPr>
        <w:spacing w:line="240" w:lineRule="auto" w:before="9"/>
        <w:rPr>
          <w:rFonts w:ascii="宋体" w:hAnsi="宋体" w:cs="宋体" w:eastAsia="宋体" w:hint="default"/>
          <w:b/>
          <w:bCs/>
          <w:sz w:val="26"/>
          <w:szCs w:val="26"/>
        </w:rPr>
      </w:pPr>
    </w:p>
    <w:p>
      <w:pPr>
        <w:pStyle w:val="BodyText"/>
        <w:spacing w:line="357" w:lineRule="auto"/>
        <w:ind w:left="154" w:right="6612"/>
        <w:jc w:val="left"/>
      </w:pPr>
      <w:r>
        <w:rPr/>
        <w:t>未纳入合并财务报表范围的结构化主体的相关说明：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6、其他" w:id="443"/>
      <w:bookmarkEnd w:id="443"/>
      <w:r>
        <w:rPr>
          <w:b w:val="0"/>
          <w:bCs w:val="0"/>
        </w:rPr>
      </w:r>
      <w:r>
        <w:rPr>
          <w:rFonts w:ascii="Times New Roman" w:hAnsi="Times New Roman" w:cs="Times New Roman" w:eastAsia="Times New Roman" w:hint="default"/>
        </w:rPr>
        <w:t>6</w:t>
      </w:r>
      <w:r>
        <w:rPr/>
        <w:t>、其他</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154" w:right="0"/>
        <w:jc w:val="left"/>
      </w:pPr>
      <w:r>
        <w:rPr/>
        <w:t>无、</w:t>
      </w:r>
    </w:p>
    <w:p>
      <w:pPr>
        <w:spacing w:line="240" w:lineRule="auto" w:before="1"/>
        <w:rPr>
          <w:rFonts w:ascii="宋体" w:hAnsi="宋体" w:cs="宋体" w:eastAsia="宋体" w:hint="default"/>
          <w:sz w:val="25"/>
          <w:szCs w:val="25"/>
        </w:rPr>
      </w:pPr>
    </w:p>
    <w:p>
      <w:pPr>
        <w:pStyle w:val="Heading2"/>
        <w:spacing w:line="240" w:lineRule="auto"/>
        <w:ind w:left="154" w:right="0"/>
        <w:jc w:val="left"/>
        <w:rPr>
          <w:b w:val="0"/>
          <w:bCs w:val="0"/>
        </w:rPr>
      </w:pPr>
      <w:bookmarkStart w:name="十、与金融工具相关的风险" w:id="444"/>
      <w:bookmarkEnd w:id="444"/>
      <w:r>
        <w:rPr>
          <w:b w:val="0"/>
          <w:bCs w:val="0"/>
        </w:rPr>
      </w:r>
      <w:r>
        <w:rPr/>
        <w:t>十、与金融工具相关的风险</w:t>
      </w:r>
      <w:r>
        <w:rPr>
          <w:b w:val="0"/>
          <w:bCs w:val="0"/>
        </w:rPr>
      </w:r>
    </w:p>
    <w:p>
      <w:pPr>
        <w:spacing w:line="240" w:lineRule="auto" w:before="6"/>
        <w:rPr>
          <w:rFonts w:ascii="宋体" w:hAnsi="宋体" w:cs="宋体" w:eastAsia="宋体" w:hint="default"/>
          <w:b/>
          <w:bCs/>
          <w:sz w:val="26"/>
          <w:szCs w:val="26"/>
        </w:rPr>
      </w:pPr>
    </w:p>
    <w:p>
      <w:pPr>
        <w:pStyle w:val="BodyText"/>
        <w:spacing w:line="319" w:lineRule="auto"/>
        <w:ind w:right="1132" w:firstLine="360"/>
        <w:jc w:val="both"/>
      </w:pPr>
      <w:r>
        <w:rPr>
          <w:spacing w:val="-2"/>
        </w:rPr>
        <w:t>本公司的主要金融工具包括应收账款、应付账款等，各项金融工具的详细情况说明见本附注六相关项目。与这些金融工</w:t>
      </w:r>
      <w:r>
        <w:rPr/>
        <w:t> </w:t>
      </w:r>
      <w:r>
        <w:rPr>
          <w:spacing w:val="-2"/>
        </w:rPr>
        <w:t>具有关的风险，以及本公司为降低这些风险所采取的风险管理政策如下所述。本公司管理层对这些风险敞口进行管理和监控</w:t>
      </w:r>
      <w:r>
        <w:rPr>
          <w:spacing w:val="-64"/>
        </w:rPr>
        <w:t> </w:t>
      </w:r>
      <w:r>
        <w:rPr>
          <w:spacing w:val="-64"/>
        </w:rPr>
      </w:r>
      <w:r>
        <w:rPr/>
        <w:t>以确保将上述风险控制在限定的范围之内。</w:t>
      </w:r>
    </w:p>
    <w:p>
      <w:pPr>
        <w:pStyle w:val="BodyText"/>
        <w:spacing w:line="319" w:lineRule="auto" w:before="56"/>
        <w:ind w:right="1132" w:firstLine="360"/>
        <w:jc w:val="both"/>
      </w:pPr>
      <w:r>
        <w:rPr>
          <w:spacing w:val="-2"/>
        </w:rPr>
        <w:t>本公司采用敏感性分析技术分析风险变量的合理、可能变化对当期损益或股东权益可能产生的影响。由于任何风险变量</w:t>
      </w:r>
      <w:r>
        <w:rPr/>
        <w:t> </w:t>
      </w:r>
      <w:r>
        <w:rPr>
          <w:spacing w:val="-2"/>
        </w:rPr>
        <w:t>很少孤立地发生变化，而变量之间存在的相关性对某一风险变量的变化的最终影响金额将产生重大作用，因此下述内容是在</w:t>
      </w:r>
      <w:r>
        <w:rPr>
          <w:spacing w:val="-64"/>
        </w:rPr>
        <w:t> </w:t>
      </w:r>
      <w:r>
        <w:rPr>
          <w:spacing w:val="-64"/>
        </w:rPr>
      </w:r>
      <w:r>
        <w:rPr/>
        <w:t>假设每一变量的变化是在独立的情况下进行的。</w:t>
      </w:r>
    </w:p>
    <w:p>
      <w:pPr>
        <w:pStyle w:val="BodyText"/>
        <w:spacing w:line="357" w:lineRule="auto" w:before="56"/>
        <w:ind w:left="513" w:right="0" w:firstLine="1"/>
        <w:jc w:val="left"/>
      </w:pPr>
      <w:r>
        <w:rPr>
          <w:rFonts w:ascii="宋体" w:hAnsi="宋体" w:cs="宋体" w:eastAsia="宋体" w:hint="default"/>
          <w:b/>
          <w:bCs/>
        </w:rPr>
        <w:t>风险管理目标和政策：</w:t>
      </w:r>
      <w:r>
        <w:rPr>
          <w:rFonts w:ascii="宋体" w:hAnsi="宋体" w:cs="宋体" w:eastAsia="宋体" w:hint="default"/>
          <w:b/>
          <w:bCs/>
          <w:w w:val="99"/>
        </w:rPr>
        <w:t> </w:t>
      </w:r>
      <w:r>
        <w:rPr>
          <w:spacing w:val="-2"/>
        </w:rPr>
        <w:t>本公司从事风险管理的目标是在风险和收益之间取得适当的平衡，将风险对本公司经营业绩的负面影响降低到最低水平，</w:t>
      </w:r>
    </w:p>
    <w:p>
      <w:pPr>
        <w:pStyle w:val="BodyText"/>
        <w:spacing w:line="224" w:lineRule="exact"/>
        <w:ind w:right="0"/>
        <w:jc w:val="left"/>
      </w:pPr>
      <w:r>
        <w:rPr/>
        <w:t>使股东及其其他权益投资者的利益最大化。基于该风险管理目标，本公司风险管理的基本策略是确定和分析本公司所面临的</w:t>
      </w:r>
    </w:p>
    <w:p>
      <w:pPr>
        <w:pStyle w:val="BodyText"/>
        <w:spacing w:line="348" w:lineRule="auto" w:before="77"/>
        <w:ind w:left="514" w:right="1032" w:hanging="360"/>
        <w:jc w:val="left"/>
      </w:pPr>
      <w:r>
        <w:rPr/>
        <w:t>各种风险，建立适当的风险承受底线和进行风险管理，并及时可靠地对各种风险进行监督，将风险控制在限定的范围之内。</w:t>
      </w:r>
      <w:r>
        <w:rPr>
          <w:spacing w:val="-85"/>
        </w:rPr>
        <w:t> </w:t>
      </w:r>
      <w:r>
        <w:rPr>
          <w:spacing w:val="-85"/>
        </w:rPr>
      </w:r>
      <w:r>
        <w:rPr>
          <w:rFonts w:ascii="Times New Roman" w:hAnsi="Times New Roman" w:cs="Times New Roman" w:eastAsia="Times New Roman" w:hint="default"/>
          <w:b/>
          <w:bCs/>
        </w:rPr>
        <w:t>1</w:t>
      </w:r>
      <w:r>
        <w:rPr>
          <w:rFonts w:ascii="宋体" w:hAnsi="宋体" w:cs="宋体" w:eastAsia="宋体" w:hint="default"/>
          <w:b/>
          <w:bCs/>
        </w:rPr>
        <w:t>、外汇风险</w:t>
      </w:r>
      <w:r>
        <w:rPr>
          <w:rFonts w:ascii="宋体" w:hAnsi="宋体" w:cs="宋体" w:eastAsia="宋体" w:hint="default"/>
          <w:b/>
          <w:bCs/>
          <w:w w:val="99"/>
        </w:rPr>
        <w:t> </w:t>
      </w:r>
      <w:r>
        <w:rPr>
          <w:spacing w:val="-2"/>
        </w:rPr>
        <w:t>外汇风险指因汇率变动产生损失的风险。本公司承受外汇风险主要与美元有关，本公司的主要业务活动以人民币计价结</w:t>
      </w:r>
    </w:p>
    <w:p>
      <w:pPr>
        <w:pStyle w:val="BodyText"/>
        <w:spacing w:line="302" w:lineRule="auto"/>
        <w:ind w:left="154" w:right="1127"/>
        <w:jc w:val="left"/>
      </w:pPr>
      <w:r>
        <w:rPr/>
        <w:t>算。于</w:t>
      </w:r>
      <w:r>
        <w:rPr>
          <w:spacing w:val="-46"/>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w:t>
      </w:r>
      <w:r>
        <w:rPr>
          <w:spacing w:val="-45"/>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46"/>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日，除下表所述资产或负债为外币余额外，本公司的资产及负债均为人民币余额。该等外币余额的 资产和负债产生的外汇风险可能对本公司的经营业绩产生影响。</w:t>
      </w:r>
    </w:p>
    <w:p>
      <w:pPr>
        <w:spacing w:line="240" w:lineRule="auto" w:before="5"/>
        <w:rPr>
          <w:rFonts w:ascii="宋体" w:hAnsi="宋体" w:cs="宋体" w:eastAsia="宋体" w:hint="default"/>
          <w:sz w:val="4"/>
          <w:szCs w:val="4"/>
        </w:rPr>
      </w:pPr>
    </w:p>
    <w:tbl>
      <w:tblPr>
        <w:tblW w:w="0" w:type="auto"/>
        <w:jc w:val="left"/>
        <w:tblInd w:w="146" w:type="dxa"/>
        <w:tblLayout w:type="fixed"/>
        <w:tblCellMar>
          <w:top w:w="0" w:type="dxa"/>
          <w:left w:w="0" w:type="dxa"/>
          <w:bottom w:w="0" w:type="dxa"/>
          <w:right w:w="0" w:type="dxa"/>
        </w:tblCellMar>
        <w:tblLook w:val="01E0"/>
      </w:tblPr>
      <w:tblGrid>
        <w:gridCol w:w="983"/>
        <w:gridCol w:w="1148"/>
        <w:gridCol w:w="655"/>
        <w:gridCol w:w="659"/>
        <w:gridCol w:w="737"/>
        <w:gridCol w:w="899"/>
        <w:gridCol w:w="826"/>
        <w:gridCol w:w="766"/>
        <w:gridCol w:w="640"/>
        <w:gridCol w:w="828"/>
        <w:gridCol w:w="821"/>
        <w:gridCol w:w="786"/>
      </w:tblGrid>
      <w:tr>
        <w:trPr>
          <w:trHeight w:val="356" w:hRule="exact"/>
        </w:trPr>
        <w:tc>
          <w:tcPr>
            <w:tcW w:w="983" w:type="dxa"/>
            <w:vMerge w:val="restart"/>
            <w:tcBorders>
              <w:top w:val="single" w:sz="6" w:space="0" w:color="000000"/>
              <w:left w:val="single" w:sz="6" w:space="0" w:color="000000"/>
              <w:right w:val="single" w:sz="6" w:space="0" w:color="000000"/>
            </w:tcBorders>
          </w:tcPr>
          <w:p>
            <w:pPr>
              <w:pStyle w:val="TableParagraph"/>
              <w:spacing w:line="240" w:lineRule="auto" w:before="44"/>
              <w:ind w:right="1"/>
              <w:jc w:val="center"/>
              <w:rPr>
                <w:rFonts w:ascii="宋体" w:hAnsi="宋体" w:cs="宋体" w:eastAsia="宋体" w:hint="default"/>
                <w:sz w:val="15"/>
                <w:szCs w:val="15"/>
              </w:rPr>
            </w:pPr>
            <w:r>
              <w:rPr>
                <w:rFonts w:ascii="宋体" w:hAnsi="宋体" w:cs="宋体" w:eastAsia="宋体" w:hint="default"/>
                <w:sz w:val="15"/>
                <w:szCs w:val="15"/>
              </w:rPr>
              <w:t>项目</w:t>
            </w:r>
          </w:p>
        </w:tc>
        <w:tc>
          <w:tcPr>
            <w:tcW w:w="4924" w:type="dxa"/>
            <w:gridSpan w:val="6"/>
            <w:tcBorders>
              <w:top w:val="single" w:sz="6" w:space="0" w:color="000000"/>
              <w:left w:val="single" w:sz="6" w:space="0" w:color="000000"/>
              <w:bottom w:val="single" w:sz="12" w:space="0" w:color="000000"/>
              <w:right w:val="single" w:sz="6" w:space="0" w:color="000000"/>
            </w:tcBorders>
          </w:tcPr>
          <w:p>
            <w:pPr>
              <w:pStyle w:val="TableParagraph"/>
              <w:spacing w:line="240" w:lineRule="auto" w:before="44"/>
              <w:ind w:right="1"/>
              <w:jc w:val="center"/>
              <w:rPr>
                <w:rFonts w:ascii="宋体" w:hAnsi="宋体" w:cs="宋体" w:eastAsia="宋体" w:hint="default"/>
                <w:sz w:val="15"/>
                <w:szCs w:val="15"/>
              </w:rPr>
            </w:pPr>
            <w:r>
              <w:rPr>
                <w:rFonts w:ascii="宋体" w:hAnsi="宋体" w:cs="宋体" w:eastAsia="宋体" w:hint="default"/>
                <w:sz w:val="15"/>
                <w:szCs w:val="15"/>
              </w:rPr>
              <w:t>年末余额</w:t>
            </w:r>
          </w:p>
        </w:tc>
        <w:tc>
          <w:tcPr>
            <w:tcW w:w="3840" w:type="dxa"/>
            <w:gridSpan w:val="5"/>
            <w:tcBorders>
              <w:top w:val="single" w:sz="6" w:space="0" w:color="000000"/>
              <w:left w:val="single" w:sz="6" w:space="0" w:color="000000"/>
              <w:bottom w:val="single" w:sz="12" w:space="0" w:color="000000"/>
              <w:right w:val="nil" w:sz="6" w:space="0" w:color="auto"/>
            </w:tcBorders>
          </w:tcPr>
          <w:p>
            <w:pPr>
              <w:pStyle w:val="TableParagraph"/>
              <w:spacing w:line="240" w:lineRule="auto" w:before="44"/>
              <w:ind w:right="7"/>
              <w:jc w:val="center"/>
              <w:rPr>
                <w:rFonts w:ascii="宋体" w:hAnsi="宋体" w:cs="宋体" w:eastAsia="宋体" w:hint="default"/>
                <w:sz w:val="15"/>
                <w:szCs w:val="15"/>
              </w:rPr>
            </w:pPr>
            <w:r>
              <w:rPr>
                <w:rFonts w:ascii="宋体" w:hAnsi="宋体" w:cs="宋体" w:eastAsia="宋体" w:hint="default"/>
                <w:sz w:val="15"/>
                <w:szCs w:val="15"/>
              </w:rPr>
              <w:t>年初余额</w:t>
            </w:r>
          </w:p>
        </w:tc>
      </w:tr>
      <w:tr>
        <w:trPr>
          <w:trHeight w:val="352" w:hRule="exact"/>
        </w:trPr>
        <w:tc>
          <w:tcPr>
            <w:tcW w:w="983" w:type="dxa"/>
            <w:vMerge/>
            <w:tcBorders>
              <w:left w:val="single" w:sz="6" w:space="0" w:color="000000"/>
              <w:bottom w:val="single" w:sz="12" w:space="0" w:color="000000"/>
              <w:right w:val="single" w:sz="6" w:space="0" w:color="000000"/>
            </w:tcBorders>
          </w:tcPr>
          <w:p>
            <w:pPr/>
          </w:p>
        </w:tc>
        <w:tc>
          <w:tcPr>
            <w:tcW w:w="1148"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3"/>
              <w:ind w:right="1"/>
              <w:jc w:val="center"/>
              <w:rPr>
                <w:rFonts w:ascii="宋体" w:hAnsi="宋体" w:cs="宋体" w:eastAsia="宋体" w:hint="default"/>
                <w:sz w:val="15"/>
                <w:szCs w:val="15"/>
              </w:rPr>
            </w:pPr>
            <w:r>
              <w:rPr>
                <w:rFonts w:ascii="宋体" w:hAnsi="宋体" w:cs="宋体" w:eastAsia="宋体" w:hint="default"/>
                <w:sz w:val="15"/>
                <w:szCs w:val="15"/>
              </w:rPr>
              <w:t>美元</w:t>
            </w:r>
          </w:p>
        </w:tc>
        <w:tc>
          <w:tcPr>
            <w:tcW w:w="655"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3"/>
              <w:ind w:left="169" w:right="0"/>
              <w:jc w:val="left"/>
              <w:rPr>
                <w:rFonts w:ascii="宋体" w:hAnsi="宋体" w:cs="宋体" w:eastAsia="宋体" w:hint="default"/>
                <w:sz w:val="15"/>
                <w:szCs w:val="15"/>
              </w:rPr>
            </w:pPr>
            <w:r>
              <w:rPr>
                <w:rFonts w:ascii="宋体" w:hAnsi="宋体" w:cs="宋体" w:eastAsia="宋体" w:hint="default"/>
                <w:sz w:val="15"/>
                <w:szCs w:val="15"/>
              </w:rPr>
              <w:t>欧元</w:t>
            </w:r>
          </w:p>
        </w:tc>
        <w:tc>
          <w:tcPr>
            <w:tcW w:w="6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3"/>
              <w:ind w:left="171" w:right="0"/>
              <w:jc w:val="left"/>
              <w:rPr>
                <w:rFonts w:ascii="宋体" w:hAnsi="宋体" w:cs="宋体" w:eastAsia="宋体" w:hint="default"/>
                <w:sz w:val="15"/>
                <w:szCs w:val="15"/>
              </w:rPr>
            </w:pPr>
            <w:r>
              <w:rPr>
                <w:rFonts w:ascii="宋体" w:hAnsi="宋体" w:cs="宋体" w:eastAsia="宋体" w:hint="default"/>
                <w:sz w:val="15"/>
                <w:szCs w:val="15"/>
              </w:rPr>
              <w:t>英镑</w:t>
            </w:r>
          </w:p>
        </w:tc>
        <w:tc>
          <w:tcPr>
            <w:tcW w:w="73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3"/>
              <w:ind w:left="211" w:right="0"/>
              <w:jc w:val="left"/>
              <w:rPr>
                <w:rFonts w:ascii="宋体" w:hAnsi="宋体" w:cs="宋体" w:eastAsia="宋体" w:hint="default"/>
                <w:sz w:val="15"/>
                <w:szCs w:val="15"/>
              </w:rPr>
            </w:pPr>
            <w:r>
              <w:rPr>
                <w:rFonts w:ascii="宋体" w:hAnsi="宋体" w:cs="宋体" w:eastAsia="宋体" w:hint="default"/>
                <w:sz w:val="15"/>
                <w:szCs w:val="15"/>
              </w:rPr>
              <w:t>港元</w:t>
            </w:r>
          </w:p>
        </w:tc>
        <w:tc>
          <w:tcPr>
            <w:tcW w:w="89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3"/>
              <w:ind w:left="291" w:right="0"/>
              <w:jc w:val="left"/>
              <w:rPr>
                <w:rFonts w:ascii="宋体" w:hAnsi="宋体" w:cs="宋体" w:eastAsia="宋体" w:hint="default"/>
                <w:sz w:val="15"/>
                <w:szCs w:val="15"/>
              </w:rPr>
            </w:pPr>
            <w:r>
              <w:rPr>
                <w:rFonts w:ascii="宋体" w:hAnsi="宋体" w:cs="宋体" w:eastAsia="宋体" w:hint="default"/>
                <w:sz w:val="15"/>
                <w:szCs w:val="15"/>
              </w:rPr>
              <w:t>日元</w:t>
            </w:r>
          </w:p>
        </w:tc>
        <w:tc>
          <w:tcPr>
            <w:tcW w:w="82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3"/>
              <w:ind w:left="31" w:right="0"/>
              <w:jc w:val="left"/>
              <w:rPr>
                <w:rFonts w:ascii="宋体" w:hAnsi="宋体" w:cs="宋体" w:eastAsia="宋体" w:hint="default"/>
                <w:sz w:val="15"/>
                <w:szCs w:val="15"/>
              </w:rPr>
            </w:pPr>
            <w:r>
              <w:rPr>
                <w:rFonts w:ascii="宋体" w:hAnsi="宋体" w:cs="宋体" w:eastAsia="宋体" w:hint="default"/>
                <w:sz w:val="15"/>
                <w:szCs w:val="15"/>
              </w:rPr>
              <w:t>墨西哥比索</w:t>
            </w:r>
          </w:p>
        </w:tc>
        <w:tc>
          <w:tcPr>
            <w:tcW w:w="76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3"/>
              <w:ind w:left="225" w:right="0"/>
              <w:jc w:val="left"/>
              <w:rPr>
                <w:rFonts w:ascii="宋体" w:hAnsi="宋体" w:cs="宋体" w:eastAsia="宋体" w:hint="default"/>
                <w:sz w:val="15"/>
                <w:szCs w:val="15"/>
              </w:rPr>
            </w:pPr>
            <w:r>
              <w:rPr>
                <w:rFonts w:ascii="宋体" w:hAnsi="宋体" w:cs="宋体" w:eastAsia="宋体" w:hint="default"/>
                <w:sz w:val="15"/>
                <w:szCs w:val="15"/>
              </w:rPr>
              <w:t>美元</w:t>
            </w:r>
          </w:p>
        </w:tc>
        <w:tc>
          <w:tcPr>
            <w:tcW w:w="64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3"/>
              <w:ind w:left="161" w:right="0"/>
              <w:jc w:val="left"/>
              <w:rPr>
                <w:rFonts w:ascii="宋体" w:hAnsi="宋体" w:cs="宋体" w:eastAsia="宋体" w:hint="default"/>
                <w:sz w:val="15"/>
                <w:szCs w:val="15"/>
              </w:rPr>
            </w:pPr>
            <w:r>
              <w:rPr>
                <w:rFonts w:ascii="宋体" w:hAnsi="宋体" w:cs="宋体" w:eastAsia="宋体" w:hint="default"/>
                <w:sz w:val="15"/>
                <w:szCs w:val="15"/>
              </w:rPr>
              <w:t>欧元</w:t>
            </w:r>
          </w:p>
        </w:tc>
        <w:tc>
          <w:tcPr>
            <w:tcW w:w="828"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3"/>
              <w:ind w:left="255" w:right="0"/>
              <w:jc w:val="left"/>
              <w:rPr>
                <w:rFonts w:ascii="宋体" w:hAnsi="宋体" w:cs="宋体" w:eastAsia="宋体" w:hint="default"/>
                <w:sz w:val="15"/>
                <w:szCs w:val="15"/>
              </w:rPr>
            </w:pPr>
            <w:r>
              <w:rPr>
                <w:rFonts w:ascii="宋体" w:hAnsi="宋体" w:cs="宋体" w:eastAsia="宋体" w:hint="default"/>
                <w:sz w:val="15"/>
                <w:szCs w:val="15"/>
              </w:rPr>
              <w:t>英镑</w:t>
            </w:r>
          </w:p>
        </w:tc>
        <w:tc>
          <w:tcPr>
            <w:tcW w:w="821"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3"/>
              <w:ind w:left="253" w:right="0"/>
              <w:jc w:val="left"/>
              <w:rPr>
                <w:rFonts w:ascii="宋体" w:hAnsi="宋体" w:cs="宋体" w:eastAsia="宋体" w:hint="default"/>
                <w:sz w:val="15"/>
                <w:szCs w:val="15"/>
              </w:rPr>
            </w:pPr>
            <w:r>
              <w:rPr>
                <w:rFonts w:ascii="宋体" w:hAnsi="宋体" w:cs="宋体" w:eastAsia="宋体" w:hint="default"/>
                <w:sz w:val="15"/>
                <w:szCs w:val="15"/>
              </w:rPr>
              <w:t>港元</w:t>
            </w:r>
          </w:p>
        </w:tc>
        <w:tc>
          <w:tcPr>
            <w:tcW w:w="786"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33"/>
              <w:ind w:left="235" w:right="0"/>
              <w:jc w:val="left"/>
              <w:rPr>
                <w:rFonts w:ascii="宋体" w:hAnsi="宋体" w:cs="宋体" w:eastAsia="宋体" w:hint="default"/>
                <w:sz w:val="15"/>
                <w:szCs w:val="15"/>
              </w:rPr>
            </w:pPr>
            <w:r>
              <w:rPr>
                <w:rFonts w:ascii="宋体" w:hAnsi="宋体" w:cs="宋体" w:eastAsia="宋体" w:hint="default"/>
                <w:sz w:val="15"/>
                <w:szCs w:val="15"/>
              </w:rPr>
              <w:t>日元</w:t>
            </w:r>
          </w:p>
        </w:tc>
      </w:tr>
    </w:tbl>
    <w:p>
      <w:pPr>
        <w:spacing w:after="0" w:line="240" w:lineRule="auto"/>
        <w:jc w:val="left"/>
        <w:rPr>
          <w:rFonts w:ascii="宋体" w:hAnsi="宋体" w:cs="宋体" w:eastAsia="宋体" w:hint="default"/>
          <w:sz w:val="15"/>
          <w:szCs w:val="15"/>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6" w:type="dxa"/>
        <w:tblLayout w:type="fixed"/>
        <w:tblCellMar>
          <w:top w:w="0" w:type="dxa"/>
          <w:left w:w="0" w:type="dxa"/>
          <w:bottom w:w="0" w:type="dxa"/>
          <w:right w:w="0" w:type="dxa"/>
        </w:tblCellMar>
        <w:tblLook w:val="01E0"/>
      </w:tblPr>
      <w:tblGrid>
        <w:gridCol w:w="983"/>
        <w:gridCol w:w="1148"/>
        <w:gridCol w:w="655"/>
        <w:gridCol w:w="659"/>
        <w:gridCol w:w="737"/>
        <w:gridCol w:w="899"/>
        <w:gridCol w:w="826"/>
        <w:gridCol w:w="766"/>
        <w:gridCol w:w="640"/>
        <w:gridCol w:w="828"/>
        <w:gridCol w:w="821"/>
        <w:gridCol w:w="786"/>
      </w:tblGrid>
      <w:tr>
        <w:trPr>
          <w:trHeight w:val="747" w:hRule="exact"/>
        </w:trPr>
        <w:tc>
          <w:tcPr>
            <w:tcW w:w="98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4"/>
              <w:ind w:left="2" w:right="0"/>
              <w:jc w:val="left"/>
              <w:rPr>
                <w:rFonts w:ascii="宋体" w:hAnsi="宋体" w:cs="宋体" w:eastAsia="宋体" w:hint="default"/>
                <w:sz w:val="15"/>
                <w:szCs w:val="15"/>
              </w:rPr>
            </w:pPr>
            <w:r>
              <w:rPr>
                <w:rFonts w:ascii="宋体" w:hAnsi="宋体" w:cs="宋体" w:eastAsia="宋体" w:hint="default"/>
                <w:sz w:val="15"/>
                <w:szCs w:val="15"/>
              </w:rPr>
              <w:t>货币资金</w:t>
            </w:r>
          </w:p>
        </w:tc>
        <w:tc>
          <w:tcPr>
            <w:tcW w:w="114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3"/>
              <w:jc w:val="right"/>
              <w:rPr>
                <w:rFonts w:ascii="Times New Roman" w:hAnsi="Times New Roman" w:cs="Times New Roman" w:eastAsia="Times New Roman" w:hint="default"/>
                <w:sz w:val="10"/>
                <w:szCs w:val="10"/>
              </w:rPr>
            </w:pPr>
            <w:r>
              <w:rPr>
                <w:rFonts w:ascii="Times New Roman"/>
                <w:spacing w:val="-1"/>
                <w:sz w:val="10"/>
              </w:rPr>
              <w:t>31,834,605.41</w:t>
            </w:r>
          </w:p>
        </w:tc>
        <w:tc>
          <w:tcPr>
            <w:tcW w:w="65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1"/>
              <w:jc w:val="right"/>
              <w:rPr>
                <w:rFonts w:ascii="Times New Roman" w:hAnsi="Times New Roman" w:cs="Times New Roman" w:eastAsia="Times New Roman" w:hint="default"/>
                <w:sz w:val="10"/>
                <w:szCs w:val="10"/>
              </w:rPr>
            </w:pPr>
            <w:r>
              <w:rPr>
                <w:rFonts w:ascii="Times New Roman"/>
                <w:spacing w:val="-1"/>
                <w:sz w:val="10"/>
              </w:rPr>
              <w:t>160,338.77</w:t>
            </w:r>
          </w:p>
        </w:tc>
        <w:tc>
          <w:tcPr>
            <w:tcW w:w="65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8"/>
              <w:ind w:right="2"/>
              <w:jc w:val="right"/>
              <w:rPr>
                <w:rFonts w:ascii="Times New Roman" w:hAnsi="Times New Roman" w:cs="Times New Roman" w:eastAsia="Times New Roman" w:hint="default"/>
                <w:sz w:val="10"/>
                <w:szCs w:val="10"/>
              </w:rPr>
            </w:pPr>
            <w:r>
              <w:rPr>
                <w:rFonts w:ascii="Times New Roman"/>
                <w:spacing w:val="-1"/>
                <w:sz w:val="10"/>
              </w:rPr>
              <w:t>90,580.19</w:t>
            </w:r>
          </w:p>
        </w:tc>
        <w:tc>
          <w:tcPr>
            <w:tcW w:w="73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8"/>
              <w:ind w:right="2"/>
              <w:jc w:val="right"/>
              <w:rPr>
                <w:rFonts w:ascii="Times New Roman" w:hAnsi="Times New Roman" w:cs="Times New Roman" w:eastAsia="Times New Roman" w:hint="default"/>
                <w:sz w:val="10"/>
                <w:szCs w:val="10"/>
              </w:rPr>
            </w:pPr>
            <w:r>
              <w:rPr>
                <w:rFonts w:ascii="Times New Roman"/>
                <w:spacing w:val="-1"/>
                <w:sz w:val="10"/>
              </w:rPr>
              <w:t>3,272,736.94</w:t>
            </w:r>
          </w:p>
        </w:tc>
        <w:tc>
          <w:tcPr>
            <w:tcW w:w="89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1"/>
              <w:jc w:val="right"/>
              <w:rPr>
                <w:rFonts w:ascii="Times New Roman" w:hAnsi="Times New Roman" w:cs="Times New Roman" w:eastAsia="Times New Roman" w:hint="default"/>
                <w:sz w:val="10"/>
                <w:szCs w:val="10"/>
              </w:rPr>
            </w:pPr>
            <w:r>
              <w:rPr>
                <w:rFonts w:ascii="Times New Roman"/>
                <w:spacing w:val="-1"/>
                <w:sz w:val="10"/>
              </w:rPr>
              <w:t>5,413,585.00</w:t>
            </w:r>
          </w:p>
        </w:tc>
        <w:tc>
          <w:tcPr>
            <w:tcW w:w="82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1"/>
              <w:jc w:val="right"/>
              <w:rPr>
                <w:rFonts w:ascii="Times New Roman" w:hAnsi="Times New Roman" w:cs="Times New Roman" w:eastAsia="Times New Roman" w:hint="default"/>
                <w:sz w:val="10"/>
                <w:szCs w:val="10"/>
              </w:rPr>
            </w:pPr>
            <w:r>
              <w:rPr>
                <w:rFonts w:ascii="Times New Roman"/>
                <w:w w:val="99"/>
                <w:sz w:val="10"/>
              </w:rPr>
              <w:t>-</w:t>
            </w:r>
            <w:r>
              <w:rPr>
                <w:rFonts w:ascii="Times New Roman"/>
                <w:sz w:val="10"/>
              </w:rPr>
            </w:r>
          </w:p>
        </w:tc>
        <w:tc>
          <w:tcPr>
            <w:tcW w:w="76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0"/>
              <w:jc w:val="right"/>
              <w:rPr>
                <w:rFonts w:ascii="Times New Roman" w:hAnsi="Times New Roman" w:cs="Times New Roman" w:eastAsia="Times New Roman" w:hint="default"/>
                <w:sz w:val="10"/>
                <w:szCs w:val="10"/>
              </w:rPr>
            </w:pPr>
            <w:r>
              <w:rPr>
                <w:rFonts w:ascii="Times New Roman"/>
                <w:spacing w:val="-1"/>
                <w:sz w:val="10"/>
              </w:rPr>
              <w:t>29,941,405.30</w:t>
            </w:r>
          </w:p>
        </w:tc>
        <w:tc>
          <w:tcPr>
            <w:tcW w:w="64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
              <w:jc w:val="right"/>
              <w:rPr>
                <w:rFonts w:ascii="Times New Roman" w:hAnsi="Times New Roman" w:cs="Times New Roman" w:eastAsia="Times New Roman" w:hint="default"/>
                <w:sz w:val="10"/>
                <w:szCs w:val="10"/>
              </w:rPr>
            </w:pPr>
            <w:r>
              <w:rPr>
                <w:rFonts w:ascii="Times New Roman"/>
                <w:spacing w:val="-1"/>
                <w:sz w:val="10"/>
              </w:rPr>
              <w:t>10,665.17</w:t>
            </w:r>
          </w:p>
        </w:tc>
        <w:tc>
          <w:tcPr>
            <w:tcW w:w="82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
              <w:jc w:val="right"/>
              <w:rPr>
                <w:rFonts w:ascii="Times New Roman" w:hAnsi="Times New Roman" w:cs="Times New Roman" w:eastAsia="Times New Roman" w:hint="default"/>
                <w:sz w:val="10"/>
                <w:szCs w:val="10"/>
              </w:rPr>
            </w:pPr>
            <w:r>
              <w:rPr>
                <w:rFonts w:ascii="Times New Roman"/>
                <w:spacing w:val="-1"/>
                <w:sz w:val="10"/>
              </w:rPr>
              <w:t>15,092.39</w:t>
            </w:r>
          </w:p>
        </w:tc>
        <w:tc>
          <w:tcPr>
            <w:tcW w:w="82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0"/>
              <w:jc w:val="right"/>
              <w:rPr>
                <w:rFonts w:ascii="Times New Roman" w:hAnsi="Times New Roman" w:cs="Times New Roman" w:eastAsia="Times New Roman" w:hint="default"/>
                <w:sz w:val="10"/>
                <w:szCs w:val="10"/>
              </w:rPr>
            </w:pPr>
            <w:r>
              <w:rPr>
                <w:rFonts w:ascii="Times New Roman"/>
                <w:spacing w:val="-1"/>
                <w:sz w:val="10"/>
              </w:rPr>
              <w:t>26,654,653.39</w:t>
            </w:r>
          </w:p>
        </w:tc>
        <w:tc>
          <w:tcPr>
            <w:tcW w:w="786" w:type="dxa"/>
            <w:tcBorders>
              <w:top w:val="single" w:sz="6" w:space="0" w:color="000000"/>
              <w:left w:val="single" w:sz="6"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9"/>
              <w:jc w:val="right"/>
              <w:rPr>
                <w:rFonts w:ascii="Times New Roman" w:hAnsi="Times New Roman" w:cs="Times New Roman" w:eastAsia="Times New Roman" w:hint="default"/>
                <w:sz w:val="10"/>
                <w:szCs w:val="10"/>
              </w:rPr>
            </w:pPr>
            <w:r>
              <w:rPr>
                <w:rFonts w:ascii="Times New Roman"/>
                <w:spacing w:val="-1"/>
                <w:sz w:val="10"/>
              </w:rPr>
              <w:t>5,238,912.00</w:t>
            </w:r>
          </w:p>
        </w:tc>
      </w:tr>
      <w:tr>
        <w:trPr>
          <w:trHeight w:val="744" w:hRule="exact"/>
        </w:trPr>
        <w:tc>
          <w:tcPr>
            <w:tcW w:w="983"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3"/>
              <w:ind w:left="2" w:right="0"/>
              <w:jc w:val="left"/>
              <w:rPr>
                <w:rFonts w:ascii="宋体" w:hAnsi="宋体" w:cs="宋体" w:eastAsia="宋体" w:hint="default"/>
                <w:sz w:val="15"/>
                <w:szCs w:val="15"/>
              </w:rPr>
            </w:pPr>
            <w:r>
              <w:rPr>
                <w:rFonts w:ascii="宋体" w:hAnsi="宋体" w:cs="宋体" w:eastAsia="宋体" w:hint="default"/>
                <w:sz w:val="15"/>
                <w:szCs w:val="15"/>
              </w:rPr>
              <w:t>预付款项</w:t>
            </w:r>
          </w:p>
        </w:tc>
        <w:tc>
          <w:tcPr>
            <w:tcW w:w="1148"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0"/>
              <w:jc w:val="right"/>
              <w:rPr>
                <w:rFonts w:ascii="Times New Roman" w:hAnsi="Times New Roman" w:cs="Times New Roman" w:eastAsia="Times New Roman" w:hint="default"/>
                <w:sz w:val="10"/>
                <w:szCs w:val="10"/>
              </w:rPr>
            </w:pPr>
            <w:r>
              <w:rPr>
                <w:rFonts w:ascii="Times New Roman"/>
                <w:w w:val="99"/>
                <w:sz w:val="10"/>
              </w:rPr>
              <w:t>-</w:t>
            </w:r>
            <w:r>
              <w:rPr>
                <w:rFonts w:ascii="Times New Roman"/>
                <w:sz w:val="10"/>
              </w:rPr>
            </w:r>
          </w:p>
        </w:tc>
        <w:tc>
          <w:tcPr>
            <w:tcW w:w="655"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0"/>
              <w:jc w:val="right"/>
              <w:rPr>
                <w:rFonts w:ascii="Times New Roman" w:hAnsi="Times New Roman" w:cs="Times New Roman" w:eastAsia="Times New Roman" w:hint="default"/>
                <w:sz w:val="10"/>
                <w:szCs w:val="10"/>
              </w:rPr>
            </w:pPr>
            <w:r>
              <w:rPr>
                <w:rFonts w:ascii="Times New Roman"/>
                <w:w w:val="99"/>
                <w:sz w:val="10"/>
              </w:rPr>
              <w:t>-</w:t>
            </w:r>
            <w:r>
              <w:rPr>
                <w:rFonts w:ascii="Times New Roman"/>
                <w:sz w:val="10"/>
              </w:rPr>
            </w:r>
          </w:p>
        </w:tc>
        <w:tc>
          <w:tcPr>
            <w:tcW w:w="6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2"/>
              <w:jc w:val="right"/>
              <w:rPr>
                <w:rFonts w:ascii="Times New Roman" w:hAnsi="Times New Roman" w:cs="Times New Roman" w:eastAsia="Times New Roman" w:hint="default"/>
                <w:sz w:val="10"/>
                <w:szCs w:val="10"/>
              </w:rPr>
            </w:pPr>
            <w:r>
              <w:rPr>
                <w:rFonts w:ascii="Times New Roman"/>
                <w:spacing w:val="-1"/>
                <w:sz w:val="10"/>
              </w:rPr>
              <w:t>19,032.24</w:t>
            </w:r>
          </w:p>
        </w:tc>
        <w:tc>
          <w:tcPr>
            <w:tcW w:w="73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0"/>
              <w:jc w:val="right"/>
              <w:rPr>
                <w:rFonts w:ascii="Times New Roman" w:hAnsi="Times New Roman" w:cs="Times New Roman" w:eastAsia="Times New Roman" w:hint="default"/>
                <w:sz w:val="10"/>
                <w:szCs w:val="10"/>
              </w:rPr>
            </w:pPr>
            <w:r>
              <w:rPr>
                <w:rFonts w:ascii="Times New Roman"/>
                <w:spacing w:val="-1"/>
                <w:sz w:val="10"/>
              </w:rPr>
              <w:t>121,451.72</w:t>
            </w:r>
          </w:p>
        </w:tc>
        <w:tc>
          <w:tcPr>
            <w:tcW w:w="89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2"/>
              <w:jc w:val="right"/>
              <w:rPr>
                <w:rFonts w:ascii="Times New Roman" w:hAnsi="Times New Roman" w:cs="Times New Roman" w:eastAsia="Times New Roman" w:hint="default"/>
                <w:sz w:val="10"/>
                <w:szCs w:val="10"/>
              </w:rPr>
            </w:pPr>
            <w:r>
              <w:rPr>
                <w:rFonts w:ascii="Times New Roman"/>
                <w:spacing w:val="-1"/>
                <w:sz w:val="10"/>
              </w:rPr>
              <w:t>308,059.00</w:t>
            </w:r>
          </w:p>
        </w:tc>
        <w:tc>
          <w:tcPr>
            <w:tcW w:w="82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
              <w:jc w:val="right"/>
              <w:rPr>
                <w:rFonts w:ascii="Times New Roman" w:hAnsi="Times New Roman" w:cs="Times New Roman" w:eastAsia="Times New Roman" w:hint="default"/>
                <w:sz w:val="10"/>
                <w:szCs w:val="10"/>
              </w:rPr>
            </w:pPr>
            <w:r>
              <w:rPr>
                <w:rFonts w:ascii="Times New Roman"/>
                <w:w w:val="99"/>
                <w:sz w:val="10"/>
              </w:rPr>
              <w:t>-</w:t>
            </w:r>
            <w:r>
              <w:rPr>
                <w:rFonts w:ascii="Times New Roman"/>
                <w:sz w:val="10"/>
              </w:rPr>
            </w:r>
          </w:p>
        </w:tc>
        <w:tc>
          <w:tcPr>
            <w:tcW w:w="76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right="0"/>
              <w:jc w:val="right"/>
              <w:rPr>
                <w:rFonts w:ascii="Times New Roman" w:hAnsi="Times New Roman" w:cs="Times New Roman" w:eastAsia="Times New Roman" w:hint="default"/>
                <w:sz w:val="10"/>
                <w:szCs w:val="10"/>
              </w:rPr>
            </w:pPr>
            <w:r>
              <w:rPr>
                <w:rFonts w:ascii="Times New Roman"/>
                <w:spacing w:val="-1"/>
                <w:sz w:val="10"/>
              </w:rPr>
              <w:t>65,091.62</w:t>
            </w:r>
          </w:p>
        </w:tc>
        <w:tc>
          <w:tcPr>
            <w:tcW w:w="64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right="2"/>
              <w:jc w:val="right"/>
              <w:rPr>
                <w:rFonts w:ascii="Times New Roman" w:hAnsi="Times New Roman" w:cs="Times New Roman" w:eastAsia="Times New Roman" w:hint="default"/>
                <w:sz w:val="10"/>
                <w:szCs w:val="10"/>
              </w:rPr>
            </w:pPr>
            <w:r>
              <w:rPr>
                <w:rFonts w:ascii="Times New Roman"/>
                <w:w w:val="99"/>
                <w:sz w:val="10"/>
              </w:rPr>
              <w:t>-</w:t>
            </w:r>
            <w:r>
              <w:rPr>
                <w:rFonts w:ascii="Times New Roman"/>
                <w:sz w:val="10"/>
              </w:rPr>
            </w:r>
          </w:p>
        </w:tc>
        <w:tc>
          <w:tcPr>
            <w:tcW w:w="828"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right="1"/>
              <w:jc w:val="right"/>
              <w:rPr>
                <w:rFonts w:ascii="Times New Roman" w:hAnsi="Times New Roman" w:cs="Times New Roman" w:eastAsia="Times New Roman" w:hint="default"/>
                <w:sz w:val="10"/>
                <w:szCs w:val="10"/>
              </w:rPr>
            </w:pPr>
            <w:r>
              <w:rPr>
                <w:rFonts w:ascii="Times New Roman"/>
                <w:spacing w:val="-1"/>
                <w:sz w:val="10"/>
              </w:rPr>
              <w:t>5,819.36</w:t>
            </w:r>
          </w:p>
        </w:tc>
        <w:tc>
          <w:tcPr>
            <w:tcW w:w="821"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right="0"/>
              <w:jc w:val="right"/>
              <w:rPr>
                <w:rFonts w:ascii="Times New Roman" w:hAnsi="Times New Roman" w:cs="Times New Roman" w:eastAsia="Times New Roman" w:hint="default"/>
                <w:sz w:val="10"/>
                <w:szCs w:val="10"/>
              </w:rPr>
            </w:pPr>
            <w:r>
              <w:rPr>
                <w:rFonts w:ascii="Times New Roman"/>
                <w:w w:val="99"/>
                <w:sz w:val="10"/>
              </w:rPr>
              <w:t>-</w:t>
            </w:r>
            <w:r>
              <w:rPr>
                <w:rFonts w:ascii="Times New Roman"/>
                <w:sz w:val="10"/>
              </w:rPr>
            </w:r>
          </w:p>
        </w:tc>
        <w:tc>
          <w:tcPr>
            <w:tcW w:w="786" w:type="dxa"/>
            <w:tcBorders>
              <w:top w:val="single" w:sz="12" w:space="0" w:color="000000"/>
              <w:left w:val="single" w:sz="6"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right="8"/>
              <w:jc w:val="right"/>
              <w:rPr>
                <w:rFonts w:ascii="Times New Roman" w:hAnsi="Times New Roman" w:cs="Times New Roman" w:eastAsia="Times New Roman" w:hint="default"/>
                <w:sz w:val="10"/>
                <w:szCs w:val="10"/>
              </w:rPr>
            </w:pPr>
            <w:r>
              <w:rPr>
                <w:rFonts w:ascii="Times New Roman"/>
                <w:spacing w:val="-1"/>
                <w:sz w:val="10"/>
              </w:rPr>
              <w:t>308,059.00</w:t>
            </w:r>
          </w:p>
        </w:tc>
      </w:tr>
      <w:tr>
        <w:trPr>
          <w:trHeight w:val="744" w:hRule="exact"/>
        </w:trPr>
        <w:tc>
          <w:tcPr>
            <w:tcW w:w="983"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3"/>
              <w:ind w:left="2" w:right="0"/>
              <w:jc w:val="left"/>
              <w:rPr>
                <w:rFonts w:ascii="宋体" w:hAnsi="宋体" w:cs="宋体" w:eastAsia="宋体" w:hint="default"/>
                <w:sz w:val="15"/>
                <w:szCs w:val="15"/>
              </w:rPr>
            </w:pPr>
            <w:r>
              <w:rPr>
                <w:rFonts w:ascii="宋体" w:hAnsi="宋体" w:cs="宋体" w:eastAsia="宋体" w:hint="default"/>
                <w:sz w:val="15"/>
                <w:szCs w:val="15"/>
              </w:rPr>
              <w:t>应收账款</w:t>
            </w:r>
          </w:p>
        </w:tc>
        <w:tc>
          <w:tcPr>
            <w:tcW w:w="1148"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
              <w:jc w:val="right"/>
              <w:rPr>
                <w:rFonts w:ascii="Times New Roman" w:hAnsi="Times New Roman" w:cs="Times New Roman" w:eastAsia="Times New Roman" w:hint="default"/>
                <w:sz w:val="10"/>
                <w:szCs w:val="10"/>
              </w:rPr>
            </w:pPr>
            <w:r>
              <w:rPr>
                <w:rFonts w:ascii="Times New Roman"/>
                <w:spacing w:val="-1"/>
                <w:sz w:val="10"/>
              </w:rPr>
              <w:t>2,803,514.84</w:t>
            </w:r>
          </w:p>
        </w:tc>
        <w:tc>
          <w:tcPr>
            <w:tcW w:w="655"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0"/>
              <w:jc w:val="right"/>
              <w:rPr>
                <w:rFonts w:ascii="Times New Roman" w:hAnsi="Times New Roman" w:cs="Times New Roman" w:eastAsia="Times New Roman" w:hint="default"/>
                <w:sz w:val="10"/>
                <w:szCs w:val="10"/>
              </w:rPr>
            </w:pPr>
            <w:r>
              <w:rPr>
                <w:rFonts w:ascii="Times New Roman"/>
                <w:w w:val="99"/>
                <w:sz w:val="10"/>
              </w:rPr>
              <w:t>-</w:t>
            </w:r>
            <w:r>
              <w:rPr>
                <w:rFonts w:ascii="Times New Roman"/>
                <w:sz w:val="10"/>
              </w:rPr>
            </w:r>
          </w:p>
        </w:tc>
        <w:tc>
          <w:tcPr>
            <w:tcW w:w="6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2"/>
              <w:jc w:val="right"/>
              <w:rPr>
                <w:rFonts w:ascii="Times New Roman" w:hAnsi="Times New Roman" w:cs="Times New Roman" w:eastAsia="Times New Roman" w:hint="default"/>
                <w:sz w:val="10"/>
                <w:szCs w:val="10"/>
              </w:rPr>
            </w:pPr>
            <w:r>
              <w:rPr>
                <w:rFonts w:ascii="Times New Roman"/>
                <w:spacing w:val="-1"/>
                <w:sz w:val="10"/>
              </w:rPr>
              <w:t>300.00</w:t>
            </w:r>
          </w:p>
        </w:tc>
        <w:tc>
          <w:tcPr>
            <w:tcW w:w="73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
              <w:jc w:val="right"/>
              <w:rPr>
                <w:rFonts w:ascii="Times New Roman" w:hAnsi="Times New Roman" w:cs="Times New Roman" w:eastAsia="Times New Roman" w:hint="default"/>
                <w:sz w:val="10"/>
                <w:szCs w:val="10"/>
              </w:rPr>
            </w:pPr>
            <w:r>
              <w:rPr>
                <w:rFonts w:ascii="Times New Roman"/>
                <w:w w:val="99"/>
                <w:sz w:val="10"/>
              </w:rPr>
              <w:t>-</w:t>
            </w:r>
            <w:r>
              <w:rPr>
                <w:rFonts w:ascii="Times New Roman"/>
                <w:sz w:val="10"/>
              </w:rPr>
            </w:r>
          </w:p>
        </w:tc>
        <w:tc>
          <w:tcPr>
            <w:tcW w:w="899" w:type="dxa"/>
            <w:tcBorders>
              <w:top w:val="single" w:sz="12" w:space="0" w:color="000000"/>
              <w:left w:val="single" w:sz="6" w:space="0" w:color="000000"/>
              <w:bottom w:val="single" w:sz="12" w:space="0" w:color="000000"/>
              <w:right w:val="single" w:sz="6" w:space="0" w:color="000000"/>
            </w:tcBorders>
          </w:tcPr>
          <w:p>
            <w:pPr/>
          </w:p>
        </w:tc>
        <w:tc>
          <w:tcPr>
            <w:tcW w:w="82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
              <w:jc w:val="right"/>
              <w:rPr>
                <w:rFonts w:ascii="Times New Roman" w:hAnsi="Times New Roman" w:cs="Times New Roman" w:eastAsia="Times New Roman" w:hint="default"/>
                <w:sz w:val="10"/>
                <w:szCs w:val="10"/>
              </w:rPr>
            </w:pPr>
            <w:r>
              <w:rPr>
                <w:rFonts w:ascii="Times New Roman"/>
                <w:w w:val="99"/>
                <w:sz w:val="10"/>
              </w:rPr>
              <w:t>-</w:t>
            </w:r>
            <w:r>
              <w:rPr>
                <w:rFonts w:ascii="Times New Roman"/>
                <w:sz w:val="10"/>
              </w:rPr>
            </w:r>
          </w:p>
        </w:tc>
        <w:tc>
          <w:tcPr>
            <w:tcW w:w="76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right="0"/>
              <w:jc w:val="right"/>
              <w:rPr>
                <w:rFonts w:ascii="Times New Roman" w:hAnsi="Times New Roman" w:cs="Times New Roman" w:eastAsia="Times New Roman" w:hint="default"/>
                <w:sz w:val="10"/>
                <w:szCs w:val="10"/>
              </w:rPr>
            </w:pPr>
            <w:r>
              <w:rPr>
                <w:rFonts w:ascii="Times New Roman"/>
                <w:spacing w:val="-1"/>
                <w:sz w:val="10"/>
              </w:rPr>
              <w:t>2,955,893.65</w:t>
            </w:r>
          </w:p>
        </w:tc>
        <w:tc>
          <w:tcPr>
            <w:tcW w:w="64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right="2"/>
              <w:jc w:val="right"/>
              <w:rPr>
                <w:rFonts w:ascii="Times New Roman" w:hAnsi="Times New Roman" w:cs="Times New Roman" w:eastAsia="Times New Roman" w:hint="default"/>
                <w:sz w:val="10"/>
                <w:szCs w:val="10"/>
              </w:rPr>
            </w:pPr>
            <w:r>
              <w:rPr>
                <w:rFonts w:ascii="Times New Roman"/>
                <w:w w:val="99"/>
                <w:sz w:val="10"/>
              </w:rPr>
              <w:t>-</w:t>
            </w:r>
            <w:r>
              <w:rPr>
                <w:rFonts w:ascii="Times New Roman"/>
                <w:sz w:val="10"/>
              </w:rPr>
            </w:r>
          </w:p>
        </w:tc>
        <w:tc>
          <w:tcPr>
            <w:tcW w:w="828"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right="1"/>
              <w:jc w:val="right"/>
              <w:rPr>
                <w:rFonts w:ascii="Times New Roman" w:hAnsi="Times New Roman" w:cs="Times New Roman" w:eastAsia="Times New Roman" w:hint="default"/>
                <w:sz w:val="10"/>
                <w:szCs w:val="10"/>
              </w:rPr>
            </w:pPr>
            <w:r>
              <w:rPr>
                <w:rFonts w:ascii="Times New Roman"/>
                <w:spacing w:val="-1"/>
                <w:sz w:val="10"/>
              </w:rPr>
              <w:t>1,935.88</w:t>
            </w:r>
          </w:p>
        </w:tc>
        <w:tc>
          <w:tcPr>
            <w:tcW w:w="821"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right="0"/>
              <w:jc w:val="right"/>
              <w:rPr>
                <w:rFonts w:ascii="Times New Roman" w:hAnsi="Times New Roman" w:cs="Times New Roman" w:eastAsia="Times New Roman" w:hint="default"/>
                <w:sz w:val="10"/>
                <w:szCs w:val="10"/>
              </w:rPr>
            </w:pPr>
            <w:r>
              <w:rPr>
                <w:rFonts w:ascii="Times New Roman"/>
                <w:spacing w:val="-1"/>
                <w:sz w:val="10"/>
              </w:rPr>
              <w:t>49,438.44</w:t>
            </w:r>
          </w:p>
        </w:tc>
        <w:tc>
          <w:tcPr>
            <w:tcW w:w="786" w:type="dxa"/>
            <w:tcBorders>
              <w:top w:val="single" w:sz="12" w:space="0" w:color="000000"/>
              <w:left w:val="single" w:sz="6" w:space="0" w:color="000000"/>
              <w:bottom w:val="single" w:sz="12" w:space="0" w:color="000000"/>
              <w:right w:val="nil" w:sz="6" w:space="0" w:color="auto"/>
            </w:tcBorders>
          </w:tcPr>
          <w:p>
            <w:pPr/>
          </w:p>
        </w:tc>
      </w:tr>
      <w:tr>
        <w:trPr>
          <w:trHeight w:val="744" w:hRule="exact"/>
        </w:trPr>
        <w:tc>
          <w:tcPr>
            <w:tcW w:w="983"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3"/>
              <w:ind w:left="2" w:right="0"/>
              <w:jc w:val="left"/>
              <w:rPr>
                <w:rFonts w:ascii="宋体" w:hAnsi="宋体" w:cs="宋体" w:eastAsia="宋体" w:hint="default"/>
                <w:sz w:val="15"/>
                <w:szCs w:val="15"/>
              </w:rPr>
            </w:pPr>
            <w:r>
              <w:rPr>
                <w:rFonts w:ascii="宋体" w:hAnsi="宋体" w:cs="宋体" w:eastAsia="宋体" w:hint="default"/>
                <w:sz w:val="15"/>
                <w:szCs w:val="15"/>
              </w:rPr>
              <w:t>其他应收款</w:t>
            </w:r>
          </w:p>
        </w:tc>
        <w:tc>
          <w:tcPr>
            <w:tcW w:w="1148"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
              <w:jc w:val="right"/>
              <w:rPr>
                <w:rFonts w:ascii="Times New Roman" w:hAnsi="Times New Roman" w:cs="Times New Roman" w:eastAsia="Times New Roman" w:hint="default"/>
                <w:sz w:val="10"/>
                <w:szCs w:val="10"/>
              </w:rPr>
            </w:pPr>
            <w:r>
              <w:rPr>
                <w:rFonts w:ascii="Times New Roman"/>
                <w:spacing w:val="-1"/>
                <w:sz w:val="10"/>
              </w:rPr>
              <w:t>7,486.50</w:t>
            </w:r>
          </w:p>
        </w:tc>
        <w:tc>
          <w:tcPr>
            <w:tcW w:w="655"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0"/>
              <w:jc w:val="right"/>
              <w:rPr>
                <w:rFonts w:ascii="Times New Roman" w:hAnsi="Times New Roman" w:cs="Times New Roman" w:eastAsia="Times New Roman" w:hint="default"/>
                <w:sz w:val="10"/>
                <w:szCs w:val="10"/>
              </w:rPr>
            </w:pPr>
            <w:r>
              <w:rPr>
                <w:rFonts w:ascii="Times New Roman"/>
                <w:w w:val="99"/>
                <w:sz w:val="10"/>
              </w:rPr>
              <w:t>-</w:t>
            </w:r>
            <w:r>
              <w:rPr>
                <w:rFonts w:ascii="Times New Roman"/>
                <w:sz w:val="10"/>
              </w:rPr>
            </w:r>
          </w:p>
        </w:tc>
        <w:tc>
          <w:tcPr>
            <w:tcW w:w="6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2"/>
              <w:jc w:val="right"/>
              <w:rPr>
                <w:rFonts w:ascii="Times New Roman" w:hAnsi="Times New Roman" w:cs="Times New Roman" w:eastAsia="Times New Roman" w:hint="default"/>
                <w:sz w:val="10"/>
                <w:szCs w:val="10"/>
              </w:rPr>
            </w:pPr>
            <w:r>
              <w:rPr>
                <w:rFonts w:ascii="Times New Roman"/>
                <w:spacing w:val="-1"/>
                <w:sz w:val="10"/>
              </w:rPr>
              <w:t>22,321.53</w:t>
            </w:r>
          </w:p>
        </w:tc>
        <w:tc>
          <w:tcPr>
            <w:tcW w:w="73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
              <w:jc w:val="right"/>
              <w:rPr>
                <w:rFonts w:ascii="Times New Roman" w:hAnsi="Times New Roman" w:cs="Times New Roman" w:eastAsia="Times New Roman" w:hint="default"/>
                <w:sz w:val="10"/>
                <w:szCs w:val="10"/>
              </w:rPr>
            </w:pPr>
            <w:r>
              <w:rPr>
                <w:rFonts w:ascii="Times New Roman"/>
                <w:spacing w:val="-1"/>
                <w:sz w:val="10"/>
              </w:rPr>
              <w:t>28,047.25</w:t>
            </w:r>
          </w:p>
        </w:tc>
        <w:tc>
          <w:tcPr>
            <w:tcW w:w="89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
              <w:jc w:val="right"/>
              <w:rPr>
                <w:rFonts w:ascii="Times New Roman" w:hAnsi="Times New Roman" w:cs="Times New Roman" w:eastAsia="Times New Roman" w:hint="default"/>
                <w:sz w:val="10"/>
                <w:szCs w:val="10"/>
              </w:rPr>
            </w:pPr>
            <w:r>
              <w:rPr>
                <w:rFonts w:ascii="Times New Roman"/>
                <w:spacing w:val="-1"/>
                <w:sz w:val="10"/>
              </w:rPr>
              <w:t>2,852,400.00</w:t>
            </w:r>
          </w:p>
        </w:tc>
        <w:tc>
          <w:tcPr>
            <w:tcW w:w="82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0"/>
              <w:jc w:val="right"/>
              <w:rPr>
                <w:rFonts w:ascii="Times New Roman" w:hAnsi="Times New Roman" w:cs="Times New Roman" w:eastAsia="Times New Roman" w:hint="default"/>
                <w:sz w:val="10"/>
                <w:szCs w:val="10"/>
              </w:rPr>
            </w:pPr>
            <w:r>
              <w:rPr>
                <w:rFonts w:ascii="Times New Roman"/>
                <w:spacing w:val="-1"/>
                <w:sz w:val="10"/>
              </w:rPr>
              <w:t>144,000.00</w:t>
            </w:r>
          </w:p>
        </w:tc>
        <w:tc>
          <w:tcPr>
            <w:tcW w:w="76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right="0"/>
              <w:jc w:val="right"/>
              <w:rPr>
                <w:rFonts w:ascii="Times New Roman" w:hAnsi="Times New Roman" w:cs="Times New Roman" w:eastAsia="Times New Roman" w:hint="default"/>
                <w:sz w:val="10"/>
                <w:szCs w:val="10"/>
              </w:rPr>
            </w:pPr>
            <w:r>
              <w:rPr>
                <w:rFonts w:ascii="Times New Roman"/>
                <w:spacing w:val="-1"/>
                <w:sz w:val="10"/>
              </w:rPr>
              <w:t>7,486.50</w:t>
            </w:r>
          </w:p>
        </w:tc>
        <w:tc>
          <w:tcPr>
            <w:tcW w:w="64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right="2"/>
              <w:jc w:val="right"/>
              <w:rPr>
                <w:rFonts w:ascii="Times New Roman" w:hAnsi="Times New Roman" w:cs="Times New Roman" w:eastAsia="Times New Roman" w:hint="default"/>
                <w:sz w:val="10"/>
                <w:szCs w:val="10"/>
              </w:rPr>
            </w:pPr>
            <w:r>
              <w:rPr>
                <w:rFonts w:ascii="Times New Roman"/>
                <w:w w:val="99"/>
                <w:sz w:val="10"/>
              </w:rPr>
              <w:t>-</w:t>
            </w:r>
            <w:r>
              <w:rPr>
                <w:rFonts w:ascii="Times New Roman"/>
                <w:sz w:val="10"/>
              </w:rPr>
            </w:r>
          </w:p>
        </w:tc>
        <w:tc>
          <w:tcPr>
            <w:tcW w:w="828"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right="1"/>
              <w:jc w:val="right"/>
              <w:rPr>
                <w:rFonts w:ascii="Times New Roman" w:hAnsi="Times New Roman" w:cs="Times New Roman" w:eastAsia="Times New Roman" w:hint="default"/>
                <w:sz w:val="10"/>
                <w:szCs w:val="10"/>
              </w:rPr>
            </w:pPr>
            <w:r>
              <w:rPr>
                <w:rFonts w:ascii="Times New Roman"/>
                <w:spacing w:val="-1"/>
                <w:sz w:val="10"/>
              </w:rPr>
              <w:t>8,533.33</w:t>
            </w:r>
          </w:p>
        </w:tc>
        <w:tc>
          <w:tcPr>
            <w:tcW w:w="821"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right="0"/>
              <w:jc w:val="right"/>
              <w:rPr>
                <w:rFonts w:ascii="Times New Roman" w:hAnsi="Times New Roman" w:cs="Times New Roman" w:eastAsia="Times New Roman" w:hint="default"/>
                <w:sz w:val="10"/>
                <w:szCs w:val="10"/>
              </w:rPr>
            </w:pPr>
            <w:r>
              <w:rPr>
                <w:rFonts w:ascii="Times New Roman"/>
                <w:w w:val="99"/>
                <w:sz w:val="10"/>
              </w:rPr>
              <w:t>-</w:t>
            </w:r>
            <w:r>
              <w:rPr>
                <w:rFonts w:ascii="Times New Roman"/>
                <w:sz w:val="10"/>
              </w:rPr>
            </w:r>
          </w:p>
        </w:tc>
        <w:tc>
          <w:tcPr>
            <w:tcW w:w="786" w:type="dxa"/>
            <w:tcBorders>
              <w:top w:val="single" w:sz="12" w:space="0" w:color="000000"/>
              <w:left w:val="single" w:sz="6"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right="9"/>
              <w:jc w:val="right"/>
              <w:rPr>
                <w:rFonts w:ascii="Times New Roman" w:hAnsi="Times New Roman" w:cs="Times New Roman" w:eastAsia="Times New Roman" w:hint="default"/>
                <w:sz w:val="10"/>
                <w:szCs w:val="10"/>
              </w:rPr>
            </w:pPr>
            <w:r>
              <w:rPr>
                <w:rFonts w:ascii="Times New Roman"/>
                <w:spacing w:val="-1"/>
                <w:sz w:val="10"/>
              </w:rPr>
              <w:t>2,852,400.00</w:t>
            </w:r>
          </w:p>
        </w:tc>
      </w:tr>
      <w:tr>
        <w:trPr>
          <w:trHeight w:val="744" w:hRule="exact"/>
        </w:trPr>
        <w:tc>
          <w:tcPr>
            <w:tcW w:w="983"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3"/>
              <w:ind w:left="2" w:right="0"/>
              <w:jc w:val="left"/>
              <w:rPr>
                <w:rFonts w:ascii="宋体" w:hAnsi="宋体" w:cs="宋体" w:eastAsia="宋体" w:hint="default"/>
                <w:sz w:val="15"/>
                <w:szCs w:val="15"/>
              </w:rPr>
            </w:pPr>
            <w:r>
              <w:rPr>
                <w:rFonts w:ascii="宋体" w:hAnsi="宋体" w:cs="宋体" w:eastAsia="宋体" w:hint="default"/>
                <w:sz w:val="15"/>
                <w:szCs w:val="15"/>
              </w:rPr>
              <w:t>其他应付款</w:t>
            </w:r>
          </w:p>
        </w:tc>
        <w:tc>
          <w:tcPr>
            <w:tcW w:w="1148"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
              <w:jc w:val="right"/>
              <w:rPr>
                <w:rFonts w:ascii="Times New Roman" w:hAnsi="Times New Roman" w:cs="Times New Roman" w:eastAsia="Times New Roman" w:hint="default"/>
                <w:sz w:val="10"/>
                <w:szCs w:val="10"/>
              </w:rPr>
            </w:pPr>
            <w:r>
              <w:rPr>
                <w:rFonts w:ascii="Times New Roman"/>
                <w:spacing w:val="-1"/>
                <w:sz w:val="10"/>
              </w:rPr>
              <w:t>133,994.51</w:t>
            </w:r>
          </w:p>
        </w:tc>
        <w:tc>
          <w:tcPr>
            <w:tcW w:w="655"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0"/>
              <w:jc w:val="right"/>
              <w:rPr>
                <w:rFonts w:ascii="Times New Roman" w:hAnsi="Times New Roman" w:cs="Times New Roman" w:eastAsia="Times New Roman" w:hint="default"/>
                <w:sz w:val="10"/>
                <w:szCs w:val="10"/>
              </w:rPr>
            </w:pPr>
            <w:r>
              <w:rPr>
                <w:rFonts w:ascii="Times New Roman"/>
                <w:w w:val="99"/>
                <w:sz w:val="10"/>
              </w:rPr>
              <w:t>-</w:t>
            </w:r>
            <w:r>
              <w:rPr>
                <w:rFonts w:ascii="Times New Roman"/>
                <w:sz w:val="10"/>
              </w:rPr>
            </w:r>
          </w:p>
        </w:tc>
        <w:tc>
          <w:tcPr>
            <w:tcW w:w="6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
              <w:jc w:val="right"/>
              <w:rPr>
                <w:rFonts w:ascii="Times New Roman" w:hAnsi="Times New Roman" w:cs="Times New Roman" w:eastAsia="Times New Roman" w:hint="default"/>
                <w:sz w:val="10"/>
                <w:szCs w:val="10"/>
              </w:rPr>
            </w:pPr>
            <w:r>
              <w:rPr>
                <w:rFonts w:ascii="Times New Roman"/>
                <w:spacing w:val="-1"/>
                <w:sz w:val="10"/>
              </w:rPr>
              <w:t>6,474.57</w:t>
            </w:r>
          </w:p>
        </w:tc>
        <w:tc>
          <w:tcPr>
            <w:tcW w:w="73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
              <w:jc w:val="right"/>
              <w:rPr>
                <w:rFonts w:ascii="Times New Roman" w:hAnsi="Times New Roman" w:cs="Times New Roman" w:eastAsia="Times New Roman" w:hint="default"/>
                <w:sz w:val="10"/>
                <w:szCs w:val="10"/>
              </w:rPr>
            </w:pPr>
            <w:r>
              <w:rPr>
                <w:rFonts w:ascii="Times New Roman"/>
                <w:spacing w:val="-1"/>
                <w:sz w:val="10"/>
              </w:rPr>
              <w:t>49,515.94</w:t>
            </w:r>
          </w:p>
        </w:tc>
        <w:tc>
          <w:tcPr>
            <w:tcW w:w="89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0"/>
              <w:jc w:val="right"/>
              <w:rPr>
                <w:rFonts w:ascii="Times New Roman" w:hAnsi="Times New Roman" w:cs="Times New Roman" w:eastAsia="Times New Roman" w:hint="default"/>
                <w:sz w:val="10"/>
                <w:szCs w:val="10"/>
              </w:rPr>
            </w:pPr>
            <w:r>
              <w:rPr>
                <w:rFonts w:ascii="Times New Roman"/>
                <w:w w:val="99"/>
                <w:sz w:val="10"/>
              </w:rPr>
              <w:t>-</w:t>
            </w:r>
            <w:r>
              <w:rPr>
                <w:rFonts w:ascii="Times New Roman"/>
                <w:sz w:val="10"/>
              </w:rPr>
            </w:r>
          </w:p>
        </w:tc>
        <w:tc>
          <w:tcPr>
            <w:tcW w:w="82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
              <w:jc w:val="right"/>
              <w:rPr>
                <w:rFonts w:ascii="Times New Roman" w:hAnsi="Times New Roman" w:cs="Times New Roman" w:eastAsia="Times New Roman" w:hint="default"/>
                <w:sz w:val="10"/>
                <w:szCs w:val="10"/>
              </w:rPr>
            </w:pPr>
            <w:r>
              <w:rPr>
                <w:rFonts w:ascii="Times New Roman"/>
                <w:w w:val="99"/>
                <w:sz w:val="10"/>
              </w:rPr>
              <w:t>-</w:t>
            </w:r>
            <w:r>
              <w:rPr>
                <w:rFonts w:ascii="Times New Roman"/>
                <w:sz w:val="10"/>
              </w:rPr>
            </w:r>
          </w:p>
        </w:tc>
        <w:tc>
          <w:tcPr>
            <w:tcW w:w="76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right="0"/>
              <w:jc w:val="right"/>
              <w:rPr>
                <w:rFonts w:ascii="Times New Roman" w:hAnsi="Times New Roman" w:cs="Times New Roman" w:eastAsia="Times New Roman" w:hint="default"/>
                <w:sz w:val="10"/>
                <w:szCs w:val="10"/>
              </w:rPr>
            </w:pPr>
            <w:r>
              <w:rPr>
                <w:rFonts w:ascii="Times New Roman"/>
                <w:spacing w:val="-1"/>
                <w:sz w:val="10"/>
              </w:rPr>
              <w:t>27,506.18</w:t>
            </w:r>
          </w:p>
        </w:tc>
        <w:tc>
          <w:tcPr>
            <w:tcW w:w="64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right="2"/>
              <w:jc w:val="right"/>
              <w:rPr>
                <w:rFonts w:ascii="Times New Roman" w:hAnsi="Times New Roman" w:cs="Times New Roman" w:eastAsia="Times New Roman" w:hint="default"/>
                <w:sz w:val="10"/>
                <w:szCs w:val="10"/>
              </w:rPr>
            </w:pPr>
            <w:r>
              <w:rPr>
                <w:rFonts w:ascii="Times New Roman"/>
                <w:w w:val="99"/>
                <w:sz w:val="10"/>
              </w:rPr>
              <w:t>-</w:t>
            </w:r>
            <w:r>
              <w:rPr>
                <w:rFonts w:ascii="Times New Roman"/>
                <w:sz w:val="10"/>
              </w:rPr>
            </w:r>
          </w:p>
        </w:tc>
        <w:tc>
          <w:tcPr>
            <w:tcW w:w="828"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right="1"/>
              <w:jc w:val="right"/>
              <w:rPr>
                <w:rFonts w:ascii="Times New Roman" w:hAnsi="Times New Roman" w:cs="Times New Roman" w:eastAsia="Times New Roman" w:hint="default"/>
                <w:sz w:val="10"/>
                <w:szCs w:val="10"/>
              </w:rPr>
            </w:pPr>
            <w:r>
              <w:rPr>
                <w:rFonts w:ascii="Times New Roman"/>
                <w:spacing w:val="-1"/>
                <w:sz w:val="10"/>
              </w:rPr>
              <w:t>16,753.00</w:t>
            </w:r>
          </w:p>
        </w:tc>
        <w:tc>
          <w:tcPr>
            <w:tcW w:w="821"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right="0"/>
              <w:jc w:val="right"/>
              <w:rPr>
                <w:rFonts w:ascii="Times New Roman" w:hAnsi="Times New Roman" w:cs="Times New Roman" w:eastAsia="Times New Roman" w:hint="default"/>
                <w:sz w:val="10"/>
                <w:szCs w:val="10"/>
              </w:rPr>
            </w:pPr>
            <w:r>
              <w:rPr>
                <w:rFonts w:ascii="Times New Roman"/>
                <w:spacing w:val="-1"/>
                <w:sz w:val="10"/>
              </w:rPr>
              <w:t>24,374.57</w:t>
            </w:r>
          </w:p>
        </w:tc>
        <w:tc>
          <w:tcPr>
            <w:tcW w:w="786" w:type="dxa"/>
            <w:tcBorders>
              <w:top w:val="single" w:sz="12" w:space="0" w:color="000000"/>
              <w:left w:val="single" w:sz="6"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right="9"/>
              <w:jc w:val="right"/>
              <w:rPr>
                <w:rFonts w:ascii="Times New Roman" w:hAnsi="Times New Roman" w:cs="Times New Roman" w:eastAsia="Times New Roman" w:hint="default"/>
                <w:sz w:val="10"/>
                <w:szCs w:val="10"/>
              </w:rPr>
            </w:pPr>
            <w:r>
              <w:rPr>
                <w:rFonts w:ascii="Times New Roman"/>
                <w:w w:val="99"/>
                <w:sz w:val="10"/>
              </w:rPr>
              <w:t>-</w:t>
            </w:r>
            <w:r>
              <w:rPr>
                <w:rFonts w:ascii="Times New Roman"/>
                <w:sz w:val="10"/>
              </w:rPr>
            </w:r>
          </w:p>
        </w:tc>
      </w:tr>
      <w:tr>
        <w:trPr>
          <w:trHeight w:val="744" w:hRule="exact"/>
        </w:trPr>
        <w:tc>
          <w:tcPr>
            <w:tcW w:w="983"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3"/>
              <w:ind w:left="2" w:right="0"/>
              <w:jc w:val="left"/>
              <w:rPr>
                <w:rFonts w:ascii="宋体" w:hAnsi="宋体" w:cs="宋体" w:eastAsia="宋体" w:hint="default"/>
                <w:sz w:val="15"/>
                <w:szCs w:val="15"/>
              </w:rPr>
            </w:pPr>
            <w:r>
              <w:rPr>
                <w:rFonts w:ascii="宋体" w:hAnsi="宋体" w:cs="宋体" w:eastAsia="宋体" w:hint="default"/>
                <w:sz w:val="15"/>
                <w:szCs w:val="15"/>
              </w:rPr>
              <w:t>应付账款</w:t>
            </w:r>
          </w:p>
        </w:tc>
        <w:tc>
          <w:tcPr>
            <w:tcW w:w="1148"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2"/>
              <w:jc w:val="right"/>
              <w:rPr>
                <w:rFonts w:ascii="Times New Roman" w:hAnsi="Times New Roman" w:cs="Times New Roman" w:eastAsia="Times New Roman" w:hint="default"/>
                <w:sz w:val="10"/>
                <w:szCs w:val="10"/>
              </w:rPr>
            </w:pPr>
            <w:r>
              <w:rPr>
                <w:rFonts w:ascii="Times New Roman"/>
                <w:spacing w:val="-1"/>
                <w:sz w:val="10"/>
              </w:rPr>
              <w:t>40,932.33</w:t>
            </w:r>
          </w:p>
        </w:tc>
        <w:tc>
          <w:tcPr>
            <w:tcW w:w="655"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0"/>
              <w:jc w:val="right"/>
              <w:rPr>
                <w:rFonts w:ascii="Times New Roman" w:hAnsi="Times New Roman" w:cs="Times New Roman" w:eastAsia="Times New Roman" w:hint="default"/>
                <w:sz w:val="10"/>
                <w:szCs w:val="10"/>
              </w:rPr>
            </w:pPr>
            <w:r>
              <w:rPr>
                <w:rFonts w:ascii="Times New Roman"/>
                <w:w w:val="99"/>
                <w:sz w:val="10"/>
              </w:rPr>
              <w:t>-</w:t>
            </w:r>
            <w:r>
              <w:rPr>
                <w:rFonts w:ascii="Times New Roman"/>
                <w:sz w:val="10"/>
              </w:rPr>
            </w:r>
          </w:p>
        </w:tc>
        <w:tc>
          <w:tcPr>
            <w:tcW w:w="6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0"/>
              <w:jc w:val="right"/>
              <w:rPr>
                <w:rFonts w:ascii="Times New Roman" w:hAnsi="Times New Roman" w:cs="Times New Roman" w:eastAsia="Times New Roman" w:hint="default"/>
                <w:sz w:val="10"/>
                <w:szCs w:val="10"/>
              </w:rPr>
            </w:pPr>
            <w:r>
              <w:rPr>
                <w:rFonts w:ascii="Times New Roman"/>
                <w:w w:val="99"/>
                <w:sz w:val="10"/>
              </w:rPr>
              <w:t>-</w:t>
            </w:r>
            <w:r>
              <w:rPr>
                <w:rFonts w:ascii="Times New Roman"/>
                <w:sz w:val="10"/>
              </w:rPr>
            </w:r>
          </w:p>
        </w:tc>
        <w:tc>
          <w:tcPr>
            <w:tcW w:w="73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
              <w:jc w:val="right"/>
              <w:rPr>
                <w:rFonts w:ascii="Times New Roman" w:hAnsi="Times New Roman" w:cs="Times New Roman" w:eastAsia="Times New Roman" w:hint="default"/>
                <w:sz w:val="10"/>
                <w:szCs w:val="10"/>
              </w:rPr>
            </w:pPr>
            <w:r>
              <w:rPr>
                <w:rFonts w:ascii="Times New Roman"/>
                <w:w w:val="99"/>
                <w:sz w:val="10"/>
              </w:rPr>
              <w:t>-</w:t>
            </w:r>
            <w:r>
              <w:rPr>
                <w:rFonts w:ascii="Times New Roman"/>
                <w:sz w:val="10"/>
              </w:rPr>
            </w:r>
          </w:p>
        </w:tc>
        <w:tc>
          <w:tcPr>
            <w:tcW w:w="89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0"/>
              <w:jc w:val="right"/>
              <w:rPr>
                <w:rFonts w:ascii="Times New Roman" w:hAnsi="Times New Roman" w:cs="Times New Roman" w:eastAsia="Times New Roman" w:hint="default"/>
                <w:sz w:val="10"/>
                <w:szCs w:val="10"/>
              </w:rPr>
            </w:pPr>
            <w:r>
              <w:rPr>
                <w:rFonts w:ascii="Times New Roman"/>
                <w:w w:val="99"/>
                <w:sz w:val="10"/>
              </w:rPr>
              <w:t>-</w:t>
            </w:r>
            <w:r>
              <w:rPr>
                <w:rFonts w:ascii="Times New Roman"/>
                <w:sz w:val="10"/>
              </w:rPr>
            </w:r>
          </w:p>
        </w:tc>
        <w:tc>
          <w:tcPr>
            <w:tcW w:w="82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
              <w:jc w:val="right"/>
              <w:rPr>
                <w:rFonts w:ascii="Times New Roman" w:hAnsi="Times New Roman" w:cs="Times New Roman" w:eastAsia="Times New Roman" w:hint="default"/>
                <w:sz w:val="10"/>
                <w:szCs w:val="10"/>
              </w:rPr>
            </w:pPr>
            <w:r>
              <w:rPr>
                <w:rFonts w:ascii="Times New Roman"/>
                <w:w w:val="99"/>
                <w:sz w:val="10"/>
              </w:rPr>
              <w:t>-</w:t>
            </w:r>
            <w:r>
              <w:rPr>
                <w:rFonts w:ascii="Times New Roman"/>
                <w:sz w:val="10"/>
              </w:rPr>
            </w:r>
          </w:p>
        </w:tc>
        <w:tc>
          <w:tcPr>
            <w:tcW w:w="76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right="0"/>
              <w:jc w:val="right"/>
              <w:rPr>
                <w:rFonts w:ascii="Times New Roman" w:hAnsi="Times New Roman" w:cs="Times New Roman" w:eastAsia="Times New Roman" w:hint="default"/>
                <w:sz w:val="10"/>
                <w:szCs w:val="10"/>
              </w:rPr>
            </w:pPr>
            <w:r>
              <w:rPr>
                <w:rFonts w:ascii="Times New Roman"/>
                <w:w w:val="99"/>
                <w:sz w:val="10"/>
              </w:rPr>
              <w:t>-</w:t>
            </w:r>
            <w:r>
              <w:rPr>
                <w:rFonts w:ascii="Times New Roman"/>
                <w:sz w:val="10"/>
              </w:rPr>
            </w:r>
          </w:p>
        </w:tc>
        <w:tc>
          <w:tcPr>
            <w:tcW w:w="64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right="2"/>
              <w:jc w:val="right"/>
              <w:rPr>
                <w:rFonts w:ascii="Times New Roman" w:hAnsi="Times New Roman" w:cs="Times New Roman" w:eastAsia="Times New Roman" w:hint="default"/>
                <w:sz w:val="10"/>
                <w:szCs w:val="10"/>
              </w:rPr>
            </w:pPr>
            <w:r>
              <w:rPr>
                <w:rFonts w:ascii="Times New Roman"/>
                <w:w w:val="99"/>
                <w:sz w:val="10"/>
              </w:rPr>
              <w:t>-</w:t>
            </w:r>
            <w:r>
              <w:rPr>
                <w:rFonts w:ascii="Times New Roman"/>
                <w:sz w:val="10"/>
              </w:rPr>
            </w:r>
          </w:p>
        </w:tc>
        <w:tc>
          <w:tcPr>
            <w:tcW w:w="828"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right="2"/>
              <w:jc w:val="right"/>
              <w:rPr>
                <w:rFonts w:ascii="Times New Roman" w:hAnsi="Times New Roman" w:cs="Times New Roman" w:eastAsia="Times New Roman" w:hint="default"/>
                <w:sz w:val="10"/>
                <w:szCs w:val="10"/>
              </w:rPr>
            </w:pPr>
            <w:r>
              <w:rPr>
                <w:rFonts w:ascii="Times New Roman"/>
                <w:w w:val="99"/>
                <w:sz w:val="10"/>
              </w:rPr>
              <w:t>-</w:t>
            </w:r>
            <w:r>
              <w:rPr>
                <w:rFonts w:ascii="Times New Roman"/>
                <w:sz w:val="10"/>
              </w:rPr>
            </w:r>
          </w:p>
        </w:tc>
        <w:tc>
          <w:tcPr>
            <w:tcW w:w="821"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4"/>
              <w:ind w:right="0"/>
              <w:jc w:val="left"/>
              <w:rPr>
                <w:rFonts w:ascii="宋体" w:hAnsi="宋体" w:cs="宋体" w:eastAsia="宋体" w:hint="default"/>
                <w:sz w:val="12"/>
                <w:szCs w:val="12"/>
              </w:rPr>
            </w:pPr>
          </w:p>
          <w:p>
            <w:pPr>
              <w:pStyle w:val="TableParagraph"/>
              <w:spacing w:line="240" w:lineRule="auto"/>
              <w:ind w:right="0"/>
              <w:jc w:val="right"/>
              <w:rPr>
                <w:rFonts w:ascii="Times New Roman" w:hAnsi="Times New Roman" w:cs="Times New Roman" w:eastAsia="Times New Roman" w:hint="default"/>
                <w:sz w:val="10"/>
                <w:szCs w:val="10"/>
              </w:rPr>
            </w:pPr>
            <w:r>
              <w:rPr>
                <w:rFonts w:ascii="Times New Roman"/>
                <w:w w:val="99"/>
                <w:sz w:val="10"/>
              </w:rPr>
              <w:t>-</w:t>
            </w:r>
            <w:r>
              <w:rPr>
                <w:rFonts w:ascii="Times New Roman"/>
                <w:sz w:val="10"/>
              </w:rPr>
            </w:r>
          </w:p>
        </w:tc>
        <w:tc>
          <w:tcPr>
            <w:tcW w:w="786" w:type="dxa"/>
            <w:tcBorders>
              <w:top w:val="single" w:sz="12" w:space="0" w:color="000000"/>
              <w:left w:val="single" w:sz="6"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right="9"/>
              <w:jc w:val="right"/>
              <w:rPr>
                <w:rFonts w:ascii="Times New Roman" w:hAnsi="Times New Roman" w:cs="Times New Roman" w:eastAsia="Times New Roman" w:hint="default"/>
                <w:sz w:val="10"/>
                <w:szCs w:val="10"/>
              </w:rPr>
            </w:pPr>
            <w:r>
              <w:rPr>
                <w:rFonts w:ascii="Times New Roman"/>
                <w:w w:val="99"/>
                <w:sz w:val="10"/>
              </w:rPr>
              <w:t>-</w:t>
            </w:r>
            <w:r>
              <w:rPr>
                <w:rFonts w:ascii="Times New Roman"/>
                <w:sz w:val="10"/>
              </w:rPr>
            </w:r>
          </w:p>
        </w:tc>
      </w:tr>
      <w:tr>
        <w:trPr>
          <w:trHeight w:val="744" w:hRule="exact"/>
        </w:trPr>
        <w:tc>
          <w:tcPr>
            <w:tcW w:w="983"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3"/>
              <w:ind w:left="2" w:right="0"/>
              <w:jc w:val="left"/>
              <w:rPr>
                <w:rFonts w:ascii="宋体" w:hAnsi="宋体" w:cs="宋体" w:eastAsia="宋体" w:hint="default"/>
                <w:sz w:val="15"/>
                <w:szCs w:val="15"/>
              </w:rPr>
            </w:pPr>
            <w:r>
              <w:rPr>
                <w:rFonts w:ascii="宋体" w:hAnsi="宋体" w:cs="宋体" w:eastAsia="宋体" w:hint="default"/>
                <w:sz w:val="15"/>
                <w:szCs w:val="15"/>
              </w:rPr>
              <w:t>预收账款</w:t>
            </w:r>
          </w:p>
        </w:tc>
        <w:tc>
          <w:tcPr>
            <w:tcW w:w="1148"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
              <w:jc w:val="right"/>
              <w:rPr>
                <w:rFonts w:ascii="Times New Roman" w:hAnsi="Times New Roman" w:cs="Times New Roman" w:eastAsia="Times New Roman" w:hint="default"/>
                <w:sz w:val="10"/>
                <w:szCs w:val="10"/>
              </w:rPr>
            </w:pPr>
            <w:r>
              <w:rPr>
                <w:rFonts w:ascii="Times New Roman"/>
                <w:spacing w:val="-1"/>
                <w:sz w:val="10"/>
              </w:rPr>
              <w:t>134,425.98</w:t>
            </w:r>
          </w:p>
        </w:tc>
        <w:tc>
          <w:tcPr>
            <w:tcW w:w="655"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0"/>
              <w:jc w:val="right"/>
              <w:rPr>
                <w:rFonts w:ascii="Times New Roman" w:hAnsi="Times New Roman" w:cs="Times New Roman" w:eastAsia="Times New Roman" w:hint="default"/>
                <w:sz w:val="10"/>
                <w:szCs w:val="10"/>
              </w:rPr>
            </w:pPr>
            <w:r>
              <w:rPr>
                <w:rFonts w:ascii="Times New Roman"/>
                <w:w w:val="99"/>
                <w:sz w:val="10"/>
              </w:rPr>
              <w:t>-</w:t>
            </w:r>
            <w:r>
              <w:rPr>
                <w:rFonts w:ascii="Times New Roman"/>
                <w:sz w:val="10"/>
              </w:rPr>
            </w:r>
          </w:p>
        </w:tc>
        <w:tc>
          <w:tcPr>
            <w:tcW w:w="6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0"/>
              <w:jc w:val="right"/>
              <w:rPr>
                <w:rFonts w:ascii="Times New Roman" w:hAnsi="Times New Roman" w:cs="Times New Roman" w:eastAsia="Times New Roman" w:hint="default"/>
                <w:sz w:val="10"/>
                <w:szCs w:val="10"/>
              </w:rPr>
            </w:pPr>
            <w:r>
              <w:rPr>
                <w:rFonts w:ascii="Times New Roman"/>
                <w:w w:val="99"/>
                <w:sz w:val="10"/>
              </w:rPr>
              <w:t>-</w:t>
            </w:r>
            <w:r>
              <w:rPr>
                <w:rFonts w:ascii="Times New Roman"/>
                <w:sz w:val="10"/>
              </w:rPr>
            </w:r>
          </w:p>
        </w:tc>
        <w:tc>
          <w:tcPr>
            <w:tcW w:w="73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
              <w:jc w:val="right"/>
              <w:rPr>
                <w:rFonts w:ascii="Times New Roman" w:hAnsi="Times New Roman" w:cs="Times New Roman" w:eastAsia="Times New Roman" w:hint="default"/>
                <w:sz w:val="10"/>
                <w:szCs w:val="10"/>
              </w:rPr>
            </w:pPr>
            <w:r>
              <w:rPr>
                <w:rFonts w:ascii="Times New Roman"/>
                <w:w w:val="99"/>
                <w:sz w:val="10"/>
              </w:rPr>
              <w:t>-</w:t>
            </w:r>
            <w:r>
              <w:rPr>
                <w:rFonts w:ascii="Times New Roman"/>
                <w:sz w:val="10"/>
              </w:rPr>
            </w:r>
          </w:p>
        </w:tc>
        <w:tc>
          <w:tcPr>
            <w:tcW w:w="89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0"/>
              <w:jc w:val="right"/>
              <w:rPr>
                <w:rFonts w:ascii="Times New Roman" w:hAnsi="Times New Roman" w:cs="Times New Roman" w:eastAsia="Times New Roman" w:hint="default"/>
                <w:sz w:val="10"/>
                <w:szCs w:val="10"/>
              </w:rPr>
            </w:pPr>
            <w:r>
              <w:rPr>
                <w:rFonts w:ascii="Times New Roman"/>
                <w:w w:val="99"/>
                <w:sz w:val="10"/>
              </w:rPr>
              <w:t>-</w:t>
            </w:r>
            <w:r>
              <w:rPr>
                <w:rFonts w:ascii="Times New Roman"/>
                <w:sz w:val="10"/>
              </w:rPr>
            </w:r>
          </w:p>
        </w:tc>
        <w:tc>
          <w:tcPr>
            <w:tcW w:w="82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
              <w:jc w:val="right"/>
              <w:rPr>
                <w:rFonts w:ascii="Times New Roman" w:hAnsi="Times New Roman" w:cs="Times New Roman" w:eastAsia="Times New Roman" w:hint="default"/>
                <w:sz w:val="10"/>
                <w:szCs w:val="10"/>
              </w:rPr>
            </w:pPr>
            <w:r>
              <w:rPr>
                <w:rFonts w:ascii="Times New Roman"/>
                <w:w w:val="99"/>
                <w:sz w:val="10"/>
              </w:rPr>
              <w:t>-</w:t>
            </w:r>
            <w:r>
              <w:rPr>
                <w:rFonts w:ascii="Times New Roman"/>
                <w:sz w:val="10"/>
              </w:rPr>
            </w:r>
          </w:p>
        </w:tc>
        <w:tc>
          <w:tcPr>
            <w:tcW w:w="76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right="0"/>
              <w:jc w:val="right"/>
              <w:rPr>
                <w:rFonts w:ascii="Times New Roman" w:hAnsi="Times New Roman" w:cs="Times New Roman" w:eastAsia="Times New Roman" w:hint="default"/>
                <w:sz w:val="10"/>
                <w:szCs w:val="10"/>
              </w:rPr>
            </w:pPr>
            <w:r>
              <w:rPr>
                <w:rFonts w:ascii="Times New Roman"/>
                <w:spacing w:val="-1"/>
                <w:sz w:val="10"/>
              </w:rPr>
              <w:t>1,044,129.50</w:t>
            </w:r>
          </w:p>
        </w:tc>
        <w:tc>
          <w:tcPr>
            <w:tcW w:w="64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
              <w:ind w:right="0"/>
              <w:jc w:val="left"/>
              <w:rPr>
                <w:rFonts w:ascii="宋体" w:hAnsi="宋体" w:cs="宋体" w:eastAsia="宋体" w:hint="default"/>
                <w:sz w:val="7"/>
                <w:szCs w:val="7"/>
              </w:rPr>
            </w:pPr>
          </w:p>
          <w:p>
            <w:pPr>
              <w:pStyle w:val="TableParagraph"/>
              <w:spacing w:line="240" w:lineRule="auto"/>
              <w:ind w:right="2"/>
              <w:jc w:val="right"/>
              <w:rPr>
                <w:rFonts w:ascii="Times New Roman" w:hAnsi="Times New Roman" w:cs="Times New Roman" w:eastAsia="Times New Roman" w:hint="default"/>
                <w:sz w:val="10"/>
                <w:szCs w:val="10"/>
              </w:rPr>
            </w:pPr>
            <w:r>
              <w:rPr>
                <w:rFonts w:ascii="Times New Roman"/>
                <w:w w:val="99"/>
                <w:sz w:val="10"/>
              </w:rPr>
              <w:t>-</w:t>
            </w:r>
            <w:r>
              <w:rPr>
                <w:rFonts w:ascii="Times New Roman"/>
                <w:sz w:val="10"/>
              </w:rPr>
            </w:r>
          </w:p>
        </w:tc>
        <w:tc>
          <w:tcPr>
            <w:tcW w:w="828"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
              <w:ind w:right="0"/>
              <w:jc w:val="left"/>
              <w:rPr>
                <w:rFonts w:ascii="宋体" w:hAnsi="宋体" w:cs="宋体" w:eastAsia="宋体" w:hint="default"/>
                <w:sz w:val="7"/>
                <w:szCs w:val="7"/>
              </w:rPr>
            </w:pPr>
          </w:p>
          <w:p>
            <w:pPr>
              <w:pStyle w:val="TableParagraph"/>
              <w:spacing w:line="240" w:lineRule="auto"/>
              <w:ind w:right="2"/>
              <w:jc w:val="right"/>
              <w:rPr>
                <w:rFonts w:ascii="Times New Roman" w:hAnsi="Times New Roman" w:cs="Times New Roman" w:eastAsia="Times New Roman" w:hint="default"/>
                <w:sz w:val="10"/>
                <w:szCs w:val="10"/>
              </w:rPr>
            </w:pPr>
            <w:r>
              <w:rPr>
                <w:rFonts w:ascii="Times New Roman"/>
                <w:w w:val="99"/>
                <w:sz w:val="10"/>
              </w:rPr>
              <w:t>-</w:t>
            </w:r>
            <w:r>
              <w:rPr>
                <w:rFonts w:ascii="Times New Roman"/>
                <w:sz w:val="10"/>
              </w:rPr>
            </w:r>
          </w:p>
        </w:tc>
        <w:tc>
          <w:tcPr>
            <w:tcW w:w="821" w:type="dxa"/>
            <w:tcBorders>
              <w:top w:val="single" w:sz="12" w:space="0" w:color="000000"/>
              <w:left w:val="single" w:sz="6" w:space="0" w:color="000000"/>
              <w:bottom w:val="single" w:sz="12" w:space="0" w:color="000000"/>
              <w:right w:val="single" w:sz="6" w:space="0" w:color="000000"/>
            </w:tcBorders>
          </w:tcPr>
          <w:p>
            <w:pPr/>
          </w:p>
        </w:tc>
        <w:tc>
          <w:tcPr>
            <w:tcW w:w="786"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6"/>
              <w:ind w:right="0"/>
              <w:jc w:val="left"/>
              <w:rPr>
                <w:rFonts w:ascii="宋体" w:hAnsi="宋体" w:cs="宋体" w:eastAsia="宋体" w:hint="default"/>
                <w:sz w:val="7"/>
                <w:szCs w:val="7"/>
              </w:rPr>
            </w:pPr>
          </w:p>
          <w:p>
            <w:pPr>
              <w:pStyle w:val="TableParagraph"/>
              <w:spacing w:line="240" w:lineRule="auto"/>
              <w:ind w:right="9"/>
              <w:jc w:val="right"/>
              <w:rPr>
                <w:rFonts w:ascii="Times New Roman" w:hAnsi="Times New Roman" w:cs="Times New Roman" w:eastAsia="Times New Roman" w:hint="default"/>
                <w:sz w:val="10"/>
                <w:szCs w:val="10"/>
              </w:rPr>
            </w:pPr>
            <w:r>
              <w:rPr>
                <w:rFonts w:ascii="Times New Roman"/>
                <w:w w:val="99"/>
                <w:sz w:val="10"/>
              </w:rPr>
              <w:t>-</w:t>
            </w:r>
            <w:r>
              <w:rPr>
                <w:rFonts w:ascii="Times New Roman"/>
                <w:sz w:val="10"/>
              </w:rPr>
            </w:r>
          </w:p>
        </w:tc>
      </w:tr>
    </w:tbl>
    <w:p>
      <w:pPr>
        <w:pStyle w:val="BodyText"/>
        <w:spacing w:line="316" w:lineRule="auto" w:before="10"/>
        <w:ind w:left="154" w:right="0" w:firstLine="480"/>
        <w:jc w:val="left"/>
      </w:pPr>
      <w:r>
        <w:rPr>
          <w:spacing w:val="-1"/>
        </w:rPr>
        <w:t>本公司密切关注汇率变动对本公司外汇风险的影响。通常选择在人民币兑美元升值期间及时结汇，在人民币兑美元贬</w:t>
      </w:r>
      <w:r>
        <w:rPr/>
        <w:t> 值期间延期结汇以降低外汇风险。</w:t>
      </w:r>
    </w:p>
    <w:p>
      <w:pPr>
        <w:pStyle w:val="BodyText"/>
        <w:spacing w:line="300" w:lineRule="auto" w:before="19"/>
        <w:ind w:left="634" w:right="1118" w:firstLine="2"/>
        <w:jc w:val="left"/>
      </w:pPr>
      <w:r>
        <w:rPr>
          <w:rFonts w:ascii="Times New Roman" w:hAnsi="Times New Roman" w:cs="Times New Roman" w:eastAsia="Times New Roman" w:hint="default"/>
          <w:b/>
          <w:bCs/>
        </w:rPr>
        <w:t>2</w:t>
      </w:r>
      <w:r>
        <w:rPr>
          <w:rFonts w:ascii="宋体" w:hAnsi="宋体" w:cs="宋体" w:eastAsia="宋体" w:hint="default"/>
          <w:b/>
          <w:bCs/>
        </w:rPr>
        <w:t>、信用风险</w:t>
      </w:r>
      <w:r>
        <w:rPr>
          <w:rFonts w:ascii="宋体" w:hAnsi="宋体" w:cs="宋体" w:eastAsia="宋体" w:hint="default"/>
          <w:b/>
          <w:bCs/>
          <w:w w:val="99"/>
        </w:rPr>
        <w:t> </w:t>
      </w:r>
      <w:r>
        <w:rPr>
          <w:spacing w:val="-1"/>
        </w:rPr>
        <w:t>为降低信用风险，本公司成立了一个小组负责确定信用额度、进行信用审批，并执行其他监控程序以确保采取必要的</w:t>
      </w:r>
    </w:p>
    <w:p>
      <w:pPr>
        <w:pStyle w:val="BodyText"/>
        <w:spacing w:line="319" w:lineRule="auto" w:before="31"/>
        <w:ind w:left="154" w:right="0"/>
        <w:jc w:val="left"/>
      </w:pPr>
      <w:r>
        <w:rPr>
          <w:spacing w:val="-2"/>
        </w:rPr>
        <w:t>措施回收过期债权。此外，本公司于每个资产负债表日审核每一单项应收款的回收情况，以确保就无法回收的款项计提充分</w:t>
      </w:r>
      <w:r>
        <w:rPr>
          <w:spacing w:val="-66"/>
        </w:rPr>
        <w:t> </w:t>
      </w:r>
      <w:r>
        <w:rPr>
          <w:spacing w:val="-66"/>
        </w:rPr>
      </w:r>
      <w:r>
        <w:rPr/>
        <w:t>的坏账准备。因此，本公司管理层认为本公司所承担的信用风险已经大为降低。</w:t>
      </w:r>
    </w:p>
    <w:p>
      <w:pPr>
        <w:pStyle w:val="BodyText"/>
        <w:spacing w:line="240" w:lineRule="auto" w:before="17"/>
        <w:ind w:left="633" w:right="0"/>
        <w:jc w:val="left"/>
      </w:pPr>
      <w:r>
        <w:rPr/>
        <w:t>本公司的流动资金存放在信用评级较高的银行，故流动资金的信用风险较低。</w:t>
      </w:r>
    </w:p>
    <w:p>
      <w:pPr>
        <w:pStyle w:val="BodyText"/>
        <w:spacing w:line="309" w:lineRule="auto" w:before="76"/>
        <w:ind w:right="0" w:firstLine="482"/>
        <w:jc w:val="left"/>
      </w:pPr>
      <w:r>
        <w:rPr>
          <w:rFonts w:ascii="Times New Roman" w:hAnsi="Times New Roman" w:cs="Times New Roman" w:eastAsia="Times New Roman" w:hint="default"/>
          <w:b/>
          <w:bCs/>
        </w:rPr>
        <w:t>3</w:t>
      </w:r>
      <w:r>
        <w:rPr>
          <w:rFonts w:ascii="宋体" w:hAnsi="宋体" w:cs="宋体" w:eastAsia="宋体" w:hint="default"/>
          <w:b/>
          <w:bCs/>
        </w:rPr>
        <w:t>、流动风险</w:t>
      </w:r>
      <w:r>
        <w:rPr>
          <w:rFonts w:ascii="宋体" w:hAnsi="宋体" w:cs="宋体" w:eastAsia="宋体" w:hint="default"/>
          <w:b/>
          <w:bCs/>
          <w:w w:val="99"/>
        </w:rPr>
        <w:t> </w:t>
      </w:r>
      <w:r>
        <w:rPr>
          <w:spacing w:val="-2"/>
        </w:rPr>
        <w:t>管理流动风险时，本公司保持管理层认为充分的现金及现金等价物并对其进行监控，以满足本公司经营需要，并降低现金流</w:t>
      </w:r>
      <w:r>
        <w:rPr>
          <w:spacing w:val="-66"/>
        </w:rPr>
        <w:t> </w:t>
      </w:r>
      <w:r>
        <w:rPr>
          <w:spacing w:val="-66"/>
        </w:rPr>
      </w:r>
      <w:r>
        <w:rPr/>
        <w:t>量波动的影响。</w:t>
      </w:r>
    </w:p>
    <w:p>
      <w:pPr>
        <w:spacing w:line="240" w:lineRule="auto" w:before="2"/>
        <w:rPr>
          <w:rFonts w:ascii="宋体" w:hAnsi="宋体" w:cs="宋体" w:eastAsia="宋体" w:hint="default"/>
          <w:sz w:val="21"/>
          <w:szCs w:val="21"/>
        </w:rPr>
      </w:pPr>
    </w:p>
    <w:p>
      <w:pPr>
        <w:pStyle w:val="Heading2"/>
        <w:spacing w:line="240" w:lineRule="auto"/>
        <w:ind w:right="0"/>
        <w:jc w:val="left"/>
        <w:rPr>
          <w:b w:val="0"/>
          <w:bCs w:val="0"/>
        </w:rPr>
      </w:pPr>
      <w:bookmarkStart w:name="十一、公允价值的披露" w:id="445"/>
      <w:bookmarkEnd w:id="445"/>
      <w:r>
        <w:rPr>
          <w:b w:val="0"/>
          <w:bCs w:val="0"/>
        </w:rPr>
      </w:r>
      <w:r>
        <w:rPr/>
        <w:t>十一、公允价值的披露</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53" w:right="0"/>
        <w:jc w:val="left"/>
        <w:rPr>
          <w:b w:val="0"/>
          <w:bCs w:val="0"/>
        </w:rPr>
      </w:pPr>
      <w:bookmarkStart w:name="1、以公允价值计量的资产和负债的期末公允价值" w:id="446"/>
      <w:bookmarkEnd w:id="446"/>
      <w:r>
        <w:rPr>
          <w:b w:val="0"/>
          <w:bCs w:val="0"/>
        </w:rPr>
      </w:r>
      <w:r>
        <w:rPr>
          <w:rFonts w:ascii="Times New Roman" w:hAnsi="Times New Roman" w:cs="Times New Roman" w:eastAsia="Times New Roman" w:hint="default"/>
        </w:rPr>
        <w:t>1</w:t>
      </w:r>
      <w:r>
        <w:rPr/>
        <w:t>、以公允价值计量的资产和负债的期末公允价值</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95"/>
        <w:gridCol w:w="1838"/>
        <w:gridCol w:w="1913"/>
        <w:gridCol w:w="1913"/>
        <w:gridCol w:w="1913"/>
      </w:tblGrid>
      <w:tr>
        <w:trPr>
          <w:trHeight w:val="402" w:hRule="exact"/>
        </w:trPr>
        <w:tc>
          <w:tcPr>
            <w:tcW w:w="19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757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期末公允价值</w:t>
            </w:r>
          </w:p>
        </w:tc>
      </w:tr>
      <w:tr>
        <w:trPr>
          <w:trHeight w:val="714" w:hRule="exact"/>
        </w:trPr>
        <w:tc>
          <w:tcPr>
            <w:tcW w:w="1995" w:type="dxa"/>
            <w:vMerge/>
            <w:tcBorders>
              <w:left w:val="single" w:sz="4" w:space="0" w:color="000000"/>
              <w:bottom w:val="single" w:sz="4" w:space="0" w:color="000000"/>
              <w:right w:val="single" w:sz="4" w:space="0" w:color="000000"/>
            </w:tcBorders>
            <w:shd w:val="clear" w:color="auto" w:fill="D2D2D2"/>
          </w:tcPr>
          <w:p>
            <w:pPr/>
          </w:p>
        </w:tc>
        <w:tc>
          <w:tcPr>
            <w:tcW w:w="18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823" w:right="102" w:hanging="720"/>
              <w:jc w:val="left"/>
              <w:rPr>
                <w:rFonts w:ascii="宋体" w:hAnsi="宋体" w:cs="宋体" w:eastAsia="宋体" w:hint="default"/>
                <w:sz w:val="18"/>
                <w:szCs w:val="18"/>
              </w:rPr>
            </w:pPr>
            <w:r>
              <w:rPr>
                <w:rFonts w:ascii="宋体" w:hAnsi="宋体" w:cs="宋体" w:eastAsia="宋体" w:hint="default"/>
                <w:sz w:val="18"/>
                <w:szCs w:val="18"/>
              </w:rPr>
              <w:t>第一层次公允价值计 量</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第二层次公允价值计量</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第三层次公允价值计量</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2" w:hRule="exact"/>
        </w:trPr>
        <w:tc>
          <w:tcPr>
            <w:tcW w:w="19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pacing w:val="-4"/>
                <w:sz w:val="18"/>
                <w:szCs w:val="18"/>
              </w:rPr>
              <w:t>一、持续的公允价值计量</w:t>
            </w:r>
          </w:p>
        </w:tc>
        <w:tc>
          <w:tcPr>
            <w:tcW w:w="18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714" w:hRule="exact"/>
        </w:trPr>
        <w:tc>
          <w:tcPr>
            <w:tcW w:w="19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 w:right="22"/>
              <w:jc w:val="left"/>
              <w:rPr>
                <w:rFonts w:ascii="宋体" w:hAnsi="宋体" w:cs="宋体" w:eastAsia="宋体" w:hint="default"/>
                <w:sz w:val="18"/>
                <w:szCs w:val="18"/>
              </w:rPr>
            </w:pPr>
            <w:r>
              <w:rPr>
                <w:rFonts w:ascii="宋体" w:hAnsi="宋体" w:cs="宋体" w:eastAsia="宋体" w:hint="default"/>
                <w:spacing w:val="-4"/>
                <w:sz w:val="18"/>
                <w:szCs w:val="18"/>
              </w:rPr>
              <w:t>二、非持续的公允价值计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量</w:t>
            </w:r>
          </w:p>
        </w:tc>
        <w:tc>
          <w:tcPr>
            <w:tcW w:w="18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5"/>
        <w:ind w:left="153" w:right="0"/>
        <w:jc w:val="left"/>
        <w:rPr>
          <w:b w:val="0"/>
          <w:bCs w:val="0"/>
        </w:rPr>
      </w:pPr>
      <w:bookmarkStart w:name="2、持续和非持续第一层次公允价值计量项目市价的确定依据" w:id="447"/>
      <w:bookmarkEnd w:id="447"/>
      <w:r>
        <w:rPr>
          <w:b w:val="0"/>
          <w:bCs w:val="0"/>
        </w:rPr>
      </w:r>
      <w:r>
        <w:rPr>
          <w:rFonts w:ascii="Times New Roman" w:hAnsi="Times New Roman" w:cs="Times New Roman" w:eastAsia="Times New Roman" w:hint="default"/>
        </w:rPr>
        <w:t>2</w:t>
      </w:r>
      <w:r>
        <w:rPr/>
        <w:t>、持续和非持续第一层次公允价值计量项目市价的确定依据</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53" w:right="0"/>
        <w:jc w:val="left"/>
        <w:rPr>
          <w:b w:val="0"/>
          <w:bCs w:val="0"/>
        </w:rPr>
      </w:pPr>
      <w:bookmarkStart w:name="3、持续和非持续第二层次公允价值计量项目，采用的估值技术和重要参数的定性及定量信" w:id="448"/>
      <w:bookmarkEnd w:id="448"/>
      <w:r>
        <w:rPr>
          <w:b w:val="0"/>
          <w:bCs w:val="0"/>
        </w:rPr>
      </w:r>
      <w:r>
        <w:rPr>
          <w:rFonts w:ascii="Times New Roman" w:hAnsi="Times New Roman" w:cs="Times New Roman" w:eastAsia="Times New Roman" w:hint="default"/>
        </w:rPr>
        <w:t>3</w:t>
      </w:r>
      <w:r>
        <w:rPr/>
        <w:t>、持续和非持续第二层次公允价值计量项目，采用的估值技术和重要参数的定性及定量信息</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left="153" w:right="0"/>
        <w:jc w:val="left"/>
        <w:rPr>
          <w:b w:val="0"/>
          <w:bCs w:val="0"/>
        </w:rPr>
      </w:pPr>
      <w:bookmarkStart w:name="4、持续和非持续第三层次公允价值计量项目，采用的估值技术和重要参数的定性及定量信" w:id="449"/>
      <w:bookmarkEnd w:id="449"/>
      <w:r>
        <w:rPr>
          <w:b w:val="0"/>
          <w:bCs w:val="0"/>
        </w:rPr>
      </w:r>
      <w:r>
        <w:rPr>
          <w:rFonts w:ascii="Times New Roman" w:hAnsi="Times New Roman" w:cs="Times New Roman" w:eastAsia="Times New Roman" w:hint="default"/>
        </w:rPr>
        <w:t>4</w:t>
      </w:r>
      <w:r>
        <w:rPr/>
        <w:t>、持续和非持续第三层次公允价值计量项目，采用的估值技术和重要参数的定性及定量信息</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53" w:right="0"/>
        <w:jc w:val="left"/>
        <w:rPr>
          <w:b w:val="0"/>
          <w:bCs w:val="0"/>
        </w:rPr>
      </w:pPr>
      <w:bookmarkStart w:name="5、持续的第三层次公允价值计量项目，期初与期末账面价值间的调节信息及不可观察参数" w:id="450"/>
      <w:bookmarkEnd w:id="450"/>
      <w:r>
        <w:rPr>
          <w:b w:val="0"/>
          <w:bCs w:val="0"/>
        </w:rPr>
      </w:r>
      <w:r>
        <w:rPr>
          <w:rFonts w:ascii="Times New Roman" w:hAnsi="Times New Roman" w:cs="Times New Roman" w:eastAsia="Times New Roman" w:hint="default"/>
        </w:rPr>
        <w:t>5</w:t>
      </w:r>
      <w:r>
        <w:rPr/>
        <w:t>、持续的第三层次公允价值计量项目，期初与期末账面价值间的调节信息及不可观察参数敏感性分析</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53" w:right="0"/>
        <w:jc w:val="left"/>
        <w:rPr>
          <w:b w:val="0"/>
          <w:bCs w:val="0"/>
        </w:rPr>
      </w:pPr>
      <w:bookmarkStart w:name="6、持续的公允价值计量项目，本期内发生各层级之间转换的，转换的原因及确定转换时点" w:id="451"/>
      <w:bookmarkEnd w:id="451"/>
      <w:r>
        <w:rPr>
          <w:b w:val="0"/>
          <w:bCs w:val="0"/>
        </w:rPr>
      </w:r>
      <w:r>
        <w:rPr>
          <w:rFonts w:ascii="Times New Roman" w:hAnsi="Times New Roman" w:cs="Times New Roman" w:eastAsia="Times New Roman" w:hint="default"/>
        </w:rPr>
        <w:t>6</w:t>
      </w:r>
      <w:r>
        <w:rPr/>
        <w:t>、持续的公允价值计量项目，本期内发生各层级之间转换的，转换的原因及确定转换时点的政策</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53" w:right="0"/>
        <w:jc w:val="left"/>
        <w:rPr>
          <w:b w:val="0"/>
          <w:bCs w:val="0"/>
        </w:rPr>
      </w:pPr>
      <w:bookmarkStart w:name="7、本期内发生的估值技术变更及变更原因" w:id="452"/>
      <w:bookmarkEnd w:id="452"/>
      <w:r>
        <w:rPr>
          <w:b w:val="0"/>
          <w:bCs w:val="0"/>
        </w:rPr>
      </w:r>
      <w:r>
        <w:rPr>
          <w:rFonts w:ascii="Times New Roman" w:hAnsi="Times New Roman" w:cs="Times New Roman" w:eastAsia="Times New Roman" w:hint="default"/>
        </w:rPr>
        <w:t>7</w:t>
      </w:r>
      <w:r>
        <w:rPr/>
        <w:t>、本期内发生的估值技术变更及变更原因</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53" w:right="0"/>
        <w:jc w:val="left"/>
        <w:rPr>
          <w:b w:val="0"/>
          <w:bCs w:val="0"/>
        </w:rPr>
      </w:pPr>
      <w:bookmarkStart w:name="8、不以公允价值计量的金融资产和金融负债的公允价值情况" w:id="453"/>
      <w:bookmarkEnd w:id="453"/>
      <w:r>
        <w:rPr>
          <w:b w:val="0"/>
          <w:bCs w:val="0"/>
        </w:rPr>
      </w:r>
      <w:r>
        <w:rPr>
          <w:rFonts w:ascii="Times New Roman" w:hAnsi="Times New Roman" w:cs="Times New Roman" w:eastAsia="Times New Roman" w:hint="default"/>
        </w:rPr>
        <w:t>8</w:t>
      </w:r>
      <w:r>
        <w:rPr/>
        <w:t>、不以公允价值计量的金融资产和金融负债的公允价值情况</w:t>
      </w:r>
      <w:r>
        <w:rPr>
          <w:b w:val="0"/>
          <w:bCs w:val="0"/>
        </w:rPr>
      </w:r>
    </w:p>
    <w:p>
      <w:pPr>
        <w:spacing w:line="240" w:lineRule="auto" w:before="10"/>
        <w:rPr>
          <w:rFonts w:ascii="宋体" w:hAnsi="宋体" w:cs="宋体" w:eastAsia="宋体" w:hint="default"/>
          <w:b/>
          <w:bCs/>
          <w:sz w:val="24"/>
          <w:szCs w:val="24"/>
        </w:rPr>
      </w:pPr>
    </w:p>
    <w:p>
      <w:pPr>
        <w:spacing w:line="487" w:lineRule="auto" w:before="0"/>
        <w:ind w:left="154" w:right="7693" w:firstLine="0"/>
        <w:jc w:val="left"/>
        <w:rPr>
          <w:rFonts w:ascii="宋体" w:hAnsi="宋体" w:cs="宋体" w:eastAsia="宋体" w:hint="default"/>
          <w:sz w:val="21"/>
          <w:szCs w:val="21"/>
        </w:rPr>
      </w:pPr>
      <w:bookmarkStart w:name="9、其他" w:id="454"/>
      <w:bookmarkEnd w:id="454"/>
      <w:r>
        <w:rPr/>
      </w:r>
      <w:r>
        <w:rPr>
          <w:rFonts w:ascii="Times New Roman" w:hAnsi="Times New Roman" w:cs="Times New Roman" w:eastAsia="Times New Roman" w:hint="default"/>
          <w:b/>
          <w:bCs/>
          <w:sz w:val="21"/>
          <w:szCs w:val="21"/>
        </w:rPr>
        <w:t>9</w:t>
      </w:r>
      <w:r>
        <w:rPr>
          <w:rFonts w:ascii="宋体" w:hAnsi="宋体" w:cs="宋体" w:eastAsia="宋体" w:hint="default"/>
          <w:b/>
          <w:bCs/>
          <w:sz w:val="21"/>
          <w:szCs w:val="21"/>
        </w:rPr>
        <w:t>、其他</w:t>
      </w:r>
      <w:r>
        <w:rPr>
          <w:rFonts w:ascii="宋体" w:hAnsi="宋体" w:cs="宋体" w:eastAsia="宋体" w:hint="default"/>
          <w:b/>
          <w:bCs/>
          <w:spacing w:val="1"/>
          <w:w w:val="99"/>
          <w:sz w:val="21"/>
          <w:szCs w:val="21"/>
        </w:rPr>
        <w:t> </w:t>
      </w:r>
      <w:bookmarkStart w:name="十二、关联方及关联交易" w:id="455"/>
      <w:bookmarkEnd w:id="455"/>
      <w:r>
        <w:rPr>
          <w:rFonts w:ascii="宋体" w:hAnsi="宋体" w:cs="宋体" w:eastAsia="宋体" w:hint="default"/>
          <w:b/>
          <w:bCs/>
          <w:spacing w:val="1"/>
          <w:w w:val="99"/>
          <w:sz w:val="21"/>
          <w:szCs w:val="21"/>
        </w:rPr>
      </w:r>
      <w:r>
        <w:rPr>
          <w:rFonts w:ascii="宋体" w:hAnsi="宋体" w:cs="宋体" w:eastAsia="宋体" w:hint="default"/>
          <w:b/>
          <w:bCs/>
          <w:w w:val="95"/>
          <w:sz w:val="24"/>
          <w:szCs w:val="24"/>
        </w:rPr>
        <w:t>十二、关联方及关联交易</w:t>
      </w:r>
      <w:r>
        <w:rPr>
          <w:rFonts w:ascii="宋体" w:hAnsi="宋体" w:cs="宋体" w:eastAsia="宋体" w:hint="default"/>
          <w:b/>
          <w:bCs/>
          <w:spacing w:val="7"/>
          <w:w w:val="95"/>
          <w:sz w:val="24"/>
          <w:szCs w:val="24"/>
        </w:rPr>
        <w:t> </w:t>
      </w:r>
      <w:r>
        <w:rPr>
          <w:rFonts w:ascii="宋体" w:hAnsi="宋体" w:cs="宋体" w:eastAsia="宋体" w:hint="default"/>
          <w:b/>
          <w:bCs/>
          <w:spacing w:val="7"/>
          <w:w w:val="95"/>
          <w:sz w:val="24"/>
          <w:szCs w:val="24"/>
        </w:rPr>
      </w:r>
      <w:bookmarkStart w:name="1、本企业的母公司情况" w:id="456"/>
      <w:bookmarkEnd w:id="456"/>
      <w:r>
        <w:rPr>
          <w:rFonts w:ascii="宋体" w:hAnsi="宋体" w:cs="宋体" w:eastAsia="宋体" w:hint="default"/>
          <w:b/>
          <w:bCs/>
          <w:spacing w:val="7"/>
          <w:w w:val="95"/>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、本企业的母公司情况</w:t>
      </w:r>
      <w:r>
        <w:rPr>
          <w:rFonts w:ascii="宋体" w:hAnsi="宋体" w:cs="宋体" w:eastAsia="宋体" w:hint="default"/>
          <w:sz w:val="21"/>
          <w:szCs w:val="21"/>
        </w:rPr>
      </w:r>
    </w:p>
    <w:p>
      <w:pPr>
        <w:spacing w:line="240" w:lineRule="auto" w:before="5"/>
        <w:rPr>
          <w:rFonts w:ascii="宋体" w:hAnsi="宋体" w:cs="宋体" w:eastAsia="宋体" w:hint="default"/>
          <w:b/>
          <w:bCs/>
          <w:sz w:val="7"/>
          <w:szCs w:val="7"/>
        </w:rPr>
      </w:pPr>
    </w:p>
    <w:tbl>
      <w:tblPr>
        <w:tblW w:w="0" w:type="auto"/>
        <w:jc w:val="left"/>
        <w:tblInd w:w="149" w:type="dxa"/>
        <w:tblLayout w:type="fixed"/>
        <w:tblCellMar>
          <w:top w:w="0" w:type="dxa"/>
          <w:left w:w="0" w:type="dxa"/>
          <w:bottom w:w="0" w:type="dxa"/>
          <w:right w:w="0" w:type="dxa"/>
        </w:tblCellMar>
        <w:tblLook w:val="01E0"/>
      </w:tblPr>
      <w:tblGrid>
        <w:gridCol w:w="1595"/>
        <w:gridCol w:w="1595"/>
        <w:gridCol w:w="1594"/>
        <w:gridCol w:w="1594"/>
        <w:gridCol w:w="1595"/>
        <w:gridCol w:w="1595"/>
      </w:tblGrid>
      <w:tr>
        <w:trPr>
          <w:trHeight w:val="714" w:hRule="exact"/>
        </w:trPr>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342" w:right="0"/>
              <w:jc w:val="left"/>
              <w:rPr>
                <w:rFonts w:ascii="宋体" w:hAnsi="宋体" w:cs="宋体" w:eastAsia="宋体" w:hint="default"/>
                <w:sz w:val="18"/>
                <w:szCs w:val="18"/>
              </w:rPr>
            </w:pPr>
            <w:r>
              <w:rPr>
                <w:rFonts w:ascii="宋体" w:hAnsi="宋体" w:cs="宋体" w:eastAsia="宋体" w:hint="default"/>
                <w:sz w:val="18"/>
                <w:szCs w:val="18"/>
              </w:rPr>
              <w:t>母公司名称</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522"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432" w:right="71" w:hanging="360"/>
              <w:jc w:val="left"/>
              <w:rPr>
                <w:rFonts w:ascii="宋体" w:hAnsi="宋体" w:cs="宋体" w:eastAsia="宋体" w:hint="default"/>
                <w:sz w:val="18"/>
                <w:szCs w:val="18"/>
              </w:rPr>
            </w:pPr>
            <w:r>
              <w:rPr>
                <w:rFonts w:ascii="宋体" w:hAnsi="宋体" w:cs="宋体" w:eastAsia="宋体" w:hint="default"/>
                <w:sz w:val="18"/>
                <w:szCs w:val="18"/>
              </w:rPr>
              <w:t>母公司对本企业的 持股比例</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41" w:right="71" w:hanging="270"/>
              <w:jc w:val="left"/>
              <w:rPr>
                <w:rFonts w:ascii="宋体" w:hAnsi="宋体" w:cs="宋体" w:eastAsia="宋体" w:hint="default"/>
                <w:sz w:val="18"/>
                <w:szCs w:val="18"/>
              </w:rPr>
            </w:pPr>
            <w:r>
              <w:rPr>
                <w:rFonts w:ascii="宋体" w:hAnsi="宋体" w:cs="宋体" w:eastAsia="宋体" w:hint="default"/>
                <w:sz w:val="18"/>
                <w:szCs w:val="18"/>
              </w:rPr>
              <w:t>母公司对本企业的 表决权比例</w:t>
            </w:r>
          </w:p>
        </w:tc>
      </w:tr>
      <w:tr>
        <w:trPr>
          <w:trHeight w:val="402" w:hRule="exact"/>
        </w:trPr>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吴涵渠</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07" w:right="0"/>
              <w:jc w:val="left"/>
              <w:rPr>
                <w:rFonts w:ascii="Times New Roman" w:hAnsi="Times New Roman" w:cs="Times New Roman" w:eastAsia="Times New Roman" w:hint="default"/>
                <w:sz w:val="18"/>
                <w:szCs w:val="18"/>
              </w:rPr>
            </w:pPr>
            <w:r>
              <w:rPr>
                <w:rFonts w:ascii="Times New Roman"/>
                <w:sz w:val="18"/>
              </w:rPr>
              <w:t>27.72%</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06" w:right="0"/>
              <w:jc w:val="left"/>
              <w:rPr>
                <w:rFonts w:ascii="Times New Roman" w:hAnsi="Times New Roman" w:cs="Times New Roman" w:eastAsia="Times New Roman" w:hint="default"/>
                <w:sz w:val="18"/>
                <w:szCs w:val="18"/>
              </w:rPr>
            </w:pPr>
            <w:r>
              <w:rPr>
                <w:rFonts w:ascii="Times New Roman"/>
                <w:sz w:val="18"/>
              </w:rPr>
              <w:t>27.72%</w:t>
            </w:r>
          </w:p>
        </w:tc>
      </w:tr>
    </w:tbl>
    <w:p>
      <w:pPr>
        <w:pStyle w:val="BodyText"/>
        <w:spacing w:line="357" w:lineRule="auto" w:before="51"/>
        <w:ind w:left="154" w:right="8412"/>
        <w:jc w:val="left"/>
      </w:pPr>
      <w:r>
        <w:rPr/>
        <w:t>本企业的母公司情况的说明 无。 本企业最终控制方是吴涵渠。 其他说明：</w:t>
      </w:r>
    </w:p>
    <w:p>
      <w:pPr>
        <w:pStyle w:val="BodyText"/>
        <w:spacing w:line="240" w:lineRule="auto" w:before="28"/>
        <w:ind w:right="0"/>
        <w:jc w:val="left"/>
      </w:pPr>
      <w:r>
        <w:rPr/>
        <w:t>无。</w:t>
      </w:r>
    </w:p>
    <w:p>
      <w:pPr>
        <w:spacing w:line="240" w:lineRule="auto" w:before="12"/>
        <w:rPr>
          <w:rFonts w:ascii="宋体" w:hAnsi="宋体" w:cs="宋体" w:eastAsia="宋体" w:hint="default"/>
          <w:sz w:val="26"/>
          <w:szCs w:val="26"/>
        </w:rPr>
      </w:pPr>
    </w:p>
    <w:p>
      <w:pPr>
        <w:spacing w:line="544" w:lineRule="auto" w:before="0"/>
        <w:ind w:left="154" w:right="6162" w:firstLine="0"/>
        <w:jc w:val="left"/>
        <w:rPr>
          <w:rFonts w:ascii="宋体" w:hAnsi="宋体" w:cs="宋体" w:eastAsia="宋体" w:hint="default"/>
          <w:sz w:val="21"/>
          <w:szCs w:val="21"/>
        </w:rPr>
      </w:pPr>
      <w:bookmarkStart w:name="2、本企业的子公司情况" w:id="457"/>
      <w:bookmarkEnd w:id="457"/>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、本企业的子公司情况</w:t>
      </w:r>
      <w:r>
        <w:rPr>
          <w:rFonts w:ascii="宋体" w:hAnsi="宋体" w:cs="宋体" w:eastAsia="宋体" w:hint="default"/>
          <w:b/>
          <w:bCs/>
          <w:w w:val="99"/>
          <w:sz w:val="21"/>
          <w:szCs w:val="21"/>
        </w:rPr>
        <w:t> </w:t>
      </w:r>
      <w:r>
        <w:rPr>
          <w:rFonts w:ascii="宋体" w:hAnsi="宋体" w:cs="宋体" w:eastAsia="宋体" w:hint="default"/>
          <w:sz w:val="18"/>
          <w:szCs w:val="18"/>
        </w:rPr>
        <w:t>本企业子公司的情况详见附注九、</w:t>
      </w:r>
      <w:r>
        <w:rPr>
          <w:rFonts w:ascii="Times New Roman" w:hAnsi="Times New Roman" w:cs="Times New Roman" w:eastAsia="Times New Roman" w:hint="default"/>
          <w:sz w:val="18"/>
          <w:szCs w:val="18"/>
        </w:rPr>
        <w:t>1</w:t>
      </w:r>
      <w:r>
        <w:rPr>
          <w:rFonts w:ascii="宋体" w:hAnsi="宋体" w:cs="宋体" w:eastAsia="宋体" w:hint="default"/>
          <w:sz w:val="18"/>
          <w:szCs w:val="18"/>
        </w:rPr>
        <w:t>、在子公司中的权益。 </w:t>
      </w:r>
      <w:bookmarkStart w:name="3、本企业合营和联营企业情况" w:id="458"/>
      <w:bookmarkEnd w:id="458"/>
      <w:r>
        <w:rPr>
          <w:rFonts w:ascii="宋体" w:hAnsi="宋体" w:cs="宋体" w:eastAsia="宋体" w:hint="default"/>
          <w:sz w:val="18"/>
          <w:szCs w:val="18"/>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、本企业合营和联营企业情况</w:t>
      </w:r>
      <w:r>
        <w:rPr>
          <w:rFonts w:ascii="宋体" w:hAnsi="宋体" w:cs="宋体" w:eastAsia="宋体" w:hint="default"/>
          <w:sz w:val="21"/>
          <w:szCs w:val="21"/>
        </w:rPr>
      </w:r>
    </w:p>
    <w:p>
      <w:pPr>
        <w:pStyle w:val="BodyText"/>
        <w:spacing w:line="357" w:lineRule="auto" w:before="53"/>
        <w:ind w:left="154" w:right="2292"/>
        <w:jc w:val="left"/>
      </w:pPr>
      <w:r>
        <w:rPr/>
        <w:t>本企业重要的合营或联营企业详见附注。 本期与本公司发生关联方交易，或前期与本公司发生关联方交易形成余额的其他合营或联营企业情况如下：</w:t>
      </w:r>
    </w:p>
    <w:tbl>
      <w:tblPr>
        <w:tblW w:w="0" w:type="auto"/>
        <w:jc w:val="left"/>
        <w:tblInd w:w="149" w:type="dxa"/>
        <w:tblLayout w:type="fixed"/>
        <w:tblCellMar>
          <w:top w:w="0" w:type="dxa"/>
          <w:left w:w="0" w:type="dxa"/>
          <w:bottom w:w="0" w:type="dxa"/>
          <w:right w:w="0" w:type="dxa"/>
        </w:tblCellMar>
        <w:tblLook w:val="01E0"/>
      </w:tblPr>
      <w:tblGrid>
        <w:gridCol w:w="4783"/>
        <w:gridCol w:w="4786"/>
      </w:tblGrid>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576" w:right="0"/>
              <w:jc w:val="left"/>
              <w:rPr>
                <w:rFonts w:ascii="宋体" w:hAnsi="宋体" w:cs="宋体" w:eastAsia="宋体" w:hint="default"/>
                <w:sz w:val="18"/>
                <w:szCs w:val="18"/>
              </w:rPr>
            </w:pPr>
            <w:r>
              <w:rPr>
                <w:rFonts w:ascii="宋体" w:hAnsi="宋体" w:cs="宋体" w:eastAsia="宋体" w:hint="default"/>
                <w:sz w:val="18"/>
                <w:szCs w:val="18"/>
              </w:rPr>
              <w:t>合营或联营企业名称</w:t>
            </w:r>
          </w:p>
        </w:tc>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与本企业关系</w:t>
            </w:r>
          </w:p>
        </w:tc>
      </w:tr>
    </w:tbl>
    <w:p>
      <w:pPr>
        <w:pStyle w:val="BodyText"/>
        <w:spacing w:line="360" w:lineRule="auto" w:before="68"/>
        <w:ind w:right="10033"/>
        <w:jc w:val="left"/>
      </w:pPr>
      <w:r>
        <w:rPr/>
        <w:t>其他说明 无。</w:t>
      </w:r>
    </w:p>
    <w:p>
      <w:pPr>
        <w:spacing w:after="0" w:line="360" w:lineRule="auto"/>
        <w:jc w:val="left"/>
        <w:sectPr>
          <w:pgSz w:w="11910" w:h="16840"/>
          <w:pgMar w:header="747" w:footer="979" w:top="1060" w:bottom="1160" w:left="980" w:right="0"/>
        </w:sectPr>
      </w:pPr>
    </w:p>
    <w:p>
      <w:pPr>
        <w:spacing w:line="240" w:lineRule="auto" w:before="9"/>
        <w:rPr>
          <w:rFonts w:ascii="宋体" w:hAnsi="宋体" w:cs="宋体" w:eastAsia="宋体" w:hint="default"/>
          <w:sz w:val="24"/>
          <w:szCs w:val="24"/>
        </w:rPr>
      </w:pPr>
    </w:p>
    <w:p>
      <w:pPr>
        <w:pStyle w:val="Heading3"/>
        <w:spacing w:line="240" w:lineRule="auto" w:before="35"/>
        <w:ind w:left="153" w:right="0"/>
        <w:jc w:val="left"/>
        <w:rPr>
          <w:b w:val="0"/>
          <w:bCs w:val="0"/>
        </w:rPr>
      </w:pPr>
      <w:bookmarkStart w:name="4、其他关联方情况" w:id="459"/>
      <w:bookmarkEnd w:id="459"/>
      <w:r>
        <w:rPr>
          <w:b w:val="0"/>
          <w:bCs w:val="0"/>
        </w:rPr>
      </w:r>
      <w:r>
        <w:rPr>
          <w:rFonts w:ascii="Times New Roman" w:hAnsi="Times New Roman" w:cs="Times New Roman" w:eastAsia="Times New Roman" w:hint="default"/>
        </w:rPr>
        <w:t>4</w:t>
      </w:r>
      <w:r>
        <w:rPr/>
        <w:t>、其他关联方情况</w:t>
      </w:r>
      <w:r>
        <w:rPr>
          <w:b w:val="0"/>
          <w:bCs w:val="0"/>
        </w:rPr>
      </w:r>
    </w:p>
    <w:p>
      <w:pPr>
        <w:spacing w:line="240" w:lineRule="auto" w:before="10"/>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4783"/>
        <w:gridCol w:w="4786"/>
      </w:tblGrid>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其他关联方名称</w:t>
            </w:r>
          </w:p>
        </w:tc>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397" w:right="0"/>
              <w:jc w:val="left"/>
              <w:rPr>
                <w:rFonts w:ascii="宋体" w:hAnsi="宋体" w:cs="宋体" w:eastAsia="宋体" w:hint="default"/>
                <w:sz w:val="18"/>
                <w:szCs w:val="18"/>
              </w:rPr>
            </w:pPr>
            <w:r>
              <w:rPr>
                <w:rFonts w:ascii="宋体" w:hAnsi="宋体" w:cs="宋体" w:eastAsia="宋体" w:hint="default"/>
                <w:sz w:val="18"/>
                <w:szCs w:val="18"/>
              </w:rPr>
              <w:t>其他关联方与本企业关系</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深圳市如茵生态环境建设有限公司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公司第一大股东妹妹控股的公司</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邱荣邦</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本公司股东、监事</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沈毅</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本公司股东、董事兼高管</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赵旭峰</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本公司股东、董事兼高管</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黄斌</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本公司股东、监事</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段忠</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本公司董事</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蔡凡</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本公司董事</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彭世新</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本公司股东、高管</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杨四化</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本公司股东、董事兼高管</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吴振志</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本公司股东、高管</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矫人全</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本公司股东、高管</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颜春晓</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本公司监事</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孔德建</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本公司股东、高管</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周维君</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本公司股东、子公司千百辉董事兼总经理</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沈永健</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本公司股东、子公司千百辉董事</w:t>
            </w:r>
          </w:p>
        </w:tc>
      </w:tr>
    </w:tbl>
    <w:p>
      <w:pPr>
        <w:pStyle w:val="BodyText"/>
        <w:spacing w:line="360" w:lineRule="auto" w:before="51"/>
        <w:ind w:right="10033"/>
        <w:jc w:val="left"/>
      </w:pPr>
      <w:r>
        <w:rPr/>
        <w:t>其他说明 无。</w:t>
      </w:r>
    </w:p>
    <w:p>
      <w:pPr>
        <w:spacing w:line="240" w:lineRule="auto" w:before="11"/>
        <w:rPr>
          <w:rFonts w:ascii="宋体" w:hAnsi="宋体" w:cs="宋体" w:eastAsia="宋体" w:hint="default"/>
          <w:sz w:val="19"/>
          <w:szCs w:val="19"/>
        </w:rPr>
      </w:pPr>
    </w:p>
    <w:p>
      <w:pPr>
        <w:pStyle w:val="Heading3"/>
        <w:spacing w:line="240" w:lineRule="auto"/>
        <w:ind w:right="0"/>
        <w:jc w:val="left"/>
        <w:rPr>
          <w:b w:val="0"/>
          <w:bCs w:val="0"/>
        </w:rPr>
      </w:pPr>
      <w:bookmarkStart w:name="5、关联交易情况" w:id="460"/>
      <w:bookmarkEnd w:id="460"/>
      <w:r>
        <w:rPr>
          <w:b w:val="0"/>
          <w:bCs w:val="0"/>
        </w:rPr>
      </w:r>
      <w:r>
        <w:rPr>
          <w:rFonts w:ascii="Times New Roman" w:hAnsi="Times New Roman" w:cs="Times New Roman" w:eastAsia="Times New Roman" w:hint="default"/>
        </w:rPr>
        <w:t>5</w:t>
      </w:r>
      <w:r>
        <w:rPr/>
        <w:t>、关联交易情况</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1）购销商品、提供和接受劳务的关联交易" w:id="461"/>
      <w:bookmarkEnd w:id="461"/>
      <w:r>
        <w:rPr>
          <w:b w:val="0"/>
          <w:bCs w:val="0"/>
        </w:rPr>
      </w:r>
      <w:r>
        <w:rPr/>
        <w:t>（</w:t>
      </w:r>
      <w:r>
        <w:rPr>
          <w:rFonts w:ascii="Times New Roman" w:hAnsi="Times New Roman" w:cs="Times New Roman" w:eastAsia="Times New Roman" w:hint="default"/>
        </w:rPr>
        <w:t>1</w:t>
      </w:r>
      <w:r>
        <w:rPr/>
        <w:t>）购销商品、提供和接受劳务的关联交易</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154" w:right="0"/>
        <w:jc w:val="left"/>
      </w:pPr>
      <w:r>
        <w:rPr/>
        <w:t>采购商品</w:t>
      </w:r>
      <w:r>
        <w:rPr>
          <w:rFonts w:ascii="Times New Roman" w:hAnsi="Times New Roman" w:cs="Times New Roman" w:eastAsia="Times New Roman" w:hint="default"/>
        </w:rPr>
        <w:t>/</w:t>
      </w:r>
      <w:r>
        <w:rPr/>
        <w:t>接受劳务情况表</w:t>
      </w:r>
    </w:p>
    <w:p>
      <w:pPr>
        <w:pStyle w:val="BodyText"/>
        <w:spacing w:line="240" w:lineRule="auto" w:before="103"/>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540"/>
        <w:gridCol w:w="1454"/>
        <w:gridCol w:w="1455"/>
        <w:gridCol w:w="1706"/>
        <w:gridCol w:w="1708"/>
        <w:gridCol w:w="1695"/>
      </w:tblGrid>
      <w:tr>
        <w:trPr>
          <w:trHeight w:val="402" w:hRule="exact"/>
        </w:trPr>
        <w:tc>
          <w:tcPr>
            <w:tcW w:w="15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94"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14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82"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1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71"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7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18" w:right="0"/>
              <w:jc w:val="left"/>
              <w:rPr>
                <w:rFonts w:ascii="宋体" w:hAnsi="宋体" w:cs="宋体" w:eastAsia="宋体" w:hint="default"/>
                <w:sz w:val="18"/>
                <w:szCs w:val="18"/>
              </w:rPr>
            </w:pPr>
            <w:r>
              <w:rPr>
                <w:rFonts w:ascii="宋体" w:hAnsi="宋体" w:cs="宋体" w:eastAsia="宋体" w:hint="default"/>
                <w:sz w:val="18"/>
                <w:szCs w:val="18"/>
              </w:rPr>
              <w:t>获批的交易额度</w:t>
            </w:r>
          </w:p>
        </w:tc>
        <w:tc>
          <w:tcPr>
            <w:tcW w:w="1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8" w:right="0"/>
              <w:jc w:val="left"/>
              <w:rPr>
                <w:rFonts w:ascii="宋体" w:hAnsi="宋体" w:cs="宋体" w:eastAsia="宋体" w:hint="default"/>
                <w:sz w:val="18"/>
                <w:szCs w:val="18"/>
              </w:rPr>
            </w:pPr>
            <w:r>
              <w:rPr>
                <w:rFonts w:ascii="宋体" w:hAnsi="宋体" w:cs="宋体" w:eastAsia="宋体" w:hint="default"/>
                <w:sz w:val="18"/>
                <w:szCs w:val="18"/>
              </w:rPr>
              <w:t>是否超过交易额度</w:t>
            </w:r>
          </w:p>
        </w:tc>
        <w:tc>
          <w:tcPr>
            <w:tcW w:w="16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98"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bl>
    <w:p>
      <w:pPr>
        <w:pStyle w:val="BodyText"/>
        <w:spacing w:line="240" w:lineRule="auto" w:before="51"/>
        <w:ind w:left="154" w:right="0"/>
        <w:jc w:val="left"/>
      </w:pPr>
      <w:r>
        <w:rPr/>
        <w:t>出售商品</w:t>
      </w:r>
      <w:r>
        <w:rPr>
          <w:rFonts w:ascii="Times New Roman" w:hAnsi="Times New Roman" w:cs="Times New Roman" w:eastAsia="Times New Roman" w:hint="default"/>
        </w:rPr>
        <w:t>/</w:t>
      </w:r>
      <w:r>
        <w:rPr/>
        <w:t>提供劳务情况表</w:t>
      </w:r>
    </w:p>
    <w:p>
      <w:pPr>
        <w:pStyle w:val="BodyText"/>
        <w:spacing w:line="240" w:lineRule="auto" w:before="103"/>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398"/>
        <w:gridCol w:w="2259"/>
        <w:gridCol w:w="2260"/>
        <w:gridCol w:w="2652"/>
      </w:tblGrid>
      <w:tr>
        <w:trPr>
          <w:trHeight w:val="403" w:hRule="exact"/>
        </w:trPr>
        <w:tc>
          <w:tcPr>
            <w:tcW w:w="23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2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84"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22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74"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871"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bl>
    <w:p>
      <w:pPr>
        <w:pStyle w:val="BodyText"/>
        <w:spacing w:line="240" w:lineRule="auto" w:before="51"/>
        <w:ind w:left="154" w:right="0"/>
        <w:jc w:val="left"/>
      </w:pPr>
      <w:r>
        <w:rPr/>
        <w:t>购销商品、提供和接受劳务的关联交易说明</w:t>
      </w: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bookmarkStart w:name="（2）关联受托管理/承包及委托管理/出包情况" w:id="462"/>
      <w:bookmarkEnd w:id="462"/>
      <w:r>
        <w:rPr>
          <w:b w:val="0"/>
          <w:bCs w:val="0"/>
        </w:rPr>
      </w:r>
      <w:r>
        <w:rPr/>
        <w:t>（</w:t>
      </w:r>
      <w:r>
        <w:rPr>
          <w:rFonts w:ascii="Times New Roman" w:hAnsi="Times New Roman" w:cs="Times New Roman" w:eastAsia="Times New Roman" w:hint="default"/>
        </w:rPr>
        <w:t>2</w:t>
      </w:r>
      <w:r>
        <w:rPr/>
        <w:t>）关联受托管理</w:t>
      </w:r>
      <w:r>
        <w:rPr>
          <w:rFonts w:ascii="Times New Roman" w:hAnsi="Times New Roman" w:cs="Times New Roman" w:eastAsia="Times New Roman" w:hint="default"/>
        </w:rPr>
        <w:t>/</w:t>
      </w:r>
      <w:r>
        <w:rPr/>
        <w:t>承包及委托管理</w:t>
      </w:r>
      <w:r>
        <w:rPr>
          <w:rFonts w:ascii="Times New Roman" w:hAnsi="Times New Roman" w:cs="Times New Roman" w:eastAsia="Times New Roman" w:hint="default"/>
        </w:rPr>
        <w:t>/</w:t>
      </w:r>
      <w:r>
        <w:rPr/>
        <w:t>出包情况</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154" w:right="0"/>
        <w:jc w:val="left"/>
      </w:pPr>
      <w:r>
        <w:rPr/>
        <w:t>本公司受托管理</w:t>
      </w:r>
      <w:r>
        <w:rPr>
          <w:rFonts w:ascii="Times New Roman" w:hAnsi="Times New Roman" w:cs="Times New Roman" w:eastAsia="Times New Roman" w:hint="default"/>
        </w:rPr>
        <w:t>/</w:t>
      </w:r>
      <w:r>
        <w:rPr/>
        <w:t>承包情况表：</w:t>
      </w:r>
    </w:p>
    <w:p>
      <w:pPr>
        <w:pStyle w:val="BodyText"/>
        <w:spacing w:line="240" w:lineRule="auto" w:before="102"/>
        <w:ind w:left="0" w:right="1130"/>
        <w:jc w:val="right"/>
      </w:pPr>
      <w:r>
        <w:rPr/>
        <w:t>单位： 元</w:t>
      </w:r>
    </w:p>
    <w:p>
      <w:pPr>
        <w:spacing w:line="240" w:lineRule="auto" w:before="1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8"/>
        <w:gridCol w:w="1367"/>
        <w:gridCol w:w="1368"/>
        <w:gridCol w:w="1367"/>
        <w:gridCol w:w="1367"/>
        <w:gridCol w:w="1367"/>
        <w:gridCol w:w="1355"/>
      </w:tblGrid>
      <w:tr>
        <w:trPr>
          <w:trHeight w:val="38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1"/>
              <w:ind w:left="22" w:right="0"/>
              <w:jc w:val="left"/>
              <w:rPr>
                <w:rFonts w:ascii="宋体" w:hAnsi="宋体" w:cs="宋体" w:eastAsia="宋体" w:hint="default"/>
                <w:sz w:val="18"/>
                <w:szCs w:val="18"/>
              </w:rPr>
            </w:pPr>
            <w:r>
              <w:rPr>
                <w:rFonts w:ascii="宋体" w:hAnsi="宋体" w:cs="宋体" w:eastAsia="宋体" w:hint="default"/>
                <w:sz w:val="18"/>
                <w:szCs w:val="18"/>
              </w:rPr>
              <w:t>委托方</w:t>
            </w:r>
            <w:r>
              <w:rPr>
                <w:rFonts w:ascii="Times New Roman" w:hAnsi="Times New Roman" w:cs="Times New Roman" w:eastAsia="Times New Roman" w:hint="default"/>
                <w:sz w:val="18"/>
                <w:szCs w:val="18"/>
              </w:rPr>
              <w:t>/</w:t>
            </w:r>
            <w:r>
              <w:rPr>
                <w:rFonts w:ascii="宋体" w:hAnsi="宋体" w:cs="宋体" w:eastAsia="宋体" w:hint="default"/>
                <w:sz w:val="18"/>
                <w:szCs w:val="18"/>
              </w:rPr>
              <w:t>出包方名</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1"/>
              <w:ind w:left="22" w:right="0"/>
              <w:jc w:val="left"/>
              <w:rPr>
                <w:rFonts w:ascii="宋体" w:hAnsi="宋体" w:cs="宋体" w:eastAsia="宋体" w:hint="default"/>
                <w:sz w:val="18"/>
                <w:szCs w:val="18"/>
              </w:rPr>
            </w:pPr>
            <w:r>
              <w:rPr>
                <w:rFonts w:ascii="宋体" w:hAnsi="宋体" w:cs="宋体" w:eastAsia="宋体" w:hint="default"/>
                <w:sz w:val="18"/>
                <w:szCs w:val="18"/>
              </w:rPr>
              <w:t>受托方</w:t>
            </w:r>
            <w:r>
              <w:rPr>
                <w:rFonts w:ascii="Times New Roman" w:hAnsi="Times New Roman" w:cs="Times New Roman" w:eastAsia="Times New Roman" w:hint="default"/>
                <w:sz w:val="18"/>
                <w:szCs w:val="18"/>
              </w:rPr>
              <w:t>/</w:t>
            </w:r>
            <w:r>
              <w:rPr>
                <w:rFonts w:ascii="宋体" w:hAnsi="宋体" w:cs="宋体" w:eastAsia="宋体" w:hint="default"/>
                <w:sz w:val="18"/>
                <w:szCs w:val="18"/>
              </w:rPr>
              <w:t>承包方名</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1"/>
              <w:ind w:left="22" w:right="0"/>
              <w:jc w:val="left"/>
              <w:rPr>
                <w:rFonts w:ascii="宋体" w:hAnsi="宋体" w:cs="宋体" w:eastAsia="宋体" w:hint="default"/>
                <w:sz w:val="18"/>
                <w:szCs w:val="18"/>
              </w:rPr>
            </w:pPr>
            <w:r>
              <w:rPr>
                <w:rFonts w:ascii="宋体" w:hAnsi="宋体" w:cs="宋体" w:eastAsia="宋体" w:hint="default"/>
                <w:sz w:val="18"/>
                <w:szCs w:val="18"/>
              </w:rPr>
              <w:t>受托</w:t>
            </w:r>
            <w:r>
              <w:rPr>
                <w:rFonts w:ascii="Times New Roman" w:hAnsi="Times New Roman" w:cs="Times New Roman" w:eastAsia="Times New Roman" w:hint="default"/>
                <w:sz w:val="18"/>
                <w:szCs w:val="18"/>
              </w:rPr>
              <w:t>/</w:t>
            </w:r>
            <w:r>
              <w:rPr>
                <w:rFonts w:ascii="宋体" w:hAnsi="宋体" w:cs="宋体" w:eastAsia="宋体" w:hint="default"/>
                <w:sz w:val="18"/>
                <w:szCs w:val="18"/>
              </w:rPr>
              <w:t>承包资产类</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1"/>
              <w:ind w:left="22" w:right="0"/>
              <w:jc w:val="left"/>
              <w:rPr>
                <w:rFonts w:ascii="宋体" w:hAnsi="宋体" w:cs="宋体" w:eastAsia="宋体" w:hint="default"/>
                <w:sz w:val="18"/>
                <w:szCs w:val="18"/>
              </w:rPr>
            </w:pPr>
            <w:r>
              <w:rPr>
                <w:rFonts w:ascii="宋体" w:hAnsi="宋体" w:cs="宋体" w:eastAsia="宋体" w:hint="default"/>
                <w:sz w:val="18"/>
                <w:szCs w:val="18"/>
              </w:rPr>
              <w:t>受托</w:t>
            </w:r>
            <w:r>
              <w:rPr>
                <w:rFonts w:ascii="Times New Roman" w:hAnsi="Times New Roman" w:cs="Times New Roman" w:eastAsia="Times New Roman" w:hint="default"/>
                <w:sz w:val="18"/>
                <w:szCs w:val="18"/>
              </w:rPr>
              <w:t>/</w:t>
            </w:r>
            <w:r>
              <w:rPr>
                <w:rFonts w:ascii="宋体" w:hAnsi="宋体" w:cs="宋体" w:eastAsia="宋体" w:hint="default"/>
                <w:sz w:val="18"/>
                <w:szCs w:val="18"/>
              </w:rPr>
              <w:t>承包起始日</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1"/>
              <w:ind w:left="23" w:right="0"/>
              <w:jc w:val="left"/>
              <w:rPr>
                <w:rFonts w:ascii="宋体" w:hAnsi="宋体" w:cs="宋体" w:eastAsia="宋体" w:hint="default"/>
                <w:sz w:val="18"/>
                <w:szCs w:val="18"/>
              </w:rPr>
            </w:pPr>
            <w:r>
              <w:rPr>
                <w:rFonts w:ascii="宋体" w:hAnsi="宋体" w:cs="宋体" w:eastAsia="宋体" w:hint="default"/>
                <w:sz w:val="18"/>
                <w:szCs w:val="18"/>
              </w:rPr>
              <w:t>受托</w:t>
            </w:r>
            <w:r>
              <w:rPr>
                <w:rFonts w:ascii="Times New Roman" w:hAnsi="Times New Roman" w:cs="Times New Roman" w:eastAsia="Times New Roman" w:hint="default"/>
                <w:sz w:val="18"/>
                <w:szCs w:val="18"/>
              </w:rPr>
              <w:t>/</w:t>
            </w:r>
            <w:r>
              <w:rPr>
                <w:rFonts w:ascii="宋体" w:hAnsi="宋体" w:cs="宋体" w:eastAsia="宋体" w:hint="default"/>
                <w:sz w:val="18"/>
                <w:szCs w:val="18"/>
              </w:rPr>
              <w:t>承包终止日</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1"/>
              <w:ind w:left="23" w:right="0"/>
              <w:jc w:val="left"/>
              <w:rPr>
                <w:rFonts w:ascii="宋体" w:hAnsi="宋体" w:cs="宋体" w:eastAsia="宋体" w:hint="default"/>
                <w:sz w:val="18"/>
                <w:szCs w:val="18"/>
              </w:rPr>
            </w:pPr>
            <w:r>
              <w:rPr>
                <w:rFonts w:ascii="宋体" w:hAnsi="宋体" w:cs="宋体" w:eastAsia="宋体" w:hint="default"/>
                <w:sz w:val="18"/>
                <w:szCs w:val="18"/>
              </w:rPr>
              <w:t>托管收益</w:t>
            </w:r>
            <w:r>
              <w:rPr>
                <w:rFonts w:ascii="Times New Roman" w:hAnsi="Times New Roman" w:cs="Times New Roman" w:eastAsia="Times New Roman" w:hint="default"/>
                <w:sz w:val="18"/>
                <w:szCs w:val="18"/>
              </w:rPr>
              <w:t>/</w:t>
            </w:r>
            <w:r>
              <w:rPr>
                <w:rFonts w:ascii="宋体" w:hAnsi="宋体" w:cs="宋体" w:eastAsia="宋体" w:hint="default"/>
                <w:sz w:val="18"/>
                <w:szCs w:val="18"/>
              </w:rPr>
              <w:t>承包收</w:t>
            </w:r>
          </w:p>
        </w:tc>
        <w:tc>
          <w:tcPr>
            <w:tcW w:w="13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1"/>
              <w:ind w:left="48" w:right="0"/>
              <w:jc w:val="left"/>
              <w:rPr>
                <w:rFonts w:ascii="宋体" w:hAnsi="宋体" w:cs="宋体" w:eastAsia="宋体" w:hint="default"/>
                <w:sz w:val="18"/>
                <w:szCs w:val="18"/>
              </w:rPr>
            </w:pPr>
            <w:r>
              <w:rPr>
                <w:rFonts w:ascii="宋体" w:hAnsi="宋体" w:cs="宋体" w:eastAsia="宋体" w:hint="default"/>
                <w:sz w:val="18"/>
                <w:szCs w:val="18"/>
              </w:rPr>
              <w:t>本期确认的托管</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368"/>
        <w:gridCol w:w="1367"/>
        <w:gridCol w:w="1368"/>
        <w:gridCol w:w="1367"/>
        <w:gridCol w:w="1368"/>
        <w:gridCol w:w="1367"/>
        <w:gridCol w:w="1367"/>
      </w:tblGrid>
      <w:tr>
        <w:trPr>
          <w:trHeight w:val="36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称</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称</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型</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28" w:right="0"/>
              <w:jc w:val="left"/>
              <w:rPr>
                <w:rFonts w:ascii="宋体" w:hAnsi="宋体" w:cs="宋体" w:eastAsia="宋体" w:hint="default"/>
                <w:sz w:val="18"/>
                <w:szCs w:val="18"/>
              </w:rPr>
            </w:pPr>
            <w:r>
              <w:rPr>
                <w:rFonts w:ascii="宋体" w:hAnsi="宋体" w:cs="宋体" w:eastAsia="宋体" w:hint="default"/>
                <w:sz w:val="18"/>
                <w:szCs w:val="18"/>
              </w:rPr>
              <w:t>益定价依据</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12" w:right="0"/>
              <w:jc w:val="left"/>
              <w:rPr>
                <w:rFonts w:ascii="宋体" w:hAnsi="宋体" w:cs="宋体" w:eastAsia="宋体" w:hint="default"/>
                <w:sz w:val="18"/>
                <w:szCs w:val="18"/>
              </w:rPr>
            </w:pPr>
            <w:r>
              <w:rPr>
                <w:rFonts w:ascii="宋体" w:hAnsi="宋体" w:cs="宋体" w:eastAsia="宋体" w:hint="default"/>
                <w:sz w:val="18"/>
                <w:szCs w:val="18"/>
              </w:rPr>
              <w:t>收益</w:t>
            </w:r>
            <w:r>
              <w:rPr>
                <w:rFonts w:ascii="Times New Roman" w:hAnsi="Times New Roman" w:cs="Times New Roman" w:eastAsia="Times New Roman" w:hint="default"/>
                <w:sz w:val="18"/>
                <w:szCs w:val="18"/>
              </w:rPr>
              <w:t>/</w:t>
            </w:r>
            <w:r>
              <w:rPr>
                <w:rFonts w:ascii="宋体" w:hAnsi="宋体" w:cs="宋体" w:eastAsia="宋体" w:hint="default"/>
                <w:sz w:val="18"/>
                <w:szCs w:val="18"/>
              </w:rPr>
              <w:t>承包收益</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pStyle w:val="BodyText"/>
        <w:spacing w:line="340" w:lineRule="auto" w:before="51"/>
        <w:ind w:left="154" w:right="-20"/>
        <w:jc w:val="left"/>
      </w:pPr>
      <w:r>
        <w:rPr/>
        <w:t>关联托管</w:t>
      </w:r>
      <w:r>
        <w:rPr>
          <w:rFonts w:ascii="Times New Roman" w:hAnsi="Times New Roman" w:cs="Times New Roman" w:eastAsia="Times New Roman" w:hint="default"/>
        </w:rPr>
        <w:t>/</w:t>
      </w:r>
      <w:r>
        <w:rPr/>
        <w:t>承包情况说明 本公司委托管理</w:t>
      </w:r>
      <w:r>
        <w:rPr>
          <w:rFonts w:ascii="Times New Roman" w:hAnsi="Times New Roman" w:cs="Times New Roman" w:eastAsia="Times New Roman" w:hint="default"/>
        </w:rPr>
        <w:t>/</w:t>
      </w:r>
      <w:r>
        <w:rPr/>
        <w:t>出包情况表：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21"/>
          <w:szCs w:val="21"/>
        </w:rPr>
      </w:pPr>
    </w:p>
    <w:p>
      <w:pPr>
        <w:pStyle w:val="BodyText"/>
        <w:spacing w:line="240" w:lineRule="auto"/>
        <w:ind w:right="0"/>
        <w:jc w:val="left"/>
      </w:pPr>
      <w:r>
        <w:rPr/>
        <w:t>单位： 元</w:t>
      </w:r>
    </w:p>
    <w:p>
      <w:pPr>
        <w:spacing w:after="0" w:line="240" w:lineRule="auto"/>
        <w:jc w:val="left"/>
        <w:sectPr>
          <w:type w:val="continuous"/>
          <w:pgSz w:w="11910" w:h="16840"/>
          <w:pgMar w:top="1060" w:bottom="1160" w:left="980" w:right="0"/>
          <w:cols w:num="2" w:equalWidth="0">
            <w:col w:w="2545" w:space="6284"/>
            <w:col w:w="2101"/>
          </w:cols>
        </w:sectPr>
      </w:pP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8"/>
        <w:gridCol w:w="1367"/>
        <w:gridCol w:w="1368"/>
        <w:gridCol w:w="1367"/>
        <w:gridCol w:w="1368"/>
        <w:gridCol w:w="1367"/>
        <w:gridCol w:w="1367"/>
      </w:tblGrid>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588" w:right="23" w:hanging="566"/>
              <w:jc w:val="left"/>
              <w:rPr>
                <w:rFonts w:ascii="宋体" w:hAnsi="宋体" w:cs="宋体" w:eastAsia="宋体" w:hint="default"/>
                <w:sz w:val="18"/>
                <w:szCs w:val="18"/>
              </w:rPr>
            </w:pPr>
            <w:r>
              <w:rPr>
                <w:rFonts w:ascii="宋体" w:hAnsi="宋体" w:cs="宋体" w:eastAsia="宋体" w:hint="default"/>
                <w:sz w:val="18"/>
                <w:szCs w:val="18"/>
              </w:rPr>
              <w:t>委托方</w:t>
            </w:r>
            <w:r>
              <w:rPr>
                <w:rFonts w:ascii="Times New Roman" w:hAnsi="Times New Roman" w:cs="Times New Roman" w:eastAsia="Times New Roman" w:hint="default"/>
                <w:sz w:val="18"/>
                <w:szCs w:val="18"/>
              </w:rPr>
              <w:t>/</w:t>
            </w:r>
            <w:r>
              <w:rPr>
                <w:rFonts w:ascii="宋体" w:hAnsi="宋体" w:cs="宋体" w:eastAsia="宋体" w:hint="default"/>
                <w:sz w:val="18"/>
                <w:szCs w:val="18"/>
              </w:rPr>
              <w:t>出包方名 称</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587" w:right="23" w:hanging="566"/>
              <w:jc w:val="left"/>
              <w:rPr>
                <w:rFonts w:ascii="宋体" w:hAnsi="宋体" w:cs="宋体" w:eastAsia="宋体" w:hint="default"/>
                <w:sz w:val="18"/>
                <w:szCs w:val="18"/>
              </w:rPr>
            </w:pPr>
            <w:r>
              <w:rPr>
                <w:rFonts w:ascii="宋体" w:hAnsi="宋体" w:cs="宋体" w:eastAsia="宋体" w:hint="default"/>
                <w:sz w:val="18"/>
                <w:szCs w:val="18"/>
              </w:rPr>
              <w:t>受托方</w:t>
            </w:r>
            <w:r>
              <w:rPr>
                <w:rFonts w:ascii="Times New Roman" w:hAnsi="Times New Roman" w:cs="Times New Roman" w:eastAsia="Times New Roman" w:hint="default"/>
                <w:sz w:val="18"/>
                <w:szCs w:val="18"/>
              </w:rPr>
              <w:t>/</w:t>
            </w:r>
            <w:r>
              <w:rPr>
                <w:rFonts w:ascii="宋体" w:hAnsi="宋体" w:cs="宋体" w:eastAsia="宋体" w:hint="default"/>
                <w:sz w:val="18"/>
                <w:szCs w:val="18"/>
              </w:rPr>
              <w:t>承包方名 称</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588" w:right="23" w:hanging="566"/>
              <w:jc w:val="left"/>
              <w:rPr>
                <w:rFonts w:ascii="宋体" w:hAnsi="宋体" w:cs="宋体" w:eastAsia="宋体" w:hint="default"/>
                <w:sz w:val="18"/>
                <w:szCs w:val="18"/>
              </w:rPr>
            </w:pPr>
            <w:r>
              <w:rPr>
                <w:rFonts w:ascii="宋体" w:hAnsi="宋体" w:cs="宋体" w:eastAsia="宋体" w:hint="default"/>
                <w:sz w:val="18"/>
                <w:szCs w:val="18"/>
              </w:rPr>
              <w:t>委托</w:t>
            </w:r>
            <w:r>
              <w:rPr>
                <w:rFonts w:ascii="Times New Roman" w:hAnsi="Times New Roman" w:cs="Times New Roman" w:eastAsia="Times New Roman" w:hint="default"/>
                <w:sz w:val="18"/>
                <w:szCs w:val="18"/>
              </w:rPr>
              <w:t>/</w:t>
            </w:r>
            <w:r>
              <w:rPr>
                <w:rFonts w:ascii="宋体" w:hAnsi="宋体" w:cs="宋体" w:eastAsia="宋体" w:hint="default"/>
                <w:sz w:val="18"/>
                <w:szCs w:val="18"/>
              </w:rPr>
              <w:t>出包资产类 型</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委托</w:t>
            </w:r>
            <w:r>
              <w:rPr>
                <w:rFonts w:ascii="Times New Roman" w:hAnsi="Times New Roman" w:cs="Times New Roman" w:eastAsia="Times New Roman" w:hint="default"/>
                <w:sz w:val="18"/>
                <w:szCs w:val="18"/>
              </w:rPr>
              <w:t>/</w:t>
            </w:r>
            <w:r>
              <w:rPr>
                <w:rFonts w:ascii="宋体" w:hAnsi="宋体" w:cs="宋体" w:eastAsia="宋体" w:hint="default"/>
                <w:sz w:val="18"/>
                <w:szCs w:val="18"/>
              </w:rPr>
              <w:t>出包起始日</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委托</w:t>
            </w:r>
            <w:r>
              <w:rPr>
                <w:rFonts w:ascii="Times New Roman" w:hAnsi="Times New Roman" w:cs="Times New Roman" w:eastAsia="Times New Roman" w:hint="default"/>
                <w:sz w:val="18"/>
                <w:szCs w:val="18"/>
              </w:rPr>
              <w:t>/</w:t>
            </w:r>
            <w:r>
              <w:rPr>
                <w:rFonts w:ascii="宋体" w:hAnsi="宋体" w:cs="宋体" w:eastAsia="宋体" w:hint="default"/>
                <w:sz w:val="18"/>
                <w:szCs w:val="18"/>
              </w:rPr>
              <w:t>出包终止日</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408" w:right="23" w:hanging="386"/>
              <w:jc w:val="left"/>
              <w:rPr>
                <w:rFonts w:ascii="宋体" w:hAnsi="宋体" w:cs="宋体" w:eastAsia="宋体" w:hint="default"/>
                <w:sz w:val="18"/>
                <w:szCs w:val="18"/>
              </w:rPr>
            </w:pPr>
            <w:r>
              <w:rPr>
                <w:rFonts w:ascii="宋体" w:hAnsi="宋体" w:cs="宋体" w:eastAsia="宋体" w:hint="default"/>
                <w:sz w:val="18"/>
                <w:szCs w:val="18"/>
              </w:rPr>
              <w:t>托管费</w:t>
            </w:r>
            <w:r>
              <w:rPr>
                <w:rFonts w:ascii="Times New Roman" w:hAnsi="Times New Roman" w:cs="Times New Roman" w:eastAsia="Times New Roman" w:hint="default"/>
                <w:sz w:val="18"/>
                <w:szCs w:val="18"/>
              </w:rPr>
              <w:t>/</w:t>
            </w:r>
            <w:r>
              <w:rPr>
                <w:rFonts w:ascii="宋体" w:hAnsi="宋体" w:cs="宋体" w:eastAsia="宋体" w:hint="default"/>
                <w:sz w:val="18"/>
                <w:szCs w:val="18"/>
              </w:rPr>
              <w:t>出包费定 价依据</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92" w:right="47" w:hanging="245"/>
              <w:jc w:val="left"/>
              <w:rPr>
                <w:rFonts w:ascii="宋体" w:hAnsi="宋体" w:cs="宋体" w:eastAsia="宋体" w:hint="default"/>
                <w:sz w:val="18"/>
                <w:szCs w:val="18"/>
              </w:rPr>
            </w:pPr>
            <w:r>
              <w:rPr>
                <w:rFonts w:ascii="宋体" w:hAnsi="宋体" w:cs="宋体" w:eastAsia="宋体" w:hint="default"/>
                <w:sz w:val="18"/>
                <w:szCs w:val="18"/>
              </w:rPr>
              <w:t>本期确认的托管 费</w:t>
            </w:r>
            <w:r>
              <w:rPr>
                <w:rFonts w:ascii="Times New Roman" w:hAnsi="Times New Roman" w:cs="Times New Roman" w:eastAsia="Times New Roman" w:hint="default"/>
                <w:sz w:val="18"/>
                <w:szCs w:val="18"/>
              </w:rPr>
              <w:t>/</w:t>
            </w:r>
            <w:r>
              <w:rPr>
                <w:rFonts w:ascii="宋体" w:hAnsi="宋体" w:cs="宋体" w:eastAsia="宋体" w:hint="default"/>
                <w:sz w:val="18"/>
                <w:szCs w:val="18"/>
              </w:rPr>
              <w:t>出包费</w:t>
            </w:r>
          </w:p>
        </w:tc>
      </w:tr>
    </w:tbl>
    <w:p>
      <w:pPr>
        <w:pStyle w:val="BodyText"/>
        <w:spacing w:line="240" w:lineRule="auto" w:before="52"/>
        <w:ind w:left="154" w:right="0"/>
        <w:jc w:val="left"/>
      </w:pPr>
      <w:r>
        <w:rPr/>
        <w:t>关联管理</w:t>
      </w:r>
      <w:r>
        <w:rPr>
          <w:rFonts w:ascii="Times New Roman" w:hAnsi="Times New Roman" w:cs="Times New Roman" w:eastAsia="Times New Roman" w:hint="default"/>
        </w:rPr>
        <w:t>/</w:t>
      </w:r>
      <w:r>
        <w:rPr/>
        <w:t>出包情况说明</w:t>
      </w:r>
    </w:p>
    <w:p>
      <w:pPr>
        <w:spacing w:line="240" w:lineRule="auto" w:before="9"/>
        <w:rPr>
          <w:rFonts w:ascii="宋体" w:hAnsi="宋体" w:cs="宋体" w:eastAsia="宋体" w:hint="default"/>
          <w:sz w:val="25"/>
          <w:szCs w:val="25"/>
        </w:rPr>
      </w:pPr>
    </w:p>
    <w:p>
      <w:pPr>
        <w:pStyle w:val="Heading3"/>
        <w:spacing w:line="240" w:lineRule="auto"/>
        <w:ind w:right="0"/>
        <w:jc w:val="left"/>
        <w:rPr>
          <w:b w:val="0"/>
          <w:bCs w:val="0"/>
        </w:rPr>
      </w:pPr>
      <w:bookmarkStart w:name="（3）关联租赁情况" w:id="463"/>
      <w:bookmarkEnd w:id="463"/>
      <w:r>
        <w:rPr>
          <w:b w:val="0"/>
          <w:bCs w:val="0"/>
        </w:rPr>
      </w:r>
      <w:r>
        <w:rPr/>
        <w:t>（</w:t>
      </w:r>
      <w:r>
        <w:rPr>
          <w:rFonts w:ascii="Times New Roman" w:hAnsi="Times New Roman" w:cs="Times New Roman" w:eastAsia="Times New Roman" w:hint="default"/>
        </w:rPr>
        <w:t>3</w:t>
      </w:r>
      <w:r>
        <w:rPr/>
        <w:t>）关联租赁情况</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154" w:right="0"/>
        <w:jc w:val="left"/>
      </w:pPr>
      <w:r>
        <w:rPr/>
        <w:t>本公司作为出租方：</w:t>
      </w:r>
    </w:p>
    <w:p>
      <w:pPr>
        <w:pStyle w:val="BodyText"/>
        <w:spacing w:line="240" w:lineRule="auto" w:before="116"/>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388"/>
        <w:gridCol w:w="2394"/>
        <w:gridCol w:w="2393"/>
        <w:gridCol w:w="2393"/>
      </w:tblGrid>
      <w:tr>
        <w:trPr>
          <w:trHeight w:val="402" w:hRule="exact"/>
        </w:trPr>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8" w:right="0"/>
              <w:jc w:val="left"/>
              <w:rPr>
                <w:rFonts w:ascii="宋体" w:hAnsi="宋体" w:cs="宋体" w:eastAsia="宋体" w:hint="default"/>
                <w:sz w:val="18"/>
                <w:szCs w:val="18"/>
              </w:rPr>
            </w:pPr>
            <w:r>
              <w:rPr>
                <w:rFonts w:ascii="宋体" w:hAnsi="宋体" w:cs="宋体" w:eastAsia="宋体" w:hint="default"/>
                <w:sz w:val="18"/>
                <w:szCs w:val="18"/>
              </w:rPr>
              <w:t>承租方名称</w:t>
            </w:r>
          </w:p>
        </w:tc>
        <w:tc>
          <w:tcPr>
            <w:tcW w:w="2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1" w:right="0"/>
              <w:jc w:val="left"/>
              <w:rPr>
                <w:rFonts w:ascii="宋体" w:hAnsi="宋体" w:cs="宋体" w:eastAsia="宋体" w:hint="default"/>
                <w:sz w:val="18"/>
                <w:szCs w:val="18"/>
              </w:rPr>
            </w:pPr>
            <w:r>
              <w:rPr>
                <w:rFonts w:ascii="宋体" w:hAnsi="宋体" w:cs="宋体" w:eastAsia="宋体" w:hint="default"/>
                <w:sz w:val="18"/>
                <w:szCs w:val="18"/>
              </w:rPr>
              <w:t>租赁资产种类</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1" w:right="0"/>
              <w:jc w:val="left"/>
              <w:rPr>
                <w:rFonts w:ascii="宋体" w:hAnsi="宋体" w:cs="宋体" w:eastAsia="宋体" w:hint="default"/>
                <w:sz w:val="18"/>
                <w:szCs w:val="18"/>
              </w:rPr>
            </w:pPr>
            <w:r>
              <w:rPr>
                <w:rFonts w:ascii="宋体" w:hAnsi="宋体" w:cs="宋体" w:eastAsia="宋体" w:hint="default"/>
                <w:sz w:val="18"/>
                <w:szCs w:val="18"/>
              </w:rPr>
              <w:t>本期确认的租赁收入</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1" w:right="0"/>
              <w:jc w:val="left"/>
              <w:rPr>
                <w:rFonts w:ascii="宋体" w:hAnsi="宋体" w:cs="宋体" w:eastAsia="宋体" w:hint="default"/>
                <w:sz w:val="18"/>
                <w:szCs w:val="18"/>
              </w:rPr>
            </w:pPr>
            <w:r>
              <w:rPr>
                <w:rFonts w:ascii="宋体" w:hAnsi="宋体" w:cs="宋体" w:eastAsia="宋体" w:hint="default"/>
                <w:sz w:val="18"/>
                <w:szCs w:val="18"/>
              </w:rPr>
              <w:t>上期确认的租赁收入</w:t>
            </w:r>
          </w:p>
        </w:tc>
      </w:tr>
      <w:tr>
        <w:trPr>
          <w:trHeight w:val="714"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95"/>
              <w:jc w:val="left"/>
              <w:rPr>
                <w:rFonts w:ascii="宋体" w:hAnsi="宋体" w:cs="宋体" w:eastAsia="宋体" w:hint="default"/>
                <w:sz w:val="18"/>
                <w:szCs w:val="18"/>
              </w:rPr>
            </w:pPr>
            <w:r>
              <w:rPr>
                <w:rFonts w:ascii="宋体" w:hAnsi="宋体" w:cs="宋体" w:eastAsia="宋体" w:hint="default"/>
                <w:sz w:val="18"/>
                <w:szCs w:val="18"/>
              </w:rPr>
              <w:t>深圳市如茵生态环境建设有 限公司</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办公场地</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50" w:right="0"/>
              <w:jc w:val="left"/>
              <w:rPr>
                <w:rFonts w:ascii="Times New Roman" w:hAnsi="Times New Roman" w:cs="Times New Roman" w:eastAsia="Times New Roman" w:hint="default"/>
                <w:sz w:val="18"/>
                <w:szCs w:val="18"/>
              </w:rPr>
            </w:pPr>
            <w:r>
              <w:rPr>
                <w:rFonts w:ascii="Times New Roman"/>
                <w:sz w:val="18"/>
              </w:rPr>
              <w:t>383,767.70</w:t>
            </w:r>
          </w:p>
        </w:tc>
        <w:tc>
          <w:tcPr>
            <w:tcW w:w="2393"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1"/>
        <w:ind w:left="154" w:right="0"/>
        <w:jc w:val="left"/>
      </w:pPr>
      <w:r>
        <w:rPr/>
        <w:t>本公司作为承租方：</w:t>
      </w:r>
    </w:p>
    <w:p>
      <w:pPr>
        <w:pStyle w:val="BodyText"/>
        <w:spacing w:line="240" w:lineRule="auto" w:before="117"/>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0" w:right="0"/>
              <w:jc w:val="left"/>
              <w:rPr>
                <w:rFonts w:ascii="宋体" w:hAnsi="宋体" w:cs="宋体" w:eastAsia="宋体" w:hint="default"/>
                <w:sz w:val="18"/>
                <w:szCs w:val="18"/>
              </w:rPr>
            </w:pPr>
            <w:r>
              <w:rPr>
                <w:rFonts w:ascii="宋体" w:hAnsi="宋体" w:cs="宋体" w:eastAsia="宋体" w:hint="default"/>
                <w:sz w:val="18"/>
                <w:szCs w:val="18"/>
              </w:rPr>
              <w:t>出租方名称</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1" w:right="0"/>
              <w:jc w:val="left"/>
              <w:rPr>
                <w:rFonts w:ascii="宋体" w:hAnsi="宋体" w:cs="宋体" w:eastAsia="宋体" w:hint="default"/>
                <w:sz w:val="18"/>
                <w:szCs w:val="18"/>
              </w:rPr>
            </w:pPr>
            <w:r>
              <w:rPr>
                <w:rFonts w:ascii="宋体" w:hAnsi="宋体" w:cs="宋体" w:eastAsia="宋体" w:hint="default"/>
                <w:sz w:val="18"/>
                <w:szCs w:val="18"/>
              </w:rPr>
              <w:t>租赁资产种类</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70" w:right="0"/>
              <w:jc w:val="left"/>
              <w:rPr>
                <w:rFonts w:ascii="宋体" w:hAnsi="宋体" w:cs="宋体" w:eastAsia="宋体" w:hint="default"/>
                <w:sz w:val="18"/>
                <w:szCs w:val="18"/>
              </w:rPr>
            </w:pPr>
            <w:r>
              <w:rPr>
                <w:rFonts w:ascii="宋体" w:hAnsi="宋体" w:cs="宋体" w:eastAsia="宋体" w:hint="default"/>
                <w:sz w:val="18"/>
                <w:szCs w:val="18"/>
              </w:rPr>
              <w:t>本期确认的租赁费</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70" w:right="0"/>
              <w:jc w:val="left"/>
              <w:rPr>
                <w:rFonts w:ascii="宋体" w:hAnsi="宋体" w:cs="宋体" w:eastAsia="宋体" w:hint="default"/>
                <w:sz w:val="18"/>
                <w:szCs w:val="18"/>
              </w:rPr>
            </w:pPr>
            <w:r>
              <w:rPr>
                <w:rFonts w:ascii="宋体" w:hAnsi="宋体" w:cs="宋体" w:eastAsia="宋体" w:hint="default"/>
                <w:sz w:val="18"/>
                <w:szCs w:val="18"/>
              </w:rPr>
              <w:t>上期确认的租赁费</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周维君</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办公场地</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49" w:right="0"/>
              <w:jc w:val="left"/>
              <w:rPr>
                <w:rFonts w:ascii="Times New Roman" w:hAnsi="Times New Roman" w:cs="Times New Roman" w:eastAsia="Times New Roman" w:hint="default"/>
                <w:sz w:val="18"/>
                <w:szCs w:val="18"/>
              </w:rPr>
            </w:pPr>
            <w:r>
              <w:rPr>
                <w:rFonts w:ascii="Times New Roman"/>
                <w:sz w:val="18"/>
              </w:rPr>
              <w:t>849,000.00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49" w:right="0"/>
              <w:jc w:val="left"/>
              <w:rPr>
                <w:rFonts w:ascii="Times New Roman" w:hAnsi="Times New Roman" w:cs="Times New Roman" w:eastAsia="Times New Roman" w:hint="default"/>
                <w:sz w:val="18"/>
                <w:szCs w:val="18"/>
              </w:rPr>
            </w:pPr>
            <w:r>
              <w:rPr>
                <w:rFonts w:ascii="Times New Roman"/>
                <w:sz w:val="18"/>
              </w:rPr>
              <w:t>738,000.00</w:t>
            </w:r>
          </w:p>
        </w:tc>
      </w:tr>
    </w:tbl>
    <w:p>
      <w:pPr>
        <w:pStyle w:val="BodyText"/>
        <w:spacing w:line="240" w:lineRule="auto" w:before="51"/>
        <w:ind w:left="154" w:right="0"/>
        <w:jc w:val="left"/>
      </w:pPr>
      <w:r>
        <w:rPr/>
        <w:t>关联租赁情况说明</w:t>
      </w:r>
    </w:p>
    <w:p>
      <w:pPr>
        <w:pStyle w:val="BodyText"/>
        <w:spacing w:line="300" w:lineRule="auto" w:before="116"/>
        <w:ind w:right="1189" w:firstLine="360"/>
        <w:jc w:val="both"/>
      </w:pP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w:t>
      </w:r>
      <w:r>
        <w:rPr>
          <w:spacing w:val="-46"/>
        </w:rPr>
        <w:t> </w:t>
      </w:r>
      <w:r>
        <w:rPr>
          <w:rFonts w:ascii="Times New Roman" w:hAnsi="Times New Roman" w:cs="Times New Roman" w:eastAsia="Times New Roman" w:hint="default"/>
        </w:rPr>
        <w:t>7 </w:t>
      </w:r>
      <w:r>
        <w:rPr/>
        <w:t>月</w:t>
      </w:r>
      <w:r>
        <w:rPr>
          <w:spacing w:val="-46"/>
        </w:rPr>
        <w:t> </w:t>
      </w:r>
      <w:r>
        <w:rPr>
          <w:rFonts w:ascii="Times New Roman" w:hAnsi="Times New Roman" w:cs="Times New Roman" w:eastAsia="Times New Roman" w:hint="default"/>
          <w:spacing w:val="-3"/>
        </w:rPr>
        <w:t>11</w:t>
      </w:r>
      <w:r>
        <w:rPr>
          <w:rFonts w:ascii="Times New Roman" w:hAnsi="Times New Roman" w:cs="Times New Roman" w:eastAsia="Times New Roman" w:hint="default"/>
        </w:rPr>
        <w:t> </w:t>
      </w:r>
      <w:r>
        <w:rPr>
          <w:spacing w:val="-2"/>
        </w:rPr>
        <w:t>日，奥拓电子作为出租人，与深圳市如茵生态环境建设有限公司签订《房屋租赁合同》，将本公司位于</w:t>
      </w:r>
      <w:r>
        <w:rPr/>
        <w:t> 深圳市南山区南山街道工业村</w:t>
      </w:r>
      <w:r>
        <w:rPr>
          <w:spacing w:val="-46"/>
        </w:rPr>
        <w:t> </w:t>
      </w:r>
      <w:r>
        <w:rPr>
          <w:rFonts w:ascii="Times New Roman" w:hAnsi="Times New Roman" w:cs="Times New Roman" w:eastAsia="Times New Roman" w:hint="default"/>
        </w:rPr>
        <w:t>T2</w:t>
      </w:r>
      <w:r>
        <w:rPr>
          <w:rFonts w:ascii="Times New Roman" w:hAnsi="Times New Roman" w:cs="Times New Roman" w:eastAsia="Times New Roman" w:hint="default"/>
          <w:spacing w:val="-1"/>
        </w:rPr>
        <w:t> </w:t>
      </w:r>
      <w:r>
        <w:rPr/>
        <w:t>栋厂房</w:t>
      </w:r>
      <w:r>
        <w:rPr>
          <w:spacing w:val="-46"/>
        </w:rPr>
        <w:t> </w:t>
      </w:r>
      <w:r>
        <w:rPr>
          <w:rFonts w:ascii="Times New Roman" w:hAnsi="Times New Roman" w:cs="Times New Roman" w:eastAsia="Times New Roman" w:hint="default"/>
        </w:rPr>
        <w:t>T2A6-B</w:t>
      </w:r>
      <w:r>
        <w:rPr>
          <w:rFonts w:ascii="Times New Roman" w:hAnsi="Times New Roman" w:cs="Times New Roman" w:eastAsia="Times New Roman" w:hint="default"/>
          <w:spacing w:val="-1"/>
        </w:rPr>
        <w:t> </w:t>
      </w:r>
      <w:r>
        <w:rPr/>
        <w:t>房屋出租给对方使用。月租金</w:t>
      </w:r>
      <w:r>
        <w:rPr>
          <w:spacing w:val="-46"/>
        </w:rPr>
        <w:t> </w:t>
      </w:r>
      <w:r>
        <w:rPr>
          <w:rFonts w:ascii="Times New Roman" w:hAnsi="Times New Roman" w:cs="Times New Roman" w:eastAsia="Times New Roman" w:hint="default"/>
        </w:rPr>
        <w:t>100,739</w:t>
      </w:r>
      <w:r>
        <w:rPr>
          <w:rFonts w:ascii="Times New Roman" w:hAnsi="Times New Roman" w:cs="Times New Roman" w:eastAsia="Times New Roman" w:hint="default"/>
          <w:spacing w:val="-1"/>
        </w:rPr>
        <w:t> </w:t>
      </w:r>
      <w:r>
        <w:rPr>
          <w:spacing w:val="-7"/>
        </w:rPr>
        <w:t>元</w:t>
      </w:r>
      <w:r>
        <w:rPr>
          <w:rFonts w:ascii="Times New Roman" w:hAnsi="Times New Roman" w:cs="Times New Roman" w:eastAsia="Times New Roman" w:hint="default"/>
          <w:spacing w:val="-7"/>
        </w:rPr>
        <w:t>/</w:t>
      </w:r>
      <w:r>
        <w:rPr>
          <w:spacing w:val="-7"/>
        </w:rPr>
        <w:t>月（含税价），</w:t>
      </w:r>
      <w:r>
        <w:rPr>
          <w:rFonts w:ascii="Times New Roman" w:hAnsi="Times New Roman" w:cs="Times New Roman" w:eastAsia="Times New Roman" w:hint="default"/>
          <w:spacing w:val="-7"/>
        </w:rPr>
        <w:t>2017</w:t>
      </w:r>
      <w:r>
        <w:rPr>
          <w:rFonts w:ascii="Times New Roman" w:hAnsi="Times New Roman" w:cs="Times New Roman" w:eastAsia="Times New Roman" w:hint="default"/>
          <w:spacing w:val="-1"/>
        </w:rPr>
        <w:t> </w:t>
      </w:r>
      <w:r>
        <w:rPr/>
        <w:t>年</w:t>
      </w:r>
      <w:r>
        <w:rPr>
          <w:spacing w:val="-46"/>
        </w:rPr>
        <w:t> </w:t>
      </w:r>
      <w:r>
        <w:rPr>
          <w:rFonts w:ascii="Times New Roman" w:hAnsi="Times New Roman" w:cs="Times New Roman" w:eastAsia="Times New Roman" w:hint="default"/>
        </w:rPr>
        <w:t>9 </w:t>
      </w:r>
      <w:r>
        <w:rPr/>
        <w:t>月开始 计算租金，合同于</w:t>
      </w:r>
      <w:r>
        <w:rPr>
          <w:spacing w:val="-46"/>
        </w:rPr>
        <w:t> </w:t>
      </w:r>
      <w:r>
        <w:rPr>
          <w:rFonts w:ascii="Times New Roman" w:hAnsi="Times New Roman" w:cs="Times New Roman" w:eastAsia="Times New Roman" w:hint="default"/>
        </w:rPr>
        <w:t>2020</w:t>
      </w:r>
      <w:r>
        <w:rPr>
          <w:rFonts w:ascii="Times New Roman" w:hAnsi="Times New Roman" w:cs="Times New Roman" w:eastAsia="Times New Roman" w:hint="default"/>
          <w:spacing w:val="-1"/>
        </w:rPr>
        <w:t> </w:t>
      </w:r>
      <w:r>
        <w:rPr/>
        <w:t>年</w:t>
      </w:r>
      <w:r>
        <w:rPr>
          <w:spacing w:val="-45"/>
        </w:rPr>
        <w:t> </w:t>
      </w:r>
      <w:r>
        <w:rPr>
          <w:rFonts w:ascii="Times New Roman" w:hAnsi="Times New Roman" w:cs="Times New Roman" w:eastAsia="Times New Roman" w:hint="default"/>
        </w:rPr>
        <w:t>7 </w:t>
      </w:r>
      <w:r>
        <w:rPr/>
        <w:t>月</w:t>
      </w:r>
      <w:r>
        <w:rPr>
          <w:spacing w:val="-46"/>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日到期。</w:t>
      </w:r>
    </w:p>
    <w:p>
      <w:pPr>
        <w:pStyle w:val="BodyText"/>
        <w:spacing w:line="300" w:lineRule="auto" w:before="51"/>
        <w:ind w:right="1156" w:firstLine="360"/>
        <w:jc w:val="both"/>
      </w:pPr>
      <w:r>
        <w:rPr>
          <w:rFonts w:ascii="Times New Roman" w:hAnsi="Times New Roman" w:cs="Times New Roman" w:eastAsia="Times New Roman" w:hint="default"/>
        </w:rPr>
        <w:t>2016</w:t>
      </w:r>
      <w:r>
        <w:rPr>
          <w:rFonts w:ascii="Times New Roman" w:hAnsi="Times New Roman" w:cs="Times New Roman" w:eastAsia="Times New Roman" w:hint="default"/>
          <w:spacing w:val="-1"/>
        </w:rPr>
        <w:t> </w:t>
      </w:r>
      <w:r>
        <w:rPr/>
        <w:t>年</w:t>
      </w:r>
      <w:r>
        <w:rPr>
          <w:rFonts w:ascii="Times New Roman" w:hAnsi="Times New Roman" w:cs="Times New Roman" w:eastAsia="Times New Roman" w:hint="default"/>
        </w:rPr>
        <w:t>-2017 </w:t>
      </w:r>
      <w:r>
        <w:rPr/>
        <w:t>年</w:t>
      </w:r>
      <w:r>
        <w:rPr>
          <w:spacing w:val="-46"/>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月，</w:t>
      </w:r>
      <w:r>
        <w:rPr>
          <w:rFonts w:ascii="Times New Roman" w:hAnsi="Times New Roman" w:cs="Times New Roman" w:eastAsia="Times New Roman" w:hint="default"/>
        </w:rPr>
        <w:t>2017 </w:t>
      </w:r>
      <w:r>
        <w:rPr/>
        <w:t>年</w:t>
      </w:r>
      <w:r>
        <w:rPr>
          <w:spacing w:val="-46"/>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月</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年年</w:t>
      </w:r>
      <w:r>
        <w:rPr>
          <w:spacing w:val="-46"/>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t>月本公司之子公司千百辉作为承租人，承租股东周维君位于皇都广场</w:t>
      </w:r>
      <w:r>
        <w:rPr>
          <w:spacing w:val="-46"/>
        </w:rPr>
        <w:t> </w:t>
      </w:r>
      <w:r>
        <w:rPr>
          <w:rFonts w:ascii="Times New Roman" w:hAnsi="Times New Roman" w:cs="Times New Roman" w:eastAsia="Times New Roman" w:hint="default"/>
        </w:rPr>
        <w:t>3 </w:t>
      </w:r>
      <w:r>
        <w:rPr/>
        <w:t>号楼</w:t>
      </w:r>
      <w:r>
        <w:rPr>
          <w:spacing w:val="-47"/>
        </w:rPr>
        <w:t> </w:t>
      </w:r>
      <w:r>
        <w:rPr>
          <w:rFonts w:ascii="Times New Roman" w:hAnsi="Times New Roman" w:cs="Times New Roman" w:eastAsia="Times New Roman" w:hint="default"/>
        </w:rPr>
        <w:t>1901</w:t>
      </w:r>
      <w:r>
        <w:rPr>
          <w:rFonts w:ascii="Times New Roman" w:hAnsi="Times New Roman" w:cs="Times New Roman" w:eastAsia="Times New Roman" w:hint="default"/>
          <w:spacing w:val="-2"/>
        </w:rPr>
        <w:t> </w:t>
      </w:r>
      <w:r>
        <w:rPr/>
        <w:t>室、</w:t>
      </w:r>
      <w:r>
        <w:rPr>
          <w:rFonts w:ascii="Times New Roman" w:hAnsi="Times New Roman" w:cs="Times New Roman" w:eastAsia="Times New Roman" w:hint="default"/>
        </w:rPr>
        <w:t>1902</w:t>
      </w:r>
      <w:r>
        <w:rPr>
          <w:rFonts w:ascii="Times New Roman" w:hAnsi="Times New Roman" w:cs="Times New Roman" w:eastAsia="Times New Roman" w:hint="default"/>
          <w:spacing w:val="-2"/>
        </w:rPr>
        <w:t> </w:t>
      </w:r>
      <w:r>
        <w:rPr/>
        <w:t>室、</w:t>
      </w:r>
      <w:r>
        <w:rPr>
          <w:rFonts w:ascii="Times New Roman" w:hAnsi="Times New Roman" w:cs="Times New Roman" w:eastAsia="Times New Roman" w:hint="default"/>
        </w:rPr>
        <w:t>1903</w:t>
      </w:r>
      <w:r>
        <w:rPr>
          <w:rFonts w:ascii="Times New Roman" w:hAnsi="Times New Roman" w:cs="Times New Roman" w:eastAsia="Times New Roman" w:hint="default"/>
          <w:spacing w:val="-1"/>
        </w:rPr>
        <w:t> </w:t>
      </w:r>
      <w:r>
        <w:rPr/>
        <w:t>室、</w:t>
      </w:r>
      <w:r>
        <w:rPr>
          <w:rFonts w:ascii="Times New Roman" w:hAnsi="Times New Roman" w:cs="Times New Roman" w:eastAsia="Times New Roman" w:hint="default"/>
        </w:rPr>
        <w:t>1904</w:t>
      </w:r>
      <w:r>
        <w:rPr>
          <w:rFonts w:ascii="Times New Roman" w:hAnsi="Times New Roman" w:cs="Times New Roman" w:eastAsia="Times New Roman" w:hint="default"/>
          <w:spacing w:val="-2"/>
        </w:rPr>
        <w:t> </w:t>
      </w:r>
      <w:r>
        <w:rPr/>
        <w:t>室、</w:t>
      </w:r>
      <w:r>
        <w:rPr>
          <w:rFonts w:ascii="Times New Roman" w:hAnsi="Times New Roman" w:cs="Times New Roman" w:eastAsia="Times New Roman" w:hint="default"/>
        </w:rPr>
        <w:t>1905</w:t>
      </w:r>
      <w:r>
        <w:rPr>
          <w:rFonts w:ascii="Times New Roman" w:hAnsi="Times New Roman" w:cs="Times New Roman" w:eastAsia="Times New Roman" w:hint="default"/>
          <w:spacing w:val="-2"/>
        </w:rPr>
        <w:t> </w:t>
      </w:r>
      <w:r>
        <w:rPr/>
        <w:t>室、</w:t>
      </w:r>
      <w:r>
        <w:rPr>
          <w:rFonts w:ascii="Times New Roman" w:hAnsi="Times New Roman" w:cs="Times New Roman" w:eastAsia="Times New Roman" w:hint="default"/>
        </w:rPr>
        <w:t>1906</w:t>
      </w:r>
      <w:r>
        <w:rPr>
          <w:rFonts w:ascii="Times New Roman" w:hAnsi="Times New Roman" w:cs="Times New Roman" w:eastAsia="Times New Roman" w:hint="default"/>
          <w:spacing w:val="-1"/>
        </w:rPr>
        <w:t> </w:t>
      </w:r>
      <w:r>
        <w:rPr/>
        <w:t>室、</w:t>
      </w:r>
      <w:r>
        <w:rPr>
          <w:rFonts w:ascii="Times New Roman" w:hAnsi="Times New Roman" w:cs="Times New Roman" w:eastAsia="Times New Roman" w:hint="default"/>
        </w:rPr>
        <w:t>1907</w:t>
      </w:r>
      <w:r>
        <w:rPr>
          <w:rFonts w:ascii="Times New Roman" w:hAnsi="Times New Roman" w:cs="Times New Roman" w:eastAsia="Times New Roman" w:hint="default"/>
          <w:spacing w:val="-2"/>
        </w:rPr>
        <w:t> </w:t>
      </w:r>
      <w:r>
        <w:rPr/>
        <w:t>室、</w:t>
      </w:r>
      <w:r>
        <w:rPr>
          <w:rFonts w:ascii="Times New Roman" w:hAnsi="Times New Roman" w:cs="Times New Roman" w:eastAsia="Times New Roman" w:hint="default"/>
        </w:rPr>
        <w:t>1908</w:t>
      </w:r>
      <w:r>
        <w:rPr>
          <w:rFonts w:ascii="Times New Roman" w:hAnsi="Times New Roman" w:cs="Times New Roman" w:eastAsia="Times New Roman" w:hint="default"/>
          <w:spacing w:val="-2"/>
        </w:rPr>
        <w:t> </w:t>
      </w:r>
      <w:r>
        <w:rPr/>
        <w:t>室、</w:t>
      </w:r>
      <w:r>
        <w:rPr>
          <w:rFonts w:ascii="Times New Roman" w:hAnsi="Times New Roman" w:cs="Times New Roman" w:eastAsia="Times New Roman" w:hint="default"/>
        </w:rPr>
        <w:t>1915</w:t>
      </w:r>
      <w:r>
        <w:rPr>
          <w:rFonts w:ascii="Times New Roman" w:hAnsi="Times New Roman" w:cs="Times New Roman" w:eastAsia="Times New Roman" w:hint="default"/>
          <w:spacing w:val="-1"/>
        </w:rPr>
        <w:t> </w:t>
      </w:r>
      <w:r>
        <w:rPr/>
        <w:t>室、</w:t>
      </w:r>
      <w:r>
        <w:rPr>
          <w:rFonts w:ascii="Times New Roman" w:hAnsi="Times New Roman" w:cs="Times New Roman" w:eastAsia="Times New Roman" w:hint="default"/>
        </w:rPr>
        <w:t>1916</w:t>
      </w:r>
      <w:r>
        <w:rPr>
          <w:rFonts w:ascii="Times New Roman" w:hAnsi="Times New Roman" w:cs="Times New Roman" w:eastAsia="Times New Roman" w:hint="default"/>
          <w:spacing w:val="-2"/>
        </w:rPr>
        <w:t> </w:t>
      </w:r>
      <w:r>
        <w:rPr/>
        <w:t>室、</w:t>
      </w:r>
      <w:r>
        <w:rPr>
          <w:rFonts w:ascii="Times New Roman" w:hAnsi="Times New Roman" w:cs="Times New Roman" w:eastAsia="Times New Roman" w:hint="default"/>
        </w:rPr>
        <w:t>2011</w:t>
      </w:r>
      <w:r>
        <w:rPr>
          <w:rFonts w:ascii="Times New Roman" w:hAnsi="Times New Roman" w:cs="Times New Roman" w:eastAsia="Times New Roman" w:hint="default"/>
          <w:spacing w:val="-2"/>
        </w:rPr>
        <w:t> </w:t>
      </w:r>
      <w:r>
        <w:rPr/>
        <w:t>室、</w:t>
      </w:r>
      <w:r>
        <w:rPr>
          <w:rFonts w:ascii="Times New Roman" w:hAnsi="Times New Roman" w:cs="Times New Roman" w:eastAsia="Times New Roman" w:hint="default"/>
        </w:rPr>
        <w:t>2012</w:t>
      </w:r>
      <w:r>
        <w:rPr>
          <w:rFonts w:ascii="Times New Roman" w:hAnsi="Times New Roman" w:cs="Times New Roman" w:eastAsia="Times New Roman" w:hint="default"/>
          <w:spacing w:val="-1"/>
        </w:rPr>
        <w:t> </w:t>
      </w:r>
      <w:r>
        <w:rPr/>
        <w:t>室作 为办公场地。</w:t>
      </w:r>
    </w:p>
    <w:p>
      <w:pPr>
        <w:spacing w:line="240" w:lineRule="auto" w:before="5"/>
        <w:rPr>
          <w:rFonts w:ascii="宋体" w:hAnsi="宋体" w:cs="宋体" w:eastAsia="宋体" w:hint="default"/>
          <w:sz w:val="23"/>
          <w:szCs w:val="23"/>
        </w:rPr>
      </w:pPr>
    </w:p>
    <w:p>
      <w:pPr>
        <w:pStyle w:val="Heading3"/>
        <w:spacing w:line="240" w:lineRule="auto"/>
        <w:ind w:left="153" w:right="0"/>
        <w:jc w:val="left"/>
        <w:rPr>
          <w:b w:val="0"/>
          <w:bCs w:val="0"/>
        </w:rPr>
      </w:pPr>
      <w:bookmarkStart w:name="（4）关联担保情况" w:id="464"/>
      <w:bookmarkEnd w:id="464"/>
      <w:r>
        <w:rPr>
          <w:b w:val="0"/>
          <w:bCs w:val="0"/>
        </w:rPr>
      </w:r>
      <w:r>
        <w:rPr/>
        <w:t>（</w:t>
      </w:r>
      <w:r>
        <w:rPr>
          <w:rFonts w:ascii="Times New Roman" w:hAnsi="Times New Roman" w:cs="Times New Roman" w:eastAsia="Times New Roman" w:hint="default"/>
        </w:rPr>
        <w:t>4</w:t>
      </w:r>
      <w:r>
        <w:rPr/>
        <w:t>）关联担保情况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t>本公司作为担保方</w:t>
      </w:r>
    </w:p>
    <w:p>
      <w:pPr>
        <w:pStyle w:val="BodyText"/>
        <w:spacing w:line="240" w:lineRule="auto" w:before="117"/>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913"/>
        <w:gridCol w:w="1916"/>
        <w:gridCol w:w="1914"/>
        <w:gridCol w:w="1914"/>
        <w:gridCol w:w="1914"/>
      </w:tblGrid>
      <w:tr>
        <w:trPr>
          <w:trHeight w:val="402"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2" w:right="0"/>
              <w:jc w:val="left"/>
              <w:rPr>
                <w:rFonts w:ascii="宋体" w:hAnsi="宋体" w:cs="宋体" w:eastAsia="宋体" w:hint="default"/>
                <w:sz w:val="18"/>
                <w:szCs w:val="18"/>
              </w:rPr>
            </w:pPr>
            <w:r>
              <w:rPr>
                <w:rFonts w:ascii="宋体" w:hAnsi="宋体" w:cs="宋体" w:eastAsia="宋体" w:hint="default"/>
                <w:sz w:val="18"/>
                <w:szCs w:val="18"/>
              </w:rPr>
              <w:t>被担保方</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担保金额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01" w:right="0"/>
              <w:jc w:val="left"/>
              <w:rPr>
                <w:rFonts w:ascii="宋体" w:hAnsi="宋体" w:cs="宋体" w:eastAsia="宋体" w:hint="default"/>
                <w:sz w:val="18"/>
                <w:szCs w:val="18"/>
              </w:rPr>
            </w:pPr>
            <w:r>
              <w:rPr>
                <w:rFonts w:ascii="宋体" w:hAnsi="宋体" w:cs="宋体" w:eastAsia="宋体" w:hint="default"/>
                <w:sz w:val="18"/>
                <w:szCs w:val="18"/>
              </w:rPr>
              <w:t>担保起始日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01" w:right="0"/>
              <w:jc w:val="left"/>
              <w:rPr>
                <w:rFonts w:ascii="宋体" w:hAnsi="宋体" w:cs="宋体" w:eastAsia="宋体" w:hint="default"/>
                <w:sz w:val="18"/>
                <w:szCs w:val="18"/>
              </w:rPr>
            </w:pPr>
            <w:r>
              <w:rPr>
                <w:rFonts w:ascii="宋体" w:hAnsi="宋体" w:cs="宋体" w:eastAsia="宋体" w:hint="default"/>
                <w:sz w:val="18"/>
                <w:szCs w:val="18"/>
              </w:rPr>
              <w:t>担保到期日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1" w:right="0"/>
              <w:jc w:val="left"/>
              <w:rPr>
                <w:rFonts w:ascii="宋体" w:hAnsi="宋体" w:cs="宋体" w:eastAsia="宋体" w:hint="default"/>
                <w:sz w:val="18"/>
                <w:szCs w:val="18"/>
              </w:rPr>
            </w:pPr>
            <w:r>
              <w:rPr>
                <w:rFonts w:ascii="宋体" w:hAnsi="宋体" w:cs="宋体" w:eastAsia="宋体" w:hint="default"/>
                <w:sz w:val="18"/>
                <w:szCs w:val="18"/>
              </w:rPr>
              <w:t>担保是否已经履行完毕</w:t>
            </w:r>
          </w:p>
        </w:tc>
      </w:tr>
      <w:tr>
        <w:trPr>
          <w:trHeight w:val="402"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惠州奥拓（注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千百辉（注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50,000,000.00</w:t>
            </w:r>
          </w:p>
        </w:tc>
        <w:tc>
          <w:tcPr>
            <w:tcW w:w="382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97" w:right="0"/>
              <w:jc w:val="left"/>
              <w:rPr>
                <w:rFonts w:ascii="宋体" w:hAnsi="宋体" w:cs="宋体" w:eastAsia="宋体" w:hint="default"/>
                <w:sz w:val="18"/>
                <w:szCs w:val="18"/>
              </w:rPr>
            </w:pPr>
            <w:r>
              <w:rPr>
                <w:rFonts w:ascii="宋体" w:hAnsi="宋体" w:cs="宋体" w:eastAsia="宋体" w:hint="default"/>
                <w:sz w:val="18"/>
                <w:szCs w:val="18"/>
              </w:rPr>
              <w:t>保证期间为主债务履行期间届满之日起两年</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千百辉（注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40,000,000.00</w:t>
            </w:r>
          </w:p>
        </w:tc>
        <w:tc>
          <w:tcPr>
            <w:tcW w:w="382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97" w:right="0"/>
              <w:jc w:val="left"/>
              <w:rPr>
                <w:rFonts w:ascii="宋体" w:hAnsi="宋体" w:cs="宋体" w:eastAsia="宋体" w:hint="default"/>
                <w:sz w:val="18"/>
                <w:szCs w:val="18"/>
              </w:rPr>
            </w:pPr>
            <w:r>
              <w:rPr>
                <w:rFonts w:ascii="宋体" w:hAnsi="宋体" w:cs="宋体" w:eastAsia="宋体" w:hint="default"/>
                <w:sz w:val="18"/>
                <w:szCs w:val="18"/>
              </w:rPr>
              <w:t>保证期间为主债务履行期间届满之日起两年</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pStyle w:val="BodyText"/>
        <w:spacing w:line="240" w:lineRule="auto" w:before="51"/>
        <w:ind w:left="154" w:right="0"/>
        <w:jc w:val="left"/>
      </w:pPr>
      <w:r>
        <w:rPr/>
        <w:t>本公司作为被担保方</w:t>
      </w:r>
    </w:p>
    <w:p>
      <w:pPr>
        <w:pStyle w:val="BodyText"/>
        <w:spacing w:line="240" w:lineRule="auto" w:before="117"/>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3"/>
        <w:gridCol w:w="1916"/>
        <w:gridCol w:w="1914"/>
        <w:gridCol w:w="1914"/>
        <w:gridCol w:w="1914"/>
      </w:tblGrid>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679"/>
              <w:jc w:val="right"/>
              <w:rPr>
                <w:rFonts w:ascii="宋体" w:hAnsi="宋体" w:cs="宋体" w:eastAsia="宋体" w:hint="default"/>
                <w:sz w:val="18"/>
                <w:szCs w:val="18"/>
              </w:rPr>
            </w:pPr>
            <w:r>
              <w:rPr>
                <w:rFonts w:ascii="宋体" w:hAnsi="宋体" w:cs="宋体" w:eastAsia="宋体" w:hint="default"/>
                <w:sz w:val="18"/>
                <w:szCs w:val="18"/>
              </w:rPr>
              <w:t>担保方</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担保金额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01" w:right="0"/>
              <w:jc w:val="left"/>
              <w:rPr>
                <w:rFonts w:ascii="宋体" w:hAnsi="宋体" w:cs="宋体" w:eastAsia="宋体" w:hint="default"/>
                <w:sz w:val="18"/>
                <w:szCs w:val="18"/>
              </w:rPr>
            </w:pPr>
            <w:r>
              <w:rPr>
                <w:rFonts w:ascii="宋体" w:hAnsi="宋体" w:cs="宋体" w:eastAsia="宋体" w:hint="default"/>
                <w:sz w:val="18"/>
                <w:szCs w:val="18"/>
              </w:rPr>
              <w:t>担保起始日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01" w:right="0"/>
              <w:jc w:val="left"/>
              <w:rPr>
                <w:rFonts w:ascii="宋体" w:hAnsi="宋体" w:cs="宋体" w:eastAsia="宋体" w:hint="default"/>
                <w:sz w:val="18"/>
                <w:szCs w:val="18"/>
              </w:rPr>
            </w:pPr>
            <w:r>
              <w:rPr>
                <w:rFonts w:ascii="宋体" w:hAnsi="宋体" w:cs="宋体" w:eastAsia="宋体" w:hint="default"/>
                <w:sz w:val="18"/>
                <w:szCs w:val="18"/>
              </w:rPr>
              <w:t>担保到期日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1" w:right="0"/>
              <w:jc w:val="left"/>
              <w:rPr>
                <w:rFonts w:ascii="宋体" w:hAnsi="宋体" w:cs="宋体" w:eastAsia="宋体" w:hint="default"/>
                <w:sz w:val="18"/>
                <w:szCs w:val="18"/>
              </w:rPr>
            </w:pPr>
            <w:r>
              <w:rPr>
                <w:rFonts w:ascii="宋体" w:hAnsi="宋体" w:cs="宋体" w:eastAsia="宋体" w:hint="default"/>
                <w:sz w:val="18"/>
                <w:szCs w:val="18"/>
              </w:rPr>
              <w:t>担保是否已经履行完毕</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665"/>
              <w:jc w:val="right"/>
              <w:rPr>
                <w:rFonts w:ascii="宋体" w:hAnsi="宋体" w:cs="宋体" w:eastAsia="宋体" w:hint="default"/>
                <w:sz w:val="18"/>
                <w:szCs w:val="18"/>
              </w:rPr>
            </w:pPr>
            <w:r>
              <w:rPr>
                <w:rFonts w:ascii="宋体" w:hAnsi="宋体" w:cs="宋体" w:eastAsia="宋体" w:hint="default"/>
                <w:sz w:val="18"/>
                <w:szCs w:val="18"/>
              </w:rPr>
              <w:t>吴涵渠（注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847" w:right="0"/>
              <w:jc w:val="left"/>
              <w:rPr>
                <w:rFonts w:ascii="Times New Roman" w:hAnsi="Times New Roman" w:cs="Times New Roman" w:eastAsia="Times New Roman" w:hint="default"/>
                <w:sz w:val="18"/>
                <w:szCs w:val="18"/>
              </w:rPr>
            </w:pPr>
            <w:r>
              <w:rPr>
                <w:rFonts w:ascii="Times New Roman"/>
                <w:sz w:val="18"/>
              </w:rPr>
              <w:t>50,000,000.00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type w:val="continuous"/>
          <w:pgSz w:w="11910" w:h="16840"/>
          <w:pgMar w:top="1060" w:bottom="1160" w:left="980" w:right="0"/>
        </w:sectPr>
      </w:pPr>
    </w:p>
    <w:p>
      <w:pPr>
        <w:spacing w:line="240" w:lineRule="auto" w:before="6"/>
        <w:rPr>
          <w:rFonts w:ascii="宋体" w:hAnsi="宋体" w:cs="宋体" w:eastAsia="宋体" w:hint="default"/>
          <w:sz w:val="28"/>
          <w:szCs w:val="28"/>
        </w:rPr>
      </w:pPr>
    </w:p>
    <w:tbl>
      <w:tblPr>
        <w:tblW w:w="0" w:type="auto"/>
        <w:jc w:val="left"/>
        <w:tblInd w:w="146" w:type="dxa"/>
        <w:tblLayout w:type="fixed"/>
        <w:tblCellMar>
          <w:top w:w="0" w:type="dxa"/>
          <w:left w:w="0" w:type="dxa"/>
          <w:bottom w:w="0" w:type="dxa"/>
          <w:right w:w="0" w:type="dxa"/>
        </w:tblCellMar>
        <w:tblLook w:val="01E0"/>
      </w:tblPr>
      <w:tblGrid>
        <w:gridCol w:w="1916"/>
        <w:gridCol w:w="1916"/>
        <w:gridCol w:w="1914"/>
        <w:gridCol w:w="1914"/>
        <w:gridCol w:w="1914"/>
      </w:tblGrid>
      <w:tr>
        <w:trPr>
          <w:trHeight w:val="402"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吴涵渠（注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57" w:right="0"/>
              <w:jc w:val="left"/>
              <w:rPr>
                <w:rFonts w:ascii="Times New Roman" w:hAnsi="Times New Roman" w:cs="Times New Roman" w:eastAsia="Times New Roman" w:hint="default"/>
                <w:sz w:val="18"/>
                <w:szCs w:val="18"/>
              </w:rPr>
            </w:pPr>
            <w:r>
              <w:rPr>
                <w:rFonts w:ascii="Times New Roman"/>
                <w:sz w:val="18"/>
              </w:rPr>
              <w:t>100,000,000.00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pStyle w:val="BodyText"/>
        <w:spacing w:line="240" w:lineRule="auto" w:before="51"/>
        <w:ind w:left="154" w:right="0"/>
        <w:jc w:val="left"/>
      </w:pPr>
      <w:r>
        <w:rPr/>
        <w:t>关联担保情况说明</w:t>
      </w:r>
    </w:p>
    <w:p>
      <w:pPr>
        <w:pStyle w:val="BodyText"/>
        <w:spacing w:line="240" w:lineRule="auto" w:before="116"/>
        <w:ind w:left="513" w:right="0"/>
        <w:jc w:val="left"/>
      </w:pPr>
      <w:r>
        <w:rPr/>
        <w:t>注</w:t>
      </w:r>
      <w:r>
        <w:rPr>
          <w:spacing w:val="-51"/>
        </w:rPr>
        <w:t> </w:t>
      </w:r>
      <w:r>
        <w:rPr>
          <w:rFonts w:ascii="Times New Roman" w:hAnsi="Times New Roman" w:cs="Times New Roman" w:eastAsia="Times New Roman" w:hint="default"/>
        </w:rPr>
        <w:t>1</w:t>
      </w:r>
      <w:r>
        <w:rPr/>
        <w:t>：深圳市奥拓电子股份有限公司于</w:t>
      </w:r>
      <w:r>
        <w:rPr>
          <w:spacing w:val="-51"/>
        </w:rPr>
        <w:t> </w:t>
      </w:r>
      <w:r>
        <w:rPr>
          <w:rFonts w:ascii="Times New Roman" w:hAnsi="Times New Roman" w:cs="Times New Roman" w:eastAsia="Times New Roman" w:hint="default"/>
        </w:rPr>
        <w:t>2017</w:t>
      </w:r>
      <w:r>
        <w:rPr>
          <w:rFonts w:ascii="Times New Roman" w:hAnsi="Times New Roman" w:cs="Times New Roman" w:eastAsia="Times New Roman" w:hint="default"/>
          <w:spacing w:val="-5"/>
        </w:rPr>
        <w:t> </w:t>
      </w:r>
      <w:r>
        <w:rPr/>
        <w:t>年</w:t>
      </w:r>
      <w:r>
        <w:rPr>
          <w:spacing w:val="-51"/>
        </w:rPr>
        <w:t> </w:t>
      </w:r>
      <w:r>
        <w:rPr>
          <w:rFonts w:ascii="Times New Roman" w:hAnsi="Times New Roman" w:cs="Times New Roman" w:eastAsia="Times New Roman" w:hint="default"/>
        </w:rPr>
        <w:t>7</w:t>
      </w:r>
      <w:r>
        <w:rPr>
          <w:rFonts w:ascii="Times New Roman" w:hAnsi="Times New Roman" w:cs="Times New Roman" w:eastAsia="Times New Roman" w:hint="default"/>
          <w:spacing w:val="-6"/>
        </w:rPr>
        <w:t> </w:t>
      </w:r>
      <w:r>
        <w:rPr/>
        <w:t>月</w:t>
      </w:r>
      <w:r>
        <w:rPr>
          <w:spacing w:val="-51"/>
        </w:rPr>
        <w:t> </w:t>
      </w:r>
      <w:r>
        <w:rPr>
          <w:rFonts w:ascii="Times New Roman" w:hAnsi="Times New Roman" w:cs="Times New Roman" w:eastAsia="Times New Roman" w:hint="default"/>
        </w:rPr>
        <w:t>28</w:t>
      </w:r>
      <w:r>
        <w:rPr>
          <w:rFonts w:ascii="Times New Roman" w:hAnsi="Times New Roman" w:cs="Times New Roman" w:eastAsia="Times New Roman" w:hint="default"/>
          <w:spacing w:val="-6"/>
        </w:rPr>
        <w:t> </w:t>
      </w:r>
      <w:r>
        <w:rPr/>
        <w:t>日与中国民生银行股份有限公司深圳南山支行签订《最高额保证</w:t>
      </w:r>
    </w:p>
    <w:p>
      <w:pPr>
        <w:pStyle w:val="BodyText"/>
        <w:spacing w:line="240" w:lineRule="auto" w:before="63"/>
        <w:ind w:left="154" w:right="0"/>
        <w:jc w:val="left"/>
      </w:pPr>
      <w:r>
        <w:rPr/>
        <w:t>合同</w:t>
      </w:r>
      <w:r>
        <w:rPr>
          <w:spacing w:val="-90"/>
        </w:rPr>
        <w:t>》</w:t>
      </w:r>
      <w:r>
        <w:rPr/>
        <w:t>，为惠州市奥拓电子科技有限公司与中国民生银行股份有限公司深圳分行签订的编号为</w:t>
      </w:r>
      <w:r>
        <w:rPr>
          <w:spacing w:val="-45"/>
        </w:rPr>
        <w:t> </w:t>
      </w:r>
      <w:r>
        <w:rPr>
          <w:rFonts w:ascii="Times New Roman" w:hAnsi="Times New Roman" w:cs="Times New Roman" w:eastAsia="Times New Roman" w:hint="default"/>
        </w:rPr>
        <w:t>2017 </w:t>
      </w:r>
      <w:r>
        <w:rPr/>
        <w:t>年深高新支行综额字第</w:t>
      </w:r>
    </w:p>
    <w:p>
      <w:pPr>
        <w:pStyle w:val="BodyText"/>
        <w:spacing w:line="240" w:lineRule="auto" w:before="64"/>
        <w:ind w:right="0"/>
        <w:jc w:val="left"/>
      </w:pPr>
      <w:r>
        <w:rPr>
          <w:rFonts w:ascii="Times New Roman" w:hAnsi="Times New Roman" w:cs="Times New Roman" w:eastAsia="Times New Roman" w:hint="default"/>
        </w:rPr>
        <w:t>012-1</w:t>
      </w:r>
      <w:r>
        <w:rPr>
          <w:rFonts w:ascii="Times New Roman" w:hAnsi="Times New Roman" w:cs="Times New Roman" w:eastAsia="Times New Roman" w:hint="default"/>
          <w:spacing w:val="-1"/>
        </w:rPr>
        <w:t> </w:t>
      </w:r>
      <w:r>
        <w:rPr/>
        <w:t>号《银行承兑协议》提供连带责任保证。</w:t>
      </w:r>
    </w:p>
    <w:p>
      <w:pPr>
        <w:pStyle w:val="BodyText"/>
        <w:spacing w:line="240" w:lineRule="auto" w:before="102"/>
        <w:ind w:left="513" w:right="0"/>
        <w:jc w:val="left"/>
      </w:pPr>
      <w:r>
        <w:rPr/>
        <w:t>截止</w:t>
      </w:r>
      <w:r>
        <w:rPr>
          <w:spacing w:val="-47"/>
        </w:rPr>
        <w:t> </w:t>
      </w:r>
      <w:r>
        <w:rPr>
          <w:rFonts w:ascii="Times New Roman" w:hAnsi="Times New Roman" w:cs="Times New Roman" w:eastAsia="Times New Roman" w:hint="default"/>
        </w:rPr>
        <w:t>2017</w:t>
      </w:r>
      <w:r>
        <w:rPr>
          <w:rFonts w:ascii="Times New Roman" w:hAnsi="Times New Roman" w:cs="Times New Roman" w:eastAsia="Times New Roman" w:hint="default"/>
          <w:spacing w:val="-2"/>
        </w:rPr>
        <w:t> </w:t>
      </w:r>
      <w:r>
        <w:rPr/>
        <w:t>年</w:t>
      </w:r>
      <w:r>
        <w:rPr>
          <w:spacing w:val="-47"/>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47"/>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t>日，此担保合同下开具银行承兑汇票</w:t>
      </w:r>
      <w:r>
        <w:rPr>
          <w:spacing w:val="-47"/>
        </w:rPr>
        <w:t> </w:t>
      </w:r>
      <w:r>
        <w:rPr>
          <w:rFonts w:ascii="Times New Roman" w:hAnsi="Times New Roman" w:cs="Times New Roman" w:eastAsia="Times New Roman" w:hint="default"/>
        </w:rPr>
        <w:t>11,976,904.36</w:t>
      </w:r>
      <w:r>
        <w:rPr>
          <w:rFonts w:ascii="Times New Roman" w:hAnsi="Times New Roman" w:cs="Times New Roman" w:eastAsia="Times New Roman" w:hint="default"/>
          <w:spacing w:val="-1"/>
        </w:rPr>
        <w:t> </w:t>
      </w:r>
      <w:r>
        <w:rPr/>
        <w:t>元。</w:t>
      </w:r>
    </w:p>
    <w:p>
      <w:pPr>
        <w:pStyle w:val="BodyText"/>
        <w:spacing w:line="240" w:lineRule="auto" w:before="102"/>
        <w:ind w:left="514" w:right="0"/>
        <w:jc w:val="left"/>
      </w:pPr>
      <w:r>
        <w:rPr/>
        <w:t>注</w:t>
      </w:r>
      <w:r>
        <w:rPr>
          <w:spacing w:val="-46"/>
        </w:rPr>
        <w:t> </w:t>
      </w:r>
      <w:r>
        <w:rPr>
          <w:rFonts w:ascii="Times New Roman" w:hAnsi="Times New Roman" w:cs="Times New Roman" w:eastAsia="Times New Roman" w:hint="default"/>
        </w:rPr>
        <w:t>2</w:t>
      </w:r>
      <w:r>
        <w:rPr/>
        <w:t>：子公司千百辉董事沈永健、董事兼总经理周维君、深圳市奥拓电子股份有限公司于</w:t>
      </w:r>
      <w:r>
        <w:rPr>
          <w:spacing w:val="-45"/>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w:t>
      </w:r>
      <w:r>
        <w:rPr>
          <w:spacing w:val="-45"/>
        </w:rPr>
        <w:t> </w:t>
      </w:r>
      <w:r>
        <w:rPr>
          <w:rFonts w:ascii="Times New Roman" w:hAnsi="Times New Roman" w:cs="Times New Roman" w:eastAsia="Times New Roman" w:hint="default"/>
        </w:rPr>
        <w:t>6 </w:t>
      </w:r>
      <w:r>
        <w:rPr/>
        <w:t>月</w:t>
      </w:r>
      <w:r>
        <w:rPr>
          <w:spacing w:val="-46"/>
        </w:rPr>
        <w:t> </w:t>
      </w:r>
      <w:r>
        <w:rPr>
          <w:rFonts w:ascii="Times New Roman" w:hAnsi="Times New Roman" w:cs="Times New Roman" w:eastAsia="Times New Roman" w:hint="default"/>
        </w:rPr>
        <w:t>8</w:t>
      </w:r>
      <w:r>
        <w:rPr>
          <w:rFonts w:ascii="Times New Roman" w:hAnsi="Times New Roman" w:cs="Times New Roman" w:eastAsia="Times New Roman" w:hint="default"/>
          <w:spacing w:val="-1"/>
        </w:rPr>
        <w:t> </w:t>
      </w:r>
      <w:r>
        <w:rPr/>
        <w:t>日与招商银行</w:t>
      </w:r>
    </w:p>
    <w:p>
      <w:pPr>
        <w:pStyle w:val="BodyText"/>
        <w:spacing w:line="240" w:lineRule="auto" w:before="63"/>
        <w:ind w:right="0"/>
        <w:jc w:val="left"/>
      </w:pPr>
      <w:r>
        <w:rPr/>
        <w:t>股份有限公司深圳分行签订编号为</w:t>
      </w:r>
      <w:r>
        <w:rPr>
          <w:spacing w:val="-46"/>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年罗字第</w:t>
      </w:r>
      <w:r>
        <w:rPr>
          <w:spacing w:val="-46"/>
        </w:rPr>
        <w:t> </w:t>
      </w:r>
      <w:r>
        <w:rPr>
          <w:rFonts w:ascii="Times New Roman" w:hAnsi="Times New Roman" w:cs="Times New Roman" w:eastAsia="Times New Roman" w:hint="default"/>
        </w:rPr>
        <w:t>0017320174-01</w:t>
      </w:r>
      <w:r>
        <w:rPr>
          <w:rFonts w:ascii="Times New Roman" w:hAnsi="Times New Roman" w:cs="Times New Roman" w:eastAsia="Times New Roman" w:hint="default"/>
          <w:spacing w:val="-1"/>
        </w:rPr>
        <w:t> </w:t>
      </w:r>
      <w:r>
        <w:rPr/>
        <w:t>号、</w:t>
      </w: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年罗字第</w:t>
      </w:r>
      <w:r>
        <w:rPr>
          <w:spacing w:val="-46"/>
        </w:rPr>
        <w:t> </w:t>
      </w:r>
      <w:r>
        <w:rPr>
          <w:rFonts w:ascii="Times New Roman" w:hAnsi="Times New Roman" w:cs="Times New Roman" w:eastAsia="Times New Roman" w:hint="default"/>
        </w:rPr>
        <w:t>0017320174-02</w:t>
      </w:r>
      <w:r>
        <w:rPr>
          <w:rFonts w:ascii="Times New Roman" w:hAnsi="Times New Roman" w:cs="Times New Roman" w:eastAsia="Times New Roman" w:hint="default"/>
          <w:spacing w:val="-1"/>
        </w:rPr>
        <w:t> </w:t>
      </w:r>
      <w:r>
        <w:rPr/>
        <w:t>号、</w:t>
      </w: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年罗字第</w:t>
      </w:r>
    </w:p>
    <w:p>
      <w:pPr>
        <w:pStyle w:val="BodyText"/>
        <w:spacing w:line="240" w:lineRule="auto" w:before="63"/>
        <w:ind w:right="0"/>
        <w:jc w:val="left"/>
      </w:pPr>
      <w:r>
        <w:rPr>
          <w:rFonts w:ascii="Times New Roman" w:hAnsi="Times New Roman" w:cs="Times New Roman" w:eastAsia="Times New Roman" w:hint="default"/>
        </w:rPr>
        <w:t>0017320174-03</w:t>
      </w:r>
      <w:r>
        <w:rPr>
          <w:rFonts w:ascii="Times New Roman" w:hAnsi="Times New Roman" w:cs="Times New Roman" w:eastAsia="Times New Roman" w:hint="default"/>
          <w:spacing w:val="-1"/>
        </w:rPr>
        <w:t> </w:t>
      </w:r>
      <w:r>
        <w:rPr/>
        <w:t>号</w:t>
      </w:r>
      <w:r>
        <w:rPr>
          <w:spacing w:val="-4"/>
        </w:rPr>
        <w:t>的</w:t>
      </w:r>
      <w:r>
        <w:rPr/>
        <w:t>《最高额不可撤销担保书</w:t>
      </w:r>
      <w:r>
        <w:rPr>
          <w:spacing w:val="-90"/>
        </w:rPr>
        <w:t>》</w:t>
      </w:r>
      <w:r>
        <w:rPr>
          <w:spacing w:val="-4"/>
        </w:rPr>
        <w:t>，</w:t>
      </w:r>
      <w:r>
        <w:rPr/>
        <w:t>为千百辉公司与招商银行股份有限公司深圳分行签订的编号为</w:t>
      </w:r>
      <w:r>
        <w:rPr>
          <w:spacing w:val="-45"/>
        </w:rPr>
        <w:t> </w:t>
      </w:r>
      <w:r>
        <w:rPr>
          <w:rFonts w:ascii="Times New Roman" w:hAnsi="Times New Roman" w:cs="Times New Roman" w:eastAsia="Times New Roman" w:hint="default"/>
        </w:rPr>
        <w:t>00732174 </w:t>
      </w:r>
      <w:r>
        <w:rPr/>
        <w:t>号</w:t>
      </w:r>
    </w:p>
    <w:p>
      <w:pPr>
        <w:pStyle w:val="BodyText"/>
        <w:spacing w:line="240" w:lineRule="auto" w:before="64"/>
        <w:ind w:right="0"/>
        <w:jc w:val="left"/>
      </w:pPr>
      <w:r>
        <w:rPr/>
        <w:t>《授信协议》提供连带责任保证。</w:t>
      </w:r>
    </w:p>
    <w:p>
      <w:pPr>
        <w:pStyle w:val="BodyText"/>
        <w:spacing w:line="240" w:lineRule="auto" w:before="116"/>
        <w:ind w:left="514" w:right="0"/>
        <w:jc w:val="left"/>
      </w:pPr>
      <w:r>
        <w:rPr/>
        <w:t>截止</w:t>
      </w:r>
      <w:r>
        <w:rPr>
          <w:spacing w:val="-46"/>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w:t>
      </w:r>
      <w:r>
        <w:rPr>
          <w:spacing w:val="-46"/>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46"/>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日，此担保合同下贷款</w:t>
      </w:r>
      <w:r>
        <w:rPr>
          <w:spacing w:val="-46"/>
        </w:rPr>
        <w:t> </w:t>
      </w:r>
      <w:r>
        <w:rPr>
          <w:rFonts w:ascii="Times New Roman" w:hAnsi="Times New Roman" w:cs="Times New Roman" w:eastAsia="Times New Roman" w:hint="default"/>
        </w:rPr>
        <w:t>5,000</w:t>
      </w:r>
      <w:r>
        <w:rPr>
          <w:rFonts w:ascii="Times New Roman" w:hAnsi="Times New Roman" w:cs="Times New Roman" w:eastAsia="Times New Roman" w:hint="default"/>
          <w:spacing w:val="-1"/>
        </w:rPr>
        <w:t> </w:t>
      </w:r>
      <w:r>
        <w:rPr/>
        <w:t>万元。</w:t>
      </w:r>
    </w:p>
    <w:p>
      <w:pPr>
        <w:pStyle w:val="BodyText"/>
        <w:spacing w:line="300" w:lineRule="auto" w:before="101"/>
        <w:ind w:left="154" w:right="1573" w:firstLine="360"/>
        <w:jc w:val="left"/>
      </w:pPr>
      <w:r>
        <w:rPr/>
        <w:t>注</w:t>
      </w:r>
      <w:r>
        <w:rPr>
          <w:spacing w:val="-46"/>
        </w:rPr>
        <w:t> </w:t>
      </w:r>
      <w:r>
        <w:rPr>
          <w:rFonts w:ascii="Times New Roman" w:hAnsi="Times New Roman" w:cs="Times New Roman" w:eastAsia="Times New Roman" w:hint="default"/>
        </w:rPr>
        <w:t>3</w:t>
      </w:r>
      <w:r>
        <w:rPr/>
        <w:t>：深圳市奥拓电子股份有限公司于</w:t>
      </w:r>
      <w:r>
        <w:rPr>
          <w:spacing w:val="-46"/>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w:t>
      </w:r>
      <w:r>
        <w:rPr>
          <w:spacing w:val="-46"/>
        </w:rPr>
        <w:t> </w:t>
      </w:r>
      <w:r>
        <w:rPr>
          <w:rFonts w:ascii="Times New Roman" w:hAnsi="Times New Roman" w:cs="Times New Roman" w:eastAsia="Times New Roman" w:hint="default"/>
        </w:rPr>
        <w:t>7</w:t>
      </w:r>
      <w:r>
        <w:rPr>
          <w:rFonts w:ascii="Times New Roman" w:hAnsi="Times New Roman" w:cs="Times New Roman" w:eastAsia="Times New Roman" w:hint="default"/>
          <w:spacing w:val="-1"/>
        </w:rPr>
        <w:t> </w:t>
      </w:r>
      <w:r>
        <w:rPr/>
        <w:t>月</w:t>
      </w:r>
      <w:r>
        <w:rPr>
          <w:spacing w:val="-45"/>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日与上海浦东发展银行股份有限公司深圳分行签订编号为 </w:t>
      </w:r>
      <w:r>
        <w:rPr>
          <w:rFonts w:ascii="Times New Roman" w:hAnsi="Times New Roman" w:cs="Times New Roman" w:eastAsia="Times New Roman" w:hint="default"/>
        </w:rPr>
        <w:t>ZB7918201700000024</w:t>
      </w:r>
      <w:r>
        <w:rPr>
          <w:rFonts w:ascii="Times New Roman" w:hAnsi="Times New Roman" w:cs="Times New Roman" w:eastAsia="Times New Roman" w:hint="default"/>
          <w:spacing w:val="30"/>
        </w:rPr>
        <w:t> </w:t>
      </w:r>
      <w:r>
        <w:rPr>
          <w:spacing w:val="-3"/>
        </w:rPr>
        <w:t>号《最高额保证合同》，为千百辉公司与上海浦东发展银行股份有限公司深圳分行签订的编号为</w:t>
      </w:r>
      <w:r>
        <w:rPr>
          <w:spacing w:val="-86"/>
        </w:rPr>
        <w:t> </w:t>
      </w:r>
      <w:r>
        <w:rPr>
          <w:spacing w:val="-86"/>
        </w:rPr>
      </w:r>
      <w:r>
        <w:rPr>
          <w:rFonts w:ascii="Times New Roman" w:hAnsi="Times New Roman" w:cs="Times New Roman" w:eastAsia="Times New Roman" w:hint="default"/>
        </w:rPr>
        <w:t>BC2017120800000656</w:t>
      </w:r>
      <w:r>
        <w:rPr>
          <w:rFonts w:ascii="Times New Roman" w:hAnsi="Times New Roman" w:cs="Times New Roman" w:eastAsia="Times New Roman" w:hint="default"/>
          <w:spacing w:val="-16"/>
        </w:rPr>
        <w:t> </w:t>
      </w:r>
      <w:r>
        <w:rPr/>
        <w:t>号《融资额度协议》提供连带责任保证。</w:t>
      </w:r>
    </w:p>
    <w:p>
      <w:pPr>
        <w:pStyle w:val="BodyText"/>
        <w:spacing w:line="240" w:lineRule="auto" w:before="53"/>
        <w:ind w:left="514" w:right="0"/>
        <w:jc w:val="left"/>
      </w:pPr>
      <w:r>
        <w:rPr/>
        <w:t>截止</w:t>
      </w:r>
      <w:r>
        <w:rPr>
          <w:spacing w:val="-46"/>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w:t>
      </w:r>
      <w:r>
        <w:rPr>
          <w:spacing w:val="-46"/>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46"/>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日，此担保合同下贷款</w:t>
      </w:r>
      <w:r>
        <w:rPr>
          <w:spacing w:val="-46"/>
        </w:rPr>
        <w:t> </w:t>
      </w:r>
      <w:r>
        <w:rPr>
          <w:rFonts w:ascii="Times New Roman" w:hAnsi="Times New Roman" w:cs="Times New Roman" w:eastAsia="Times New Roman" w:hint="default"/>
        </w:rPr>
        <w:t>4,000</w:t>
      </w:r>
      <w:r>
        <w:rPr>
          <w:rFonts w:ascii="Times New Roman" w:hAnsi="Times New Roman" w:cs="Times New Roman" w:eastAsia="Times New Roman" w:hint="default"/>
          <w:spacing w:val="-1"/>
        </w:rPr>
        <w:t> </w:t>
      </w:r>
      <w:r>
        <w:rPr/>
        <w:t>万元。</w:t>
      </w:r>
    </w:p>
    <w:p>
      <w:pPr>
        <w:pStyle w:val="BodyText"/>
        <w:spacing w:line="240" w:lineRule="auto" w:before="101"/>
        <w:ind w:left="513" w:right="0"/>
        <w:jc w:val="left"/>
      </w:pPr>
      <w:r>
        <w:rPr/>
        <w:t>注</w:t>
      </w:r>
      <w:r>
        <w:rPr>
          <w:spacing w:val="-46"/>
        </w:rPr>
        <w:t> </w:t>
      </w:r>
      <w:r>
        <w:rPr>
          <w:rFonts w:ascii="Times New Roman" w:hAnsi="Times New Roman" w:cs="Times New Roman" w:eastAsia="Times New Roman" w:hint="default"/>
        </w:rPr>
        <w:t>4</w:t>
      </w:r>
      <w:r>
        <w:rPr/>
        <w:t>：本公司股东吴涵渠于</w:t>
      </w:r>
      <w:r>
        <w:rPr>
          <w:spacing w:val="-46"/>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w:t>
      </w:r>
      <w:r>
        <w:rPr>
          <w:spacing w:val="-46"/>
        </w:rPr>
        <w:t> </w:t>
      </w:r>
      <w:r>
        <w:rPr>
          <w:rFonts w:ascii="Times New Roman" w:hAnsi="Times New Roman" w:cs="Times New Roman" w:eastAsia="Times New Roman" w:hint="default"/>
        </w:rPr>
        <w:t>7 </w:t>
      </w:r>
      <w:r>
        <w:rPr/>
        <w:t>月</w:t>
      </w:r>
      <w:r>
        <w:rPr>
          <w:spacing w:val="-46"/>
        </w:rPr>
        <w:t> </w:t>
      </w:r>
      <w:r>
        <w:rPr>
          <w:rFonts w:ascii="Times New Roman" w:hAnsi="Times New Roman" w:cs="Times New Roman" w:eastAsia="Times New Roman" w:hint="default"/>
        </w:rPr>
        <w:t>26</w:t>
      </w:r>
      <w:r>
        <w:rPr>
          <w:rFonts w:ascii="Times New Roman" w:hAnsi="Times New Roman" w:cs="Times New Roman" w:eastAsia="Times New Roman" w:hint="default"/>
          <w:spacing w:val="-1"/>
        </w:rPr>
        <w:t> </w:t>
      </w:r>
      <w:r>
        <w:rPr/>
        <w:t>日，与中国银行股份有限公司深圳高新区支行签订了编号为</w:t>
      </w:r>
      <w:r>
        <w:rPr>
          <w:spacing w:val="-45"/>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年圳中银</w:t>
      </w:r>
    </w:p>
    <w:p>
      <w:pPr>
        <w:pStyle w:val="BodyText"/>
        <w:spacing w:line="240" w:lineRule="auto" w:before="63"/>
        <w:ind w:right="0"/>
        <w:jc w:val="left"/>
      </w:pPr>
      <w:r>
        <w:rPr/>
        <w:t>高司保字第</w:t>
      </w:r>
      <w:r>
        <w:rPr>
          <w:spacing w:val="-46"/>
        </w:rPr>
        <w:t> </w:t>
      </w:r>
      <w:r>
        <w:rPr>
          <w:rFonts w:ascii="Times New Roman" w:hAnsi="Times New Roman" w:cs="Times New Roman" w:eastAsia="Times New Roman" w:hint="default"/>
        </w:rPr>
        <w:t>0054</w:t>
      </w:r>
      <w:r>
        <w:rPr>
          <w:rFonts w:ascii="Times New Roman" w:hAnsi="Times New Roman" w:cs="Times New Roman" w:eastAsia="Times New Roman" w:hint="default"/>
          <w:spacing w:val="-1"/>
        </w:rPr>
        <w:t> </w:t>
      </w:r>
      <w:r>
        <w:rPr/>
        <w:t>号《最高额保证合同</w:t>
      </w:r>
      <w:r>
        <w:rPr>
          <w:spacing w:val="-90"/>
        </w:rPr>
        <w:t>》</w:t>
      </w:r>
      <w:r>
        <w:rPr/>
        <w:t>，为本公司与中国银行股份有限公司深圳高新区支行签订的编号为</w:t>
      </w:r>
      <w:r>
        <w:rPr>
          <w:spacing w:val="-45"/>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w:t>
      </w:r>
      <w:r>
        <w:rPr>
          <w:spacing w:val="1"/>
        </w:rPr>
        <w:t>圳</w:t>
      </w:r>
      <w:r>
        <w:rPr/>
        <w:t>中银高</w:t>
      </w:r>
    </w:p>
    <w:p>
      <w:pPr>
        <w:pStyle w:val="BodyText"/>
        <w:spacing w:line="240" w:lineRule="auto" w:before="64"/>
        <w:ind w:right="0"/>
        <w:jc w:val="left"/>
      </w:pPr>
      <w:r>
        <w:rPr/>
        <w:t>额协字第</w:t>
      </w:r>
      <w:r>
        <w:rPr>
          <w:spacing w:val="-46"/>
        </w:rPr>
        <w:t> </w:t>
      </w:r>
      <w:r>
        <w:rPr>
          <w:rFonts w:ascii="Times New Roman" w:hAnsi="Times New Roman" w:cs="Times New Roman" w:eastAsia="Times New Roman" w:hint="default"/>
        </w:rPr>
        <w:t>0000148</w:t>
      </w:r>
      <w:r>
        <w:rPr>
          <w:rFonts w:ascii="Times New Roman" w:hAnsi="Times New Roman" w:cs="Times New Roman" w:eastAsia="Times New Roman" w:hint="default"/>
          <w:spacing w:val="-1"/>
        </w:rPr>
        <w:t> </w:t>
      </w:r>
      <w:r>
        <w:rPr/>
        <w:t>号《授信额度协议》提供连带责任保证。</w:t>
      </w:r>
    </w:p>
    <w:p>
      <w:pPr>
        <w:pStyle w:val="BodyText"/>
        <w:spacing w:line="240" w:lineRule="auto" w:before="102"/>
        <w:ind w:left="514" w:right="0"/>
        <w:jc w:val="left"/>
      </w:pPr>
      <w:r>
        <w:rPr/>
        <w:t>截止</w:t>
      </w:r>
      <w:r>
        <w:rPr>
          <w:spacing w:val="-47"/>
        </w:rPr>
        <w:t> </w:t>
      </w:r>
      <w:r>
        <w:rPr>
          <w:rFonts w:ascii="Times New Roman" w:hAnsi="Times New Roman" w:cs="Times New Roman" w:eastAsia="Times New Roman" w:hint="default"/>
        </w:rPr>
        <w:t>2017</w:t>
      </w:r>
      <w:r>
        <w:rPr>
          <w:rFonts w:ascii="Times New Roman" w:hAnsi="Times New Roman" w:cs="Times New Roman" w:eastAsia="Times New Roman" w:hint="default"/>
          <w:spacing w:val="-2"/>
        </w:rPr>
        <w:t> </w:t>
      </w:r>
      <w:r>
        <w:rPr/>
        <w:t>年</w:t>
      </w:r>
      <w:r>
        <w:rPr>
          <w:spacing w:val="-47"/>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47"/>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t>日，此担保合同下开具银行承兑汇票</w:t>
      </w:r>
      <w:r>
        <w:rPr>
          <w:spacing w:val="-47"/>
        </w:rPr>
        <w:t> </w:t>
      </w:r>
      <w:r>
        <w:rPr>
          <w:rFonts w:ascii="Times New Roman" w:hAnsi="Times New Roman" w:cs="Times New Roman" w:eastAsia="Times New Roman" w:hint="default"/>
        </w:rPr>
        <w:t>17,758,200.00</w:t>
      </w:r>
      <w:r>
        <w:rPr>
          <w:rFonts w:ascii="Times New Roman" w:hAnsi="Times New Roman" w:cs="Times New Roman" w:eastAsia="Times New Roman" w:hint="default"/>
          <w:spacing w:val="-2"/>
        </w:rPr>
        <w:t> </w:t>
      </w:r>
      <w:r>
        <w:rPr/>
        <w:t>元，开具保函</w:t>
      </w:r>
      <w:r>
        <w:rPr>
          <w:spacing w:val="-47"/>
        </w:rPr>
        <w:t> </w:t>
      </w:r>
      <w:r>
        <w:rPr>
          <w:rFonts w:ascii="Times New Roman" w:hAnsi="Times New Roman" w:cs="Times New Roman" w:eastAsia="Times New Roman" w:hint="default"/>
        </w:rPr>
        <w:t>4,239,490.50.00</w:t>
      </w:r>
      <w:r>
        <w:rPr>
          <w:rFonts w:ascii="Times New Roman" w:hAnsi="Times New Roman" w:cs="Times New Roman" w:eastAsia="Times New Roman" w:hint="default"/>
          <w:spacing w:val="-2"/>
        </w:rPr>
        <w:t> </w:t>
      </w:r>
      <w:r>
        <w:rPr/>
        <w:t>元。</w:t>
      </w:r>
    </w:p>
    <w:p>
      <w:pPr>
        <w:pStyle w:val="BodyText"/>
        <w:spacing w:line="240" w:lineRule="auto" w:before="102"/>
        <w:ind w:left="514" w:right="0"/>
        <w:jc w:val="left"/>
      </w:pPr>
      <w:r>
        <w:rPr/>
        <w:t>注</w:t>
      </w:r>
      <w:r>
        <w:rPr>
          <w:spacing w:val="-46"/>
        </w:rPr>
        <w:t> </w:t>
      </w:r>
      <w:r>
        <w:rPr>
          <w:rFonts w:ascii="Times New Roman" w:hAnsi="Times New Roman" w:cs="Times New Roman" w:eastAsia="Times New Roman" w:hint="default"/>
        </w:rPr>
        <w:t>5</w:t>
      </w:r>
      <w:r>
        <w:rPr/>
        <w:t>：本公司股东吴涵渠于</w:t>
      </w:r>
      <w:r>
        <w:rPr>
          <w:spacing w:val="-46"/>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w:t>
      </w:r>
      <w:r>
        <w:rPr>
          <w:spacing w:val="-46"/>
        </w:rPr>
        <w:t> </w:t>
      </w:r>
      <w:r>
        <w:rPr>
          <w:rFonts w:ascii="Times New Roman" w:hAnsi="Times New Roman" w:cs="Times New Roman" w:eastAsia="Times New Roman" w:hint="default"/>
        </w:rPr>
        <w:t>3 </w:t>
      </w:r>
      <w:r>
        <w:rPr/>
        <w:t>月</w:t>
      </w:r>
      <w:r>
        <w:rPr>
          <w:spacing w:val="-46"/>
        </w:rPr>
        <w:t> </w:t>
      </w:r>
      <w:r>
        <w:rPr>
          <w:rFonts w:ascii="Times New Roman" w:hAnsi="Times New Roman" w:cs="Times New Roman" w:eastAsia="Times New Roman" w:hint="default"/>
        </w:rPr>
        <w:t>9</w:t>
      </w:r>
      <w:r>
        <w:rPr>
          <w:rFonts w:ascii="Times New Roman" w:hAnsi="Times New Roman" w:cs="Times New Roman" w:eastAsia="Times New Roman" w:hint="default"/>
          <w:spacing w:val="-1"/>
        </w:rPr>
        <w:t> </w:t>
      </w:r>
      <w:r>
        <w:rPr/>
        <w:t>日与中国农业银行股份有限公司深圳南山分行签订合同编号为</w:t>
      </w:r>
    </w:p>
    <w:p>
      <w:pPr>
        <w:pStyle w:val="BodyText"/>
        <w:spacing w:line="240" w:lineRule="auto" w:before="63"/>
        <w:ind w:right="0"/>
        <w:jc w:val="left"/>
      </w:pPr>
      <w:r>
        <w:rPr>
          <w:rFonts w:ascii="Times New Roman" w:hAnsi="Times New Roman" w:cs="Times New Roman" w:eastAsia="Times New Roman" w:hint="default"/>
        </w:rPr>
        <w:t>8</w:t>
      </w:r>
      <w:r>
        <w:rPr>
          <w:rFonts w:ascii="Times New Roman" w:hAnsi="Times New Roman" w:cs="Times New Roman" w:eastAsia="Times New Roman" w:hint="default"/>
          <w:spacing w:val="-8"/>
        </w:rPr>
        <w:t>1</w:t>
      </w:r>
      <w:r>
        <w:rPr>
          <w:rFonts w:ascii="Times New Roman" w:hAnsi="Times New Roman" w:cs="Times New Roman" w:eastAsia="Times New Roman" w:hint="default"/>
        </w:rPr>
        <w:t>100520170000882</w:t>
      </w:r>
      <w:r>
        <w:rPr>
          <w:rFonts w:ascii="Times New Roman" w:hAnsi="Times New Roman" w:cs="Times New Roman" w:eastAsia="Times New Roman" w:hint="default"/>
          <w:spacing w:val="-1"/>
        </w:rPr>
        <w:t> </w:t>
      </w:r>
      <w:r>
        <w:rPr/>
        <w:t>号《最高额保证合同</w:t>
      </w:r>
      <w:r>
        <w:rPr>
          <w:spacing w:val="-90"/>
        </w:rPr>
        <w:t>》</w:t>
      </w:r>
      <w:r>
        <w:rPr/>
        <w:t>，为本公司与中国农业银行股份有限公司深圳南山分行签订的编号为</w:t>
      </w:r>
      <w:r>
        <w:rPr>
          <w:spacing w:val="-45"/>
        </w:rPr>
        <w:t> </w:t>
      </w:r>
      <w:r>
        <w:rPr>
          <w:rFonts w:ascii="Times New Roman" w:hAnsi="Times New Roman" w:cs="Times New Roman" w:eastAsia="Times New Roman" w:hint="default"/>
        </w:rPr>
        <w:t>2017034</w:t>
      </w:r>
      <w:r>
        <w:rPr>
          <w:rFonts w:ascii="Times New Roman" w:hAnsi="Times New Roman" w:cs="Times New Roman" w:eastAsia="Times New Roman" w:hint="default"/>
          <w:spacing w:val="-1"/>
        </w:rPr>
        <w:t> </w:t>
      </w:r>
      <w:r>
        <w:rPr/>
        <w:t>号</w:t>
      </w:r>
    </w:p>
    <w:p>
      <w:pPr>
        <w:pStyle w:val="BodyText"/>
        <w:spacing w:line="240" w:lineRule="auto" w:before="64"/>
        <w:ind w:right="0"/>
        <w:jc w:val="left"/>
      </w:pPr>
      <w:r>
        <w:rPr/>
        <w:t>《最高额综合授信合同》提供连带责任保证。</w:t>
      </w:r>
    </w:p>
    <w:p>
      <w:pPr>
        <w:pStyle w:val="BodyText"/>
        <w:spacing w:line="240" w:lineRule="auto" w:before="116"/>
        <w:ind w:left="513" w:right="0"/>
        <w:jc w:val="left"/>
      </w:pPr>
      <w:r>
        <w:rPr/>
        <w:t>截止</w:t>
      </w:r>
      <w:r>
        <w:rPr>
          <w:spacing w:val="-46"/>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w:t>
      </w:r>
      <w:r>
        <w:rPr>
          <w:spacing w:val="-46"/>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46"/>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日，此担保合同下贷款</w:t>
      </w:r>
      <w:r>
        <w:rPr>
          <w:spacing w:val="-46"/>
        </w:rPr>
        <w:t> </w:t>
      </w:r>
      <w:r>
        <w:rPr>
          <w:rFonts w:ascii="Times New Roman" w:hAnsi="Times New Roman" w:cs="Times New Roman" w:eastAsia="Times New Roman" w:hint="default"/>
        </w:rPr>
        <w:t>1,000.00</w:t>
      </w:r>
      <w:r>
        <w:rPr>
          <w:rFonts w:ascii="Times New Roman" w:hAnsi="Times New Roman" w:cs="Times New Roman" w:eastAsia="Times New Roman" w:hint="default"/>
          <w:spacing w:val="-1"/>
        </w:rPr>
        <w:t> </w:t>
      </w:r>
      <w:r>
        <w:rPr/>
        <w:t>万元。</w:t>
      </w:r>
    </w:p>
    <w:p>
      <w:pPr>
        <w:spacing w:line="240" w:lineRule="auto" w:before="9"/>
        <w:rPr>
          <w:rFonts w:ascii="宋体" w:hAnsi="宋体" w:cs="宋体" w:eastAsia="宋体" w:hint="default"/>
          <w:sz w:val="25"/>
          <w:szCs w:val="25"/>
        </w:rPr>
      </w:pPr>
    </w:p>
    <w:p>
      <w:pPr>
        <w:pStyle w:val="Heading3"/>
        <w:spacing w:line="240" w:lineRule="auto"/>
        <w:ind w:left="153" w:right="0"/>
        <w:jc w:val="left"/>
        <w:rPr>
          <w:b w:val="0"/>
          <w:bCs w:val="0"/>
        </w:rPr>
      </w:pPr>
      <w:bookmarkStart w:name="（5）关联方资金拆借" w:id="465"/>
      <w:bookmarkEnd w:id="465"/>
      <w:r>
        <w:rPr>
          <w:b w:val="0"/>
          <w:bCs w:val="0"/>
        </w:rPr>
      </w:r>
      <w:r>
        <w:rPr/>
        <w:t>（</w:t>
      </w:r>
      <w:r>
        <w:rPr>
          <w:rFonts w:ascii="Times New Roman" w:hAnsi="Times New Roman" w:cs="Times New Roman" w:eastAsia="Times New Roman" w:hint="default"/>
        </w:rPr>
        <w:t>5</w:t>
      </w:r>
      <w:r>
        <w:rPr/>
        <w:t>）关联方资金拆借</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3"/>
        <w:gridCol w:w="1914"/>
        <w:gridCol w:w="1915"/>
        <w:gridCol w:w="1914"/>
        <w:gridCol w:w="1903"/>
      </w:tblGrid>
      <w:tr>
        <w:trPr>
          <w:trHeight w:val="402"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拆借金额</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起始日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到期日</w:t>
            </w:r>
          </w:p>
        </w:tc>
        <w:tc>
          <w:tcPr>
            <w:tcW w:w="19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402" w:hRule="exact"/>
        </w:trPr>
        <w:tc>
          <w:tcPr>
            <w:tcW w:w="9560"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拆入</w:t>
            </w:r>
          </w:p>
        </w:tc>
      </w:tr>
      <w:tr>
        <w:trPr>
          <w:trHeight w:val="402" w:hRule="exact"/>
        </w:trPr>
        <w:tc>
          <w:tcPr>
            <w:tcW w:w="9560"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拆出</w:t>
            </w:r>
          </w:p>
        </w:tc>
      </w:tr>
    </w:tbl>
    <w:p>
      <w:pPr>
        <w:spacing w:line="240" w:lineRule="auto" w:before="3"/>
        <w:rPr>
          <w:rFonts w:ascii="宋体" w:hAnsi="宋体" w:cs="宋体" w:eastAsia="宋体" w:hint="default"/>
          <w:sz w:val="19"/>
          <w:szCs w:val="19"/>
        </w:rPr>
      </w:pPr>
    </w:p>
    <w:p>
      <w:pPr>
        <w:pStyle w:val="Heading3"/>
        <w:spacing w:line="240" w:lineRule="auto" w:before="35"/>
        <w:ind w:right="0"/>
        <w:jc w:val="left"/>
        <w:rPr>
          <w:b w:val="0"/>
          <w:bCs w:val="0"/>
        </w:rPr>
      </w:pPr>
      <w:bookmarkStart w:name="（6）关联方资产转让、债务重组情况" w:id="466"/>
      <w:bookmarkEnd w:id="466"/>
      <w:r>
        <w:rPr>
          <w:b w:val="0"/>
          <w:bCs w:val="0"/>
        </w:rPr>
      </w:r>
      <w:r>
        <w:rPr/>
        <w:t>（</w:t>
      </w:r>
      <w:r>
        <w:rPr>
          <w:rFonts w:ascii="Times New Roman" w:hAnsi="Times New Roman" w:cs="Times New Roman" w:eastAsia="Times New Roman" w:hint="default"/>
        </w:rPr>
        <w:t>6</w:t>
      </w:r>
      <w:r>
        <w:rPr/>
        <w:t>）关联方资产转让、债务重组情况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1"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0"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0"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7）关键管理人员报酬" w:id="467"/>
      <w:bookmarkEnd w:id="467"/>
      <w:r>
        <w:rPr>
          <w:b w:val="0"/>
          <w:bCs w:val="0"/>
        </w:rPr>
      </w:r>
      <w:r>
        <w:rPr/>
        <w:t>（</w:t>
      </w:r>
      <w:r>
        <w:rPr>
          <w:rFonts w:ascii="Times New Roman" w:hAnsi="Times New Roman" w:cs="Times New Roman" w:eastAsia="Times New Roman" w:hint="default"/>
        </w:rPr>
        <w:t>7</w:t>
      </w:r>
      <w:r>
        <w:rPr/>
        <w:t>）关键管理人员报酬</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9"/>
        <w:gridCol w:w="3190"/>
        <w:gridCol w:w="3191"/>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总额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6,710,000.00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3,510,000.00</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89"/>
        <w:gridCol w:w="3190"/>
        <w:gridCol w:w="3191"/>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w:t>
            </w:r>
            <w:r>
              <w:rPr>
                <w:rFonts w:ascii="宋体" w:hAnsi="宋体" w:cs="宋体" w:eastAsia="宋体" w:hint="default"/>
                <w:spacing w:val="-90"/>
                <w:sz w:val="18"/>
                <w:szCs w:val="18"/>
              </w:rPr>
              <w:t>：</w:t>
            </w:r>
            <w:r>
              <w:rPr>
                <w:rFonts w:ascii="宋体" w:hAnsi="宋体" w:cs="宋体" w:eastAsia="宋体" w:hint="default"/>
                <w:sz w:val="18"/>
                <w:szCs w:val="18"/>
              </w:rPr>
              <w:t>（各金额区间人数）</w:t>
            </w:r>
          </w:p>
        </w:tc>
        <w:tc>
          <w:tcPr>
            <w:tcW w:w="3190" w:type="dxa"/>
            <w:tcBorders>
              <w:top w:val="single" w:sz="4" w:space="0" w:color="000000"/>
              <w:left w:val="single" w:sz="4" w:space="0" w:color="000000"/>
              <w:bottom w:val="single" w:sz="4" w:space="0" w:color="000000"/>
              <w:right w:val="single" w:sz="4" w:space="0" w:color="000000"/>
            </w:tcBorders>
          </w:tcPr>
          <w:p>
            <w:pPr/>
          </w:p>
        </w:tc>
        <w:tc>
          <w:tcPr>
            <w:tcW w:w="319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万元以上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宋体" w:hAnsi="宋体" w:cs="宋体" w:eastAsia="宋体" w:hint="default"/>
                <w:sz w:val="18"/>
                <w:szCs w:val="18"/>
              </w:rPr>
              <w:t>～</w:t>
            </w:r>
            <w:r>
              <w:rPr>
                <w:rFonts w:ascii="Times New Roman" w:hAnsi="Times New Roman" w:cs="Times New Roman" w:eastAsia="Times New Roman" w:hint="default"/>
                <w:sz w:val="18"/>
                <w:szCs w:val="18"/>
              </w:rPr>
              <w:t>35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w:t>
            </w:r>
            <w:r>
              <w:rPr>
                <w:rFonts w:ascii="宋体" w:hAnsi="宋体" w:cs="宋体" w:eastAsia="宋体" w:hint="default"/>
                <w:sz w:val="18"/>
                <w:szCs w:val="18"/>
              </w:rPr>
              <w:t>～</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tc>
        <w:tc>
          <w:tcPr>
            <w:tcW w:w="3190" w:type="dxa"/>
            <w:tcBorders>
              <w:top w:val="single" w:sz="4" w:space="0" w:color="000000"/>
              <w:left w:val="single" w:sz="4" w:space="0" w:color="000000"/>
              <w:bottom w:val="single" w:sz="4" w:space="0" w:color="000000"/>
              <w:right w:val="single" w:sz="4" w:space="0" w:color="000000"/>
            </w:tcBorders>
          </w:tcPr>
          <w:p>
            <w:pP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万元以下</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8）其他关联交易" w:id="468"/>
      <w:bookmarkEnd w:id="468"/>
      <w:r>
        <w:rPr>
          <w:b w:val="0"/>
          <w:bCs w:val="0"/>
        </w:rPr>
      </w:r>
      <w:r>
        <w:rPr/>
        <w:t>（</w:t>
      </w:r>
      <w:r>
        <w:rPr>
          <w:rFonts w:ascii="Times New Roman" w:hAnsi="Times New Roman" w:cs="Times New Roman" w:eastAsia="Times New Roman" w:hint="default"/>
        </w:rPr>
        <w:t>8</w:t>
      </w:r>
      <w:r>
        <w:rPr/>
        <w:t>）其他关联交易</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6、关联方应收应付款项" w:id="469"/>
      <w:bookmarkEnd w:id="469"/>
      <w:r>
        <w:rPr>
          <w:b w:val="0"/>
          <w:bCs w:val="0"/>
        </w:rPr>
      </w:r>
      <w:r>
        <w:rPr>
          <w:rFonts w:ascii="Times New Roman" w:hAnsi="Times New Roman" w:cs="Times New Roman" w:eastAsia="Times New Roman" w:hint="default"/>
        </w:rPr>
        <w:t>6</w:t>
      </w:r>
      <w:r>
        <w:rPr/>
        <w:t>、关联方应收应付款项</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应收项目" w:id="470"/>
      <w:bookmarkEnd w:id="470"/>
      <w:r>
        <w:rPr>
          <w:b w:val="0"/>
          <w:bCs w:val="0"/>
        </w:rPr>
      </w:r>
      <w:r>
        <w:rPr/>
        <w:t>（</w:t>
      </w:r>
      <w:r>
        <w:rPr>
          <w:rFonts w:ascii="Times New Roman" w:hAnsi="Times New Roman" w:cs="Times New Roman" w:eastAsia="Times New Roman" w:hint="default"/>
        </w:rPr>
        <w:t>1</w:t>
      </w:r>
      <w:r>
        <w:rPr/>
        <w:t>）应收项目</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595"/>
        <w:gridCol w:w="1595"/>
        <w:gridCol w:w="1595"/>
        <w:gridCol w:w="1594"/>
        <w:gridCol w:w="1594"/>
        <w:gridCol w:w="1595"/>
      </w:tblGrid>
      <w:tr>
        <w:trPr>
          <w:trHeight w:val="402" w:hRule="exact"/>
        </w:trPr>
        <w:tc>
          <w:tcPr>
            <w:tcW w:w="15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15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522"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318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595" w:type="dxa"/>
            <w:vMerge/>
            <w:tcBorders>
              <w:left w:val="single" w:sz="4" w:space="0" w:color="000000"/>
              <w:bottom w:val="single" w:sz="4" w:space="0" w:color="000000"/>
              <w:right w:val="single" w:sz="4" w:space="0" w:color="000000"/>
            </w:tcBorders>
            <w:shd w:val="clear" w:color="auto" w:fill="D2D2D2"/>
          </w:tcPr>
          <w:p>
            <w:pPr/>
          </w:p>
        </w:tc>
        <w:tc>
          <w:tcPr>
            <w:tcW w:w="1595" w:type="dxa"/>
            <w:vMerge/>
            <w:tcBorders>
              <w:left w:val="single" w:sz="4" w:space="0" w:color="000000"/>
              <w:bottom w:val="single" w:sz="4" w:space="0" w:color="000000"/>
              <w:right w:val="single" w:sz="4" w:space="0" w:color="000000"/>
            </w:tcBorders>
            <w:shd w:val="clear" w:color="auto" w:fill="D2D2D2"/>
          </w:tcPr>
          <w:p>
            <w:pP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坏账准备</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应付项目" w:id="471"/>
      <w:bookmarkEnd w:id="471"/>
      <w:r>
        <w:rPr>
          <w:b w:val="0"/>
          <w:bCs w:val="0"/>
        </w:rPr>
      </w:r>
      <w:r>
        <w:rPr/>
        <w:t>（</w:t>
      </w:r>
      <w:r>
        <w:rPr>
          <w:rFonts w:ascii="Times New Roman" w:hAnsi="Times New Roman" w:cs="Times New Roman" w:eastAsia="Times New Roman" w:hint="default"/>
        </w:rPr>
        <w:t>2</w:t>
      </w:r>
      <w:r>
        <w:rPr/>
        <w:t>）应付项目</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项目名称</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0"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0"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7、关联方承诺" w:id="472"/>
      <w:bookmarkEnd w:id="472"/>
      <w:r>
        <w:rPr>
          <w:b w:val="0"/>
          <w:bCs w:val="0"/>
        </w:rPr>
      </w:r>
      <w:r>
        <w:rPr>
          <w:rFonts w:ascii="Times New Roman" w:hAnsi="Times New Roman" w:cs="Times New Roman" w:eastAsia="Times New Roman" w:hint="default"/>
        </w:rPr>
        <w:t>7</w:t>
      </w:r>
      <w:r>
        <w:rPr/>
        <w:t>、关联方承诺</w:t>
      </w:r>
      <w:r>
        <w:rPr>
          <w:b w:val="0"/>
          <w:bCs w:val="0"/>
        </w:rPr>
      </w:r>
    </w:p>
    <w:p>
      <w:pPr>
        <w:spacing w:line="240" w:lineRule="auto" w:before="8"/>
        <w:rPr>
          <w:rFonts w:ascii="宋体" w:hAnsi="宋体" w:cs="宋体" w:eastAsia="宋体" w:hint="default"/>
          <w:b/>
          <w:bCs/>
          <w:sz w:val="24"/>
          <w:szCs w:val="24"/>
        </w:rPr>
      </w:pPr>
    </w:p>
    <w:p>
      <w:pPr>
        <w:spacing w:line="487" w:lineRule="auto" w:before="0"/>
        <w:ind w:left="153" w:right="8751" w:firstLine="0"/>
        <w:jc w:val="left"/>
        <w:rPr>
          <w:rFonts w:ascii="宋体" w:hAnsi="宋体" w:cs="宋体" w:eastAsia="宋体" w:hint="default"/>
          <w:sz w:val="21"/>
          <w:szCs w:val="21"/>
        </w:rPr>
      </w:pPr>
      <w:bookmarkStart w:name="8、其他" w:id="473"/>
      <w:bookmarkEnd w:id="473"/>
      <w:r>
        <w:rPr/>
      </w:r>
      <w:r>
        <w:rPr>
          <w:rFonts w:ascii="Times New Roman" w:hAnsi="Times New Roman" w:cs="Times New Roman" w:eastAsia="Times New Roman" w:hint="default"/>
          <w:b/>
          <w:bCs/>
          <w:sz w:val="21"/>
          <w:szCs w:val="21"/>
        </w:rPr>
        <w:t>8</w:t>
      </w:r>
      <w:r>
        <w:rPr>
          <w:rFonts w:ascii="宋体" w:hAnsi="宋体" w:cs="宋体" w:eastAsia="宋体" w:hint="default"/>
          <w:b/>
          <w:bCs/>
          <w:sz w:val="21"/>
          <w:szCs w:val="21"/>
        </w:rPr>
        <w:t>、其他</w:t>
      </w:r>
      <w:r>
        <w:rPr>
          <w:rFonts w:ascii="宋体" w:hAnsi="宋体" w:cs="宋体" w:eastAsia="宋体" w:hint="default"/>
          <w:b/>
          <w:bCs/>
          <w:spacing w:val="1"/>
          <w:w w:val="99"/>
          <w:sz w:val="21"/>
          <w:szCs w:val="21"/>
        </w:rPr>
        <w:t> </w:t>
      </w:r>
      <w:bookmarkStart w:name="十三、股份支付" w:id="474"/>
      <w:bookmarkEnd w:id="474"/>
      <w:r>
        <w:rPr>
          <w:rFonts w:ascii="宋体" w:hAnsi="宋体" w:cs="宋体" w:eastAsia="宋体" w:hint="default"/>
          <w:b/>
          <w:bCs/>
          <w:spacing w:val="1"/>
          <w:w w:val="99"/>
          <w:sz w:val="21"/>
          <w:szCs w:val="21"/>
        </w:rPr>
      </w:r>
      <w:r>
        <w:rPr>
          <w:rFonts w:ascii="宋体" w:hAnsi="宋体" w:cs="宋体" w:eastAsia="宋体" w:hint="default"/>
          <w:b/>
          <w:bCs/>
          <w:sz w:val="24"/>
          <w:szCs w:val="24"/>
        </w:rPr>
        <w:t>十三、股份支付</w:t>
      </w:r>
      <w:r>
        <w:rPr>
          <w:rFonts w:ascii="宋体" w:hAnsi="宋体" w:cs="宋体" w:eastAsia="宋体" w:hint="default"/>
          <w:b/>
          <w:bCs/>
          <w:w w:val="99"/>
          <w:sz w:val="24"/>
          <w:szCs w:val="24"/>
        </w:rPr>
        <w:t> </w:t>
      </w:r>
      <w:bookmarkStart w:name="1、股份支付总体情况" w:id="475"/>
      <w:bookmarkEnd w:id="475"/>
      <w:r>
        <w:rPr>
          <w:rFonts w:ascii="宋体" w:hAnsi="宋体" w:cs="宋体" w:eastAsia="宋体" w:hint="default"/>
          <w:b/>
          <w:bCs/>
          <w:w w:val="99"/>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、股份支付总体情况</w:t>
      </w:r>
      <w:r>
        <w:rPr>
          <w:rFonts w:ascii="宋体" w:hAnsi="宋体" w:cs="宋体" w:eastAsia="宋体" w:hint="default"/>
          <w:sz w:val="21"/>
          <w:szCs w:val="21"/>
        </w:rPr>
      </w:r>
    </w:p>
    <w:p>
      <w:pPr>
        <w:pStyle w:val="BodyText"/>
        <w:spacing w:line="240" w:lineRule="auto" w:before="108"/>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240" w:lineRule="auto" w:before="103"/>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5455"/>
        <w:gridCol w:w="4114"/>
      </w:tblGrid>
      <w:tr>
        <w:trPr>
          <w:trHeight w:val="402"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公司本期授予的各项权益工具总额</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4,988,500.00</w:t>
            </w:r>
          </w:p>
        </w:tc>
      </w:tr>
      <w:tr>
        <w:trPr>
          <w:trHeight w:val="402"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公司本期行权的各项权益工具总额</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1,943,200.00</w:t>
            </w:r>
          </w:p>
        </w:tc>
      </w:tr>
      <w:tr>
        <w:trPr>
          <w:trHeight w:val="402"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公司本期失效的各项权益工具总额</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122,000.00</w:t>
            </w:r>
          </w:p>
        </w:tc>
      </w:tr>
      <w:tr>
        <w:trPr>
          <w:trHeight w:val="1026"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公司期末发行在外的股票期权行权价格的范围和合同剩余期限</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0"/>
              <w:jc w:val="left"/>
              <w:rPr>
                <w:rFonts w:ascii="Times New Roman" w:hAnsi="Times New Roman" w:cs="Times New Roman" w:eastAsia="Times New Roman" w:hint="default"/>
                <w:sz w:val="18"/>
                <w:szCs w:val="18"/>
              </w:rPr>
            </w:pPr>
            <w:r>
              <w:rPr>
                <w:rFonts w:ascii="宋体" w:hAnsi="宋体" w:cs="宋体" w:eastAsia="宋体" w:hint="default"/>
                <w:sz w:val="18"/>
                <w:szCs w:val="18"/>
              </w:rPr>
              <w:t>公司期末发行在外的首次授予的股票期权行权价格 为</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7.47</w:t>
            </w:r>
            <w:r>
              <w:rPr>
                <w:rFonts w:ascii="Times New Roman" w:hAnsi="Times New Roman" w:cs="Times New Roman" w:eastAsia="Times New Roman" w:hint="default"/>
                <w:spacing w:val="-18"/>
                <w:sz w:val="18"/>
                <w:szCs w:val="18"/>
              </w:rPr>
              <w:t> </w:t>
            </w:r>
            <w:r>
              <w:rPr>
                <w:rFonts w:ascii="宋体" w:hAnsi="宋体" w:cs="宋体" w:eastAsia="宋体" w:hint="default"/>
                <w:spacing w:val="-9"/>
                <w:sz w:val="18"/>
                <w:szCs w:val="18"/>
              </w:rPr>
              <w:t>元</w:t>
            </w:r>
            <w:r>
              <w:rPr>
                <w:rFonts w:ascii="Times New Roman" w:hAnsi="Times New Roman" w:cs="Times New Roman" w:eastAsia="Times New Roman" w:hint="default"/>
                <w:spacing w:val="-9"/>
                <w:sz w:val="18"/>
                <w:szCs w:val="18"/>
              </w:rPr>
              <w:t>/</w:t>
            </w:r>
            <w:r>
              <w:rPr>
                <w:rFonts w:ascii="宋体" w:hAnsi="宋体" w:cs="宋体" w:eastAsia="宋体" w:hint="default"/>
                <w:spacing w:val="-9"/>
                <w:sz w:val="18"/>
                <w:szCs w:val="18"/>
              </w:rPr>
              <w:t>股，合同剩余期限为</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年</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-2021</w:t>
            </w: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986"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公司期末发行在外的其他权益工具行权价格的范围和合同剩余期限</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公司期末发行在外的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年限制性股票的行权价格</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r>
              <w:rPr>
                <w:rFonts w:ascii="宋体" w:hAnsi="宋体" w:cs="宋体" w:eastAsia="宋体" w:hint="default"/>
                <w:spacing w:val="-90"/>
                <w:sz w:val="18"/>
                <w:szCs w:val="18"/>
              </w:rPr>
              <w:t>，</w:t>
            </w:r>
            <w:r>
              <w:rPr>
                <w:rFonts w:ascii="宋体" w:hAnsi="宋体" w:cs="宋体" w:eastAsia="宋体" w:hint="default"/>
                <w:sz w:val="18"/>
                <w:szCs w:val="18"/>
              </w:rPr>
              <w:t>，合同剩余期限为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p>
            <w:pPr>
              <w:pStyle w:val="TableParagraph"/>
              <w:spacing w:line="240" w:lineRule="auto" w:before="6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日；公司期末发行在外的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年暂</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2"/>
        <w:rPr>
          <w:rFonts w:ascii="宋体" w:hAnsi="宋体" w:cs="宋体" w:eastAsia="宋体" w:hint="default"/>
          <w:sz w:val="28"/>
          <w:szCs w:val="28"/>
        </w:rPr>
      </w:pPr>
    </w:p>
    <w:p>
      <w:pPr>
        <w:spacing w:line="693" w:lineRule="exact"/>
        <w:ind w:left="149" w:right="0" w:firstLine="0"/>
        <w:rPr>
          <w:rFonts w:ascii="宋体" w:hAnsi="宋体" w:cs="宋体" w:eastAsia="宋体" w:hint="default"/>
          <w:sz w:val="20"/>
          <w:szCs w:val="20"/>
        </w:rPr>
      </w:pPr>
      <w:r>
        <w:rPr>
          <w:rFonts w:ascii="宋体" w:hAnsi="宋体" w:cs="宋体" w:eastAsia="宋体" w:hint="default"/>
          <w:position w:val="-13"/>
          <w:sz w:val="20"/>
          <w:szCs w:val="20"/>
        </w:rPr>
        <w:pict>
          <v:group style="width:478.95pt;height:34.7pt;mso-position-horizontal-relative:char;mso-position-vertical-relative:line" coordorigin="0,0" coordsize="9579,694">
            <v:group style="position:absolute;left:10;top:14;width:5446;height:665" coordorigin="10,14" coordsize="5446,665">
              <v:shape style="position:absolute;left:10;top:14;width:5446;height:665" coordorigin="10,14" coordsize="5446,665" path="m10,679l5455,679,5455,14,10,14,10,679xe" filled="true" fillcolor="#d2d2d2" stroked="false">
                <v:path arrowok="t"/>
                <v:fill type="solid"/>
              </v:shape>
            </v:group>
            <v:group style="position:absolute;left:10;top:10;width:5446;height:2" coordorigin="10,10" coordsize="5446,2">
              <v:shape style="position:absolute;left:10;top:10;width:5446;height:2" coordorigin="10,10" coordsize="5446,0" path="m10,10l5455,10e" filled="false" stroked="true" strokeweight=".48pt" strokecolor="#000000">
                <v:path arrowok="t"/>
              </v:shape>
            </v:group>
            <v:group style="position:absolute;left:5464;top:10;width:4105;height:2" coordorigin="5464,10" coordsize="4105,2">
              <v:shape style="position:absolute;left:5464;top:10;width:4105;height:2" coordorigin="5464,10" coordsize="4105,0" path="m5464,10l9569,10e" filled="false" stroked="true" strokeweight=".48pt" strokecolor="#000000">
                <v:path arrowok="t"/>
              </v:shape>
            </v:group>
            <v:group style="position:absolute;left:5;top:5;width:2;height:684" coordorigin="5,5" coordsize="2,684">
              <v:shape style="position:absolute;left:5;top:5;width:2;height:684" coordorigin="5,5" coordsize="0,684" path="m5,5l5,689e" filled="false" stroked="true" strokeweight=".48pt" strokecolor="#000000">
                <v:path arrowok="t"/>
              </v:shape>
            </v:group>
            <v:group style="position:absolute;left:10;top:684;width:5446;height:2" coordorigin="10,684" coordsize="5446,2">
              <v:shape style="position:absolute;left:10;top:684;width:5446;height:2" coordorigin="10,684" coordsize="5446,0" path="m10,684l5455,684e" filled="false" stroked="true" strokeweight=".48pt" strokecolor="#000000">
                <v:path arrowok="t"/>
              </v:shape>
            </v:group>
            <v:group style="position:absolute;left:5460;top:5;width:2;height:684" coordorigin="5460,5" coordsize="2,684">
              <v:shape style="position:absolute;left:5460;top:5;width:2;height:684" coordorigin="5460,5" coordsize="0,684" path="m5460,5l5460,689e" filled="false" stroked="true" strokeweight=".48pt" strokecolor="#000000">
                <v:path arrowok="t"/>
              </v:shape>
            </v:group>
            <v:group style="position:absolute;left:5464;top:684;width:4105;height:2" coordorigin="5464,684" coordsize="4105,2">
              <v:shape style="position:absolute;left:5464;top:684;width:4105;height:2" coordorigin="5464,684" coordsize="4105,0" path="m5464,684l9569,684e" filled="false" stroked="true" strokeweight=".48pt" strokecolor="#000000">
                <v:path arrowok="t"/>
              </v:shape>
            </v:group>
            <v:group style="position:absolute;left:9574;top:5;width:2;height:684" coordorigin="9574,5" coordsize="2,684">
              <v:shape style="position:absolute;left:9574;top:5;width:2;height:684" coordorigin="9574,5" coordsize="0,684" path="m9574,5l9574,689e" filled="false" stroked="true" strokeweight=".48pt" strokecolor="#000000">
                <v:path arrowok="t"/>
              </v:shape>
              <v:shape style="position:absolute;left:5460;top:10;width:4114;height:675" type="#_x0000_t202" filled="false" stroked="false">
                <v:textbox inset="0,0,0,0">
                  <w:txbxContent>
                    <w:p>
                      <w:pPr>
                        <w:spacing w:before="15"/>
                        <w:ind w:left="27" w:right="0" w:firstLine="0"/>
                        <w:jc w:val="left"/>
                        <w:rPr>
                          <w:rFonts w:ascii="宋体" w:hAnsi="宋体" w:cs="宋体" w:eastAsia="宋体" w:hint="default"/>
                          <w:sz w:val="18"/>
                          <w:szCs w:val="18"/>
                        </w:rPr>
                      </w:pPr>
                      <w:r>
                        <w:rPr>
                          <w:rFonts w:ascii="宋体" w:hAnsi="宋体" w:cs="宋体" w:eastAsia="宋体" w:hint="default"/>
                          <w:sz w:val="18"/>
                          <w:szCs w:val="18"/>
                        </w:rPr>
                        <w:t>缓授予的限制性股票的行权价格为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股，合同</w:t>
                      </w:r>
                    </w:p>
                    <w:p>
                      <w:pPr>
                        <w:spacing w:before="64"/>
                        <w:ind w:left="27" w:right="0" w:firstLine="0"/>
                        <w:jc w:val="left"/>
                        <w:rPr>
                          <w:rFonts w:ascii="宋体" w:hAnsi="宋体" w:cs="宋体" w:eastAsia="宋体" w:hint="default"/>
                          <w:sz w:val="18"/>
                          <w:szCs w:val="18"/>
                        </w:rPr>
                      </w:pPr>
                      <w:r>
                        <w:rPr>
                          <w:rFonts w:ascii="宋体" w:hAnsi="宋体" w:cs="宋体" w:eastAsia="宋体" w:hint="default"/>
                          <w:sz w:val="18"/>
                          <w:szCs w:val="18"/>
                        </w:rPr>
                        <w:t>剩余期限为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日。</w:t>
                      </w:r>
                    </w:p>
                  </w:txbxContent>
                </v:textbox>
                <w10:wrap type="none"/>
              </v:shape>
            </v:group>
          </v:group>
        </w:pict>
      </w:r>
      <w:r>
        <w:rPr>
          <w:rFonts w:ascii="宋体" w:hAnsi="宋体" w:cs="宋体" w:eastAsia="宋体" w:hint="default"/>
          <w:position w:val="-13"/>
          <w:sz w:val="20"/>
          <w:szCs w:val="20"/>
        </w:rPr>
      </w:r>
    </w:p>
    <w:p>
      <w:pPr>
        <w:pStyle w:val="BodyText"/>
        <w:spacing w:line="240" w:lineRule="auto" w:before="47"/>
        <w:ind w:left="154" w:right="0"/>
        <w:jc w:val="left"/>
      </w:pPr>
      <w:r>
        <w:rPr/>
        <w:t>其他说明</w:t>
      </w:r>
    </w:p>
    <w:p>
      <w:pPr>
        <w:spacing w:line="240" w:lineRule="auto" w:before="11"/>
        <w:rPr>
          <w:rFonts w:ascii="宋体" w:hAnsi="宋体" w:cs="宋体" w:eastAsia="宋体" w:hint="default"/>
          <w:sz w:val="26"/>
          <w:szCs w:val="26"/>
        </w:rPr>
      </w:pPr>
    </w:p>
    <w:p>
      <w:pPr>
        <w:pStyle w:val="Heading3"/>
        <w:spacing w:line="240" w:lineRule="auto"/>
        <w:ind w:left="153" w:right="0"/>
        <w:jc w:val="left"/>
        <w:rPr>
          <w:b w:val="0"/>
          <w:bCs w:val="0"/>
        </w:rPr>
      </w:pPr>
      <w:bookmarkStart w:name="2、以权益结算的股份支付情况" w:id="476"/>
      <w:bookmarkEnd w:id="476"/>
      <w:r>
        <w:rPr>
          <w:b w:val="0"/>
          <w:bCs w:val="0"/>
        </w:rPr>
      </w:r>
      <w:r>
        <w:rPr>
          <w:rFonts w:ascii="Times New Roman" w:hAnsi="Times New Roman" w:cs="Times New Roman" w:eastAsia="Times New Roman" w:hint="default"/>
        </w:rPr>
        <w:t>2</w:t>
      </w:r>
      <w:r>
        <w:rPr/>
        <w:t>、以权益结算的股份支付情况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240" w:lineRule="auto" w:before="103"/>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4984"/>
        <w:gridCol w:w="4585"/>
      </w:tblGrid>
      <w:tr>
        <w:trPr>
          <w:trHeight w:val="402"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授予日权益工具公允价值的确定方法</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市价</w:t>
            </w:r>
            <w:r>
              <w:rPr>
                <w:rFonts w:ascii="Times New Roman" w:hAnsi="Times New Roman" w:cs="Times New Roman" w:eastAsia="Times New Roman" w:hint="default"/>
                <w:sz w:val="18"/>
                <w:szCs w:val="18"/>
              </w:rPr>
              <w:t>-</w:t>
            </w:r>
            <w:r>
              <w:rPr>
                <w:rFonts w:ascii="宋体" w:hAnsi="宋体" w:cs="宋体" w:eastAsia="宋体" w:hint="default"/>
                <w:sz w:val="18"/>
                <w:szCs w:val="18"/>
              </w:rPr>
              <w:t>授予价</w:t>
            </w:r>
          </w:p>
        </w:tc>
      </w:tr>
      <w:tr>
        <w:trPr>
          <w:trHeight w:val="402"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本期估计与上期估计有重大差异的原因</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董事会相关决议</w:t>
            </w:r>
          </w:p>
        </w:tc>
      </w:tr>
      <w:tr>
        <w:trPr>
          <w:trHeight w:val="402"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以权益结算的股份支付计入资本公积的累计金额</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12,164,870.00</w:t>
            </w:r>
          </w:p>
        </w:tc>
      </w:tr>
      <w:tr>
        <w:trPr>
          <w:trHeight w:val="402"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本期以权益结算的股份支付确认的费用总额</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9,714,080.00</w:t>
            </w:r>
          </w:p>
        </w:tc>
      </w:tr>
    </w:tbl>
    <w:p>
      <w:pPr>
        <w:pStyle w:val="BodyText"/>
        <w:spacing w:line="240" w:lineRule="auto" w:before="51"/>
        <w:ind w:left="154" w:right="0"/>
        <w:jc w:val="left"/>
      </w:pPr>
      <w:r>
        <w:rPr/>
        <w:t>其他说明</w:t>
      </w:r>
    </w:p>
    <w:p>
      <w:pPr>
        <w:spacing w:line="240" w:lineRule="auto" w:before="11"/>
        <w:rPr>
          <w:rFonts w:ascii="宋体" w:hAnsi="宋体" w:cs="宋体" w:eastAsia="宋体" w:hint="default"/>
          <w:sz w:val="26"/>
          <w:szCs w:val="26"/>
        </w:rPr>
      </w:pPr>
    </w:p>
    <w:p>
      <w:pPr>
        <w:pStyle w:val="Heading3"/>
        <w:spacing w:line="240" w:lineRule="auto"/>
        <w:ind w:left="153" w:right="0"/>
        <w:jc w:val="left"/>
        <w:rPr>
          <w:b w:val="0"/>
          <w:bCs w:val="0"/>
        </w:rPr>
      </w:pPr>
      <w:bookmarkStart w:name="3、以现金结算的股份支付情况" w:id="477"/>
      <w:bookmarkEnd w:id="477"/>
      <w:r>
        <w:rPr>
          <w:b w:val="0"/>
          <w:bCs w:val="0"/>
        </w:rPr>
      </w:r>
      <w:r>
        <w:rPr>
          <w:rFonts w:ascii="Times New Roman" w:hAnsi="Times New Roman" w:cs="Times New Roman" w:eastAsia="Times New Roman" w:hint="default"/>
        </w:rPr>
        <w:t>3</w:t>
      </w:r>
      <w:r>
        <w:rPr/>
        <w:t>、以现金结算的股份支付情况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9"/>
        <w:rPr>
          <w:rFonts w:ascii="宋体" w:hAnsi="宋体" w:cs="宋体" w:eastAsia="宋体" w:hint="default"/>
          <w:sz w:val="25"/>
          <w:szCs w:val="25"/>
        </w:rPr>
      </w:pPr>
    </w:p>
    <w:p>
      <w:pPr>
        <w:pStyle w:val="Heading3"/>
        <w:spacing w:line="240" w:lineRule="auto"/>
        <w:ind w:left="153" w:right="0"/>
        <w:jc w:val="left"/>
        <w:rPr>
          <w:b w:val="0"/>
          <w:bCs w:val="0"/>
        </w:rPr>
      </w:pPr>
      <w:bookmarkStart w:name="4、股份支付的修改、终止情况" w:id="478"/>
      <w:bookmarkEnd w:id="478"/>
      <w:r>
        <w:rPr>
          <w:b w:val="0"/>
          <w:bCs w:val="0"/>
        </w:rPr>
      </w:r>
      <w:r>
        <w:rPr>
          <w:rFonts w:ascii="Times New Roman" w:hAnsi="Times New Roman" w:cs="Times New Roman" w:eastAsia="Times New Roman" w:hint="default"/>
        </w:rPr>
        <w:t>4</w:t>
      </w:r>
      <w:r>
        <w:rPr/>
        <w:t>、股份支付的修改、终止情况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513" w:right="0"/>
        <w:jc w:val="left"/>
      </w:pPr>
      <w:r>
        <w:rPr>
          <w:rFonts w:ascii="Times New Roman" w:hAnsi="Times New Roman" w:cs="Times New Roman" w:eastAsia="Times New Roman" w:hint="default"/>
        </w:rPr>
        <w:t>1</w:t>
      </w:r>
      <w:r>
        <w:rPr/>
        <w:t>、股份支付调整事项</w:t>
      </w:r>
    </w:p>
    <w:p>
      <w:pPr>
        <w:pStyle w:val="BodyText"/>
        <w:spacing w:line="240" w:lineRule="auto" w:before="101"/>
        <w:ind w:left="514" w:right="0"/>
        <w:jc w:val="left"/>
      </w:pPr>
      <w:r>
        <w:rPr/>
        <w:t>根据《深圳市奥拓电子股份有限公司</w:t>
      </w:r>
      <w:r>
        <w:rPr>
          <w:spacing w:val="-46"/>
        </w:rPr>
        <w:t> </w:t>
      </w:r>
      <w:r>
        <w:rPr>
          <w:rFonts w:ascii="Times New Roman" w:hAnsi="Times New Roman" w:cs="Times New Roman" w:eastAsia="Times New Roman" w:hint="default"/>
        </w:rPr>
        <w:t>2016 </w:t>
      </w:r>
      <w:r>
        <w:rPr/>
        <w:t>年限制性股票激励计划（草案</w:t>
      </w:r>
      <w:r>
        <w:rPr>
          <w:spacing w:val="-90"/>
        </w:rPr>
        <w:t>）</w:t>
      </w:r>
      <w:r>
        <w:rPr/>
        <w:t>》规定、在</w:t>
      </w:r>
      <w:r>
        <w:rPr>
          <w:spacing w:val="-45"/>
        </w:rPr>
        <w:t> </w:t>
      </w:r>
      <w:r>
        <w:rPr>
          <w:rFonts w:ascii="Times New Roman" w:hAnsi="Times New Roman" w:cs="Times New Roman" w:eastAsia="Times New Roman" w:hint="default"/>
        </w:rPr>
        <w:t>2015</w:t>
      </w:r>
      <w:r>
        <w:rPr>
          <w:rFonts w:ascii="Times New Roman" w:hAnsi="Times New Roman" w:cs="Times New Roman" w:eastAsia="Times New Roman" w:hint="default"/>
          <w:spacing w:val="-1"/>
        </w:rPr>
        <w:t> </w:t>
      </w:r>
      <w:r>
        <w:rPr/>
        <w:t>年度权益分派实施完毕后，</w:t>
      </w:r>
    </w:p>
    <w:p>
      <w:pPr>
        <w:pStyle w:val="BodyText"/>
        <w:spacing w:line="240" w:lineRule="auto" w:before="64"/>
        <w:ind w:left="154" w:right="0"/>
        <w:jc w:val="left"/>
      </w:pPr>
      <w:r>
        <w:rPr/>
        <w:t>对公司限制性股票价格进行如下调整</w:t>
      </w:r>
      <w:r>
        <w:rPr>
          <w:spacing w:val="-90"/>
        </w:rPr>
        <w:t>：</w:t>
      </w:r>
      <w:r>
        <w:rPr/>
        <w:t>（</w:t>
      </w:r>
      <w:r>
        <w:rPr>
          <w:rFonts w:ascii="Times New Roman" w:hAnsi="Times New Roman" w:cs="Times New Roman" w:eastAsia="Times New Roman" w:hint="default"/>
        </w:rPr>
        <w:t>1</w:t>
      </w:r>
      <w:r>
        <w:rPr/>
        <w:t>）限制性股票授予价格由</w:t>
      </w:r>
      <w:r>
        <w:rPr>
          <w:spacing w:val="-46"/>
        </w:rPr>
        <w:t> </w:t>
      </w:r>
      <w:r>
        <w:rPr>
          <w:rFonts w:ascii="Times New Roman" w:hAnsi="Times New Roman" w:cs="Times New Roman" w:eastAsia="Times New Roman" w:hint="default"/>
        </w:rPr>
        <w:t>5.20</w:t>
      </w:r>
      <w:r>
        <w:rPr>
          <w:rFonts w:ascii="Times New Roman" w:hAnsi="Times New Roman" w:cs="Times New Roman" w:eastAsia="Times New Roman" w:hint="default"/>
          <w:spacing w:val="-1"/>
        </w:rPr>
        <w:t> </w:t>
      </w:r>
      <w:r>
        <w:rPr/>
        <w:t>元</w:t>
      </w:r>
      <w:r>
        <w:rPr>
          <w:rFonts w:ascii="Times New Roman" w:hAnsi="Times New Roman" w:cs="Times New Roman" w:eastAsia="Times New Roman" w:hint="default"/>
        </w:rPr>
        <w:t>/</w:t>
      </w:r>
      <w:r>
        <w:rPr/>
        <w:t>股调整为</w:t>
      </w:r>
      <w:r>
        <w:rPr>
          <w:spacing w:val="-46"/>
        </w:rPr>
        <w:t> </w:t>
      </w:r>
      <w:r>
        <w:rPr>
          <w:rFonts w:ascii="Times New Roman" w:hAnsi="Times New Roman" w:cs="Times New Roman" w:eastAsia="Times New Roman" w:hint="default"/>
          <w:spacing w:val="1"/>
        </w:rPr>
        <w:t>5</w:t>
      </w:r>
      <w:r>
        <w:rPr>
          <w:rFonts w:ascii="Times New Roman" w:hAnsi="Times New Roman" w:cs="Times New Roman" w:eastAsia="Times New Roman" w:hint="default"/>
        </w:rPr>
        <w:t>.17</w:t>
      </w:r>
      <w:r>
        <w:rPr>
          <w:rFonts w:ascii="Times New Roman" w:hAnsi="Times New Roman" w:cs="Times New Roman" w:eastAsia="Times New Roman" w:hint="default"/>
          <w:spacing w:val="-1"/>
        </w:rPr>
        <w:t> </w:t>
      </w:r>
      <w:r>
        <w:rPr/>
        <w:t>元</w:t>
      </w:r>
      <w:r>
        <w:rPr>
          <w:rFonts w:ascii="Times New Roman" w:hAnsi="Times New Roman" w:cs="Times New Roman" w:eastAsia="Times New Roman" w:hint="default"/>
        </w:rPr>
        <w:t>/</w:t>
      </w:r>
      <w:r>
        <w:rPr/>
        <w:t>股。</w:t>
      </w:r>
    </w:p>
    <w:p>
      <w:pPr>
        <w:pStyle w:val="BodyText"/>
        <w:spacing w:line="240" w:lineRule="auto" w:before="102"/>
        <w:ind w:left="513" w:right="0"/>
        <w:jc w:val="left"/>
        <w:rPr>
          <w:rFonts w:ascii="Times New Roman" w:hAnsi="Times New Roman" w:cs="Times New Roman" w:eastAsia="Times New Roman" w:hint="default"/>
        </w:rPr>
      </w:pPr>
      <w:r>
        <w:rPr/>
        <w:t>在</w:t>
      </w:r>
      <w:r>
        <w:rPr>
          <w:spacing w:val="-46"/>
        </w:rPr>
        <w:t> </w:t>
      </w:r>
      <w:r>
        <w:rPr>
          <w:rFonts w:ascii="Times New Roman" w:hAnsi="Times New Roman" w:cs="Times New Roman" w:eastAsia="Times New Roman" w:hint="default"/>
        </w:rPr>
        <w:t>2016</w:t>
      </w:r>
      <w:r>
        <w:rPr>
          <w:rFonts w:ascii="Times New Roman" w:hAnsi="Times New Roman" w:cs="Times New Roman" w:eastAsia="Times New Roman" w:hint="default"/>
          <w:spacing w:val="-1"/>
        </w:rPr>
        <w:t> </w:t>
      </w:r>
      <w:r>
        <w:rPr/>
        <w:t>年度</w:t>
      </w:r>
      <w:r>
        <w:rPr>
          <w:spacing w:val="1"/>
        </w:rPr>
        <w:t>权</w:t>
      </w:r>
      <w:r>
        <w:rPr/>
        <w:t>益分派实施完毕后</w:t>
      </w:r>
      <w:r>
        <w:rPr>
          <w:spacing w:val="-13"/>
        </w:rPr>
        <w:t>，</w:t>
      </w:r>
      <w:r>
        <w:rPr/>
        <w:t>对公司限制性股票数量和价格进行如下调整</w:t>
      </w:r>
      <w:r>
        <w:rPr>
          <w:spacing w:val="-103"/>
        </w:rPr>
        <w:t>：</w:t>
      </w:r>
      <w:r>
        <w:rPr/>
        <w:t>（</w:t>
      </w:r>
      <w:r>
        <w:rPr>
          <w:rFonts w:ascii="Times New Roman" w:hAnsi="Times New Roman" w:cs="Times New Roman" w:eastAsia="Times New Roman" w:hint="default"/>
        </w:rPr>
        <w:t>1</w:t>
      </w:r>
      <w:r>
        <w:rPr>
          <w:spacing w:val="-13"/>
        </w:rPr>
        <w:t>）</w:t>
      </w:r>
      <w:r>
        <w:rPr/>
        <w:t>授予限制性股票数量由</w:t>
      </w:r>
      <w:r>
        <w:rPr>
          <w:spacing w:val="-46"/>
        </w:rPr>
        <w:t> </w:t>
      </w:r>
      <w:r>
        <w:rPr>
          <w:rFonts w:ascii="Times New Roman" w:hAnsi="Times New Roman" w:cs="Times New Roman" w:eastAsia="Times New Roman" w:hint="default"/>
        </w:rPr>
        <w:t>3,394,800</w:t>
      </w:r>
    </w:p>
    <w:p>
      <w:pPr>
        <w:pStyle w:val="BodyText"/>
        <w:spacing w:line="240" w:lineRule="auto" w:before="64"/>
        <w:ind w:right="0"/>
        <w:jc w:val="left"/>
      </w:pPr>
      <w:r>
        <w:rPr/>
        <w:t>股调整为</w:t>
      </w:r>
      <w:r>
        <w:rPr>
          <w:spacing w:val="-46"/>
        </w:rPr>
        <w:t> </w:t>
      </w:r>
      <w:r>
        <w:rPr>
          <w:rFonts w:ascii="Times New Roman" w:hAnsi="Times New Roman" w:cs="Times New Roman" w:eastAsia="Times New Roman" w:hint="default"/>
        </w:rPr>
        <w:t>5,092</w:t>
      </w:r>
      <w:r>
        <w:rPr>
          <w:rFonts w:ascii="Times New Roman" w:hAnsi="Times New Roman" w:cs="Times New Roman" w:eastAsia="Times New Roman" w:hint="default"/>
          <w:spacing w:val="-1"/>
        </w:rPr>
        <w:t>,</w:t>
      </w:r>
      <w:r>
        <w:rPr>
          <w:rFonts w:ascii="Times New Roman" w:hAnsi="Times New Roman" w:cs="Times New Roman" w:eastAsia="Times New Roman" w:hint="default"/>
        </w:rPr>
        <w:t>200</w:t>
      </w:r>
      <w:r>
        <w:rPr>
          <w:rFonts w:ascii="Times New Roman" w:hAnsi="Times New Roman" w:cs="Times New Roman" w:eastAsia="Times New Roman" w:hint="default"/>
          <w:spacing w:val="-1"/>
        </w:rPr>
        <w:t> </w:t>
      </w:r>
      <w:r>
        <w:rPr/>
        <w:t>股</w:t>
      </w:r>
      <w:r>
        <w:rPr>
          <w:spacing w:val="-90"/>
        </w:rPr>
        <w:t>；</w:t>
      </w:r>
      <w:r>
        <w:rPr/>
        <w:t>（</w:t>
      </w:r>
      <w:r>
        <w:rPr>
          <w:rFonts w:ascii="Times New Roman" w:hAnsi="Times New Roman" w:cs="Times New Roman" w:eastAsia="Times New Roman" w:hint="default"/>
        </w:rPr>
        <w:t>2</w:t>
      </w:r>
      <w:r>
        <w:rPr/>
        <w:t>）限制性股票授予价格由</w:t>
      </w:r>
      <w:r>
        <w:rPr>
          <w:spacing w:val="-46"/>
        </w:rPr>
        <w:t> </w:t>
      </w:r>
      <w:r>
        <w:rPr>
          <w:rFonts w:ascii="Times New Roman" w:hAnsi="Times New Roman" w:cs="Times New Roman" w:eastAsia="Times New Roman" w:hint="default"/>
        </w:rPr>
        <w:t>5.17</w:t>
      </w:r>
      <w:r>
        <w:rPr>
          <w:rFonts w:ascii="Times New Roman" w:hAnsi="Times New Roman" w:cs="Times New Roman" w:eastAsia="Times New Roman" w:hint="default"/>
          <w:spacing w:val="-1"/>
        </w:rPr>
        <w:t> </w:t>
      </w:r>
      <w:r>
        <w:rPr/>
        <w:t>元</w:t>
      </w:r>
      <w:r>
        <w:rPr>
          <w:rFonts w:ascii="Times New Roman" w:hAnsi="Times New Roman" w:cs="Times New Roman" w:eastAsia="Times New Roman" w:hint="default"/>
        </w:rPr>
        <w:t>/</w:t>
      </w:r>
      <w:r>
        <w:rPr/>
        <w:t>股调整为</w:t>
      </w:r>
      <w:r>
        <w:rPr>
          <w:spacing w:val="-46"/>
        </w:rPr>
        <w:t> </w:t>
      </w:r>
      <w:r>
        <w:rPr>
          <w:rFonts w:ascii="Times New Roman" w:hAnsi="Times New Roman" w:cs="Times New Roman" w:eastAsia="Times New Roman" w:hint="default"/>
        </w:rPr>
        <w:t>3.38</w:t>
      </w:r>
      <w:r>
        <w:rPr>
          <w:rFonts w:ascii="Times New Roman" w:hAnsi="Times New Roman" w:cs="Times New Roman" w:eastAsia="Times New Roman" w:hint="default"/>
          <w:spacing w:val="-1"/>
        </w:rPr>
        <w:t> </w:t>
      </w:r>
      <w:r>
        <w:rPr/>
        <w:t>元</w:t>
      </w:r>
      <w:r>
        <w:rPr>
          <w:rFonts w:ascii="Times New Roman" w:hAnsi="Times New Roman" w:cs="Times New Roman" w:eastAsia="Times New Roman" w:hint="default"/>
        </w:rPr>
        <w:t>/</w:t>
      </w:r>
      <w:r>
        <w:rPr/>
        <w:t>股。</w:t>
      </w:r>
    </w:p>
    <w:p>
      <w:pPr>
        <w:pStyle w:val="BodyText"/>
        <w:spacing w:line="240" w:lineRule="auto" w:before="102"/>
        <w:ind w:left="514" w:right="0"/>
        <w:jc w:val="left"/>
      </w:pPr>
      <w:r>
        <w:rPr>
          <w:rFonts w:ascii="Times New Roman" w:hAnsi="Times New Roman" w:cs="Times New Roman" w:eastAsia="Times New Roman" w:hint="default"/>
        </w:rPr>
        <w:t>2</w:t>
      </w:r>
      <w:r>
        <w:rPr/>
        <w:t>、股份支付调整事项</w:t>
      </w:r>
    </w:p>
    <w:p>
      <w:pPr>
        <w:pStyle w:val="BodyText"/>
        <w:spacing w:line="240" w:lineRule="auto" w:before="101"/>
        <w:ind w:left="514" w:right="0"/>
        <w:jc w:val="left"/>
      </w:pPr>
      <w:r>
        <w:rPr>
          <w:rFonts w:ascii="Times New Roman" w:hAnsi="Times New Roman" w:cs="Times New Roman" w:eastAsia="Times New Roman" w:hint="default"/>
        </w:rPr>
        <w:t>2016</w:t>
      </w:r>
      <w:r>
        <w:rPr>
          <w:rFonts w:ascii="Times New Roman" w:hAnsi="Times New Roman" w:cs="Times New Roman" w:eastAsia="Times New Roman" w:hint="default"/>
          <w:spacing w:val="-1"/>
        </w:rPr>
        <w:t> </w:t>
      </w:r>
      <w:r>
        <w:rPr/>
        <w:t>年度权益分派实施之前，因蔡九飞等</w:t>
      </w:r>
      <w:r>
        <w:rPr>
          <w:spacing w:val="-46"/>
        </w:rPr>
        <w:t> </w:t>
      </w:r>
      <w:r>
        <w:rPr>
          <w:rFonts w:ascii="Times New Roman" w:hAnsi="Times New Roman" w:cs="Times New Roman" w:eastAsia="Times New Roman" w:hint="default"/>
          <w:spacing w:val="-3"/>
        </w:rPr>
        <w:t>11</w:t>
      </w:r>
      <w:r>
        <w:rPr>
          <w:rFonts w:ascii="Times New Roman" w:hAnsi="Times New Roman" w:cs="Times New Roman" w:eastAsia="Times New Roman" w:hint="default"/>
          <w:spacing w:val="-1"/>
        </w:rPr>
        <w:t> </w:t>
      </w:r>
      <w:r>
        <w:rPr/>
        <w:t>名公司员工离职，根据本公司</w:t>
      </w:r>
      <w:r>
        <w:rPr>
          <w:spacing w:val="-46"/>
        </w:rPr>
        <w:t> </w:t>
      </w:r>
      <w:r>
        <w:rPr>
          <w:rFonts w:ascii="Times New Roman" w:hAnsi="Times New Roman" w:cs="Times New Roman" w:eastAsia="Times New Roman" w:hint="default"/>
        </w:rPr>
        <w:t>2016</w:t>
      </w:r>
      <w:r>
        <w:rPr>
          <w:rFonts w:ascii="Times New Roman" w:hAnsi="Times New Roman" w:cs="Times New Roman" w:eastAsia="Times New Roman" w:hint="default"/>
          <w:spacing w:val="-1"/>
        </w:rPr>
        <w:t> </w:t>
      </w:r>
      <w:r>
        <w:rPr/>
        <w:t>年限制性激励计划相关规定，公司向</w:t>
      </w:r>
    </w:p>
    <w:p>
      <w:pPr>
        <w:pStyle w:val="BodyText"/>
        <w:spacing w:line="240" w:lineRule="auto" w:before="64"/>
        <w:ind w:right="0"/>
        <w:jc w:val="left"/>
      </w:pPr>
      <w:r>
        <w:rPr/>
        <w:t>离职的激励对象回购的限制性股份，共计回购注销</w:t>
      </w:r>
      <w:r>
        <w:rPr>
          <w:spacing w:val="-45"/>
        </w:rPr>
        <w:t> </w:t>
      </w:r>
      <w:r>
        <w:rPr>
          <w:rFonts w:ascii="Times New Roman" w:hAnsi="Times New Roman" w:cs="Times New Roman" w:eastAsia="Times New Roman" w:hint="default"/>
        </w:rPr>
        <w:t>12.2</w:t>
      </w:r>
      <w:r>
        <w:rPr>
          <w:rFonts w:ascii="Times New Roman" w:hAnsi="Times New Roman" w:cs="Times New Roman" w:eastAsia="Times New Roman" w:hint="default"/>
          <w:spacing w:val="-1"/>
        </w:rPr>
        <w:t> </w:t>
      </w:r>
      <w:r>
        <w:rPr/>
        <w:t>万股。</w:t>
      </w: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w:t>
      </w:r>
      <w:r>
        <w:rPr>
          <w:spacing w:val="-45"/>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月</w:t>
      </w:r>
      <w:r>
        <w:rPr>
          <w:spacing w:val="-46"/>
        </w:rPr>
        <w:t> </w:t>
      </w:r>
      <w:r>
        <w:rPr>
          <w:rFonts w:ascii="Times New Roman" w:hAnsi="Times New Roman" w:cs="Times New Roman" w:eastAsia="Times New Roman" w:hint="default"/>
        </w:rPr>
        <w:t>23 </w:t>
      </w:r>
      <w:r>
        <w:rPr/>
        <w:t>日</w:t>
      </w:r>
      <w:r>
        <w:rPr>
          <w:spacing w:val="-46"/>
        </w:rPr>
        <w:t> </w:t>
      </w:r>
      <w:r>
        <w:rPr>
          <w:rFonts w:ascii="Times New Roman" w:hAnsi="Times New Roman" w:cs="Times New Roman" w:eastAsia="Times New Roman" w:hint="default"/>
        </w:rPr>
        <w:t>12.2 </w:t>
      </w:r>
      <w:r>
        <w:rPr/>
        <w:t>万股限制性股票回购注销完成。</w:t>
      </w:r>
    </w:p>
    <w:p>
      <w:pPr>
        <w:spacing w:line="240" w:lineRule="auto" w:before="10"/>
        <w:rPr>
          <w:rFonts w:ascii="宋体" w:hAnsi="宋体" w:cs="宋体" w:eastAsia="宋体" w:hint="default"/>
          <w:sz w:val="25"/>
          <w:szCs w:val="25"/>
        </w:rPr>
      </w:pPr>
    </w:p>
    <w:p>
      <w:pPr>
        <w:pStyle w:val="Heading3"/>
        <w:spacing w:line="240" w:lineRule="auto"/>
        <w:ind w:right="0"/>
        <w:jc w:val="left"/>
        <w:rPr>
          <w:b w:val="0"/>
          <w:bCs w:val="0"/>
        </w:rPr>
      </w:pPr>
      <w:bookmarkStart w:name="5、其他" w:id="479"/>
      <w:bookmarkEnd w:id="479"/>
      <w:r>
        <w:rPr>
          <w:b w:val="0"/>
          <w:bCs w:val="0"/>
        </w:rPr>
      </w:r>
      <w:r>
        <w:rPr>
          <w:rFonts w:ascii="Times New Roman" w:hAnsi="Times New Roman" w:cs="Times New Roman" w:eastAsia="Times New Roman" w:hint="default"/>
        </w:rPr>
        <w:t>5</w:t>
      </w:r>
      <w:r>
        <w:rPr/>
        <w:t>、其他</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154" w:right="0"/>
        <w:jc w:val="left"/>
      </w:pPr>
      <w:r>
        <w:rPr/>
        <w:t>无。</w:t>
      </w:r>
    </w:p>
    <w:p>
      <w:pPr>
        <w:spacing w:line="240" w:lineRule="auto" w:before="1"/>
        <w:rPr>
          <w:rFonts w:ascii="宋体" w:hAnsi="宋体" w:cs="宋体" w:eastAsia="宋体" w:hint="default"/>
          <w:sz w:val="25"/>
          <w:szCs w:val="25"/>
        </w:rPr>
      </w:pPr>
    </w:p>
    <w:p>
      <w:pPr>
        <w:pStyle w:val="Heading2"/>
        <w:spacing w:line="240" w:lineRule="auto"/>
        <w:ind w:left="154" w:right="0"/>
        <w:jc w:val="left"/>
        <w:rPr>
          <w:b w:val="0"/>
          <w:bCs w:val="0"/>
        </w:rPr>
      </w:pPr>
      <w:bookmarkStart w:name="十四、承诺及或有事项" w:id="480"/>
      <w:bookmarkEnd w:id="480"/>
      <w:r>
        <w:rPr>
          <w:b w:val="0"/>
          <w:bCs w:val="0"/>
        </w:rPr>
      </w:r>
      <w:r>
        <w:rPr/>
        <w:t>十四、承诺及或有事项</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53" w:right="0"/>
        <w:jc w:val="left"/>
        <w:rPr>
          <w:b w:val="0"/>
          <w:bCs w:val="0"/>
        </w:rPr>
      </w:pPr>
      <w:bookmarkStart w:name="1、重要承诺事项" w:id="481"/>
      <w:bookmarkEnd w:id="481"/>
      <w:r>
        <w:rPr>
          <w:b w:val="0"/>
          <w:bCs w:val="0"/>
        </w:rPr>
      </w:r>
      <w:r>
        <w:rPr>
          <w:rFonts w:ascii="Times New Roman" w:hAnsi="Times New Roman" w:cs="Times New Roman" w:eastAsia="Times New Roman" w:hint="default"/>
        </w:rPr>
        <w:t>1</w:t>
      </w:r>
      <w:r>
        <w:rPr/>
        <w:t>、重要承诺事项</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154" w:right="0"/>
        <w:jc w:val="left"/>
      </w:pPr>
      <w:r>
        <w:rPr/>
        <w:t>资产负债表日存在的重要承诺</w:t>
      </w:r>
    </w:p>
    <w:p>
      <w:pPr>
        <w:pStyle w:val="BodyText"/>
        <w:spacing w:line="338" w:lineRule="auto" w:before="117"/>
        <w:ind w:left="514" w:right="4452"/>
        <w:jc w:val="left"/>
      </w:pPr>
      <w:r>
        <w:rPr/>
        <w:t>（</w:t>
      </w:r>
      <w:r>
        <w:rPr>
          <w:rFonts w:ascii="Times New Roman" w:hAnsi="Times New Roman" w:cs="Times New Roman" w:eastAsia="Times New Roman" w:hint="default"/>
        </w:rPr>
        <w:t>1</w:t>
      </w:r>
      <w:r>
        <w:rPr/>
        <w:t>）经营租赁承诺 至资产负债表日止，本公司对外签订的不可撤销的经营租赁合约情况如下：</w:t>
      </w:r>
    </w:p>
    <w:p>
      <w:pPr>
        <w:spacing w:line="240" w:lineRule="auto" w:before="4"/>
        <w:rPr>
          <w:rFonts w:ascii="宋体" w:hAnsi="宋体" w:cs="宋体" w:eastAsia="宋体" w:hint="default"/>
          <w:sz w:val="2"/>
          <w:szCs w:val="2"/>
        </w:rPr>
      </w:pPr>
    </w:p>
    <w:tbl>
      <w:tblPr>
        <w:tblW w:w="0" w:type="auto"/>
        <w:jc w:val="left"/>
        <w:tblInd w:w="146" w:type="dxa"/>
        <w:tblLayout w:type="fixed"/>
        <w:tblCellMar>
          <w:top w:w="0" w:type="dxa"/>
          <w:left w:w="0" w:type="dxa"/>
          <w:bottom w:w="0" w:type="dxa"/>
          <w:right w:w="0" w:type="dxa"/>
        </w:tblCellMar>
        <w:tblLook w:val="01E0"/>
      </w:tblPr>
      <w:tblGrid>
        <w:gridCol w:w="4274"/>
        <w:gridCol w:w="2696"/>
        <w:gridCol w:w="2698"/>
      </w:tblGrid>
      <w:tr>
        <w:trPr>
          <w:trHeight w:val="435" w:hRule="exact"/>
        </w:trPr>
        <w:tc>
          <w:tcPr>
            <w:tcW w:w="427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62"/>
              <w:ind w:left="362"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269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62"/>
              <w:ind w:left="362" w:right="0"/>
              <w:jc w:val="left"/>
              <w:rPr>
                <w:rFonts w:ascii="宋体" w:hAnsi="宋体" w:cs="宋体" w:eastAsia="宋体" w:hint="default"/>
                <w:sz w:val="18"/>
                <w:szCs w:val="18"/>
              </w:rPr>
            </w:pPr>
            <w:r>
              <w:rPr>
                <w:rFonts w:ascii="宋体" w:hAnsi="宋体" w:cs="宋体" w:eastAsia="宋体" w:hint="default"/>
                <w:sz w:val="18"/>
                <w:szCs w:val="18"/>
              </w:rPr>
              <w:t>年末余额</w:t>
            </w:r>
          </w:p>
        </w:tc>
        <w:tc>
          <w:tcPr>
            <w:tcW w:w="2698" w:type="dxa"/>
            <w:tcBorders>
              <w:top w:val="single" w:sz="6" w:space="0" w:color="000000"/>
              <w:left w:val="single" w:sz="6" w:space="0" w:color="000000"/>
              <w:bottom w:val="single" w:sz="12" w:space="0" w:color="000000"/>
              <w:right w:val="nil" w:sz="6" w:space="0" w:color="auto"/>
            </w:tcBorders>
          </w:tcPr>
          <w:p>
            <w:pPr>
              <w:pStyle w:val="TableParagraph"/>
              <w:spacing w:line="240" w:lineRule="auto" w:before="62"/>
              <w:ind w:left="363" w:right="0"/>
              <w:jc w:val="left"/>
              <w:rPr>
                <w:rFonts w:ascii="宋体" w:hAnsi="宋体" w:cs="宋体" w:eastAsia="宋体" w:hint="default"/>
                <w:sz w:val="18"/>
                <w:szCs w:val="18"/>
              </w:rPr>
            </w:pPr>
            <w:r>
              <w:rPr>
                <w:rFonts w:ascii="宋体" w:hAnsi="宋体" w:cs="宋体" w:eastAsia="宋体" w:hint="default"/>
                <w:sz w:val="18"/>
                <w:szCs w:val="18"/>
              </w:rPr>
              <w:t>年初余额</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6" w:type="dxa"/>
        <w:tblLayout w:type="fixed"/>
        <w:tblCellMar>
          <w:top w:w="0" w:type="dxa"/>
          <w:left w:w="0" w:type="dxa"/>
          <w:bottom w:w="0" w:type="dxa"/>
          <w:right w:w="0" w:type="dxa"/>
        </w:tblCellMar>
        <w:tblLook w:val="01E0"/>
      </w:tblPr>
      <w:tblGrid>
        <w:gridCol w:w="4274"/>
        <w:gridCol w:w="2696"/>
        <w:gridCol w:w="2698"/>
      </w:tblGrid>
      <w:tr>
        <w:trPr>
          <w:trHeight w:val="435" w:hRule="exact"/>
        </w:trPr>
        <w:tc>
          <w:tcPr>
            <w:tcW w:w="427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62"/>
              <w:ind w:left="362" w:right="0"/>
              <w:jc w:val="left"/>
              <w:rPr>
                <w:rFonts w:ascii="宋体" w:hAnsi="宋体" w:cs="宋体" w:eastAsia="宋体" w:hint="default"/>
                <w:sz w:val="18"/>
                <w:szCs w:val="18"/>
              </w:rPr>
            </w:pPr>
            <w:r>
              <w:rPr>
                <w:rFonts w:ascii="宋体" w:hAnsi="宋体" w:cs="宋体" w:eastAsia="宋体" w:hint="default"/>
                <w:sz w:val="18"/>
                <w:szCs w:val="18"/>
              </w:rPr>
              <w:t>不可撤销经营租赁的最低租赁付款额：</w:t>
            </w:r>
          </w:p>
        </w:tc>
        <w:tc>
          <w:tcPr>
            <w:tcW w:w="2696" w:type="dxa"/>
            <w:tcBorders>
              <w:top w:val="single" w:sz="6" w:space="0" w:color="000000"/>
              <w:left w:val="single" w:sz="6" w:space="0" w:color="000000"/>
              <w:bottom w:val="single" w:sz="12" w:space="0" w:color="000000"/>
              <w:right w:val="single" w:sz="6" w:space="0" w:color="000000"/>
            </w:tcBorders>
          </w:tcPr>
          <w:p>
            <w:pPr/>
          </w:p>
        </w:tc>
        <w:tc>
          <w:tcPr>
            <w:tcW w:w="2698" w:type="dxa"/>
            <w:tcBorders>
              <w:top w:val="single" w:sz="6" w:space="0" w:color="000000"/>
              <w:left w:val="single" w:sz="6" w:space="0" w:color="000000"/>
              <w:bottom w:val="single" w:sz="12" w:space="0" w:color="000000"/>
              <w:right w:val="nil" w:sz="6" w:space="0" w:color="auto"/>
            </w:tcBorders>
          </w:tcPr>
          <w:p>
            <w:pPr/>
          </w:p>
        </w:tc>
      </w:tr>
      <w:tr>
        <w:trPr>
          <w:trHeight w:val="432" w:hRule="exact"/>
        </w:trPr>
        <w:tc>
          <w:tcPr>
            <w:tcW w:w="4274"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1"/>
              <w:ind w:left="362" w:right="0"/>
              <w:jc w:val="left"/>
              <w:rPr>
                <w:rFonts w:ascii="宋体" w:hAnsi="宋体" w:cs="宋体" w:eastAsia="宋体" w:hint="default"/>
                <w:sz w:val="18"/>
                <w:szCs w:val="18"/>
              </w:rPr>
            </w:pPr>
            <w:r>
              <w:rPr>
                <w:rFonts w:ascii="宋体" w:hAnsi="宋体" w:cs="宋体" w:eastAsia="宋体" w:hint="default"/>
                <w:sz w:val="18"/>
                <w:szCs w:val="18"/>
              </w:rPr>
              <w:t>资产负债表日后第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69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91"/>
              <w:ind w:left="362" w:right="0"/>
              <w:jc w:val="left"/>
              <w:rPr>
                <w:rFonts w:ascii="Times New Roman" w:hAnsi="Times New Roman" w:cs="Times New Roman" w:eastAsia="Times New Roman" w:hint="default"/>
                <w:sz w:val="18"/>
                <w:szCs w:val="18"/>
              </w:rPr>
            </w:pPr>
            <w:r>
              <w:rPr>
                <w:rFonts w:ascii="Times New Roman"/>
                <w:sz w:val="18"/>
              </w:rPr>
              <w:t>3,828,422.40</w:t>
            </w:r>
          </w:p>
        </w:tc>
        <w:tc>
          <w:tcPr>
            <w:tcW w:w="2698"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91"/>
              <w:ind w:left="36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32" w:hRule="exact"/>
        </w:trPr>
        <w:tc>
          <w:tcPr>
            <w:tcW w:w="4274"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1"/>
              <w:ind w:left="362" w:right="0"/>
              <w:jc w:val="left"/>
              <w:rPr>
                <w:rFonts w:ascii="宋体" w:hAnsi="宋体" w:cs="宋体" w:eastAsia="宋体" w:hint="default"/>
                <w:sz w:val="18"/>
                <w:szCs w:val="18"/>
              </w:rPr>
            </w:pPr>
            <w:r>
              <w:rPr>
                <w:rFonts w:ascii="宋体" w:hAnsi="宋体" w:cs="宋体" w:eastAsia="宋体" w:hint="default"/>
                <w:sz w:val="18"/>
                <w:szCs w:val="18"/>
              </w:rPr>
              <w:t>资产负债表日后第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69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91"/>
              <w:ind w:left="362" w:right="0"/>
              <w:jc w:val="left"/>
              <w:rPr>
                <w:rFonts w:ascii="Times New Roman" w:hAnsi="Times New Roman" w:cs="Times New Roman" w:eastAsia="Times New Roman" w:hint="default"/>
                <w:sz w:val="18"/>
                <w:szCs w:val="18"/>
              </w:rPr>
            </w:pPr>
            <w:r>
              <w:rPr>
                <w:rFonts w:ascii="Times New Roman"/>
                <w:sz w:val="18"/>
              </w:rPr>
              <w:t>3,828,422.40</w:t>
            </w:r>
          </w:p>
        </w:tc>
        <w:tc>
          <w:tcPr>
            <w:tcW w:w="2698"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91"/>
              <w:ind w:left="36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32" w:hRule="exact"/>
        </w:trPr>
        <w:tc>
          <w:tcPr>
            <w:tcW w:w="4274"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1"/>
              <w:ind w:left="362" w:right="0"/>
              <w:jc w:val="left"/>
              <w:rPr>
                <w:rFonts w:ascii="宋体" w:hAnsi="宋体" w:cs="宋体" w:eastAsia="宋体" w:hint="default"/>
                <w:sz w:val="18"/>
                <w:szCs w:val="18"/>
              </w:rPr>
            </w:pPr>
            <w:r>
              <w:rPr>
                <w:rFonts w:ascii="宋体" w:hAnsi="宋体" w:cs="宋体" w:eastAsia="宋体" w:hint="default"/>
                <w:sz w:val="18"/>
                <w:szCs w:val="18"/>
              </w:rPr>
              <w:t>资产负债表日后第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69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91"/>
              <w:ind w:left="362" w:right="0"/>
              <w:jc w:val="left"/>
              <w:rPr>
                <w:rFonts w:ascii="Times New Roman" w:hAnsi="Times New Roman" w:cs="Times New Roman" w:eastAsia="Times New Roman" w:hint="default"/>
                <w:sz w:val="18"/>
                <w:szCs w:val="18"/>
              </w:rPr>
            </w:pPr>
            <w:r>
              <w:rPr>
                <w:rFonts w:ascii="Times New Roman"/>
                <w:sz w:val="18"/>
              </w:rPr>
              <w:t>3,828,422.40</w:t>
            </w:r>
          </w:p>
        </w:tc>
        <w:tc>
          <w:tcPr>
            <w:tcW w:w="2698"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91"/>
              <w:ind w:left="36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32" w:hRule="exact"/>
        </w:trPr>
        <w:tc>
          <w:tcPr>
            <w:tcW w:w="4274"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1"/>
              <w:ind w:left="362" w:right="0"/>
              <w:jc w:val="left"/>
              <w:rPr>
                <w:rFonts w:ascii="宋体" w:hAnsi="宋体" w:cs="宋体" w:eastAsia="宋体" w:hint="default"/>
                <w:sz w:val="18"/>
                <w:szCs w:val="18"/>
              </w:rPr>
            </w:pPr>
            <w:r>
              <w:rPr>
                <w:rFonts w:ascii="宋体" w:hAnsi="宋体" w:cs="宋体" w:eastAsia="宋体" w:hint="default"/>
                <w:sz w:val="18"/>
                <w:szCs w:val="18"/>
              </w:rPr>
              <w:t>以后年度</w:t>
            </w:r>
          </w:p>
        </w:tc>
        <w:tc>
          <w:tcPr>
            <w:tcW w:w="269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91"/>
              <w:ind w:left="362" w:right="0"/>
              <w:jc w:val="left"/>
              <w:rPr>
                <w:rFonts w:ascii="Times New Roman" w:hAnsi="Times New Roman" w:cs="Times New Roman" w:eastAsia="Times New Roman" w:hint="default"/>
                <w:sz w:val="18"/>
                <w:szCs w:val="18"/>
              </w:rPr>
            </w:pPr>
            <w:r>
              <w:rPr>
                <w:rFonts w:ascii="Times New Roman"/>
                <w:sz w:val="18"/>
              </w:rPr>
              <w:t>3,828,422.40</w:t>
            </w:r>
          </w:p>
        </w:tc>
        <w:tc>
          <w:tcPr>
            <w:tcW w:w="2698"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91"/>
              <w:ind w:left="36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32" w:hRule="exact"/>
        </w:trPr>
        <w:tc>
          <w:tcPr>
            <w:tcW w:w="4274"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1"/>
              <w:ind w:left="36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69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91"/>
              <w:ind w:left="362" w:right="0"/>
              <w:jc w:val="left"/>
              <w:rPr>
                <w:rFonts w:ascii="Times New Roman" w:hAnsi="Times New Roman" w:cs="Times New Roman" w:eastAsia="Times New Roman" w:hint="default"/>
                <w:sz w:val="18"/>
                <w:szCs w:val="18"/>
              </w:rPr>
            </w:pPr>
            <w:r>
              <w:rPr>
                <w:rFonts w:ascii="Times New Roman"/>
                <w:sz w:val="18"/>
              </w:rPr>
              <w:t>15,313,689.60</w:t>
            </w:r>
          </w:p>
        </w:tc>
        <w:tc>
          <w:tcPr>
            <w:tcW w:w="2698"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91"/>
              <w:ind w:left="36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pStyle w:val="BodyText"/>
        <w:spacing w:line="240" w:lineRule="auto" w:before="51"/>
        <w:ind w:left="514" w:right="0"/>
        <w:jc w:val="left"/>
        <w:rPr>
          <w:rFonts w:ascii="Times New Roman" w:hAnsi="Times New Roman" w:cs="Times New Roman" w:eastAsia="Times New Roman" w:hint="default"/>
        </w:rPr>
      </w:pPr>
      <w:r>
        <w:rPr/>
        <w:t>公司与深圳软件园管理中</w:t>
      </w:r>
      <w:r>
        <w:rPr>
          <w:spacing w:val="-4"/>
        </w:rPr>
        <w:t>心</w:t>
      </w:r>
      <w:r>
        <w:rPr/>
        <w:t>（以下简称</w:t>
      </w:r>
      <w:r>
        <w:rPr>
          <w:rFonts w:ascii="Times New Roman" w:hAnsi="Times New Roman" w:cs="Times New Roman" w:eastAsia="Times New Roman" w:hint="default"/>
          <w:spacing w:val="-1"/>
          <w:w w:val="100"/>
        </w:rPr>
        <w:t>“</w:t>
      </w:r>
      <w:r>
        <w:rPr/>
        <w:t>出租方</w:t>
      </w:r>
      <w:r>
        <w:rPr>
          <w:rFonts w:ascii="Times New Roman" w:hAnsi="Times New Roman" w:cs="Times New Roman" w:eastAsia="Times New Roman" w:hint="default"/>
          <w:w w:val="100"/>
        </w:rPr>
        <w:t>”</w:t>
      </w:r>
      <w:r>
        <w:rPr>
          <w:spacing w:val="-4"/>
        </w:rPr>
        <w:t>）</w:t>
      </w:r>
      <w:r>
        <w:rPr/>
        <w:t>签订</w:t>
      </w:r>
      <w:r>
        <w:rPr>
          <w:spacing w:val="-5"/>
        </w:rPr>
        <w:t>了</w:t>
      </w:r>
      <w:r>
        <w:rPr/>
        <w:t>《深圳市房</w:t>
      </w:r>
      <w:r>
        <w:rPr>
          <w:spacing w:val="-2"/>
        </w:rPr>
        <w:t>屋</w:t>
      </w:r>
      <w:r>
        <w:rPr/>
        <w:t>租赁合同书</w:t>
      </w:r>
      <w:r>
        <w:rPr>
          <w:spacing w:val="-90"/>
        </w:rPr>
        <w:t>》</w:t>
      </w:r>
      <w:r>
        <w:rPr>
          <w:spacing w:val="-5"/>
        </w:rPr>
        <w:t>，</w:t>
      </w:r>
      <w:r>
        <w:rPr/>
        <w:t>出租方将其位于南山区学府路</w:t>
      </w:r>
      <w:r>
        <w:rPr>
          <w:spacing w:val="-46"/>
        </w:rPr>
        <w:t> </w:t>
      </w:r>
      <w:r>
        <w:rPr>
          <w:rFonts w:ascii="Times New Roman" w:hAnsi="Times New Roman" w:cs="Times New Roman" w:eastAsia="Times New Roman" w:hint="default"/>
          <w:spacing w:val="1"/>
        </w:rPr>
        <w:t>63</w:t>
      </w:r>
      <w:r>
        <w:rPr>
          <w:rFonts w:ascii="Times New Roman" w:hAnsi="Times New Roman" w:cs="Times New Roman" w:eastAsia="Times New Roman" w:hint="default"/>
        </w:rPr>
      </w:r>
    </w:p>
    <w:p>
      <w:pPr>
        <w:pStyle w:val="BodyText"/>
        <w:spacing w:line="240" w:lineRule="auto" w:before="61"/>
        <w:ind w:right="0"/>
        <w:jc w:val="left"/>
      </w:pPr>
      <w:r>
        <w:rPr/>
        <w:t>号高新区联合总部大厦</w:t>
      </w:r>
      <w:r>
        <w:rPr>
          <w:spacing w:val="-49"/>
        </w:rPr>
        <w:t> </w:t>
      </w:r>
      <w:r>
        <w:rPr>
          <w:rFonts w:ascii="Times New Roman" w:hAnsi="Times New Roman" w:cs="Times New Roman" w:eastAsia="Times New Roman" w:hint="default"/>
        </w:rPr>
        <w:t>9</w:t>
      </w:r>
      <w:r>
        <w:rPr>
          <w:rFonts w:ascii="Times New Roman" w:hAnsi="Times New Roman" w:cs="Times New Roman" w:eastAsia="Times New Roman" w:hint="default"/>
          <w:spacing w:val="-4"/>
        </w:rPr>
        <w:t> </w:t>
      </w:r>
      <w:r>
        <w:rPr>
          <w:spacing w:val="-3"/>
        </w:rPr>
        <w:t>楼、</w:t>
      </w:r>
      <w:r>
        <w:rPr>
          <w:rFonts w:ascii="Times New Roman" w:hAnsi="Times New Roman" w:cs="Times New Roman" w:eastAsia="Times New Roman" w:hint="default"/>
          <w:spacing w:val="-3"/>
        </w:rPr>
        <w:t>10</w:t>
      </w:r>
      <w:r>
        <w:rPr>
          <w:rFonts w:ascii="Times New Roman" w:hAnsi="Times New Roman" w:cs="Times New Roman" w:eastAsia="Times New Roman" w:hint="default"/>
          <w:spacing w:val="-4"/>
        </w:rPr>
        <w:t> </w:t>
      </w:r>
      <w:r>
        <w:rPr/>
        <w:t>楼出租给公司使用，租赁房屋建筑面积共计</w:t>
      </w:r>
      <w:r>
        <w:rPr>
          <w:spacing w:val="-49"/>
        </w:rPr>
        <w:t> </w:t>
      </w:r>
      <w:r>
        <w:rPr>
          <w:rFonts w:ascii="Times New Roman" w:hAnsi="Times New Roman" w:cs="Times New Roman" w:eastAsia="Times New Roman" w:hint="default"/>
        </w:rPr>
        <w:t>3,987.94</w:t>
      </w:r>
      <w:r>
        <w:rPr>
          <w:rFonts w:ascii="Times New Roman" w:hAnsi="Times New Roman" w:cs="Times New Roman" w:eastAsia="Times New Roman" w:hint="default"/>
          <w:spacing w:val="-4"/>
        </w:rPr>
        <w:t> </w:t>
      </w:r>
      <w:r>
        <w:rPr/>
        <w:t>平方米，每平方米月租金</w:t>
      </w:r>
      <w:r>
        <w:rPr>
          <w:spacing w:val="-49"/>
        </w:rPr>
        <w:t> </w:t>
      </w:r>
      <w:r>
        <w:rPr>
          <w:rFonts w:ascii="Times New Roman" w:hAnsi="Times New Roman" w:cs="Times New Roman" w:eastAsia="Times New Roman" w:hint="default"/>
        </w:rPr>
        <w:t>80</w:t>
      </w:r>
      <w:r>
        <w:rPr>
          <w:rFonts w:ascii="Times New Roman" w:hAnsi="Times New Roman" w:cs="Times New Roman" w:eastAsia="Times New Roman" w:hint="default"/>
          <w:spacing w:val="-3"/>
        </w:rPr>
        <w:t> </w:t>
      </w:r>
      <w:r>
        <w:rPr>
          <w:spacing w:val="-3"/>
        </w:rPr>
        <w:t>元，每月</w:t>
      </w:r>
    </w:p>
    <w:p>
      <w:pPr>
        <w:pStyle w:val="BodyText"/>
        <w:spacing w:line="240" w:lineRule="auto" w:before="64"/>
        <w:ind w:right="0"/>
        <w:jc w:val="left"/>
      </w:pPr>
      <w:r>
        <w:rPr/>
        <w:t>合计租金</w:t>
      </w:r>
      <w:r>
        <w:rPr>
          <w:spacing w:val="-46"/>
        </w:rPr>
        <w:t> </w:t>
      </w:r>
      <w:r>
        <w:rPr>
          <w:rFonts w:ascii="Times New Roman" w:hAnsi="Times New Roman" w:cs="Times New Roman" w:eastAsia="Times New Roman" w:hint="default"/>
        </w:rPr>
        <w:t>319,035.20</w:t>
      </w:r>
      <w:r>
        <w:rPr>
          <w:rFonts w:ascii="Times New Roman" w:hAnsi="Times New Roman" w:cs="Times New Roman" w:eastAsia="Times New Roman" w:hint="default"/>
          <w:spacing w:val="-1"/>
        </w:rPr>
        <w:t> </w:t>
      </w:r>
      <w:r>
        <w:rPr/>
        <w:t>元，租赁期限自</w:t>
      </w:r>
      <w:r>
        <w:rPr>
          <w:spacing w:val="-46"/>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w:t>
      </w:r>
      <w:r>
        <w:rPr>
          <w:spacing w:val="-4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月</w:t>
      </w:r>
      <w:r>
        <w:rPr>
          <w:spacing w:val="-46"/>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日至</w:t>
      </w:r>
      <w:r>
        <w:rPr>
          <w:spacing w:val="-46"/>
        </w:rPr>
        <w:t> </w:t>
      </w:r>
      <w:r>
        <w:rPr>
          <w:rFonts w:ascii="Times New Roman" w:hAnsi="Times New Roman" w:cs="Times New Roman" w:eastAsia="Times New Roman" w:hint="default"/>
        </w:rPr>
        <w:t>2021</w:t>
      </w:r>
      <w:r>
        <w:rPr>
          <w:rFonts w:ascii="Times New Roman" w:hAnsi="Times New Roman" w:cs="Times New Roman" w:eastAsia="Times New Roman" w:hint="default"/>
          <w:spacing w:val="-1"/>
        </w:rPr>
        <w:t> </w:t>
      </w:r>
      <w:r>
        <w:rPr/>
        <w:t>年</w:t>
      </w:r>
      <w:r>
        <w:rPr>
          <w:spacing w:val="-46"/>
        </w:rPr>
        <w:t> </w:t>
      </w:r>
      <w:r>
        <w:rPr>
          <w:rFonts w:ascii="Times New Roman" w:hAnsi="Times New Roman" w:cs="Times New Roman" w:eastAsia="Times New Roman" w:hint="default"/>
        </w:rPr>
        <w:t>12 </w:t>
      </w:r>
      <w:r>
        <w:rPr/>
        <w:t>月</w:t>
      </w:r>
      <w:r>
        <w:rPr>
          <w:spacing w:val="-46"/>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w:t>
      </w:r>
    </w:p>
    <w:p>
      <w:pPr>
        <w:spacing w:line="240" w:lineRule="auto" w:before="9"/>
        <w:rPr>
          <w:rFonts w:ascii="宋体" w:hAnsi="宋体" w:cs="宋体" w:eastAsia="宋体" w:hint="default"/>
          <w:sz w:val="25"/>
          <w:szCs w:val="25"/>
        </w:rPr>
      </w:pPr>
    </w:p>
    <w:p>
      <w:pPr>
        <w:pStyle w:val="Heading3"/>
        <w:spacing w:line="240" w:lineRule="auto"/>
        <w:ind w:left="153" w:right="0"/>
        <w:jc w:val="left"/>
        <w:rPr>
          <w:b w:val="0"/>
          <w:bCs w:val="0"/>
        </w:rPr>
      </w:pPr>
      <w:bookmarkStart w:name="2、或有事项" w:id="482"/>
      <w:bookmarkEnd w:id="482"/>
      <w:r>
        <w:rPr>
          <w:b w:val="0"/>
          <w:bCs w:val="0"/>
        </w:rPr>
      </w:r>
      <w:r>
        <w:rPr>
          <w:rFonts w:ascii="Times New Roman" w:hAnsi="Times New Roman" w:cs="Times New Roman" w:eastAsia="Times New Roman" w:hint="default"/>
        </w:rPr>
        <w:t>2</w:t>
      </w:r>
      <w:r>
        <w:rPr/>
        <w:t>、或有事项</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left="153" w:right="0"/>
        <w:jc w:val="left"/>
        <w:rPr>
          <w:b w:val="0"/>
          <w:bCs w:val="0"/>
        </w:rPr>
      </w:pPr>
      <w:bookmarkStart w:name="（1）资产负债表日存在的重要或有事项" w:id="483"/>
      <w:bookmarkEnd w:id="483"/>
      <w:r>
        <w:rPr>
          <w:b w:val="0"/>
          <w:bCs w:val="0"/>
        </w:rPr>
      </w:r>
      <w:r>
        <w:rPr/>
        <w:t>（</w:t>
      </w:r>
      <w:r>
        <w:rPr>
          <w:rFonts w:ascii="Times New Roman" w:hAnsi="Times New Roman" w:cs="Times New Roman" w:eastAsia="Times New Roman" w:hint="default"/>
        </w:rPr>
        <w:t>1</w:t>
      </w:r>
      <w:r>
        <w:rPr/>
        <w:t>）资产负债表日存在的重要或有事项</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513" w:right="0"/>
        <w:jc w:val="left"/>
      </w:pPr>
      <w:r>
        <w:rPr/>
        <w:t>截至</w:t>
      </w:r>
      <w:r>
        <w:rPr>
          <w:spacing w:val="-46"/>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w:t>
      </w:r>
      <w:r>
        <w:rPr>
          <w:spacing w:val="-46"/>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46"/>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日，本公司无需要披露的重大或有事项。</w:t>
      </w:r>
    </w:p>
    <w:p>
      <w:pPr>
        <w:spacing w:line="240" w:lineRule="auto" w:before="10"/>
        <w:rPr>
          <w:rFonts w:ascii="宋体" w:hAnsi="宋体" w:cs="宋体" w:eastAsia="宋体" w:hint="default"/>
          <w:sz w:val="25"/>
          <w:szCs w:val="25"/>
        </w:rPr>
      </w:pPr>
    </w:p>
    <w:p>
      <w:pPr>
        <w:pStyle w:val="Heading3"/>
        <w:spacing w:line="240" w:lineRule="auto"/>
        <w:ind w:left="153" w:right="0"/>
        <w:jc w:val="left"/>
        <w:rPr>
          <w:b w:val="0"/>
          <w:bCs w:val="0"/>
        </w:rPr>
      </w:pPr>
      <w:bookmarkStart w:name="（2）公司没有需要披露的重要或有事项，也应予以说明" w:id="484"/>
      <w:bookmarkEnd w:id="484"/>
      <w:r>
        <w:rPr>
          <w:b w:val="0"/>
          <w:bCs w:val="0"/>
        </w:rPr>
      </w:r>
      <w:r>
        <w:rPr/>
        <w:t>（</w:t>
      </w:r>
      <w:r>
        <w:rPr>
          <w:rFonts w:ascii="Times New Roman" w:hAnsi="Times New Roman" w:cs="Times New Roman" w:eastAsia="Times New Roman" w:hint="default"/>
        </w:rPr>
        <w:t>2</w:t>
      </w:r>
      <w:r>
        <w:rPr/>
        <w:t>）公司没有需要披露的重要或有事项，也应予以说明</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513" w:right="0"/>
        <w:jc w:val="left"/>
      </w:pPr>
      <w:r>
        <w:rPr/>
        <w:t>公司不存在需要披露的重要或有事项。</w:t>
      </w:r>
    </w:p>
    <w:p>
      <w:pPr>
        <w:spacing w:line="240" w:lineRule="auto" w:before="11"/>
        <w:rPr>
          <w:rFonts w:ascii="宋体" w:hAnsi="宋体" w:cs="宋体" w:eastAsia="宋体" w:hint="default"/>
          <w:sz w:val="26"/>
          <w:szCs w:val="26"/>
        </w:rPr>
      </w:pPr>
    </w:p>
    <w:p>
      <w:pPr>
        <w:spacing w:line="487" w:lineRule="auto" w:before="0"/>
        <w:ind w:left="153" w:right="7693" w:firstLine="0"/>
        <w:jc w:val="left"/>
        <w:rPr>
          <w:rFonts w:ascii="宋体" w:hAnsi="宋体" w:cs="宋体" w:eastAsia="宋体" w:hint="default"/>
          <w:sz w:val="21"/>
          <w:szCs w:val="21"/>
        </w:rPr>
      </w:pPr>
      <w:bookmarkStart w:name="3、其他" w:id="485"/>
      <w:bookmarkEnd w:id="485"/>
      <w:r>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、其他</w:t>
      </w:r>
      <w:r>
        <w:rPr>
          <w:rFonts w:ascii="宋体" w:hAnsi="宋体" w:cs="宋体" w:eastAsia="宋体" w:hint="default"/>
          <w:b/>
          <w:bCs/>
          <w:spacing w:val="1"/>
          <w:w w:val="99"/>
          <w:sz w:val="21"/>
          <w:szCs w:val="21"/>
        </w:rPr>
        <w:t> </w:t>
      </w:r>
      <w:bookmarkStart w:name="十五、资产负债表日后事项" w:id="486"/>
      <w:bookmarkEnd w:id="486"/>
      <w:r>
        <w:rPr>
          <w:rFonts w:ascii="宋体" w:hAnsi="宋体" w:cs="宋体" w:eastAsia="宋体" w:hint="default"/>
          <w:b/>
          <w:bCs/>
          <w:spacing w:val="1"/>
          <w:w w:val="99"/>
          <w:sz w:val="21"/>
          <w:szCs w:val="21"/>
        </w:rPr>
      </w:r>
      <w:r>
        <w:rPr>
          <w:rFonts w:ascii="宋体" w:hAnsi="宋体" w:cs="宋体" w:eastAsia="宋体" w:hint="default"/>
          <w:b/>
          <w:bCs/>
          <w:w w:val="95"/>
          <w:sz w:val="24"/>
          <w:szCs w:val="24"/>
        </w:rPr>
        <w:t>十五、资产负债表日后事项</w:t>
      </w:r>
      <w:r>
        <w:rPr>
          <w:rFonts w:ascii="宋体" w:hAnsi="宋体" w:cs="宋体" w:eastAsia="宋体" w:hint="default"/>
          <w:b/>
          <w:bCs/>
          <w:spacing w:val="18"/>
          <w:w w:val="95"/>
          <w:sz w:val="24"/>
          <w:szCs w:val="24"/>
        </w:rPr>
        <w:t> </w:t>
      </w:r>
      <w:r>
        <w:rPr>
          <w:rFonts w:ascii="宋体" w:hAnsi="宋体" w:cs="宋体" w:eastAsia="宋体" w:hint="default"/>
          <w:b/>
          <w:bCs/>
          <w:spacing w:val="18"/>
          <w:w w:val="95"/>
          <w:sz w:val="24"/>
          <w:szCs w:val="24"/>
        </w:rPr>
      </w:r>
      <w:bookmarkStart w:name="1、重要的非调整事项" w:id="487"/>
      <w:bookmarkEnd w:id="487"/>
      <w:r>
        <w:rPr>
          <w:rFonts w:ascii="宋体" w:hAnsi="宋体" w:cs="宋体" w:eastAsia="宋体" w:hint="default"/>
          <w:b/>
          <w:bCs/>
          <w:spacing w:val="18"/>
          <w:w w:val="95"/>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、重要的非调整事项</w:t>
      </w:r>
      <w:r>
        <w:rPr>
          <w:rFonts w:ascii="宋体" w:hAnsi="宋体" w:cs="宋体" w:eastAsia="宋体" w:hint="default"/>
          <w:sz w:val="21"/>
          <w:szCs w:val="21"/>
        </w:rPr>
      </w:r>
    </w:p>
    <w:p>
      <w:pPr>
        <w:pStyle w:val="BodyText"/>
        <w:spacing w:line="240" w:lineRule="auto" w:before="108"/>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494"/>
        <w:gridCol w:w="2295"/>
        <w:gridCol w:w="2391"/>
        <w:gridCol w:w="2389"/>
      </w:tblGrid>
      <w:tr>
        <w:trPr>
          <w:trHeight w:val="714"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内容</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09" w:right="111" w:hanging="900"/>
              <w:jc w:val="left"/>
              <w:rPr>
                <w:rFonts w:ascii="宋体" w:hAnsi="宋体" w:cs="宋体" w:eastAsia="宋体" w:hint="default"/>
                <w:sz w:val="18"/>
                <w:szCs w:val="18"/>
              </w:rPr>
            </w:pPr>
            <w:r>
              <w:rPr>
                <w:rFonts w:ascii="宋体" w:hAnsi="宋体" w:cs="宋体" w:eastAsia="宋体" w:hint="default"/>
                <w:sz w:val="18"/>
                <w:szCs w:val="18"/>
              </w:rPr>
              <w:t>对财务状况和经营成果的影 响数</w:t>
            </w:r>
          </w:p>
        </w:tc>
        <w:tc>
          <w:tcPr>
            <w:tcW w:w="2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89" w:right="0"/>
              <w:jc w:val="left"/>
              <w:rPr>
                <w:rFonts w:ascii="宋体" w:hAnsi="宋体" w:cs="宋体" w:eastAsia="宋体" w:hint="default"/>
                <w:sz w:val="18"/>
                <w:szCs w:val="18"/>
              </w:rPr>
            </w:pPr>
            <w:r>
              <w:rPr>
                <w:rFonts w:ascii="宋体" w:hAnsi="宋体" w:cs="宋体" w:eastAsia="宋体" w:hint="default"/>
                <w:sz w:val="18"/>
                <w:szCs w:val="18"/>
              </w:rPr>
              <w:t>无法估计影响数的原因</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利润分配情况" w:id="488"/>
      <w:bookmarkEnd w:id="488"/>
      <w:r>
        <w:rPr>
          <w:b w:val="0"/>
          <w:bCs w:val="0"/>
        </w:rPr>
      </w:r>
      <w:r>
        <w:rPr>
          <w:rFonts w:ascii="Times New Roman" w:hAnsi="Times New Roman" w:cs="Times New Roman" w:eastAsia="Times New Roman" w:hint="default"/>
        </w:rPr>
        <w:t>2</w:t>
      </w:r>
      <w:r>
        <w:rPr/>
        <w:t>、利润分配情况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984"/>
        <w:gridCol w:w="4585"/>
      </w:tblGrid>
      <w:tr>
        <w:trPr>
          <w:trHeight w:val="402"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拟分配的利润或股利</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61,121,483.40</w:t>
            </w:r>
          </w:p>
        </w:tc>
      </w:tr>
      <w:tr>
        <w:trPr>
          <w:trHeight w:val="402"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经审议批准宣告发放的利润或股利</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3、销售退回" w:id="489"/>
      <w:bookmarkEnd w:id="489"/>
      <w:r>
        <w:rPr>
          <w:b w:val="0"/>
          <w:bCs w:val="0"/>
        </w:rPr>
      </w:r>
      <w:r>
        <w:rPr>
          <w:rFonts w:ascii="Times New Roman" w:hAnsi="Times New Roman" w:cs="Times New Roman" w:eastAsia="Times New Roman" w:hint="default"/>
        </w:rPr>
        <w:t>3</w:t>
      </w:r>
      <w:r>
        <w:rPr/>
        <w:t>、销售退回</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154" w:right="0"/>
        <w:jc w:val="left"/>
      </w:pPr>
      <w:r>
        <w:rPr/>
        <w:t>无。</w:t>
      </w:r>
    </w:p>
    <w:p>
      <w:pPr>
        <w:spacing w:after="0" w:line="240" w:lineRule="auto"/>
        <w:jc w:val="left"/>
        <w:sectPr>
          <w:pgSz w:w="11910" w:h="16840"/>
          <w:pgMar w:header="747" w:footer="979"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5"/>
        <w:ind w:left="153" w:right="0"/>
        <w:jc w:val="left"/>
        <w:rPr>
          <w:b w:val="0"/>
          <w:bCs w:val="0"/>
        </w:rPr>
      </w:pPr>
      <w:bookmarkStart w:name="4、其他资产负债表日后事项说明" w:id="490"/>
      <w:bookmarkEnd w:id="490"/>
      <w:r>
        <w:rPr>
          <w:b w:val="0"/>
          <w:bCs w:val="0"/>
        </w:rPr>
      </w:r>
      <w:r>
        <w:rPr>
          <w:rFonts w:ascii="Times New Roman" w:hAnsi="Times New Roman" w:cs="Times New Roman" w:eastAsia="Times New Roman" w:hint="default"/>
        </w:rPr>
        <w:t>4</w:t>
      </w:r>
      <w:r>
        <w:rPr/>
        <w:t>、其他资产负债表日后事项说明</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2"/>
        <w:rPr>
          <w:rFonts w:ascii="宋体" w:hAnsi="宋体" w:cs="宋体" w:eastAsia="宋体" w:hint="default"/>
          <w:sz w:val="25"/>
          <w:szCs w:val="25"/>
        </w:rPr>
      </w:pPr>
    </w:p>
    <w:p>
      <w:pPr>
        <w:pStyle w:val="Heading2"/>
        <w:spacing w:line="240" w:lineRule="auto"/>
        <w:ind w:left="154" w:right="0"/>
        <w:jc w:val="left"/>
        <w:rPr>
          <w:b w:val="0"/>
          <w:bCs w:val="0"/>
        </w:rPr>
      </w:pPr>
      <w:bookmarkStart w:name="十六、其他重要事项" w:id="491"/>
      <w:bookmarkEnd w:id="491"/>
      <w:r>
        <w:rPr>
          <w:b w:val="0"/>
          <w:bCs w:val="0"/>
        </w:rPr>
      </w:r>
      <w:r>
        <w:rPr/>
        <w:t>十六、其他重要事项</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53" w:right="0"/>
        <w:jc w:val="left"/>
        <w:rPr>
          <w:b w:val="0"/>
          <w:bCs w:val="0"/>
        </w:rPr>
      </w:pPr>
      <w:bookmarkStart w:name="1、前期会计差错更正" w:id="492"/>
      <w:bookmarkEnd w:id="492"/>
      <w:r>
        <w:rPr>
          <w:b w:val="0"/>
          <w:bCs w:val="0"/>
        </w:rPr>
      </w:r>
      <w:r>
        <w:rPr>
          <w:rFonts w:ascii="Times New Roman" w:hAnsi="Times New Roman" w:cs="Times New Roman" w:eastAsia="Times New Roman" w:hint="default"/>
        </w:rPr>
        <w:t>1</w:t>
      </w:r>
      <w:r>
        <w:rPr/>
        <w:t>、前期会计差错更正</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53" w:right="0"/>
        <w:jc w:val="left"/>
        <w:rPr>
          <w:b w:val="0"/>
          <w:bCs w:val="0"/>
        </w:rPr>
      </w:pPr>
      <w:bookmarkStart w:name="（1）追溯重述法" w:id="493"/>
      <w:bookmarkEnd w:id="493"/>
      <w:r>
        <w:rPr>
          <w:b w:val="0"/>
          <w:bCs w:val="0"/>
        </w:rPr>
      </w:r>
      <w:r>
        <w:rPr/>
        <w:t>（</w:t>
      </w:r>
      <w:r>
        <w:rPr>
          <w:rFonts w:ascii="Times New Roman" w:hAnsi="Times New Roman" w:cs="Times New Roman" w:eastAsia="Times New Roman" w:hint="default"/>
        </w:rPr>
        <w:t>1</w:t>
      </w:r>
      <w:r>
        <w:rPr/>
        <w:t>）追溯重述法</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494"/>
        <w:gridCol w:w="2295"/>
        <w:gridCol w:w="2391"/>
        <w:gridCol w:w="2389"/>
      </w:tblGrid>
      <w:tr>
        <w:trPr>
          <w:trHeight w:val="714"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30" w:right="0"/>
              <w:jc w:val="left"/>
              <w:rPr>
                <w:rFonts w:ascii="宋体" w:hAnsi="宋体" w:cs="宋体" w:eastAsia="宋体" w:hint="default"/>
                <w:sz w:val="18"/>
                <w:szCs w:val="18"/>
              </w:rPr>
            </w:pPr>
            <w:r>
              <w:rPr>
                <w:rFonts w:ascii="宋体" w:hAnsi="宋体" w:cs="宋体" w:eastAsia="宋体" w:hint="default"/>
                <w:sz w:val="18"/>
                <w:szCs w:val="18"/>
              </w:rPr>
              <w:t>会计差错更正的内容</w:t>
            </w:r>
          </w:p>
        </w:tc>
        <w:tc>
          <w:tcPr>
            <w:tcW w:w="2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处理程序</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829" w:right="111" w:hanging="720"/>
              <w:jc w:val="left"/>
              <w:rPr>
                <w:rFonts w:ascii="宋体" w:hAnsi="宋体" w:cs="宋体" w:eastAsia="宋体" w:hint="default"/>
                <w:sz w:val="18"/>
                <w:szCs w:val="18"/>
              </w:rPr>
            </w:pPr>
            <w:r>
              <w:rPr>
                <w:rFonts w:ascii="宋体" w:hAnsi="宋体" w:cs="宋体" w:eastAsia="宋体" w:hint="default"/>
                <w:sz w:val="18"/>
                <w:szCs w:val="18"/>
              </w:rPr>
              <w:t>受影响的各个比较期间报表 项目名称</w:t>
            </w:r>
          </w:p>
        </w:tc>
        <w:tc>
          <w:tcPr>
            <w:tcW w:w="2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39" w:right="0"/>
              <w:jc w:val="left"/>
              <w:rPr>
                <w:rFonts w:ascii="宋体" w:hAnsi="宋体" w:cs="宋体" w:eastAsia="宋体" w:hint="default"/>
                <w:sz w:val="18"/>
                <w:szCs w:val="18"/>
              </w:rPr>
            </w:pPr>
            <w:r>
              <w:rPr>
                <w:rFonts w:ascii="宋体" w:hAnsi="宋体" w:cs="宋体" w:eastAsia="宋体" w:hint="default"/>
                <w:sz w:val="18"/>
                <w:szCs w:val="18"/>
              </w:rPr>
              <w:t>累积影响数</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未来适用法" w:id="494"/>
      <w:bookmarkEnd w:id="494"/>
      <w:r>
        <w:rPr>
          <w:b w:val="0"/>
          <w:bCs w:val="0"/>
        </w:rPr>
      </w:r>
      <w:r>
        <w:rPr/>
        <w:t>（</w:t>
      </w:r>
      <w:r>
        <w:rPr>
          <w:rFonts w:ascii="Times New Roman" w:hAnsi="Times New Roman" w:cs="Times New Roman" w:eastAsia="Times New Roman" w:hint="default"/>
        </w:rPr>
        <w:t>2</w:t>
      </w:r>
      <w:r>
        <w:rPr/>
        <w:t>）未来适用法</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324"/>
        <w:gridCol w:w="3059"/>
        <w:gridCol w:w="3175"/>
      </w:tblGrid>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46" w:right="0"/>
              <w:jc w:val="left"/>
              <w:rPr>
                <w:rFonts w:ascii="宋体" w:hAnsi="宋体" w:cs="宋体" w:eastAsia="宋体" w:hint="default"/>
                <w:sz w:val="18"/>
                <w:szCs w:val="18"/>
              </w:rPr>
            </w:pPr>
            <w:r>
              <w:rPr>
                <w:rFonts w:ascii="宋体" w:hAnsi="宋体" w:cs="宋体" w:eastAsia="宋体" w:hint="default"/>
                <w:sz w:val="18"/>
                <w:szCs w:val="18"/>
              </w:rPr>
              <w:t>会计差错更正的内容</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批准程序</w:t>
            </w:r>
          </w:p>
        </w:tc>
        <w:tc>
          <w:tcPr>
            <w:tcW w:w="31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87" w:right="0"/>
              <w:jc w:val="left"/>
              <w:rPr>
                <w:rFonts w:ascii="宋体" w:hAnsi="宋体" w:cs="宋体" w:eastAsia="宋体" w:hint="default"/>
                <w:sz w:val="18"/>
                <w:szCs w:val="18"/>
              </w:rPr>
            </w:pPr>
            <w:r>
              <w:rPr>
                <w:rFonts w:ascii="宋体" w:hAnsi="宋体" w:cs="宋体" w:eastAsia="宋体" w:hint="default"/>
                <w:sz w:val="18"/>
                <w:szCs w:val="18"/>
              </w:rPr>
              <w:t>采用未来适用法的原因</w:t>
            </w:r>
          </w:p>
        </w:tc>
      </w:tr>
    </w:tbl>
    <w:p>
      <w:pPr>
        <w:spacing w:line="240" w:lineRule="auto" w:before="2"/>
        <w:rPr>
          <w:rFonts w:ascii="宋体" w:hAnsi="宋体" w:cs="宋体" w:eastAsia="宋体" w:hint="default"/>
          <w:b/>
          <w:bCs/>
          <w:sz w:val="19"/>
          <w:szCs w:val="19"/>
        </w:rPr>
      </w:pPr>
    </w:p>
    <w:p>
      <w:pPr>
        <w:pStyle w:val="Heading3"/>
        <w:spacing w:line="240" w:lineRule="auto" w:before="35"/>
        <w:ind w:right="0"/>
        <w:jc w:val="left"/>
        <w:rPr>
          <w:b w:val="0"/>
          <w:bCs w:val="0"/>
        </w:rPr>
      </w:pPr>
      <w:bookmarkStart w:name="2、债务重组" w:id="495"/>
      <w:bookmarkEnd w:id="495"/>
      <w:r>
        <w:rPr>
          <w:b w:val="0"/>
          <w:bCs w:val="0"/>
        </w:rPr>
      </w:r>
      <w:r>
        <w:rPr>
          <w:rFonts w:ascii="Times New Roman" w:hAnsi="Times New Roman" w:cs="Times New Roman" w:eastAsia="Times New Roman" w:hint="default"/>
        </w:rPr>
        <w:t>2</w:t>
      </w:r>
      <w:r>
        <w:rPr/>
        <w:t>、债务重组</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3、资产置换" w:id="496"/>
      <w:bookmarkEnd w:id="496"/>
      <w:r>
        <w:rPr>
          <w:b w:val="0"/>
          <w:bCs w:val="0"/>
        </w:rPr>
      </w:r>
      <w:r>
        <w:rPr>
          <w:rFonts w:ascii="Times New Roman" w:hAnsi="Times New Roman" w:cs="Times New Roman" w:eastAsia="Times New Roman" w:hint="default"/>
        </w:rPr>
        <w:t>3</w:t>
      </w:r>
      <w:r>
        <w:rPr/>
        <w:t>、资产置换</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1）非货币性资产交换" w:id="497"/>
      <w:bookmarkEnd w:id="497"/>
      <w:r>
        <w:rPr>
          <w:b w:val="0"/>
          <w:bCs w:val="0"/>
        </w:rPr>
      </w:r>
      <w:r>
        <w:rPr/>
        <w:t>（</w:t>
      </w:r>
      <w:r>
        <w:rPr>
          <w:rFonts w:ascii="Times New Roman" w:hAnsi="Times New Roman" w:cs="Times New Roman" w:eastAsia="Times New Roman" w:hint="default"/>
        </w:rPr>
        <w:t>1</w:t>
      </w:r>
      <w:r>
        <w:rPr/>
        <w:t>）非货币性资产交换</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2）其他资产置换" w:id="498"/>
      <w:bookmarkEnd w:id="498"/>
      <w:r>
        <w:rPr>
          <w:b w:val="0"/>
          <w:bCs w:val="0"/>
        </w:rPr>
      </w:r>
      <w:r>
        <w:rPr/>
        <w:t>（</w:t>
      </w:r>
      <w:r>
        <w:rPr>
          <w:rFonts w:ascii="Times New Roman" w:hAnsi="Times New Roman" w:cs="Times New Roman" w:eastAsia="Times New Roman" w:hint="default"/>
        </w:rPr>
        <w:t>2</w:t>
      </w:r>
      <w:r>
        <w:rPr/>
        <w:t>）其他资产置换</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4、年金计划" w:id="499"/>
      <w:bookmarkEnd w:id="499"/>
      <w:r>
        <w:rPr>
          <w:b w:val="0"/>
          <w:bCs w:val="0"/>
        </w:rPr>
      </w:r>
      <w:r>
        <w:rPr>
          <w:rFonts w:ascii="Times New Roman" w:hAnsi="Times New Roman" w:cs="Times New Roman" w:eastAsia="Times New Roman" w:hint="default"/>
        </w:rPr>
        <w:t>4</w:t>
      </w:r>
      <w:r>
        <w:rPr/>
        <w:t>、年金计划</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5、终止经营" w:id="500"/>
      <w:bookmarkEnd w:id="500"/>
      <w:r>
        <w:rPr>
          <w:b w:val="0"/>
          <w:bCs w:val="0"/>
        </w:rPr>
      </w:r>
      <w:r>
        <w:rPr>
          <w:rFonts w:ascii="Times New Roman" w:hAnsi="Times New Roman" w:cs="Times New Roman" w:eastAsia="Times New Roman" w:hint="default"/>
        </w:rPr>
        <w:t>5</w:t>
      </w:r>
      <w:r>
        <w:rPr/>
        <w:t>、终止经营</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1026"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费用</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17"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9"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408"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47" w:right="47"/>
              <w:jc w:val="center"/>
              <w:rPr>
                <w:rFonts w:ascii="宋体" w:hAnsi="宋体" w:cs="宋体" w:eastAsia="宋体" w:hint="default"/>
                <w:sz w:val="18"/>
                <w:szCs w:val="18"/>
              </w:rPr>
            </w:pPr>
            <w:r>
              <w:rPr>
                <w:rFonts w:ascii="宋体" w:hAnsi="宋体" w:cs="宋体" w:eastAsia="宋体" w:hint="default"/>
                <w:sz w:val="18"/>
                <w:szCs w:val="18"/>
              </w:rPr>
              <w:t>归属于母公司所 有者的终止经营 利润</w:t>
            </w:r>
          </w:p>
        </w:tc>
      </w:tr>
    </w:tbl>
    <w:p>
      <w:pPr>
        <w:pStyle w:val="BodyText"/>
        <w:spacing w:line="357" w:lineRule="auto" w:before="52"/>
        <w:ind w:right="10033"/>
        <w:jc w:val="left"/>
      </w:pPr>
      <w:r>
        <w:rPr/>
        <w:t>其他说明 无。</w:t>
      </w:r>
    </w:p>
    <w:p>
      <w:pPr>
        <w:spacing w:line="240" w:lineRule="auto" w:before="1"/>
        <w:rPr>
          <w:rFonts w:ascii="宋体" w:hAnsi="宋体" w:cs="宋体" w:eastAsia="宋体" w:hint="default"/>
          <w:sz w:val="20"/>
          <w:szCs w:val="20"/>
        </w:rPr>
      </w:pPr>
    </w:p>
    <w:p>
      <w:pPr>
        <w:pStyle w:val="Heading3"/>
        <w:spacing w:line="240" w:lineRule="auto"/>
        <w:ind w:right="0"/>
        <w:jc w:val="left"/>
        <w:rPr>
          <w:b w:val="0"/>
          <w:bCs w:val="0"/>
        </w:rPr>
      </w:pPr>
      <w:bookmarkStart w:name="6、分部信息" w:id="501"/>
      <w:bookmarkEnd w:id="501"/>
      <w:r>
        <w:rPr>
          <w:b w:val="0"/>
          <w:bCs w:val="0"/>
        </w:rPr>
      </w:r>
      <w:r>
        <w:rPr>
          <w:rFonts w:ascii="Times New Roman" w:hAnsi="Times New Roman" w:cs="Times New Roman" w:eastAsia="Times New Roman" w:hint="default"/>
        </w:rPr>
        <w:t>6</w:t>
      </w:r>
      <w:r>
        <w:rPr/>
        <w:t>、分部信息</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bookmarkStart w:name="（1）报告分部的确定依据与会计政策" w:id="502"/>
      <w:bookmarkEnd w:id="502"/>
      <w:r>
        <w:rPr>
          <w:b w:val="0"/>
          <w:bCs w:val="0"/>
        </w:rPr>
      </w:r>
      <w:r>
        <w:rPr/>
        <w:t>（</w:t>
      </w:r>
      <w:r>
        <w:rPr>
          <w:rFonts w:ascii="Times New Roman" w:hAnsi="Times New Roman" w:cs="Times New Roman" w:eastAsia="Times New Roman" w:hint="default"/>
        </w:rPr>
        <w:t>1</w:t>
      </w:r>
      <w:r>
        <w:rPr/>
        <w:t>）报告分部的确定依据与会计政策</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2）报告分部的财务信息" w:id="503"/>
      <w:bookmarkEnd w:id="503"/>
      <w:r>
        <w:rPr>
          <w:b w:val="0"/>
          <w:bCs w:val="0"/>
        </w:rPr>
      </w:r>
      <w:r>
        <w:rPr/>
        <w:t>（</w:t>
      </w:r>
      <w:r>
        <w:rPr>
          <w:rFonts w:ascii="Times New Roman" w:hAnsi="Times New Roman" w:cs="Times New Roman" w:eastAsia="Times New Roman" w:hint="default"/>
        </w:rPr>
        <w:t>2</w:t>
      </w:r>
      <w:r>
        <w:rPr/>
        <w:t>）报告分部的财务信息</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after="0" w:line="240" w:lineRule="auto"/>
        <w:jc w:val="right"/>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2404"/>
        <w:gridCol w:w="2381"/>
        <w:gridCol w:w="2392"/>
        <w:gridCol w:w="2392"/>
      </w:tblGrid>
      <w:tr>
        <w:trPr>
          <w:trHeight w:val="402" w:hRule="exact"/>
        </w:trPr>
        <w:tc>
          <w:tcPr>
            <w:tcW w:w="2404" w:type="dxa"/>
            <w:tcBorders>
              <w:top w:val="single" w:sz="4" w:space="0" w:color="000000"/>
              <w:left w:val="single" w:sz="4" w:space="0" w:color="000000"/>
              <w:bottom w:val="single" w:sz="4" w:space="0" w:color="000000"/>
              <w:right w:val="single" w:sz="13" w:space="0" w:color="E0FFFF"/>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81"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0" w:right="0"/>
              <w:jc w:val="left"/>
              <w:rPr>
                <w:rFonts w:ascii="宋体" w:hAnsi="宋体" w:cs="宋体" w:eastAsia="宋体" w:hint="default"/>
                <w:sz w:val="18"/>
                <w:szCs w:val="18"/>
              </w:rPr>
            </w:pPr>
            <w:r>
              <w:rPr>
                <w:rFonts w:ascii="宋体" w:hAnsi="宋体" w:cs="宋体" w:eastAsia="宋体" w:hint="default"/>
                <w:sz w:val="18"/>
                <w:szCs w:val="18"/>
              </w:rPr>
              <w:t>分部间抵销</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合计</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3）公司无报告分部的，或者不能披露各报告分部的资产总额和负债总额的，应说明原因" w:id="504"/>
      <w:bookmarkEnd w:id="504"/>
      <w:r>
        <w:rPr>
          <w:b w:val="0"/>
          <w:bCs w:val="0"/>
        </w:rPr>
      </w:r>
      <w:r>
        <w:rPr/>
        <w:t>（</w:t>
      </w:r>
      <w:r>
        <w:rPr>
          <w:rFonts w:ascii="Times New Roman" w:hAnsi="Times New Roman" w:cs="Times New Roman" w:eastAsia="Times New Roman" w:hint="default"/>
        </w:rPr>
        <w:t>3</w:t>
      </w:r>
      <w:r>
        <w:rPr/>
        <w:t>）公司无报告分部的，或者不能披露各报告分部的资产总额和负债总额的，应说明原因</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bookmarkStart w:name="（4）其他说明" w:id="505"/>
      <w:bookmarkEnd w:id="505"/>
      <w:r>
        <w:rPr>
          <w:b w:val="0"/>
          <w:bCs w:val="0"/>
        </w:rPr>
      </w:r>
      <w:r>
        <w:rPr/>
        <w:t>（</w:t>
      </w:r>
      <w:r>
        <w:rPr>
          <w:rFonts w:ascii="Times New Roman" w:hAnsi="Times New Roman" w:cs="Times New Roman" w:eastAsia="Times New Roman" w:hint="default"/>
        </w:rPr>
        <w:t>4</w:t>
      </w:r>
      <w:r>
        <w:rPr/>
        <w:t>）其他说明</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7、其他对投资者决策有影响的重要交易和事项" w:id="506"/>
      <w:bookmarkEnd w:id="506"/>
      <w:r>
        <w:rPr>
          <w:b w:val="0"/>
          <w:bCs w:val="0"/>
        </w:rPr>
      </w:r>
      <w:r>
        <w:rPr>
          <w:rFonts w:ascii="Times New Roman" w:hAnsi="Times New Roman" w:cs="Times New Roman" w:eastAsia="Times New Roman" w:hint="default"/>
        </w:rPr>
        <w:t>7</w:t>
      </w:r>
      <w:r>
        <w:rPr/>
        <w:t>、其他对投资者决策有影响的重要交易和事项</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8、 其他" w:id="507"/>
      <w:bookmarkEnd w:id="507"/>
      <w:r>
        <w:rPr>
          <w:b w:val="0"/>
          <w:bCs w:val="0"/>
        </w:rPr>
      </w:r>
      <w:r>
        <w:rPr>
          <w:rFonts w:ascii="Times New Roman" w:hAnsi="Times New Roman" w:cs="Times New Roman" w:eastAsia="Times New Roman" w:hint="default"/>
        </w:rPr>
        <w:t>8</w:t>
      </w:r>
      <w:r>
        <w:rPr/>
        <w:t>、</w:t>
      </w:r>
      <w:r>
        <w:rPr>
          <w:spacing w:val="-63"/>
        </w:rPr>
        <w:t> </w:t>
      </w:r>
      <w:r>
        <w:rPr/>
        <w:t>其他</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514" w:right="0"/>
        <w:jc w:val="left"/>
      </w:pPr>
      <w:r>
        <w:rPr>
          <w:rFonts w:ascii="Times New Roman" w:hAnsi="Times New Roman" w:cs="Times New Roman" w:eastAsia="Times New Roman" w:hint="default"/>
        </w:rPr>
        <w:t>1</w:t>
      </w:r>
      <w:r>
        <w:rPr/>
        <w:t>、截至</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日，本公司的第一大股东吴涵渠股票质押情况：</w:t>
      </w:r>
    </w:p>
    <w:p>
      <w:pPr>
        <w:spacing w:line="240" w:lineRule="auto" w:before="13"/>
        <w:rPr>
          <w:rFonts w:ascii="宋体" w:hAnsi="宋体" w:cs="宋体" w:eastAsia="宋体" w:hint="default"/>
          <w:sz w:val="3"/>
          <w:szCs w:val="3"/>
        </w:rPr>
      </w:pPr>
    </w:p>
    <w:tbl>
      <w:tblPr>
        <w:tblW w:w="0" w:type="auto"/>
        <w:jc w:val="left"/>
        <w:tblInd w:w="146" w:type="dxa"/>
        <w:tblLayout w:type="fixed"/>
        <w:tblCellMar>
          <w:top w:w="0" w:type="dxa"/>
          <w:left w:w="0" w:type="dxa"/>
          <w:bottom w:w="0" w:type="dxa"/>
          <w:right w:w="0" w:type="dxa"/>
        </w:tblCellMar>
        <w:tblLook w:val="01E0"/>
      </w:tblPr>
      <w:tblGrid>
        <w:gridCol w:w="4274"/>
        <w:gridCol w:w="2696"/>
        <w:gridCol w:w="2698"/>
      </w:tblGrid>
      <w:tr>
        <w:trPr>
          <w:trHeight w:val="355" w:hRule="exact"/>
        </w:trPr>
        <w:tc>
          <w:tcPr>
            <w:tcW w:w="427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0"/>
              <w:ind w:right="1"/>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269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0"/>
              <w:ind w:left="620" w:right="0"/>
              <w:jc w:val="left"/>
              <w:rPr>
                <w:rFonts w:ascii="宋体" w:hAnsi="宋体" w:cs="宋体" w:eastAsia="宋体" w:hint="default"/>
                <w:sz w:val="18"/>
                <w:szCs w:val="18"/>
              </w:rPr>
            </w:pPr>
            <w:r>
              <w:rPr>
                <w:rFonts w:ascii="宋体" w:hAnsi="宋体" w:cs="宋体" w:eastAsia="宋体" w:hint="default"/>
                <w:sz w:val="18"/>
                <w:szCs w:val="18"/>
              </w:rPr>
              <w:t>报告期末持股数量</w:t>
            </w:r>
          </w:p>
        </w:tc>
        <w:tc>
          <w:tcPr>
            <w:tcW w:w="2698" w:type="dxa"/>
            <w:tcBorders>
              <w:top w:val="single" w:sz="6" w:space="0" w:color="000000"/>
              <w:left w:val="single" w:sz="6" w:space="0" w:color="000000"/>
              <w:bottom w:val="single" w:sz="12" w:space="0" w:color="000000"/>
              <w:right w:val="nil" w:sz="6" w:space="0" w:color="auto"/>
            </w:tcBorders>
          </w:tcPr>
          <w:p>
            <w:pPr>
              <w:pStyle w:val="TableParagraph"/>
              <w:spacing w:line="240" w:lineRule="auto" w:before="20"/>
              <w:ind w:right="4"/>
              <w:jc w:val="center"/>
              <w:rPr>
                <w:rFonts w:ascii="宋体" w:hAnsi="宋体" w:cs="宋体" w:eastAsia="宋体" w:hint="default"/>
                <w:sz w:val="18"/>
                <w:szCs w:val="18"/>
              </w:rPr>
            </w:pPr>
            <w:r>
              <w:rPr>
                <w:rFonts w:ascii="宋体" w:hAnsi="宋体" w:cs="宋体" w:eastAsia="宋体" w:hint="default"/>
                <w:sz w:val="18"/>
                <w:szCs w:val="18"/>
              </w:rPr>
              <w:t>质押情况</w:t>
            </w:r>
          </w:p>
        </w:tc>
      </w:tr>
      <w:tr>
        <w:trPr>
          <w:trHeight w:val="352" w:hRule="exact"/>
        </w:trPr>
        <w:tc>
          <w:tcPr>
            <w:tcW w:w="4274"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吴涵渠</w:t>
            </w:r>
          </w:p>
        </w:tc>
        <w:tc>
          <w:tcPr>
            <w:tcW w:w="269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left="1779" w:right="0"/>
              <w:jc w:val="left"/>
              <w:rPr>
                <w:rFonts w:ascii="Times New Roman" w:hAnsi="Times New Roman" w:cs="Times New Roman" w:eastAsia="Times New Roman" w:hint="default"/>
                <w:sz w:val="18"/>
                <w:szCs w:val="18"/>
              </w:rPr>
            </w:pPr>
            <w:r>
              <w:rPr>
                <w:rFonts w:ascii="Times New Roman"/>
                <w:sz w:val="18"/>
              </w:rPr>
              <w:t>169,467,963</w:t>
            </w:r>
          </w:p>
        </w:tc>
        <w:tc>
          <w:tcPr>
            <w:tcW w:w="2698"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6"/>
              <w:jc w:val="right"/>
              <w:rPr>
                <w:rFonts w:ascii="Times New Roman" w:hAnsi="Times New Roman" w:cs="Times New Roman" w:eastAsia="Times New Roman" w:hint="default"/>
                <w:sz w:val="18"/>
                <w:szCs w:val="18"/>
              </w:rPr>
            </w:pPr>
            <w:r>
              <w:rPr>
                <w:rFonts w:ascii="Times New Roman"/>
                <w:sz w:val="18"/>
              </w:rPr>
              <w:t>17,525,000</w:t>
            </w:r>
          </w:p>
        </w:tc>
      </w:tr>
    </w:tbl>
    <w:p>
      <w:pPr>
        <w:pStyle w:val="BodyText"/>
        <w:spacing w:line="300" w:lineRule="auto" w:before="10"/>
        <w:ind w:right="1130" w:firstLine="360"/>
        <w:jc w:val="both"/>
      </w:pPr>
      <w:r>
        <w:rPr>
          <w:rFonts w:ascii="Times New Roman" w:hAnsi="Times New Roman" w:cs="Times New Roman" w:eastAsia="Times New Roman" w:hint="default"/>
        </w:rPr>
        <w:t>2</w:t>
      </w:r>
      <w:r>
        <w:rPr/>
        <w:t>、根据本公司同深圳市千百辉照明工程有限公司原股东之间签订的股权收购协议，如目标公司盈利承诺期累计实现的 </w:t>
      </w:r>
      <w:r>
        <w:rPr>
          <w:spacing w:val="-1"/>
        </w:rPr>
        <w:t>扣非净利润总和大于盈利承诺期承诺扣非净利润总和的，本公司将按照超出部分的</w:t>
      </w:r>
      <w:r>
        <w:rPr>
          <w:rFonts w:ascii="Times New Roman" w:hAnsi="Times New Roman" w:cs="Times New Roman" w:eastAsia="Times New Roman" w:hint="default"/>
          <w:spacing w:val="-1"/>
        </w:rPr>
        <w:t>50%</w:t>
      </w:r>
      <w:r>
        <w:rPr>
          <w:spacing w:val="-1"/>
        </w:rPr>
        <w:t>作为奖励对价，且奖励总额不超过其</w:t>
      </w:r>
      <w:r>
        <w:rPr/>
        <w:t> </w:t>
      </w:r>
      <w:r>
        <w:rPr>
          <w:spacing w:val="-1"/>
        </w:rPr>
        <w:t>交易作价的</w:t>
      </w:r>
      <w:r>
        <w:rPr>
          <w:rFonts w:ascii="Times New Roman" w:hAnsi="Times New Roman" w:cs="Times New Roman" w:eastAsia="Times New Roman" w:hint="default"/>
          <w:spacing w:val="-1"/>
        </w:rPr>
        <w:t>20%</w:t>
      </w:r>
      <w:r>
        <w:rPr>
          <w:spacing w:val="-1"/>
        </w:rPr>
        <w:t>，在千百辉公司</w:t>
      </w:r>
      <w:r>
        <w:rPr>
          <w:rFonts w:ascii="Times New Roman" w:hAnsi="Times New Roman" w:cs="Times New Roman" w:eastAsia="Times New Roman" w:hint="default"/>
          <w:spacing w:val="-1"/>
        </w:rPr>
        <w:t>2019</w:t>
      </w:r>
      <w:r>
        <w:rPr>
          <w:spacing w:val="-1"/>
        </w:rPr>
        <w:t>年度《专项审核报告》及《减值测试报告》之日起三十个工作日内，以现金一次性支付</w:t>
      </w:r>
      <w:r>
        <w:rPr>
          <w:spacing w:val="-87"/>
        </w:rPr>
        <w:t> </w:t>
      </w:r>
      <w:r>
        <w:rPr>
          <w:spacing w:val="-87"/>
        </w:rPr>
      </w:r>
      <w:r>
        <w:rPr/>
        <w:t>给对方。</w:t>
      </w:r>
    </w:p>
    <w:p>
      <w:pPr>
        <w:pStyle w:val="BodyText"/>
        <w:spacing w:line="300" w:lineRule="auto" w:before="31"/>
        <w:ind w:left="154" w:right="1132" w:firstLine="360"/>
        <w:jc w:val="both"/>
      </w:pPr>
      <w:r>
        <w:rPr>
          <w:rFonts w:ascii="Times New Roman" w:hAnsi="Times New Roman" w:cs="Times New Roman" w:eastAsia="Times New Roman" w:hint="default"/>
        </w:rPr>
        <w:t>2016</w:t>
      </w:r>
      <w:r>
        <w:rPr>
          <w:rFonts w:ascii="Times New Roman" w:hAnsi="Times New Roman" w:cs="Times New Roman" w:eastAsia="Times New Roman" w:hint="default"/>
          <w:spacing w:val="-6"/>
        </w:rPr>
        <w:t> </w:t>
      </w:r>
      <w:r>
        <w:rPr/>
        <w:t>年度、</w:t>
      </w:r>
      <w:r>
        <w:rPr>
          <w:rFonts w:ascii="Times New Roman" w:hAnsi="Times New Roman" w:cs="Times New Roman" w:eastAsia="Times New Roman" w:hint="default"/>
        </w:rPr>
        <w:t>2017</w:t>
      </w:r>
      <w:r>
        <w:rPr/>
        <w:t>年度、</w:t>
      </w:r>
      <w:r>
        <w:rPr>
          <w:rFonts w:ascii="Times New Roman" w:hAnsi="Times New Roman" w:cs="Times New Roman" w:eastAsia="Times New Roman" w:hint="default"/>
        </w:rPr>
        <w:t>2018</w:t>
      </w:r>
      <w:r>
        <w:rPr/>
        <w:t>年度、</w:t>
      </w:r>
      <w:r>
        <w:rPr>
          <w:rFonts w:ascii="Times New Roman" w:hAnsi="Times New Roman" w:cs="Times New Roman" w:eastAsia="Times New Roman" w:hint="default"/>
        </w:rPr>
        <w:t>2019</w:t>
      </w:r>
      <w:r>
        <w:rPr/>
        <w:t>年度内标的公司（经营性现金流量净额之和</w:t>
      </w:r>
      <w:r>
        <w:rPr>
          <w:rFonts w:ascii="Times New Roman" w:hAnsi="Times New Roman" w:cs="Times New Roman" w:eastAsia="Times New Roman" w:hint="default"/>
        </w:rPr>
        <w:t>-</w:t>
      </w:r>
      <w:r>
        <w:rPr/>
        <w:t>承诺扣除非经常性损益后归属于母 公司所有者的净利润的总和）</w:t>
      </w:r>
      <w:r>
        <w:rPr>
          <w:rFonts w:ascii="Times New Roman" w:hAnsi="Times New Roman" w:cs="Times New Roman" w:eastAsia="Times New Roman" w:hint="default"/>
        </w:rPr>
        <w:t>&lt;0</w:t>
      </w:r>
      <w:r>
        <w:rPr/>
        <w:t>，则上述奖励对价不予实施。</w:t>
      </w:r>
    </w:p>
    <w:p>
      <w:pPr>
        <w:pStyle w:val="BodyText"/>
        <w:spacing w:line="300" w:lineRule="auto" w:before="13"/>
        <w:ind w:right="1129" w:firstLine="360"/>
        <w:jc w:val="both"/>
      </w:pPr>
      <w:r>
        <w:rPr>
          <w:rFonts w:ascii="Times New Roman" w:hAnsi="Times New Roman" w:cs="Times New Roman" w:eastAsia="Times New Roman" w:hint="default"/>
          <w:spacing w:val="-3"/>
        </w:rPr>
        <w:t>3</w:t>
      </w:r>
      <w:r>
        <w:rPr>
          <w:spacing w:val="-3"/>
        </w:rPr>
        <w:t>、</w:t>
      </w:r>
      <w:r>
        <w:rPr>
          <w:rFonts w:ascii="Times New Roman" w:hAnsi="Times New Roman" w:cs="Times New Roman" w:eastAsia="Times New Roman" w:hint="default"/>
          <w:spacing w:val="-3"/>
        </w:rPr>
        <w:t>2015</w:t>
      </w:r>
      <w:r>
        <w:rPr>
          <w:spacing w:val="-3"/>
        </w:rPr>
        <w:t>年</w:t>
      </w:r>
      <w:r>
        <w:rPr>
          <w:rFonts w:ascii="Times New Roman" w:hAnsi="Times New Roman" w:cs="Times New Roman" w:eastAsia="Times New Roman" w:hint="default"/>
          <w:spacing w:val="-3"/>
        </w:rPr>
        <w:t>12</w:t>
      </w:r>
      <w:r>
        <w:rPr>
          <w:spacing w:val="-3"/>
        </w:rPr>
        <w:t>月</w:t>
      </w:r>
      <w:r>
        <w:rPr>
          <w:rFonts w:ascii="Times New Roman" w:hAnsi="Times New Roman" w:cs="Times New Roman" w:eastAsia="Times New Roman" w:hint="default"/>
          <w:spacing w:val="-3"/>
        </w:rPr>
        <w:t>25</w:t>
      </w:r>
      <w:r>
        <w:rPr>
          <w:spacing w:val="-3"/>
        </w:rPr>
        <w:t>日，公司与广州奥迪通用照明有限公司（下称“奥迪公司”）签订《借款合同》，约定公司向奥迪公司</w:t>
      </w:r>
      <w:r>
        <w:rPr/>
        <w:t> </w:t>
      </w:r>
      <w:r>
        <w:rPr>
          <w:spacing w:val="-2"/>
        </w:rPr>
        <w:t>出借人民币</w:t>
      </w:r>
      <w:r>
        <w:rPr>
          <w:rFonts w:ascii="Times New Roman" w:hAnsi="Times New Roman" w:cs="Times New Roman" w:eastAsia="Times New Roman" w:hint="default"/>
          <w:spacing w:val="-2"/>
        </w:rPr>
        <w:t>250</w:t>
      </w:r>
      <w:r>
        <w:rPr>
          <w:spacing w:val="-2"/>
        </w:rPr>
        <w:t>万元，借款期限由</w:t>
      </w:r>
      <w:r>
        <w:rPr>
          <w:rFonts w:ascii="Times New Roman" w:hAnsi="Times New Roman" w:cs="Times New Roman" w:eastAsia="Times New Roman" w:hint="default"/>
          <w:spacing w:val="-2"/>
        </w:rPr>
        <w:t>2016</w:t>
      </w:r>
      <w:r>
        <w:rPr>
          <w:spacing w:val="-2"/>
        </w:rPr>
        <w:t>年</w:t>
      </w:r>
      <w:r>
        <w:rPr>
          <w:rFonts w:ascii="Times New Roman" w:hAnsi="Times New Roman" w:cs="Times New Roman" w:eastAsia="Times New Roman" w:hint="default"/>
          <w:spacing w:val="-2"/>
        </w:rPr>
        <w:t>1</w:t>
      </w:r>
      <w:r>
        <w:rPr>
          <w:spacing w:val="-2"/>
        </w:rPr>
        <w:t>月</w:t>
      </w:r>
      <w:r>
        <w:rPr>
          <w:rFonts w:ascii="Times New Roman" w:hAnsi="Times New Roman" w:cs="Times New Roman" w:eastAsia="Times New Roman" w:hint="default"/>
          <w:spacing w:val="-2"/>
        </w:rPr>
        <w:t>4</w:t>
      </w:r>
      <w:r>
        <w:rPr>
          <w:spacing w:val="-2"/>
        </w:rPr>
        <w:t>日至</w:t>
      </w:r>
      <w:r>
        <w:rPr>
          <w:rFonts w:ascii="Times New Roman" w:hAnsi="Times New Roman" w:cs="Times New Roman" w:eastAsia="Times New Roman" w:hint="default"/>
          <w:spacing w:val="-2"/>
        </w:rPr>
        <w:t>2016</w:t>
      </w:r>
      <w:r>
        <w:rPr>
          <w:spacing w:val="-2"/>
        </w:rPr>
        <w:t>年</w:t>
      </w:r>
      <w:r>
        <w:rPr>
          <w:rFonts w:ascii="Times New Roman" w:hAnsi="Times New Roman" w:cs="Times New Roman" w:eastAsia="Times New Roman" w:hint="default"/>
          <w:spacing w:val="-2"/>
        </w:rPr>
        <w:t>6</w:t>
      </w:r>
      <w:r>
        <w:rPr>
          <w:spacing w:val="-2"/>
        </w:rPr>
        <w:t>月</w:t>
      </w:r>
      <w:r>
        <w:rPr>
          <w:rFonts w:ascii="Times New Roman" w:hAnsi="Times New Roman" w:cs="Times New Roman" w:eastAsia="Times New Roman" w:hint="default"/>
          <w:spacing w:val="-2"/>
        </w:rPr>
        <w:t>30</w:t>
      </w:r>
      <w:r>
        <w:rPr>
          <w:spacing w:val="-2"/>
        </w:rPr>
        <w:t>日，全期借款利息人民币</w:t>
      </w:r>
      <w:r>
        <w:rPr>
          <w:rFonts w:ascii="Times New Roman" w:hAnsi="Times New Roman" w:cs="Times New Roman" w:eastAsia="Times New Roman" w:hint="default"/>
          <w:spacing w:val="-2"/>
        </w:rPr>
        <w:t>25</w:t>
      </w:r>
      <w:r>
        <w:rPr>
          <w:spacing w:val="-2"/>
        </w:rPr>
        <w:t>万元；借款到期后未能偿还的本金</w:t>
      </w:r>
      <w:r>
        <w:rPr>
          <w:spacing w:val="-50"/>
        </w:rPr>
        <w:t> </w:t>
      </w:r>
      <w:r>
        <w:rPr>
          <w:spacing w:val="-50"/>
        </w:rPr>
      </w:r>
      <w:r>
        <w:rPr>
          <w:spacing w:val="-1"/>
        </w:rPr>
        <w:t>按每月</w:t>
      </w:r>
      <w:r>
        <w:rPr>
          <w:rFonts w:ascii="Times New Roman" w:hAnsi="Times New Roman" w:cs="Times New Roman" w:eastAsia="Times New Roman" w:hint="default"/>
          <w:spacing w:val="-1"/>
        </w:rPr>
        <w:t>2%</w:t>
      </w:r>
      <w:r>
        <w:rPr>
          <w:spacing w:val="-1"/>
        </w:rPr>
        <w:t>计收利息。</w:t>
      </w:r>
      <w:r>
        <w:rPr>
          <w:rFonts w:ascii="Times New Roman" w:hAnsi="Times New Roman" w:cs="Times New Roman" w:eastAsia="Times New Roman" w:hint="default"/>
          <w:spacing w:val="-1"/>
        </w:rPr>
        <w:t>2016</w:t>
      </w:r>
      <w:r>
        <w:rPr>
          <w:spacing w:val="-1"/>
        </w:rPr>
        <w:t>年</w:t>
      </w:r>
      <w:r>
        <w:rPr>
          <w:rFonts w:ascii="Times New Roman" w:hAnsi="Times New Roman" w:cs="Times New Roman" w:eastAsia="Times New Roman" w:hint="default"/>
          <w:spacing w:val="-1"/>
        </w:rPr>
        <w:t>1</w:t>
      </w:r>
      <w:r>
        <w:rPr>
          <w:spacing w:val="-1"/>
        </w:rPr>
        <w:t>月</w:t>
      </w:r>
      <w:r>
        <w:rPr>
          <w:rFonts w:ascii="Times New Roman" w:hAnsi="Times New Roman" w:cs="Times New Roman" w:eastAsia="Times New Roman" w:hint="default"/>
          <w:spacing w:val="-1"/>
        </w:rPr>
        <w:t>4</w:t>
      </w:r>
      <w:r>
        <w:rPr>
          <w:spacing w:val="-1"/>
        </w:rPr>
        <w:t>日，公司按照约定将人民币</w:t>
      </w:r>
      <w:r>
        <w:rPr>
          <w:rFonts w:ascii="Times New Roman" w:hAnsi="Times New Roman" w:cs="Times New Roman" w:eastAsia="Times New Roman" w:hint="default"/>
          <w:spacing w:val="-1"/>
        </w:rPr>
        <w:t>250</w:t>
      </w:r>
      <w:r>
        <w:rPr>
          <w:spacing w:val="-1"/>
        </w:rPr>
        <w:t>万元借款转到奥迪公司账上。借款到期后奥迪公司未按约定</w:t>
      </w:r>
      <w:r>
        <w:rPr>
          <w:spacing w:val="-82"/>
        </w:rPr>
        <w:t> </w:t>
      </w:r>
      <w:r>
        <w:rPr>
          <w:spacing w:val="-82"/>
        </w:rPr>
      </w:r>
      <w:r>
        <w:rPr>
          <w:spacing w:val="-2"/>
        </w:rPr>
        <w:t>返还借款，公司于</w:t>
      </w:r>
      <w:r>
        <w:rPr>
          <w:rFonts w:ascii="Times New Roman" w:hAnsi="Times New Roman" w:cs="Times New Roman" w:eastAsia="Times New Roman" w:hint="default"/>
          <w:spacing w:val="-2"/>
        </w:rPr>
        <w:t>2016</w:t>
      </w:r>
      <w:r>
        <w:rPr>
          <w:spacing w:val="-2"/>
        </w:rPr>
        <w:t>年</w:t>
      </w:r>
      <w:r>
        <w:rPr>
          <w:rFonts w:ascii="Times New Roman" w:hAnsi="Times New Roman" w:cs="Times New Roman" w:eastAsia="Times New Roman" w:hint="default"/>
          <w:spacing w:val="-2"/>
        </w:rPr>
        <w:t>8</w:t>
      </w:r>
      <w:r>
        <w:rPr>
          <w:spacing w:val="-2"/>
        </w:rPr>
        <w:t>月</w:t>
      </w:r>
      <w:r>
        <w:rPr>
          <w:rFonts w:ascii="Times New Roman" w:hAnsi="Times New Roman" w:cs="Times New Roman" w:eastAsia="Times New Roman" w:hint="default"/>
          <w:spacing w:val="-2"/>
        </w:rPr>
        <w:t>16</w:t>
      </w:r>
      <w:r>
        <w:rPr>
          <w:spacing w:val="-2"/>
        </w:rPr>
        <w:t>日向奥迪公司发出催款函，要求其返还本金及利息共</w:t>
      </w:r>
      <w:r>
        <w:rPr>
          <w:rFonts w:ascii="Times New Roman" w:hAnsi="Times New Roman" w:cs="Times New Roman" w:eastAsia="Times New Roman" w:hint="default"/>
          <w:spacing w:val="-2"/>
        </w:rPr>
        <w:t>275</w:t>
      </w:r>
      <w:r>
        <w:rPr>
          <w:spacing w:val="-2"/>
        </w:rPr>
        <w:t>万元以及逾期利息。奥迪公司收到催</w:t>
      </w:r>
      <w:r>
        <w:rPr>
          <w:spacing w:val="-56"/>
        </w:rPr>
        <w:t> </w:t>
      </w:r>
      <w:r>
        <w:rPr>
          <w:spacing w:val="-56"/>
        </w:rPr>
      </w:r>
      <w:r>
        <w:rPr/>
        <w:t>款函后仍一直没有履行还款义务。</w:t>
      </w:r>
    </w:p>
    <w:p>
      <w:pPr>
        <w:pStyle w:val="BodyText"/>
        <w:spacing w:line="240" w:lineRule="auto" w:before="31"/>
        <w:ind w:left="514" w:right="0"/>
        <w:jc w:val="left"/>
      </w:pPr>
      <w:r>
        <w:rPr/>
        <w:t>公司已委托广东公诚律师事务所王卫刚律师向华南国际经济贸易委员会申请仲裁，仲裁委员会已受理该案件，并定于</w:t>
      </w:r>
    </w:p>
    <w:p>
      <w:pPr>
        <w:pStyle w:val="BodyText"/>
        <w:spacing w:line="240" w:lineRule="auto" w:before="76"/>
        <w:ind w:left="154" w:right="0"/>
        <w:jc w:val="left"/>
      </w:pPr>
      <w:r>
        <w:rPr>
          <w:rFonts w:ascii="Times New Roman" w:hAnsi="Times New Roman" w:cs="Times New Roman" w:eastAsia="Times New Roman" w:hint="default"/>
        </w:rPr>
        <w:t>2017</w:t>
      </w:r>
      <w:r>
        <w:rPr/>
        <w:t>年</w:t>
      </w:r>
      <w:r>
        <w:rPr>
          <w:rFonts w:ascii="Times New Roman" w:hAnsi="Times New Roman" w:cs="Times New Roman" w:eastAsia="Times New Roman" w:hint="default"/>
        </w:rPr>
        <w:t>4</w:t>
      </w:r>
      <w:r>
        <w:rPr/>
        <w:t>月开庭审理。</w:t>
      </w:r>
    </w:p>
    <w:p>
      <w:pPr>
        <w:pStyle w:val="BodyText"/>
        <w:spacing w:line="300" w:lineRule="auto" w:before="63"/>
        <w:ind w:right="1130" w:firstLine="360"/>
        <w:jc w:val="both"/>
      </w:pPr>
      <w:r>
        <w:rPr>
          <w:rFonts w:ascii="Times New Roman" w:hAnsi="Times New Roman" w:cs="Times New Roman" w:eastAsia="Times New Roman" w:hint="default"/>
          <w:spacing w:val="-3"/>
        </w:rPr>
        <w:t>2017</w:t>
      </w:r>
      <w:r>
        <w:rPr>
          <w:spacing w:val="-3"/>
        </w:rPr>
        <w:t>年</w:t>
      </w:r>
      <w:r>
        <w:rPr>
          <w:rFonts w:ascii="Times New Roman" w:hAnsi="Times New Roman" w:cs="Times New Roman" w:eastAsia="Times New Roman" w:hint="default"/>
          <w:spacing w:val="-3"/>
        </w:rPr>
        <w:t>8</w:t>
      </w:r>
      <w:r>
        <w:rPr>
          <w:spacing w:val="-3"/>
        </w:rPr>
        <w:t>月</w:t>
      </w:r>
      <w:r>
        <w:rPr>
          <w:rFonts w:ascii="Times New Roman" w:hAnsi="Times New Roman" w:cs="Times New Roman" w:eastAsia="Times New Roman" w:hint="default"/>
          <w:spacing w:val="-3"/>
        </w:rPr>
        <w:t>24</w:t>
      </w:r>
      <w:r>
        <w:rPr>
          <w:spacing w:val="-3"/>
        </w:rPr>
        <w:t>日，华南国际经济贸易委员会作出终局裁决（文号：华南国仲深裁</w:t>
      </w:r>
      <w:r>
        <w:rPr>
          <w:rFonts w:ascii="Times New Roman" w:hAnsi="Times New Roman" w:cs="Times New Roman" w:eastAsia="Times New Roman" w:hint="default"/>
          <w:spacing w:val="-3"/>
        </w:rPr>
        <w:t>[2017]D392</w:t>
      </w:r>
      <w:r>
        <w:rPr>
          <w:spacing w:val="-3"/>
        </w:rPr>
        <w:t>）：奥迪公司偿还千百辉公司</w:t>
      </w:r>
      <w:r>
        <w:rPr/>
        <w:t> </w:t>
      </w:r>
      <w:r>
        <w:rPr>
          <w:spacing w:val="-1"/>
        </w:rPr>
        <w:t>借款本金人民币</w:t>
      </w:r>
      <w:r>
        <w:rPr>
          <w:rFonts w:ascii="Times New Roman" w:hAnsi="Times New Roman" w:cs="Times New Roman" w:eastAsia="Times New Roman" w:hint="default"/>
          <w:spacing w:val="-1"/>
        </w:rPr>
        <w:t>250</w:t>
      </w:r>
      <w:r>
        <w:rPr>
          <w:spacing w:val="-1"/>
        </w:rPr>
        <w:t>万元及利息人民币</w:t>
      </w:r>
      <w:r>
        <w:rPr>
          <w:rFonts w:ascii="Times New Roman" w:hAnsi="Times New Roman" w:cs="Times New Roman" w:eastAsia="Times New Roman" w:hint="default"/>
          <w:spacing w:val="-1"/>
        </w:rPr>
        <w:t>25</w:t>
      </w:r>
      <w:r>
        <w:rPr>
          <w:spacing w:val="-1"/>
        </w:rPr>
        <w:t>万元，偿还自</w:t>
      </w:r>
      <w:r>
        <w:rPr>
          <w:rFonts w:ascii="Times New Roman" w:hAnsi="Times New Roman" w:cs="Times New Roman" w:eastAsia="Times New Roman" w:hint="default"/>
          <w:spacing w:val="-1"/>
        </w:rPr>
        <w:t>2016</w:t>
      </w:r>
      <w:r>
        <w:rPr>
          <w:spacing w:val="-1"/>
        </w:rPr>
        <w:t>年</w:t>
      </w:r>
      <w:r>
        <w:rPr>
          <w:rFonts w:ascii="Times New Roman" w:hAnsi="Times New Roman" w:cs="Times New Roman" w:eastAsia="Times New Roman" w:hint="default"/>
          <w:spacing w:val="-1"/>
        </w:rPr>
        <w:t>7</w:t>
      </w:r>
      <w:r>
        <w:rPr>
          <w:spacing w:val="-1"/>
        </w:rPr>
        <w:t>月</w:t>
      </w:r>
      <w:r>
        <w:rPr>
          <w:rFonts w:ascii="Times New Roman" w:hAnsi="Times New Roman" w:cs="Times New Roman" w:eastAsia="Times New Roman" w:hint="default"/>
          <w:spacing w:val="-1"/>
        </w:rPr>
        <w:t>1</w:t>
      </w:r>
      <w:r>
        <w:rPr>
          <w:spacing w:val="-1"/>
        </w:rPr>
        <w:t>日起以人民币</w:t>
      </w:r>
      <w:r>
        <w:rPr>
          <w:rFonts w:ascii="Times New Roman" w:hAnsi="Times New Roman" w:cs="Times New Roman" w:eastAsia="Times New Roman" w:hint="default"/>
          <w:spacing w:val="-1"/>
        </w:rPr>
        <w:t>250</w:t>
      </w:r>
      <w:r>
        <w:rPr>
          <w:spacing w:val="-1"/>
        </w:rPr>
        <w:t>万元为基数按年利率</w:t>
      </w:r>
      <w:r>
        <w:rPr>
          <w:rFonts w:ascii="Times New Roman" w:hAnsi="Times New Roman" w:cs="Times New Roman" w:eastAsia="Times New Roman" w:hint="default"/>
          <w:spacing w:val="-1"/>
        </w:rPr>
        <w:t>24%</w:t>
      </w:r>
      <w:r>
        <w:rPr>
          <w:spacing w:val="-1"/>
        </w:rPr>
        <w:t>计至借款全部还</w:t>
      </w:r>
      <w:r>
        <w:rPr>
          <w:spacing w:val="-80"/>
        </w:rPr>
        <w:t> </w:t>
      </w:r>
      <w:r>
        <w:rPr/>
        <w:t>清之日止的逾期利息和违约金。截止报告日，公司尚未收到以上款项。</w:t>
      </w:r>
    </w:p>
    <w:p>
      <w:pPr>
        <w:spacing w:line="240" w:lineRule="auto" w:before="9"/>
        <w:rPr>
          <w:rFonts w:ascii="宋体" w:hAnsi="宋体" w:cs="宋体" w:eastAsia="宋体" w:hint="default"/>
          <w:sz w:val="21"/>
          <w:szCs w:val="21"/>
        </w:rPr>
      </w:pPr>
    </w:p>
    <w:p>
      <w:pPr>
        <w:pStyle w:val="Heading2"/>
        <w:spacing w:line="240" w:lineRule="auto"/>
        <w:ind w:right="0"/>
        <w:jc w:val="left"/>
        <w:rPr>
          <w:b w:val="0"/>
          <w:bCs w:val="0"/>
        </w:rPr>
      </w:pPr>
      <w:bookmarkStart w:name="十七、母公司财务报表主要项目注释" w:id="508"/>
      <w:bookmarkEnd w:id="508"/>
      <w:r>
        <w:rPr>
          <w:b w:val="0"/>
          <w:bCs w:val="0"/>
        </w:rPr>
      </w:r>
      <w:r>
        <w:rPr/>
        <w:t>十七、母公司财务报表主要项目注释</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53" w:right="0"/>
        <w:jc w:val="left"/>
        <w:rPr>
          <w:b w:val="0"/>
          <w:bCs w:val="0"/>
        </w:rPr>
      </w:pPr>
      <w:bookmarkStart w:name="1、应收账款" w:id="509"/>
      <w:bookmarkEnd w:id="509"/>
      <w:r>
        <w:rPr>
          <w:b w:val="0"/>
          <w:bCs w:val="0"/>
        </w:rPr>
      </w:r>
      <w:r>
        <w:rPr>
          <w:rFonts w:ascii="Times New Roman" w:hAnsi="Times New Roman" w:cs="Times New Roman" w:eastAsia="Times New Roman" w:hint="default"/>
        </w:rPr>
        <w:t>1</w:t>
      </w:r>
      <w:r>
        <w:rPr/>
        <w:t>、应收账款</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53" w:right="0"/>
        <w:jc w:val="left"/>
        <w:rPr>
          <w:b w:val="0"/>
          <w:bCs w:val="0"/>
        </w:rPr>
      </w:pPr>
      <w:bookmarkStart w:name="（1）应收账款分类披露" w:id="510"/>
      <w:bookmarkEnd w:id="510"/>
      <w:r>
        <w:rPr>
          <w:b w:val="0"/>
          <w:bCs w:val="0"/>
        </w:rPr>
      </w:r>
      <w:r>
        <w:rPr/>
        <w:t>（</w:t>
      </w:r>
      <w:r>
        <w:rPr>
          <w:rFonts w:ascii="Times New Roman" w:hAnsi="Times New Roman" w:cs="Times New Roman" w:eastAsia="Times New Roman" w:hint="default"/>
        </w:rPr>
        <w:t>1</w:t>
      </w:r>
      <w:r>
        <w:rPr/>
        <w:t>）应收账款分类披露</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646"/>
        <w:gridCol w:w="752"/>
        <w:gridCol w:w="762"/>
        <w:gridCol w:w="762"/>
        <w:gridCol w:w="751"/>
        <w:gridCol w:w="800"/>
        <w:gridCol w:w="655"/>
        <w:gridCol w:w="762"/>
        <w:gridCol w:w="813"/>
        <w:gridCol w:w="932"/>
        <w:gridCol w:w="932"/>
      </w:tblGrid>
      <w:tr>
        <w:trPr>
          <w:trHeight w:val="397" w:hRule="exact"/>
        </w:trPr>
        <w:tc>
          <w:tcPr>
            <w:tcW w:w="1646" w:type="dxa"/>
            <w:vMerge w:val="restart"/>
            <w:tcBorders>
              <w:top w:val="single" w:sz="4" w:space="0" w:color="000000"/>
              <w:left w:val="single" w:sz="4" w:space="0" w:color="000000"/>
              <w:right w:val="single" w:sz="4" w:space="0" w:color="000000"/>
            </w:tcBorders>
            <w:shd w:val="clear" w:color="auto" w:fill="D2D2D2"/>
          </w:tcPr>
          <w:p>
            <w:pPr/>
          </w:p>
        </w:tc>
        <w:tc>
          <w:tcPr>
            <w:tcW w:w="3827"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4"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66" w:hRule="exact"/>
        </w:trPr>
        <w:tc>
          <w:tcPr>
            <w:tcW w:w="1646" w:type="dxa"/>
            <w:vMerge/>
            <w:tcBorders>
              <w:left w:val="single" w:sz="4" w:space="0" w:color="000000"/>
              <w:bottom w:val="nil" w:sz="6" w:space="0" w:color="auto"/>
              <w:right w:val="single" w:sz="4" w:space="0" w:color="000000"/>
            </w:tcBorders>
            <w:shd w:val="clear" w:color="auto" w:fill="D2D2D2"/>
          </w:tcPr>
          <w:p>
            <w:pPr/>
          </w:p>
        </w:tc>
        <w:tc>
          <w:tcPr>
            <w:tcW w:w="151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8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13"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800" w:type="dxa"/>
            <w:vMerge w:val="restart"/>
            <w:tcBorders>
              <w:top w:val="single" w:sz="4" w:space="0" w:color="000000"/>
              <w:left w:val="single" w:sz="4" w:space="0" w:color="000000"/>
              <w:right w:val="single" w:sz="4" w:space="0" w:color="000000"/>
            </w:tcBorders>
            <w:shd w:val="clear" w:color="auto" w:fill="D2D2D2"/>
          </w:tcPr>
          <w:p>
            <w:pPr/>
          </w:p>
        </w:tc>
        <w:tc>
          <w:tcPr>
            <w:tcW w:w="1417"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4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50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2" w:type="dxa"/>
            <w:vMerge w:val="restart"/>
            <w:tcBorders>
              <w:top w:val="single" w:sz="4" w:space="0" w:color="000000"/>
              <w:left w:val="single" w:sz="4" w:space="0" w:color="000000"/>
              <w:right w:val="single" w:sz="4" w:space="0" w:color="000000"/>
            </w:tcBorders>
            <w:shd w:val="clear" w:color="auto" w:fill="D2D2D2"/>
          </w:tcPr>
          <w:p>
            <w:pPr/>
          </w:p>
        </w:tc>
      </w:tr>
      <w:tr>
        <w:trPr>
          <w:trHeight w:val="241" w:hRule="exact"/>
        </w:trPr>
        <w:tc>
          <w:tcPr>
            <w:tcW w:w="164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1"/>
              <w:jc w:val="center"/>
              <w:rPr>
                <w:rFonts w:ascii="宋体" w:hAnsi="宋体" w:cs="宋体" w:eastAsia="宋体" w:hint="default"/>
                <w:sz w:val="18"/>
                <w:szCs w:val="18"/>
              </w:rPr>
            </w:pPr>
            <w:r>
              <w:rPr>
                <w:rFonts w:ascii="宋体" w:hAnsi="宋体" w:cs="宋体" w:eastAsia="宋体" w:hint="default"/>
                <w:sz w:val="18"/>
                <w:szCs w:val="18"/>
              </w:rPr>
              <w:t>类别</w:t>
            </w:r>
          </w:p>
        </w:tc>
        <w:tc>
          <w:tcPr>
            <w:tcW w:w="1514" w:type="dxa"/>
            <w:gridSpan w:val="2"/>
            <w:vMerge/>
            <w:tcBorders>
              <w:left w:val="single" w:sz="4" w:space="0" w:color="000000"/>
              <w:bottom w:val="single" w:sz="4" w:space="0" w:color="000000"/>
              <w:right w:val="single" w:sz="4" w:space="0" w:color="000000"/>
            </w:tcBorders>
            <w:shd w:val="clear" w:color="auto" w:fill="D2D2D2"/>
          </w:tcPr>
          <w:p>
            <w:pPr/>
          </w:p>
        </w:tc>
        <w:tc>
          <w:tcPr>
            <w:tcW w:w="1513" w:type="dxa"/>
            <w:gridSpan w:val="2"/>
            <w:vMerge/>
            <w:tcBorders>
              <w:left w:val="single" w:sz="4" w:space="0" w:color="000000"/>
              <w:bottom w:val="single" w:sz="4" w:space="0" w:color="000000"/>
              <w:right w:val="single" w:sz="4" w:space="0" w:color="000000"/>
            </w:tcBorders>
            <w:shd w:val="clear" w:color="auto" w:fill="D2D2D2"/>
          </w:tcPr>
          <w:p>
            <w:pPr/>
          </w:p>
        </w:tc>
        <w:tc>
          <w:tcPr>
            <w:tcW w:w="800" w:type="dxa"/>
            <w:vMerge/>
            <w:tcBorders>
              <w:left w:val="single" w:sz="4" w:space="0" w:color="000000"/>
              <w:bottom w:val="nil" w:sz="6" w:space="0" w:color="auto"/>
              <w:right w:val="single" w:sz="4" w:space="0" w:color="000000"/>
            </w:tcBorders>
            <w:shd w:val="clear" w:color="auto" w:fill="D2D2D2"/>
          </w:tcPr>
          <w:p>
            <w:pPr/>
          </w:p>
        </w:tc>
        <w:tc>
          <w:tcPr>
            <w:tcW w:w="1417" w:type="dxa"/>
            <w:gridSpan w:val="2"/>
            <w:vMerge/>
            <w:tcBorders>
              <w:left w:val="single" w:sz="4" w:space="0" w:color="000000"/>
              <w:bottom w:val="single" w:sz="4" w:space="0" w:color="000000"/>
              <w:right w:val="single" w:sz="4" w:space="0" w:color="000000"/>
            </w:tcBorders>
            <w:shd w:val="clear" w:color="auto" w:fill="D2D2D2"/>
          </w:tcPr>
          <w:p>
            <w:pPr/>
          </w:p>
        </w:tc>
        <w:tc>
          <w:tcPr>
            <w:tcW w:w="1745" w:type="dxa"/>
            <w:gridSpan w:val="2"/>
            <w:vMerge/>
            <w:tcBorders>
              <w:left w:val="single" w:sz="4" w:space="0" w:color="000000"/>
              <w:bottom w:val="single" w:sz="4" w:space="0" w:color="000000"/>
              <w:right w:val="single" w:sz="4" w:space="0" w:color="000000"/>
            </w:tcBorders>
            <w:shd w:val="clear" w:color="auto" w:fill="D2D2D2"/>
          </w:tcPr>
          <w:p>
            <w:pPr/>
          </w:p>
        </w:tc>
        <w:tc>
          <w:tcPr>
            <w:tcW w:w="932" w:type="dxa"/>
            <w:vMerge/>
            <w:tcBorders>
              <w:left w:val="single" w:sz="4" w:space="0" w:color="000000"/>
              <w:bottom w:val="nil" w:sz="6" w:space="0" w:color="auto"/>
              <w:right w:val="single" w:sz="4" w:space="0" w:color="000000"/>
            </w:tcBorders>
            <w:shd w:val="clear" w:color="auto" w:fill="D2D2D2"/>
          </w:tcPr>
          <w:p>
            <w:pPr/>
          </w:p>
        </w:tc>
      </w:tr>
      <w:tr>
        <w:trPr>
          <w:trHeight w:val="159" w:hRule="exact"/>
        </w:trPr>
        <w:tc>
          <w:tcPr>
            <w:tcW w:w="1646" w:type="dxa"/>
            <w:vMerge/>
            <w:tcBorders>
              <w:left w:val="single" w:sz="4" w:space="0" w:color="000000"/>
              <w:bottom w:val="single" w:sz="4" w:space="0" w:color="FFFFFF"/>
              <w:right w:val="single" w:sz="4" w:space="0" w:color="000000"/>
            </w:tcBorders>
            <w:shd w:val="clear" w:color="auto" w:fill="D2D2D2"/>
          </w:tcPr>
          <w:p>
            <w:pPr/>
          </w:p>
        </w:tc>
        <w:tc>
          <w:tcPr>
            <w:tcW w:w="75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51"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285" w:right="93"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80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2"/>
              <w:ind w:left="41"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655" w:type="dxa"/>
            <w:tcBorders>
              <w:top w:val="single" w:sz="4" w:space="0" w:color="000000"/>
              <w:left w:val="single" w:sz="4" w:space="0" w:color="000000"/>
              <w:bottom w:val="nil" w:sz="6" w:space="0" w:color="auto"/>
              <w:right w:val="single" w:sz="4" w:space="0" w:color="000000"/>
            </w:tcBorders>
            <w:shd w:val="clear" w:color="auto" w:fill="D2D2D2"/>
          </w:tcPr>
          <w:p>
            <w:pPr/>
          </w:p>
        </w:tc>
        <w:tc>
          <w:tcPr>
            <w:tcW w:w="762" w:type="dxa"/>
            <w:tcBorders>
              <w:top w:val="single" w:sz="4" w:space="0" w:color="000000"/>
              <w:left w:val="single" w:sz="4" w:space="0" w:color="000000"/>
              <w:bottom w:val="nil" w:sz="6" w:space="0" w:color="auto"/>
              <w:right w:val="single" w:sz="4" w:space="0" w:color="000000"/>
            </w:tcBorders>
            <w:shd w:val="clear" w:color="auto" w:fill="D2D2D2"/>
          </w:tcPr>
          <w:p>
            <w:pPr/>
          </w:p>
        </w:tc>
        <w:tc>
          <w:tcPr>
            <w:tcW w:w="813" w:type="dxa"/>
            <w:tcBorders>
              <w:top w:val="single" w:sz="4" w:space="0" w:color="000000"/>
              <w:left w:val="single" w:sz="4" w:space="0" w:color="000000"/>
              <w:bottom w:val="nil" w:sz="6" w:space="0" w:color="auto"/>
              <w:right w:val="single" w:sz="4" w:space="0" w:color="000000"/>
            </w:tcBorders>
            <w:shd w:val="clear" w:color="auto" w:fill="D2D2D2"/>
          </w:tcPr>
          <w:p>
            <w:pPr/>
          </w:p>
        </w:tc>
        <w:tc>
          <w:tcPr>
            <w:tcW w:w="932" w:type="dxa"/>
            <w:tcBorders>
              <w:top w:val="single" w:sz="4" w:space="0" w:color="000000"/>
              <w:left w:val="single" w:sz="4" w:space="0" w:color="000000"/>
              <w:bottom w:val="nil" w:sz="6" w:space="0" w:color="auto"/>
              <w:right w:val="single" w:sz="4" w:space="0" w:color="000000"/>
            </w:tcBorders>
            <w:shd w:val="clear" w:color="auto" w:fill="D2D2D2"/>
          </w:tcPr>
          <w:p>
            <w:pPr/>
          </w:p>
        </w:tc>
        <w:tc>
          <w:tcPr>
            <w:tcW w:w="93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2"/>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93" w:hRule="exact"/>
        </w:trPr>
        <w:tc>
          <w:tcPr>
            <w:tcW w:w="1646" w:type="dxa"/>
            <w:vMerge w:val="restart"/>
            <w:tcBorders>
              <w:top w:val="single" w:sz="4" w:space="0" w:color="FFFFFF"/>
              <w:left w:val="single" w:sz="4" w:space="0" w:color="000000"/>
              <w:right w:val="single" w:sz="4" w:space="0" w:color="000000"/>
            </w:tcBorders>
            <w:shd w:val="clear" w:color="auto" w:fill="D2D2D2"/>
          </w:tcPr>
          <w:p>
            <w:pPr/>
          </w:p>
        </w:tc>
        <w:tc>
          <w:tcPr>
            <w:tcW w:w="75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84"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51" w:type="dxa"/>
            <w:vMerge/>
            <w:tcBorders>
              <w:left w:val="single" w:sz="4" w:space="0" w:color="000000"/>
              <w:right w:val="single" w:sz="4" w:space="0" w:color="000000"/>
            </w:tcBorders>
            <w:shd w:val="clear" w:color="auto" w:fill="D2D2D2"/>
          </w:tcPr>
          <w:p>
            <w:pPr/>
          </w:p>
        </w:tc>
        <w:tc>
          <w:tcPr>
            <w:tcW w:w="800" w:type="dxa"/>
            <w:vMerge/>
            <w:tcBorders>
              <w:left w:val="single" w:sz="4" w:space="0" w:color="000000"/>
              <w:bottom w:val="nil" w:sz="6" w:space="0" w:color="auto"/>
              <w:right w:val="single" w:sz="4" w:space="0" w:color="000000"/>
            </w:tcBorders>
            <w:shd w:val="clear" w:color="auto" w:fill="D2D2D2"/>
          </w:tcPr>
          <w:p>
            <w:pPr/>
          </w:p>
        </w:tc>
        <w:tc>
          <w:tcPr>
            <w:tcW w:w="65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42"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22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0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2" w:type="dxa"/>
            <w:vMerge/>
            <w:tcBorders>
              <w:left w:val="single" w:sz="4" w:space="0" w:color="000000"/>
              <w:bottom w:val="nil" w:sz="6" w:space="0" w:color="auto"/>
              <w:right w:val="single" w:sz="4" w:space="0" w:color="000000"/>
            </w:tcBorders>
            <w:shd w:val="clear" w:color="auto" w:fill="D2D2D2"/>
          </w:tcPr>
          <w:p>
            <w:pPr/>
          </w:p>
        </w:tc>
      </w:tr>
      <w:tr>
        <w:trPr>
          <w:trHeight w:val="202" w:hRule="exact"/>
        </w:trPr>
        <w:tc>
          <w:tcPr>
            <w:tcW w:w="1646" w:type="dxa"/>
            <w:vMerge/>
            <w:tcBorders>
              <w:left w:val="single" w:sz="4" w:space="0" w:color="000000"/>
              <w:right w:val="single" w:sz="4" w:space="0" w:color="000000"/>
            </w:tcBorders>
            <w:shd w:val="clear" w:color="auto" w:fill="D2D2D2"/>
          </w:tcPr>
          <w:p>
            <w:pPr/>
          </w:p>
        </w:tc>
        <w:tc>
          <w:tcPr>
            <w:tcW w:w="75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51" w:type="dxa"/>
            <w:vMerge/>
            <w:tcBorders>
              <w:left w:val="single" w:sz="4" w:space="0" w:color="000000"/>
              <w:right w:val="single" w:sz="4" w:space="0" w:color="000000"/>
            </w:tcBorders>
            <w:shd w:val="clear" w:color="auto" w:fill="D2D2D2"/>
          </w:tcPr>
          <w:p>
            <w:pPr/>
          </w:p>
        </w:tc>
        <w:tc>
          <w:tcPr>
            <w:tcW w:w="800" w:type="dxa"/>
            <w:vMerge w:val="restart"/>
            <w:tcBorders>
              <w:top w:val="nil" w:sz="6" w:space="0" w:color="auto"/>
              <w:left w:val="single" w:sz="4" w:space="0" w:color="000000"/>
              <w:right w:val="single" w:sz="4" w:space="0" w:color="000000"/>
            </w:tcBorders>
            <w:shd w:val="clear" w:color="auto" w:fill="D2D2D2"/>
          </w:tcPr>
          <w:p>
            <w:pPr/>
          </w:p>
        </w:tc>
        <w:tc>
          <w:tcPr>
            <w:tcW w:w="655"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813" w:type="dxa"/>
            <w:vMerge/>
            <w:tcBorders>
              <w:left w:val="single" w:sz="4" w:space="0" w:color="000000"/>
              <w:bottom w:val="nil" w:sz="6" w:space="0" w:color="auto"/>
              <w:right w:val="single" w:sz="4" w:space="0" w:color="000000"/>
            </w:tcBorders>
            <w:shd w:val="clear" w:color="auto" w:fill="D2D2D2"/>
          </w:tcPr>
          <w:p>
            <w:pPr/>
          </w:p>
        </w:tc>
        <w:tc>
          <w:tcPr>
            <w:tcW w:w="932" w:type="dxa"/>
            <w:vMerge/>
            <w:tcBorders>
              <w:left w:val="single" w:sz="4" w:space="0" w:color="000000"/>
              <w:bottom w:val="nil" w:sz="6" w:space="0" w:color="auto"/>
              <w:right w:val="single" w:sz="4" w:space="0" w:color="000000"/>
            </w:tcBorders>
            <w:shd w:val="clear" w:color="auto" w:fill="D2D2D2"/>
          </w:tcPr>
          <w:p>
            <w:pPr/>
          </w:p>
        </w:tc>
        <w:tc>
          <w:tcPr>
            <w:tcW w:w="932"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646" w:type="dxa"/>
            <w:vMerge/>
            <w:tcBorders>
              <w:left w:val="single" w:sz="4" w:space="0" w:color="000000"/>
              <w:bottom w:val="single" w:sz="4" w:space="0" w:color="000000"/>
              <w:right w:val="single" w:sz="4" w:space="0" w:color="000000"/>
            </w:tcBorders>
            <w:shd w:val="clear" w:color="auto" w:fill="D2D2D2"/>
          </w:tcPr>
          <w:p>
            <w:pPr/>
          </w:p>
        </w:tc>
        <w:tc>
          <w:tcPr>
            <w:tcW w:w="75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51" w:type="dxa"/>
            <w:vMerge/>
            <w:tcBorders>
              <w:left w:val="single" w:sz="4" w:space="0" w:color="000000"/>
              <w:bottom w:val="single" w:sz="4" w:space="0" w:color="000000"/>
              <w:right w:val="single" w:sz="4" w:space="0" w:color="000000"/>
            </w:tcBorders>
            <w:shd w:val="clear" w:color="auto" w:fill="D2D2D2"/>
          </w:tcPr>
          <w:p>
            <w:pPr/>
          </w:p>
        </w:tc>
        <w:tc>
          <w:tcPr>
            <w:tcW w:w="800" w:type="dxa"/>
            <w:vMerge/>
            <w:tcBorders>
              <w:left w:val="single" w:sz="4" w:space="0" w:color="000000"/>
              <w:bottom w:val="single" w:sz="4" w:space="0" w:color="000000"/>
              <w:right w:val="single" w:sz="4" w:space="0" w:color="000000"/>
            </w:tcBorders>
            <w:shd w:val="clear" w:color="auto" w:fill="D2D2D2"/>
          </w:tcPr>
          <w:p>
            <w:pPr/>
          </w:p>
        </w:tc>
        <w:tc>
          <w:tcPr>
            <w:tcW w:w="655"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813" w:type="dxa"/>
            <w:tcBorders>
              <w:top w:val="nil" w:sz="6" w:space="0" w:color="auto"/>
              <w:left w:val="single" w:sz="4" w:space="0" w:color="000000"/>
              <w:bottom w:val="single" w:sz="4" w:space="0" w:color="000000"/>
              <w:right w:val="single" w:sz="4" w:space="0" w:color="000000"/>
            </w:tcBorders>
            <w:shd w:val="clear" w:color="auto" w:fill="D2D2D2"/>
          </w:tcPr>
          <w:p>
            <w:pPr/>
          </w:p>
        </w:tc>
        <w:tc>
          <w:tcPr>
            <w:tcW w:w="932" w:type="dxa"/>
            <w:tcBorders>
              <w:top w:val="nil" w:sz="6" w:space="0" w:color="auto"/>
              <w:left w:val="single" w:sz="4" w:space="0" w:color="000000"/>
              <w:bottom w:val="single" w:sz="4" w:space="0" w:color="000000"/>
              <w:right w:val="single" w:sz="4" w:space="0" w:color="000000"/>
            </w:tcBorders>
            <w:shd w:val="clear" w:color="auto" w:fill="D2D2D2"/>
          </w:tcPr>
          <w:p>
            <w:pPr/>
          </w:p>
        </w:tc>
        <w:tc>
          <w:tcPr>
            <w:tcW w:w="932" w:type="dxa"/>
            <w:vMerge/>
            <w:tcBorders>
              <w:left w:val="single" w:sz="4" w:space="0" w:color="000000"/>
              <w:bottom w:val="single" w:sz="4" w:space="0" w:color="000000"/>
              <w:right w:val="single" w:sz="4" w:space="0" w:color="000000"/>
            </w:tcBorders>
            <w:shd w:val="clear" w:color="auto" w:fill="D2D2D2"/>
          </w:tcPr>
          <w:p>
            <w:pPr/>
          </w:p>
        </w:tc>
      </w:tr>
      <w:tr>
        <w:trPr>
          <w:trHeight w:val="714" w:hRule="exact"/>
        </w:trPr>
        <w:tc>
          <w:tcPr>
            <w:tcW w:w="16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71"/>
              <w:ind w:left="22" w:right="171"/>
              <w:jc w:val="left"/>
              <w:rPr>
                <w:rFonts w:ascii="宋体" w:hAnsi="宋体" w:cs="宋体" w:eastAsia="宋体" w:hint="default"/>
                <w:sz w:val="18"/>
                <w:szCs w:val="18"/>
              </w:rPr>
            </w:pPr>
            <w:r>
              <w:rPr>
                <w:rFonts w:ascii="宋体" w:hAnsi="宋体" w:cs="宋体" w:eastAsia="宋体" w:hint="default"/>
                <w:sz w:val="18"/>
                <w:szCs w:val="18"/>
              </w:rPr>
              <w:t>按信用风险特征组 合计提坏账准备的</w:t>
            </w:r>
          </w:p>
        </w:tc>
        <w:tc>
          <w:tcPr>
            <w:tcW w:w="75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52" w:right="0"/>
              <w:jc w:val="center"/>
              <w:rPr>
                <w:rFonts w:ascii="Times New Roman" w:hAnsi="Times New Roman" w:cs="Times New Roman" w:eastAsia="Times New Roman" w:hint="default"/>
                <w:sz w:val="18"/>
                <w:szCs w:val="18"/>
              </w:rPr>
            </w:pPr>
            <w:r>
              <w:rPr>
                <w:rFonts w:ascii="Times New Roman"/>
                <w:sz w:val="18"/>
              </w:rPr>
              <w:t>174,383,</w:t>
            </w:r>
          </w:p>
          <w:p>
            <w:pPr>
              <w:pStyle w:val="TableParagraph"/>
              <w:spacing w:line="240" w:lineRule="auto" w:before="105"/>
              <w:ind w:left="188" w:right="0"/>
              <w:jc w:val="center"/>
              <w:rPr>
                <w:rFonts w:ascii="Times New Roman" w:hAnsi="Times New Roman" w:cs="Times New Roman" w:eastAsia="Times New Roman" w:hint="default"/>
                <w:sz w:val="18"/>
                <w:szCs w:val="18"/>
              </w:rPr>
            </w:pPr>
            <w:r>
              <w:rPr>
                <w:rFonts w:ascii="Times New Roman"/>
                <w:sz w:val="18"/>
              </w:rPr>
              <w:t>310.58</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8" w:right="0"/>
              <w:jc w:val="left"/>
              <w:rPr>
                <w:rFonts w:ascii="Times New Roman" w:hAnsi="Times New Roman" w:cs="Times New Roman" w:eastAsia="Times New Roman" w:hint="default"/>
                <w:sz w:val="18"/>
                <w:szCs w:val="18"/>
              </w:rPr>
            </w:pPr>
            <w:r>
              <w:rPr>
                <w:rFonts w:ascii="Times New Roman"/>
                <w:sz w:val="18"/>
              </w:rPr>
              <w:t>20,668,3</w:t>
            </w:r>
          </w:p>
          <w:p>
            <w:pPr>
              <w:pStyle w:val="TableParagraph"/>
              <w:spacing w:line="240" w:lineRule="auto" w:before="105"/>
              <w:ind w:left="323" w:right="0"/>
              <w:jc w:val="left"/>
              <w:rPr>
                <w:rFonts w:ascii="Times New Roman" w:hAnsi="Times New Roman" w:cs="Times New Roman" w:eastAsia="Times New Roman" w:hint="default"/>
                <w:sz w:val="18"/>
                <w:szCs w:val="18"/>
              </w:rPr>
            </w:pPr>
            <w:r>
              <w:rPr>
                <w:rFonts w:ascii="Times New Roman"/>
                <w:sz w:val="18"/>
              </w:rPr>
              <w:t>94.72</w:t>
            </w:r>
          </w:p>
        </w:tc>
        <w:tc>
          <w:tcPr>
            <w:tcW w:w="7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81" w:right="0"/>
              <w:jc w:val="left"/>
              <w:rPr>
                <w:rFonts w:ascii="Times New Roman" w:hAnsi="Times New Roman" w:cs="Times New Roman" w:eastAsia="Times New Roman" w:hint="default"/>
                <w:sz w:val="18"/>
                <w:szCs w:val="18"/>
              </w:rPr>
            </w:pPr>
            <w:r>
              <w:rPr>
                <w:rFonts w:ascii="Times New Roman"/>
                <w:sz w:val="18"/>
              </w:rPr>
              <w:t>11.85%</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8" w:right="0"/>
              <w:jc w:val="left"/>
              <w:rPr>
                <w:rFonts w:ascii="Times New Roman" w:hAnsi="Times New Roman" w:cs="Times New Roman" w:eastAsia="Times New Roman" w:hint="default"/>
                <w:sz w:val="18"/>
                <w:szCs w:val="18"/>
              </w:rPr>
            </w:pPr>
            <w:r>
              <w:rPr>
                <w:rFonts w:ascii="Times New Roman"/>
                <w:sz w:val="18"/>
              </w:rPr>
              <w:t>153,714,9</w:t>
            </w:r>
          </w:p>
          <w:p>
            <w:pPr>
              <w:pStyle w:val="TableParagraph"/>
              <w:spacing w:line="240" w:lineRule="auto" w:before="105"/>
              <w:ind w:left="364" w:right="0"/>
              <w:jc w:val="left"/>
              <w:rPr>
                <w:rFonts w:ascii="Times New Roman" w:hAnsi="Times New Roman" w:cs="Times New Roman" w:eastAsia="Times New Roman" w:hint="default"/>
                <w:sz w:val="18"/>
                <w:szCs w:val="18"/>
              </w:rPr>
            </w:pPr>
            <w:r>
              <w:rPr>
                <w:rFonts w:ascii="Times New Roman"/>
                <w:sz w:val="18"/>
              </w:rPr>
              <w:t>15.86</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6" w:right="0"/>
              <w:jc w:val="left"/>
              <w:rPr>
                <w:rFonts w:ascii="Times New Roman" w:hAnsi="Times New Roman" w:cs="Times New Roman" w:eastAsia="Times New Roman" w:hint="default"/>
                <w:sz w:val="18"/>
                <w:szCs w:val="18"/>
              </w:rPr>
            </w:pPr>
            <w:r>
              <w:rPr>
                <w:rFonts w:ascii="Times New Roman"/>
                <w:sz w:val="18"/>
              </w:rPr>
              <w:t>180,866</w:t>
            </w:r>
          </w:p>
          <w:p>
            <w:pPr>
              <w:pStyle w:val="TableParagraph"/>
              <w:spacing w:line="240" w:lineRule="auto" w:before="105"/>
              <w:ind w:left="81" w:right="0"/>
              <w:jc w:val="left"/>
              <w:rPr>
                <w:rFonts w:ascii="Times New Roman" w:hAnsi="Times New Roman" w:cs="Times New Roman" w:eastAsia="Times New Roman" w:hint="default"/>
                <w:sz w:val="18"/>
                <w:szCs w:val="18"/>
              </w:rPr>
            </w:pPr>
            <w:r>
              <w:rPr>
                <w:rFonts w:ascii="Times New Roman"/>
                <w:sz w:val="18"/>
              </w:rPr>
              <w:t>,737.21</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0" w:right="0"/>
              <w:jc w:val="left"/>
              <w:rPr>
                <w:rFonts w:ascii="Times New Roman" w:hAnsi="Times New Roman" w:cs="Times New Roman" w:eastAsia="Times New Roman" w:hint="default"/>
                <w:sz w:val="18"/>
                <w:szCs w:val="18"/>
              </w:rPr>
            </w:pPr>
            <w:r>
              <w:rPr>
                <w:rFonts w:ascii="Times New Roman"/>
                <w:sz w:val="18"/>
              </w:rPr>
              <w:t>16,206,18</w:t>
            </w:r>
          </w:p>
          <w:p>
            <w:pPr>
              <w:pStyle w:val="TableParagraph"/>
              <w:spacing w:line="240" w:lineRule="auto" w:before="105"/>
              <w:ind w:left="466" w:right="0"/>
              <w:jc w:val="left"/>
              <w:rPr>
                <w:rFonts w:ascii="Times New Roman" w:hAnsi="Times New Roman" w:cs="Times New Roman" w:eastAsia="Times New Roman" w:hint="default"/>
                <w:sz w:val="18"/>
                <w:szCs w:val="18"/>
              </w:rPr>
            </w:pPr>
            <w:r>
              <w:rPr>
                <w:rFonts w:ascii="Times New Roman"/>
                <w:sz w:val="18"/>
              </w:rPr>
              <w:t>7.98</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35" w:right="0"/>
              <w:jc w:val="left"/>
              <w:rPr>
                <w:rFonts w:ascii="Times New Roman" w:hAnsi="Times New Roman" w:cs="Times New Roman" w:eastAsia="Times New Roman" w:hint="default"/>
                <w:sz w:val="18"/>
                <w:szCs w:val="18"/>
              </w:rPr>
            </w:pPr>
            <w:r>
              <w:rPr>
                <w:rFonts w:ascii="Times New Roman"/>
                <w:sz w:val="18"/>
              </w:rPr>
              <w:t>8.96%</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8" w:right="0"/>
              <w:jc w:val="left"/>
              <w:rPr>
                <w:rFonts w:ascii="Times New Roman" w:hAnsi="Times New Roman" w:cs="Times New Roman" w:eastAsia="Times New Roman" w:hint="default"/>
                <w:sz w:val="18"/>
                <w:szCs w:val="18"/>
              </w:rPr>
            </w:pPr>
            <w:r>
              <w:rPr>
                <w:rFonts w:ascii="Times New Roman"/>
                <w:sz w:val="18"/>
              </w:rPr>
              <w:t>164,660,54</w:t>
            </w:r>
          </w:p>
          <w:p>
            <w:pPr>
              <w:pStyle w:val="TableParagraph"/>
              <w:spacing w:line="240" w:lineRule="auto" w:before="105"/>
              <w:ind w:left="584" w:right="0"/>
              <w:jc w:val="left"/>
              <w:rPr>
                <w:rFonts w:ascii="Times New Roman" w:hAnsi="Times New Roman" w:cs="Times New Roman" w:eastAsia="Times New Roman" w:hint="default"/>
                <w:sz w:val="18"/>
                <w:szCs w:val="18"/>
              </w:rPr>
            </w:pPr>
            <w:r>
              <w:rPr>
                <w:rFonts w:ascii="Times New Roman"/>
                <w:sz w:val="18"/>
              </w:rPr>
              <w:t>9.23</w:t>
            </w:r>
          </w:p>
        </w:tc>
      </w:tr>
    </w:tbl>
    <w:p>
      <w:pPr>
        <w:spacing w:after="0" w:line="240" w:lineRule="auto"/>
        <w:jc w:val="lef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634"/>
        <w:gridCol w:w="764"/>
        <w:gridCol w:w="762"/>
        <w:gridCol w:w="762"/>
        <w:gridCol w:w="762"/>
        <w:gridCol w:w="790"/>
        <w:gridCol w:w="654"/>
        <w:gridCol w:w="762"/>
        <w:gridCol w:w="813"/>
        <w:gridCol w:w="932"/>
        <w:gridCol w:w="932"/>
      </w:tblGrid>
      <w:tr>
        <w:trPr>
          <w:trHeight w:val="362" w:hRule="exact"/>
        </w:trPr>
        <w:tc>
          <w:tcPr>
            <w:tcW w:w="16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764" w:type="dxa"/>
            <w:tcBorders>
              <w:top w:val="single" w:sz="4" w:space="0" w:color="000000"/>
              <w:left w:val="single" w:sz="4" w:space="0" w:color="000000"/>
              <w:bottom w:val="single" w:sz="4" w:space="0" w:color="000000"/>
              <w:right w:val="single" w:sz="4" w:space="0" w:color="000000"/>
            </w:tcBorders>
          </w:tcPr>
          <w:p>
            <w:pPr/>
          </w:p>
        </w:tc>
        <w:tc>
          <w:tcPr>
            <w:tcW w:w="762" w:type="dxa"/>
            <w:tcBorders>
              <w:top w:val="single" w:sz="4" w:space="0" w:color="000000"/>
              <w:left w:val="single" w:sz="4" w:space="0" w:color="000000"/>
              <w:bottom w:val="single" w:sz="4" w:space="0" w:color="000000"/>
              <w:right w:val="single" w:sz="4" w:space="0" w:color="000000"/>
            </w:tcBorders>
          </w:tcPr>
          <w:p>
            <w:pPr/>
          </w:p>
        </w:tc>
        <w:tc>
          <w:tcPr>
            <w:tcW w:w="762" w:type="dxa"/>
            <w:tcBorders>
              <w:top w:val="single" w:sz="4" w:space="0" w:color="000000"/>
              <w:left w:val="single" w:sz="4" w:space="0" w:color="000000"/>
              <w:bottom w:val="single" w:sz="4" w:space="0" w:color="000000"/>
              <w:right w:val="single" w:sz="4" w:space="0" w:color="000000"/>
            </w:tcBorders>
          </w:tcPr>
          <w:p>
            <w:pPr/>
          </w:p>
        </w:tc>
        <w:tc>
          <w:tcPr>
            <w:tcW w:w="762" w:type="dxa"/>
            <w:tcBorders>
              <w:top w:val="single" w:sz="4" w:space="0" w:color="000000"/>
              <w:left w:val="single" w:sz="4" w:space="0" w:color="000000"/>
              <w:bottom w:val="single" w:sz="4" w:space="0" w:color="000000"/>
              <w:right w:val="single" w:sz="4" w:space="0" w:color="000000"/>
            </w:tcBorders>
          </w:tcPr>
          <w:p>
            <w:pPr/>
          </w:p>
        </w:tc>
        <w:tc>
          <w:tcPr>
            <w:tcW w:w="790" w:type="dxa"/>
            <w:tcBorders>
              <w:top w:val="single" w:sz="4" w:space="0" w:color="000000"/>
              <w:left w:val="single" w:sz="4" w:space="0" w:color="000000"/>
              <w:bottom w:val="single" w:sz="4" w:space="0" w:color="000000"/>
              <w:right w:val="single" w:sz="4" w:space="0" w:color="000000"/>
            </w:tcBorders>
          </w:tcPr>
          <w:p>
            <w:pPr/>
          </w:p>
        </w:tc>
        <w:tc>
          <w:tcPr>
            <w:tcW w:w="654" w:type="dxa"/>
            <w:tcBorders>
              <w:top w:val="single" w:sz="4" w:space="0" w:color="000000"/>
              <w:left w:val="single" w:sz="4" w:space="0" w:color="000000"/>
              <w:bottom w:val="single" w:sz="4" w:space="0" w:color="000000"/>
              <w:right w:val="single" w:sz="4" w:space="0" w:color="000000"/>
            </w:tcBorders>
          </w:tcPr>
          <w:p>
            <w:pPr/>
          </w:p>
        </w:tc>
        <w:tc>
          <w:tcPr>
            <w:tcW w:w="762" w:type="dxa"/>
            <w:tcBorders>
              <w:top w:val="single" w:sz="4" w:space="0" w:color="000000"/>
              <w:left w:val="single" w:sz="4" w:space="0" w:color="000000"/>
              <w:bottom w:val="single" w:sz="4" w:space="0" w:color="000000"/>
              <w:right w:val="single" w:sz="4" w:space="0" w:color="000000"/>
            </w:tcBorders>
          </w:tcPr>
          <w:p>
            <w:pPr/>
          </w:p>
        </w:tc>
        <w:tc>
          <w:tcPr>
            <w:tcW w:w="813" w:type="dxa"/>
            <w:tcBorders>
              <w:top w:val="single" w:sz="4" w:space="0" w:color="000000"/>
              <w:left w:val="single" w:sz="4" w:space="0" w:color="000000"/>
              <w:bottom w:val="single" w:sz="4" w:space="0" w:color="000000"/>
              <w:right w:val="single" w:sz="4" w:space="0" w:color="000000"/>
            </w:tcBorders>
          </w:tcPr>
          <w:p>
            <w:pPr/>
          </w:p>
        </w:tc>
        <w:tc>
          <w:tcPr>
            <w:tcW w:w="932" w:type="dxa"/>
            <w:tcBorders>
              <w:top w:val="single" w:sz="4" w:space="0" w:color="000000"/>
              <w:left w:val="single" w:sz="4" w:space="0" w:color="000000"/>
              <w:bottom w:val="single" w:sz="4" w:space="0" w:color="000000"/>
              <w:right w:val="single" w:sz="4" w:space="0" w:color="000000"/>
            </w:tcBorders>
          </w:tcPr>
          <w:p>
            <w:pPr/>
          </w:p>
        </w:tc>
        <w:tc>
          <w:tcPr>
            <w:tcW w:w="932"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6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6" w:right="0"/>
              <w:jc w:val="center"/>
              <w:rPr>
                <w:rFonts w:ascii="Times New Roman" w:hAnsi="Times New Roman" w:cs="Times New Roman" w:eastAsia="Times New Roman" w:hint="default"/>
                <w:sz w:val="18"/>
                <w:szCs w:val="18"/>
              </w:rPr>
            </w:pPr>
            <w:r>
              <w:rPr>
                <w:rFonts w:ascii="Times New Roman"/>
                <w:sz w:val="18"/>
              </w:rPr>
              <w:t>174,383,</w:t>
            </w:r>
          </w:p>
          <w:p>
            <w:pPr>
              <w:pStyle w:val="TableParagraph"/>
              <w:spacing w:line="240" w:lineRule="auto" w:before="105"/>
              <w:ind w:left="212" w:right="0"/>
              <w:jc w:val="center"/>
              <w:rPr>
                <w:rFonts w:ascii="Times New Roman" w:hAnsi="Times New Roman" w:cs="Times New Roman" w:eastAsia="Times New Roman" w:hint="default"/>
                <w:sz w:val="18"/>
                <w:szCs w:val="18"/>
              </w:rPr>
            </w:pPr>
            <w:r>
              <w:rPr>
                <w:rFonts w:ascii="Times New Roman"/>
                <w:sz w:val="18"/>
              </w:rPr>
              <w:t>310.58</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8" w:right="0"/>
              <w:jc w:val="left"/>
              <w:rPr>
                <w:rFonts w:ascii="Times New Roman" w:hAnsi="Times New Roman" w:cs="Times New Roman" w:eastAsia="Times New Roman" w:hint="default"/>
                <w:sz w:val="18"/>
                <w:szCs w:val="18"/>
              </w:rPr>
            </w:pPr>
            <w:r>
              <w:rPr>
                <w:rFonts w:ascii="Times New Roman"/>
                <w:sz w:val="18"/>
              </w:rPr>
              <w:t>20,668,3</w:t>
            </w:r>
          </w:p>
          <w:p>
            <w:pPr>
              <w:pStyle w:val="TableParagraph"/>
              <w:spacing w:line="240" w:lineRule="auto" w:before="105"/>
              <w:ind w:left="323" w:right="0"/>
              <w:jc w:val="left"/>
              <w:rPr>
                <w:rFonts w:ascii="Times New Roman" w:hAnsi="Times New Roman" w:cs="Times New Roman" w:eastAsia="Times New Roman" w:hint="default"/>
                <w:sz w:val="18"/>
                <w:szCs w:val="18"/>
              </w:rPr>
            </w:pPr>
            <w:r>
              <w:rPr>
                <w:rFonts w:ascii="Times New Roman"/>
                <w:sz w:val="18"/>
              </w:rPr>
              <w:t>94.72</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81" w:right="0"/>
              <w:jc w:val="left"/>
              <w:rPr>
                <w:rFonts w:ascii="Times New Roman" w:hAnsi="Times New Roman" w:cs="Times New Roman" w:eastAsia="Times New Roman" w:hint="default"/>
                <w:sz w:val="18"/>
                <w:szCs w:val="18"/>
              </w:rPr>
            </w:pPr>
            <w:r>
              <w:rPr>
                <w:rFonts w:ascii="Times New Roman"/>
                <w:sz w:val="18"/>
              </w:rPr>
              <w:t>11.85%</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7" w:right="0"/>
              <w:jc w:val="left"/>
              <w:rPr>
                <w:rFonts w:ascii="Times New Roman" w:hAnsi="Times New Roman" w:cs="Times New Roman" w:eastAsia="Times New Roman" w:hint="default"/>
                <w:sz w:val="18"/>
                <w:szCs w:val="18"/>
              </w:rPr>
            </w:pPr>
            <w:r>
              <w:rPr>
                <w:rFonts w:ascii="Times New Roman"/>
                <w:sz w:val="18"/>
              </w:rPr>
              <w:t>153,714,9</w:t>
            </w:r>
          </w:p>
          <w:p>
            <w:pPr>
              <w:pStyle w:val="TableParagraph"/>
              <w:spacing w:line="240" w:lineRule="auto" w:before="105"/>
              <w:ind w:left="352" w:right="0"/>
              <w:jc w:val="left"/>
              <w:rPr>
                <w:rFonts w:ascii="Times New Roman" w:hAnsi="Times New Roman" w:cs="Times New Roman" w:eastAsia="Times New Roman" w:hint="default"/>
                <w:sz w:val="18"/>
                <w:szCs w:val="18"/>
              </w:rPr>
            </w:pPr>
            <w:r>
              <w:rPr>
                <w:rFonts w:ascii="Times New Roman"/>
                <w:sz w:val="18"/>
              </w:rPr>
              <w:t>15.86</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180,866</w:t>
            </w:r>
          </w:p>
          <w:p>
            <w:pPr>
              <w:pStyle w:val="TableParagraph"/>
              <w:spacing w:line="240" w:lineRule="auto" w:before="105"/>
              <w:ind w:left="80" w:right="0"/>
              <w:jc w:val="left"/>
              <w:rPr>
                <w:rFonts w:ascii="Times New Roman" w:hAnsi="Times New Roman" w:cs="Times New Roman" w:eastAsia="Times New Roman" w:hint="default"/>
                <w:sz w:val="18"/>
                <w:szCs w:val="18"/>
              </w:rPr>
            </w:pPr>
            <w:r>
              <w:rPr>
                <w:rFonts w:ascii="Times New Roman"/>
                <w:sz w:val="18"/>
              </w:rPr>
              <w:t>,737.21</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0" w:right="0"/>
              <w:jc w:val="left"/>
              <w:rPr>
                <w:rFonts w:ascii="Times New Roman" w:hAnsi="Times New Roman" w:cs="Times New Roman" w:eastAsia="Times New Roman" w:hint="default"/>
                <w:sz w:val="18"/>
                <w:szCs w:val="18"/>
              </w:rPr>
            </w:pPr>
            <w:r>
              <w:rPr>
                <w:rFonts w:ascii="Times New Roman"/>
                <w:sz w:val="18"/>
              </w:rPr>
              <w:t>16,206,18</w:t>
            </w:r>
          </w:p>
          <w:p>
            <w:pPr>
              <w:pStyle w:val="TableParagraph"/>
              <w:spacing w:line="240" w:lineRule="auto" w:before="105"/>
              <w:ind w:left="466" w:right="0"/>
              <w:jc w:val="left"/>
              <w:rPr>
                <w:rFonts w:ascii="Times New Roman" w:hAnsi="Times New Roman" w:cs="Times New Roman" w:eastAsia="Times New Roman" w:hint="default"/>
                <w:sz w:val="18"/>
                <w:szCs w:val="18"/>
              </w:rPr>
            </w:pPr>
            <w:r>
              <w:rPr>
                <w:rFonts w:ascii="Times New Roman"/>
                <w:sz w:val="18"/>
              </w:rPr>
              <w:t>7.98</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35" w:right="0"/>
              <w:jc w:val="left"/>
              <w:rPr>
                <w:rFonts w:ascii="Times New Roman" w:hAnsi="Times New Roman" w:cs="Times New Roman" w:eastAsia="Times New Roman" w:hint="default"/>
                <w:sz w:val="18"/>
                <w:szCs w:val="18"/>
              </w:rPr>
            </w:pPr>
            <w:r>
              <w:rPr>
                <w:rFonts w:ascii="Times New Roman"/>
                <w:sz w:val="18"/>
              </w:rPr>
              <w:t>8.96%</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8" w:right="0"/>
              <w:jc w:val="left"/>
              <w:rPr>
                <w:rFonts w:ascii="Times New Roman" w:hAnsi="Times New Roman" w:cs="Times New Roman" w:eastAsia="Times New Roman" w:hint="default"/>
                <w:sz w:val="18"/>
                <w:szCs w:val="18"/>
              </w:rPr>
            </w:pPr>
            <w:r>
              <w:rPr>
                <w:rFonts w:ascii="Times New Roman"/>
                <w:sz w:val="18"/>
              </w:rPr>
              <w:t>164,660,54</w:t>
            </w:r>
          </w:p>
          <w:p>
            <w:pPr>
              <w:pStyle w:val="TableParagraph"/>
              <w:spacing w:line="240" w:lineRule="auto" w:before="105"/>
              <w:ind w:left="584" w:right="0"/>
              <w:jc w:val="left"/>
              <w:rPr>
                <w:rFonts w:ascii="Times New Roman" w:hAnsi="Times New Roman" w:cs="Times New Roman" w:eastAsia="Times New Roman" w:hint="default"/>
                <w:sz w:val="18"/>
                <w:szCs w:val="18"/>
              </w:rPr>
            </w:pPr>
            <w:r>
              <w:rPr>
                <w:rFonts w:ascii="Times New Roman"/>
                <w:sz w:val="18"/>
              </w:rPr>
              <w:t>9.23</w:t>
            </w:r>
          </w:p>
        </w:tc>
      </w:tr>
    </w:tbl>
    <w:p>
      <w:pPr>
        <w:spacing w:after="0" w:line="240" w:lineRule="auto"/>
        <w:jc w:val="left"/>
        <w:rPr>
          <w:rFonts w:ascii="Times New Roman" w:hAnsi="Times New Roman" w:cs="Times New Roman" w:eastAsia="Times New Roman" w:hint="default"/>
          <w:sz w:val="18"/>
          <w:szCs w:val="18"/>
        </w:rPr>
        <w:sectPr>
          <w:pgSz w:w="11910" w:h="16840"/>
          <w:pgMar w:header="747" w:footer="979" w:top="1060" w:bottom="1160" w:left="980" w:right="0"/>
        </w:sectPr>
      </w:pPr>
    </w:p>
    <w:p>
      <w:pPr>
        <w:pStyle w:val="BodyText"/>
        <w:spacing w:line="240" w:lineRule="auto" w:before="51"/>
        <w:ind w:left="154" w:right="-20"/>
        <w:jc w:val="left"/>
      </w:pPr>
      <w:r>
        <w:rPr/>
        <w:t>期末单项金额重大并单项计提坏账准备的应收账款：</w:t>
      </w:r>
    </w:p>
    <w:p>
      <w:pPr>
        <w:pStyle w:val="BodyText"/>
        <w:spacing w:line="338" w:lineRule="auto" w:before="117"/>
        <w:ind w:right="161"/>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组合中，按账龄分析法计提坏账准备的应收账款：</w:t>
      </w:r>
    </w:p>
    <w:p>
      <w:pPr>
        <w:pStyle w:val="BodyText"/>
        <w:spacing w:line="240" w:lineRule="auto" w:before="42"/>
        <w:ind w:right="-19"/>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21"/>
          <w:szCs w:val="21"/>
        </w:rPr>
      </w:pPr>
    </w:p>
    <w:p>
      <w:pPr>
        <w:pStyle w:val="BodyText"/>
        <w:spacing w:line="240" w:lineRule="auto"/>
        <w:ind w:right="0"/>
        <w:jc w:val="left"/>
      </w:pPr>
      <w:r>
        <w:rPr/>
        <w:t>单位： 元</w:t>
      </w:r>
    </w:p>
    <w:p>
      <w:pPr>
        <w:spacing w:after="0" w:line="240" w:lineRule="auto"/>
        <w:jc w:val="left"/>
        <w:sectPr>
          <w:type w:val="continuous"/>
          <w:pgSz w:w="11910" w:h="16840"/>
          <w:pgMar w:top="1060" w:bottom="1160" w:left="980" w:right="0"/>
          <w:cols w:num="2" w:equalWidth="0">
            <w:col w:w="4295" w:space="4535"/>
            <w:col w:w="2100"/>
          </w:cols>
        </w:sectPr>
      </w:pP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2476"/>
        <w:gridCol w:w="2301"/>
        <w:gridCol w:w="2391"/>
        <w:gridCol w:w="2390"/>
      </w:tblGrid>
      <w:tr>
        <w:trPr>
          <w:trHeight w:val="206" w:hRule="exact"/>
        </w:trPr>
        <w:tc>
          <w:tcPr>
            <w:tcW w:w="2476" w:type="dxa"/>
            <w:tcBorders>
              <w:top w:val="single" w:sz="4" w:space="0" w:color="000000"/>
              <w:left w:val="single" w:sz="4" w:space="0" w:color="000000"/>
              <w:bottom w:val="nil" w:sz="6" w:space="0" w:color="auto"/>
              <w:right w:val="single" w:sz="4" w:space="0" w:color="000000"/>
            </w:tcBorders>
            <w:shd w:val="clear" w:color="auto" w:fill="D2D2D2"/>
          </w:tcPr>
          <w:p>
            <w:pPr/>
          </w:p>
        </w:tc>
        <w:tc>
          <w:tcPr>
            <w:tcW w:w="7081"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5"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1" w:hRule="exact"/>
        </w:trPr>
        <w:tc>
          <w:tcPr>
            <w:tcW w:w="247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5"/>
              <w:jc w:val="center"/>
              <w:rPr>
                <w:rFonts w:ascii="宋体" w:hAnsi="宋体" w:cs="宋体" w:eastAsia="宋体" w:hint="default"/>
                <w:sz w:val="18"/>
                <w:szCs w:val="18"/>
              </w:rPr>
            </w:pPr>
            <w:r>
              <w:rPr>
                <w:rFonts w:ascii="宋体" w:hAnsi="宋体" w:cs="宋体" w:eastAsia="宋体" w:hint="default"/>
                <w:sz w:val="18"/>
                <w:szCs w:val="18"/>
              </w:rPr>
              <w:t>账龄</w:t>
            </w:r>
          </w:p>
        </w:tc>
        <w:tc>
          <w:tcPr>
            <w:tcW w:w="7081" w:type="dxa"/>
            <w:gridSpan w:val="3"/>
            <w:vMerge/>
            <w:tcBorders>
              <w:left w:val="single" w:sz="4" w:space="0" w:color="000000"/>
              <w:bottom w:val="single" w:sz="4" w:space="0" w:color="000000"/>
              <w:right w:val="single" w:sz="4" w:space="0" w:color="000000"/>
            </w:tcBorders>
            <w:shd w:val="clear" w:color="auto" w:fill="D2D2D2"/>
          </w:tcPr>
          <w:p>
            <w:pPr/>
          </w:p>
        </w:tc>
      </w:tr>
      <w:tr>
        <w:trPr>
          <w:trHeight w:val="200" w:hRule="exact"/>
        </w:trPr>
        <w:tc>
          <w:tcPr>
            <w:tcW w:w="2476" w:type="dxa"/>
            <w:vMerge/>
            <w:tcBorders>
              <w:left w:val="single" w:sz="4" w:space="0" w:color="000000"/>
              <w:bottom w:val="nil" w:sz="6" w:space="0" w:color="auto"/>
              <w:right w:val="single" w:sz="4" w:space="0" w:color="000000"/>
            </w:tcBorders>
            <w:shd w:val="clear" w:color="auto" w:fill="D2D2D2"/>
          </w:tcPr>
          <w:p>
            <w:pPr/>
          </w:p>
        </w:tc>
        <w:tc>
          <w:tcPr>
            <w:tcW w:w="230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5"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23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211" w:hRule="exact"/>
        </w:trPr>
        <w:tc>
          <w:tcPr>
            <w:tcW w:w="2476" w:type="dxa"/>
            <w:tcBorders>
              <w:top w:val="nil" w:sz="6" w:space="0" w:color="auto"/>
              <w:left w:val="single" w:sz="4" w:space="0" w:color="000000"/>
              <w:bottom w:val="single" w:sz="4" w:space="0" w:color="000000"/>
              <w:right w:val="single" w:sz="4" w:space="0" w:color="000000"/>
            </w:tcBorders>
            <w:shd w:val="clear" w:color="auto" w:fill="D2D2D2"/>
          </w:tcPr>
          <w:p>
            <w:pPr/>
          </w:p>
        </w:tc>
        <w:tc>
          <w:tcPr>
            <w:tcW w:w="2301" w:type="dxa"/>
            <w:vMerge/>
            <w:tcBorders>
              <w:left w:val="single" w:sz="4" w:space="0" w:color="000000"/>
              <w:bottom w:val="single" w:sz="4" w:space="0" w:color="000000"/>
              <w:right w:val="single" w:sz="4" w:space="0" w:color="000000"/>
            </w:tcBorders>
            <w:shd w:val="clear" w:color="auto" w:fill="D2D2D2"/>
          </w:tcPr>
          <w:p>
            <w:pPr/>
          </w:p>
        </w:tc>
        <w:tc>
          <w:tcPr>
            <w:tcW w:w="2391" w:type="dxa"/>
            <w:vMerge/>
            <w:tcBorders>
              <w:left w:val="single" w:sz="4" w:space="0" w:color="000000"/>
              <w:bottom w:val="single" w:sz="4" w:space="0" w:color="000000"/>
              <w:right w:val="single" w:sz="4" w:space="0" w:color="000000"/>
            </w:tcBorders>
            <w:shd w:val="clear" w:color="auto" w:fill="D2D2D2"/>
          </w:tcPr>
          <w:p>
            <w:pPr/>
          </w:p>
        </w:tc>
        <w:tc>
          <w:tcPr>
            <w:tcW w:w="2390" w:type="dxa"/>
            <w:vMerge/>
            <w:tcBorders>
              <w:left w:val="single" w:sz="4" w:space="0" w:color="000000"/>
              <w:bottom w:val="single" w:sz="4" w:space="0" w:color="000000"/>
              <w:right w:val="single" w:sz="4" w:space="0" w:color="000000"/>
            </w:tcBorders>
            <w:shd w:val="clear" w:color="auto" w:fill="D2D2D2"/>
          </w:tcPr>
          <w:p>
            <w:pPr/>
          </w:p>
        </w:tc>
      </w:tr>
      <w:tr>
        <w:trPr>
          <w:trHeight w:val="397" w:hRule="exact"/>
        </w:trPr>
        <w:tc>
          <w:tcPr>
            <w:tcW w:w="9557"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年以内分项</w:t>
            </w:r>
          </w:p>
        </w:tc>
      </w:tr>
      <w:tr>
        <w:trPr>
          <w:trHeight w:val="402" w:hRule="exact"/>
        </w:trPr>
        <w:tc>
          <w:tcPr>
            <w:tcW w:w="24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106,706,084.72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5,335,304.23</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24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37,058,973.46</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3,705,897.34</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w:t>
            </w:r>
          </w:p>
        </w:tc>
      </w:tr>
      <w:tr>
        <w:trPr>
          <w:trHeight w:val="402" w:hRule="exact"/>
        </w:trPr>
        <w:tc>
          <w:tcPr>
            <w:tcW w:w="24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18,409,665.26</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5,522,899.58</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30.00%</w:t>
            </w:r>
          </w:p>
        </w:tc>
      </w:tr>
      <w:tr>
        <w:trPr>
          <w:trHeight w:val="402" w:hRule="exact"/>
        </w:trPr>
        <w:tc>
          <w:tcPr>
            <w:tcW w:w="24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12,208,587.14</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6,104,293.57</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50.00%</w:t>
            </w:r>
          </w:p>
        </w:tc>
      </w:tr>
      <w:tr>
        <w:trPr>
          <w:trHeight w:val="402" w:hRule="exact"/>
        </w:trPr>
        <w:tc>
          <w:tcPr>
            <w:tcW w:w="24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174,383,310.58</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20,668,394.72</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11.85%</w:t>
            </w:r>
          </w:p>
        </w:tc>
      </w:tr>
    </w:tbl>
    <w:p>
      <w:pPr>
        <w:pStyle w:val="BodyText"/>
        <w:spacing w:line="360" w:lineRule="auto" w:before="51"/>
        <w:ind w:left="154" w:right="6432"/>
        <w:jc w:val="left"/>
      </w:pPr>
      <w:r>
        <w:rPr/>
        <w:t>确定该组合依据的说明： 组合中，采用余额百分比法计提坏账准备的应收账款：</w:t>
      </w:r>
    </w:p>
    <w:p>
      <w:pPr>
        <w:pStyle w:val="BodyText"/>
        <w:spacing w:line="348" w:lineRule="auto" w:before="26"/>
        <w:ind w:right="679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组合中，采用其他方法计提坏账准备的应收账款： 无。</w:t>
      </w:r>
    </w:p>
    <w:p>
      <w:pPr>
        <w:spacing w:line="240" w:lineRule="auto" w:before="9"/>
        <w:rPr>
          <w:rFonts w:ascii="宋体" w:hAnsi="宋体" w:cs="宋体" w:eastAsia="宋体" w:hint="default"/>
          <w:sz w:val="20"/>
          <w:szCs w:val="20"/>
        </w:rPr>
      </w:pPr>
    </w:p>
    <w:p>
      <w:pPr>
        <w:pStyle w:val="Heading3"/>
        <w:spacing w:line="240" w:lineRule="auto"/>
        <w:ind w:right="0"/>
        <w:jc w:val="left"/>
        <w:rPr>
          <w:b w:val="0"/>
          <w:bCs w:val="0"/>
        </w:rPr>
      </w:pPr>
      <w:bookmarkStart w:name="（2）本期计提、收回或转回的坏账准备情况" w:id="511"/>
      <w:bookmarkEnd w:id="511"/>
      <w:r>
        <w:rPr>
          <w:b w:val="0"/>
          <w:bCs w:val="0"/>
        </w:rPr>
      </w:r>
      <w:r>
        <w:rPr/>
        <w:t>（</w:t>
      </w:r>
      <w:r>
        <w:rPr>
          <w:rFonts w:ascii="Times New Roman" w:hAnsi="Times New Roman" w:cs="Times New Roman" w:eastAsia="Times New Roman" w:hint="default"/>
        </w:rPr>
        <w:t>2</w:t>
      </w:r>
      <w:r>
        <w:rPr/>
        <w:t>）本期计提、收回或转回的坏账准备情况</w:t>
      </w:r>
      <w:r>
        <w:rPr>
          <w:b w:val="0"/>
          <w:bCs w:val="0"/>
        </w:rPr>
      </w:r>
    </w:p>
    <w:p>
      <w:pPr>
        <w:spacing w:line="240" w:lineRule="auto" w:before="3"/>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type w:val="continuous"/>
          <w:pgSz w:w="11910" w:h="16840"/>
          <w:pgMar w:top="1060" w:bottom="1160" w:left="980" w:right="0"/>
        </w:sectPr>
      </w:pPr>
    </w:p>
    <w:p>
      <w:pPr>
        <w:pStyle w:val="BodyText"/>
        <w:spacing w:line="338" w:lineRule="auto" w:before="44"/>
        <w:ind w:right="-12"/>
        <w:jc w:val="left"/>
      </w:pPr>
      <w:r>
        <w:rPr/>
        <w:t>本期计提坏账准备金额</w:t>
      </w:r>
      <w:r>
        <w:rPr>
          <w:spacing w:val="-47"/>
        </w:rPr>
        <w:t> </w:t>
      </w:r>
      <w:r>
        <w:rPr>
          <w:rFonts w:ascii="Times New Roman" w:hAnsi="Times New Roman" w:cs="Times New Roman" w:eastAsia="Times New Roman" w:hint="default"/>
        </w:rPr>
        <w:t>4,589,875.63</w:t>
      </w:r>
      <w:r>
        <w:rPr>
          <w:rFonts w:ascii="Times New Roman" w:hAnsi="Times New Roman" w:cs="Times New Roman" w:eastAsia="Times New Roman" w:hint="default"/>
          <w:spacing w:val="-2"/>
        </w:rPr>
        <w:t> </w:t>
      </w:r>
      <w:r>
        <w:rPr/>
        <w:t>元；本期收回或转回坏账准备金额</w:t>
      </w:r>
      <w:r>
        <w:rPr>
          <w:spacing w:val="-47"/>
        </w:rPr>
        <w:t> </w:t>
      </w:r>
      <w:r>
        <w:rPr>
          <w:rFonts w:ascii="Times New Roman" w:hAnsi="Times New Roman" w:cs="Times New Roman" w:eastAsia="Times New Roman" w:hint="default"/>
        </w:rPr>
        <w:t>0.00</w:t>
      </w:r>
      <w:r>
        <w:rPr>
          <w:rFonts w:ascii="Times New Roman" w:hAnsi="Times New Roman" w:cs="Times New Roman" w:eastAsia="Times New Roman" w:hint="default"/>
          <w:spacing w:val="-2"/>
        </w:rPr>
        <w:t> </w:t>
      </w:r>
      <w:r>
        <w:rPr/>
        <w:t>元。 其中本期坏账准备收回或转回金额重要的：</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pStyle w:val="BodyText"/>
        <w:spacing w:line="240" w:lineRule="auto"/>
        <w:ind w:right="0"/>
        <w:jc w:val="left"/>
      </w:pPr>
      <w:r>
        <w:rPr/>
        <w:t>单位： 元</w:t>
      </w:r>
    </w:p>
    <w:p>
      <w:pPr>
        <w:spacing w:after="0" w:line="240" w:lineRule="auto"/>
        <w:jc w:val="left"/>
        <w:sectPr>
          <w:type w:val="continuous"/>
          <w:pgSz w:w="11910" w:h="16840"/>
          <w:pgMar w:top="1060" w:bottom="1160" w:left="980" w:right="0"/>
          <w:cols w:num="2" w:equalWidth="0">
            <w:col w:w="6454" w:space="2375"/>
            <w:col w:w="2101"/>
          </w:cols>
        </w:sectPr>
      </w:pP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369"/>
        <w:gridCol w:w="3100"/>
        <w:gridCol w:w="3100"/>
      </w:tblGrid>
      <w:tr>
        <w:trPr>
          <w:trHeight w:val="402" w:hRule="exact"/>
        </w:trPr>
        <w:tc>
          <w:tcPr>
            <w:tcW w:w="3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4" w:right="0"/>
              <w:jc w:val="left"/>
              <w:rPr>
                <w:rFonts w:ascii="宋体" w:hAnsi="宋体" w:cs="宋体" w:eastAsia="宋体" w:hint="default"/>
                <w:sz w:val="18"/>
                <w:szCs w:val="18"/>
              </w:rPr>
            </w:pPr>
            <w:r>
              <w:rPr>
                <w:rFonts w:ascii="宋体" w:hAnsi="宋体" w:cs="宋体" w:eastAsia="宋体" w:hint="default"/>
                <w:sz w:val="18"/>
                <w:szCs w:val="18"/>
              </w:rPr>
              <w:t>收回或转回金额</w:t>
            </w:r>
          </w:p>
        </w:tc>
        <w:tc>
          <w:tcPr>
            <w:tcW w:w="3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收回方式</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3）本期实际核销的应收账款情况" w:id="512"/>
      <w:bookmarkEnd w:id="512"/>
      <w:r>
        <w:rPr>
          <w:b w:val="0"/>
          <w:bCs w:val="0"/>
        </w:rPr>
      </w:r>
      <w:r>
        <w:rPr/>
        <w:t>（</w:t>
      </w:r>
      <w:r>
        <w:rPr>
          <w:rFonts w:ascii="Times New Roman" w:hAnsi="Times New Roman" w:cs="Times New Roman" w:eastAsia="Times New Roman" w:hint="default"/>
        </w:rPr>
        <w:t>3</w:t>
      </w:r>
      <w:r>
        <w:rPr/>
        <w:t>）本期实际核销的应收账款情况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984"/>
        <w:gridCol w:w="4584"/>
      </w:tblGrid>
      <w:tr>
        <w:trPr>
          <w:trHeight w:val="402"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5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核销金额</w:t>
            </w:r>
          </w:p>
        </w:tc>
      </w:tr>
      <w:tr>
        <w:trPr>
          <w:trHeight w:val="402" w:hRule="exact"/>
        </w:trPr>
        <w:tc>
          <w:tcPr>
            <w:tcW w:w="4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127,668.89</w:t>
            </w:r>
          </w:p>
        </w:tc>
      </w:tr>
    </w:tbl>
    <w:p>
      <w:pPr>
        <w:pStyle w:val="BodyText"/>
        <w:spacing w:line="240" w:lineRule="auto" w:before="51"/>
        <w:ind w:left="154" w:right="0"/>
        <w:jc w:val="left"/>
      </w:pPr>
      <w:r>
        <w:rPr/>
        <w:t>其中重要的应收账款核销情况：</w:t>
      </w:r>
    </w:p>
    <w:p>
      <w:pPr>
        <w:pStyle w:val="BodyText"/>
        <w:spacing w:line="240" w:lineRule="auto" w:before="117"/>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684"/>
        <w:gridCol w:w="1552"/>
        <w:gridCol w:w="1552"/>
        <w:gridCol w:w="1553"/>
        <w:gridCol w:w="1614"/>
        <w:gridCol w:w="1604"/>
      </w:tblGrid>
      <w:tr>
        <w:trPr>
          <w:trHeight w:val="714" w:hRule="exact"/>
        </w:trPr>
        <w:tc>
          <w:tcPr>
            <w:tcW w:w="16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76"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1" w:right="0"/>
              <w:jc w:val="left"/>
              <w:rPr>
                <w:rFonts w:ascii="宋体" w:hAnsi="宋体" w:cs="宋体" w:eastAsia="宋体" w:hint="default"/>
                <w:sz w:val="18"/>
                <w:szCs w:val="18"/>
              </w:rPr>
            </w:pPr>
            <w:r>
              <w:rPr>
                <w:rFonts w:ascii="宋体" w:hAnsi="宋体" w:cs="宋体" w:eastAsia="宋体" w:hint="default"/>
                <w:sz w:val="18"/>
                <w:szCs w:val="18"/>
              </w:rPr>
              <w:t>应收账款性质</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10"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10"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16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71" w:right="0"/>
              <w:jc w:val="left"/>
              <w:rPr>
                <w:rFonts w:ascii="宋体" w:hAnsi="宋体" w:cs="宋体" w:eastAsia="宋体" w:hint="default"/>
                <w:sz w:val="18"/>
                <w:szCs w:val="18"/>
              </w:rPr>
            </w:pPr>
            <w:r>
              <w:rPr>
                <w:rFonts w:ascii="宋体" w:hAnsi="宋体" w:cs="宋体" w:eastAsia="宋体" w:hint="default"/>
                <w:sz w:val="18"/>
                <w:szCs w:val="18"/>
              </w:rPr>
              <w:t>履行的核销程序</w:t>
            </w:r>
          </w:p>
        </w:tc>
        <w:tc>
          <w:tcPr>
            <w:tcW w:w="16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532" w:right="69" w:hanging="450"/>
              <w:jc w:val="left"/>
              <w:rPr>
                <w:rFonts w:ascii="宋体" w:hAnsi="宋体" w:cs="宋体" w:eastAsia="宋体" w:hint="default"/>
                <w:sz w:val="18"/>
                <w:szCs w:val="18"/>
              </w:rPr>
            </w:pPr>
            <w:r>
              <w:rPr>
                <w:rFonts w:ascii="宋体" w:hAnsi="宋体" w:cs="宋体" w:eastAsia="宋体" w:hint="default"/>
                <w:sz w:val="18"/>
                <w:szCs w:val="18"/>
              </w:rPr>
              <w:t>款项是否由关联交 易产生</w:t>
            </w:r>
          </w:p>
        </w:tc>
      </w:tr>
    </w:tbl>
    <w:p>
      <w:pPr>
        <w:spacing w:after="0" w:line="319" w:lineRule="auto"/>
        <w:jc w:val="left"/>
        <w:rPr>
          <w:rFonts w:ascii="宋体" w:hAnsi="宋体" w:cs="宋体" w:eastAsia="宋体" w:hint="default"/>
          <w:sz w:val="18"/>
          <w:szCs w:val="18"/>
        </w:rPr>
        <w:sectPr>
          <w:type w:val="continuous"/>
          <w:pgSz w:w="11910" w:h="16840"/>
          <w:pgMar w:top="1060" w:bottom="1160" w:left="980" w:right="0"/>
        </w:sectPr>
      </w:pPr>
    </w:p>
    <w:p>
      <w:pPr>
        <w:spacing w:line="240" w:lineRule="auto" w:before="13"/>
        <w:rPr>
          <w:rFonts w:ascii="宋体" w:hAnsi="宋体" w:cs="宋体" w:eastAsia="宋体" w:hint="default"/>
          <w:sz w:val="25"/>
          <w:szCs w:val="25"/>
        </w:rPr>
      </w:pPr>
    </w:p>
    <w:p>
      <w:pPr>
        <w:pStyle w:val="BodyText"/>
        <w:spacing w:line="240" w:lineRule="auto" w:before="44"/>
        <w:ind w:right="0"/>
        <w:jc w:val="left"/>
      </w:pPr>
      <w:r>
        <w:rPr/>
        <w:t>应收账款核销说明：</w:t>
      </w:r>
    </w:p>
    <w:p>
      <w:pPr>
        <w:spacing w:line="240" w:lineRule="auto" w:before="10"/>
        <w:rPr>
          <w:rFonts w:ascii="宋体" w:hAnsi="宋体" w:cs="宋体" w:eastAsia="宋体" w:hint="default"/>
          <w:sz w:val="26"/>
          <w:szCs w:val="26"/>
        </w:rPr>
      </w:pPr>
    </w:p>
    <w:p>
      <w:pPr>
        <w:pStyle w:val="Heading3"/>
        <w:spacing w:line="240" w:lineRule="auto"/>
        <w:ind w:left="153" w:right="0"/>
        <w:jc w:val="left"/>
        <w:rPr>
          <w:b w:val="0"/>
          <w:bCs w:val="0"/>
        </w:rPr>
      </w:pPr>
      <w:bookmarkStart w:name="（4）按欠款方归集的期末余额前五名的应收账款情况" w:id="513"/>
      <w:bookmarkEnd w:id="513"/>
      <w:r>
        <w:rPr>
          <w:b w:val="0"/>
          <w:bCs w:val="0"/>
        </w:rPr>
      </w:r>
      <w:r>
        <w:rPr/>
        <w:t>（</w:t>
      </w:r>
      <w:r>
        <w:rPr>
          <w:rFonts w:ascii="Times New Roman" w:hAnsi="Times New Roman" w:cs="Times New Roman" w:eastAsia="Times New Roman" w:hint="default"/>
        </w:rPr>
        <w:t>4</w:t>
      </w:r>
      <w:r>
        <w:rPr/>
        <w:t>）按欠款方归集的期末余额前五名的应收账款情况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本公司本年按欠款方归集的年末余额前五名应收账款汇总金额</w:t>
      </w:r>
      <w:r>
        <w:rPr>
          <w:spacing w:val="-46"/>
        </w:rPr>
        <w:t> </w:t>
      </w:r>
      <w:r>
        <w:rPr>
          <w:rFonts w:ascii="Times New Roman" w:hAnsi="Times New Roman" w:cs="Times New Roman" w:eastAsia="Times New Roman" w:hint="default"/>
        </w:rPr>
        <w:t>60,413,004.19</w:t>
      </w:r>
      <w:r>
        <w:rPr>
          <w:rFonts w:ascii="Times New Roman" w:hAnsi="Times New Roman" w:cs="Times New Roman" w:eastAsia="Times New Roman" w:hint="default"/>
          <w:spacing w:val="-1"/>
        </w:rPr>
        <w:t> </w:t>
      </w:r>
      <w:r>
        <w:rPr/>
        <w:t>元，占应收账款年末余额合计数的比例为</w:t>
      </w:r>
    </w:p>
    <w:p>
      <w:pPr>
        <w:pStyle w:val="BodyText"/>
        <w:spacing w:line="240" w:lineRule="auto" w:before="64"/>
        <w:ind w:right="0"/>
        <w:jc w:val="left"/>
      </w:pPr>
      <w:r>
        <w:rPr>
          <w:rFonts w:ascii="Times New Roman" w:hAnsi="Times New Roman" w:cs="Times New Roman" w:eastAsia="Times New Roman" w:hint="default"/>
        </w:rPr>
        <w:t>34.64%</w:t>
      </w:r>
      <w:r>
        <w:rPr/>
        <w:t>，相应计提的坏账准备年末余额汇总金额</w:t>
      </w:r>
      <w:r>
        <w:rPr>
          <w:spacing w:val="-48"/>
        </w:rPr>
        <w:t> </w:t>
      </w:r>
      <w:r>
        <w:rPr>
          <w:rFonts w:ascii="Times New Roman" w:hAnsi="Times New Roman" w:cs="Times New Roman" w:eastAsia="Times New Roman" w:hint="default"/>
        </w:rPr>
        <w:t>5,125,409.46</w:t>
      </w:r>
      <w:r>
        <w:rPr>
          <w:rFonts w:ascii="Times New Roman" w:hAnsi="Times New Roman" w:cs="Times New Roman" w:eastAsia="Times New Roman" w:hint="default"/>
          <w:spacing w:val="-2"/>
        </w:rPr>
        <w:t> </w:t>
      </w:r>
      <w:r>
        <w:rPr/>
        <w:t>元。</w:t>
      </w:r>
    </w:p>
    <w:p>
      <w:pPr>
        <w:spacing w:line="240" w:lineRule="auto" w:before="9"/>
        <w:rPr>
          <w:rFonts w:ascii="宋体" w:hAnsi="宋体" w:cs="宋体" w:eastAsia="宋体" w:hint="default"/>
          <w:sz w:val="25"/>
          <w:szCs w:val="25"/>
        </w:rPr>
      </w:pPr>
    </w:p>
    <w:p>
      <w:pPr>
        <w:pStyle w:val="Heading3"/>
        <w:spacing w:line="240" w:lineRule="auto"/>
        <w:ind w:left="153" w:right="0"/>
        <w:jc w:val="left"/>
        <w:rPr>
          <w:b w:val="0"/>
          <w:bCs w:val="0"/>
        </w:rPr>
      </w:pPr>
      <w:bookmarkStart w:name="（5）因金融资产转移而终止确认的应收账款" w:id="514"/>
      <w:bookmarkEnd w:id="514"/>
      <w:r>
        <w:rPr>
          <w:b w:val="0"/>
          <w:bCs w:val="0"/>
        </w:rPr>
      </w:r>
      <w:r>
        <w:rPr/>
        <w:t>（</w:t>
      </w:r>
      <w:r>
        <w:rPr>
          <w:rFonts w:ascii="Times New Roman" w:hAnsi="Times New Roman" w:cs="Times New Roman" w:eastAsia="Times New Roman" w:hint="default"/>
        </w:rPr>
        <w:t>5</w:t>
      </w:r>
      <w:r>
        <w:rPr/>
        <w:t>）因金融资产转移而终止确认的应收账款</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6）转移应收账款且继续涉入形成的资产、负债金额" w:id="515"/>
      <w:bookmarkEnd w:id="515"/>
      <w:r>
        <w:rPr>
          <w:b w:val="0"/>
          <w:bCs w:val="0"/>
        </w:rPr>
      </w:r>
      <w:r>
        <w:rPr/>
        <w:t>（</w:t>
      </w:r>
      <w:r>
        <w:rPr>
          <w:rFonts w:ascii="Times New Roman" w:hAnsi="Times New Roman" w:cs="Times New Roman" w:eastAsia="Times New Roman" w:hint="default"/>
        </w:rPr>
        <w:t>6</w:t>
      </w:r>
      <w:r>
        <w:rPr/>
        <w:t>）转移应收账款且继续涉入形成的资产、负债金额</w:t>
      </w:r>
      <w:r>
        <w:rPr>
          <w:b w:val="0"/>
          <w:bCs w:val="0"/>
        </w:rPr>
      </w:r>
    </w:p>
    <w:p>
      <w:pPr>
        <w:spacing w:line="240" w:lineRule="auto" w:before="8"/>
        <w:rPr>
          <w:rFonts w:ascii="宋体" w:hAnsi="宋体" w:cs="宋体" w:eastAsia="宋体" w:hint="default"/>
          <w:b/>
          <w:bCs/>
          <w:sz w:val="26"/>
          <w:szCs w:val="26"/>
        </w:rPr>
      </w:pPr>
    </w:p>
    <w:p>
      <w:pPr>
        <w:pStyle w:val="BodyText"/>
        <w:spacing w:line="360" w:lineRule="auto"/>
        <w:ind w:left="154" w:right="9852"/>
        <w:jc w:val="left"/>
      </w:pPr>
      <w:r>
        <w:rPr/>
        <w:t>其他说明： 无。</w:t>
      </w:r>
    </w:p>
    <w:p>
      <w:pPr>
        <w:spacing w:line="240" w:lineRule="auto" w:before="11"/>
        <w:rPr>
          <w:rFonts w:ascii="宋体" w:hAnsi="宋体" w:cs="宋体" w:eastAsia="宋体" w:hint="default"/>
          <w:sz w:val="19"/>
          <w:szCs w:val="19"/>
        </w:rPr>
      </w:pPr>
    </w:p>
    <w:p>
      <w:pPr>
        <w:pStyle w:val="Heading3"/>
        <w:spacing w:line="240" w:lineRule="auto"/>
        <w:ind w:right="0"/>
        <w:jc w:val="left"/>
        <w:rPr>
          <w:b w:val="0"/>
          <w:bCs w:val="0"/>
        </w:rPr>
      </w:pPr>
      <w:bookmarkStart w:name="2、其他应收款" w:id="516"/>
      <w:bookmarkEnd w:id="516"/>
      <w:r>
        <w:rPr>
          <w:b w:val="0"/>
          <w:bCs w:val="0"/>
        </w:rPr>
      </w:r>
      <w:r>
        <w:rPr>
          <w:rFonts w:ascii="Times New Roman" w:hAnsi="Times New Roman" w:cs="Times New Roman" w:eastAsia="Times New Roman" w:hint="default"/>
        </w:rPr>
        <w:t>2</w:t>
      </w:r>
      <w:r>
        <w:rPr/>
        <w:t>、其他应收款</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1）其他应收款分类披露" w:id="517"/>
      <w:bookmarkEnd w:id="517"/>
      <w:r>
        <w:rPr>
          <w:b w:val="0"/>
          <w:bCs w:val="0"/>
        </w:rPr>
      </w:r>
      <w:r>
        <w:rPr/>
        <w:t>（</w:t>
      </w:r>
      <w:r>
        <w:rPr>
          <w:rFonts w:ascii="Times New Roman" w:hAnsi="Times New Roman" w:cs="Times New Roman" w:eastAsia="Times New Roman" w:hint="default"/>
        </w:rPr>
        <w:t>1</w:t>
      </w:r>
      <w:r>
        <w:rPr/>
        <w:t>）其他应收款分类披露</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623"/>
        <w:gridCol w:w="763"/>
        <w:gridCol w:w="762"/>
        <w:gridCol w:w="762"/>
        <w:gridCol w:w="762"/>
        <w:gridCol w:w="790"/>
        <w:gridCol w:w="654"/>
        <w:gridCol w:w="762"/>
        <w:gridCol w:w="813"/>
        <w:gridCol w:w="932"/>
        <w:gridCol w:w="932"/>
      </w:tblGrid>
      <w:tr>
        <w:trPr>
          <w:trHeight w:val="397" w:hRule="exact"/>
        </w:trPr>
        <w:tc>
          <w:tcPr>
            <w:tcW w:w="1623" w:type="dxa"/>
            <w:vMerge w:val="restart"/>
            <w:tcBorders>
              <w:top w:val="single" w:sz="4" w:space="0" w:color="000000"/>
              <w:left w:val="single" w:sz="4" w:space="0" w:color="000000"/>
              <w:right w:val="single" w:sz="4" w:space="0" w:color="000000"/>
            </w:tcBorders>
            <w:shd w:val="clear" w:color="auto" w:fill="D2D2D2"/>
          </w:tcPr>
          <w:p>
            <w:pPr/>
          </w:p>
        </w:tc>
        <w:tc>
          <w:tcPr>
            <w:tcW w:w="383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4"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66" w:hRule="exact"/>
        </w:trPr>
        <w:tc>
          <w:tcPr>
            <w:tcW w:w="1623" w:type="dxa"/>
            <w:vMerge/>
            <w:tcBorders>
              <w:left w:val="single" w:sz="4" w:space="0" w:color="000000"/>
              <w:bottom w:val="nil" w:sz="6" w:space="0" w:color="auto"/>
              <w:right w:val="single" w:sz="4" w:space="0" w:color="000000"/>
            </w:tcBorders>
            <w:shd w:val="clear" w:color="auto" w:fill="D2D2D2"/>
          </w:tcPr>
          <w:p>
            <w:pPr/>
          </w:p>
        </w:tc>
        <w:tc>
          <w:tcPr>
            <w:tcW w:w="152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0" w:type="dxa"/>
            <w:vMerge w:val="restart"/>
            <w:tcBorders>
              <w:top w:val="single" w:sz="4" w:space="0" w:color="000000"/>
              <w:left w:val="single" w:sz="4" w:space="0" w:color="000000"/>
              <w:right w:val="single" w:sz="4" w:space="0" w:color="000000"/>
            </w:tcBorders>
            <w:shd w:val="clear" w:color="auto" w:fill="D2D2D2"/>
          </w:tcPr>
          <w:p>
            <w:pPr/>
          </w:p>
        </w:tc>
        <w:tc>
          <w:tcPr>
            <w:tcW w:w="141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4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50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2" w:type="dxa"/>
            <w:vMerge w:val="restart"/>
            <w:tcBorders>
              <w:top w:val="single" w:sz="4" w:space="0" w:color="000000"/>
              <w:left w:val="single" w:sz="4" w:space="0" w:color="000000"/>
              <w:right w:val="single" w:sz="4" w:space="0" w:color="000000"/>
            </w:tcBorders>
            <w:shd w:val="clear" w:color="auto" w:fill="D2D2D2"/>
          </w:tcPr>
          <w:p>
            <w:pPr/>
          </w:p>
        </w:tc>
      </w:tr>
      <w:tr>
        <w:trPr>
          <w:trHeight w:val="241" w:hRule="exact"/>
        </w:trPr>
        <w:tc>
          <w:tcPr>
            <w:tcW w:w="162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1"/>
              <w:jc w:val="center"/>
              <w:rPr>
                <w:rFonts w:ascii="宋体" w:hAnsi="宋体" w:cs="宋体" w:eastAsia="宋体" w:hint="default"/>
                <w:sz w:val="18"/>
                <w:szCs w:val="18"/>
              </w:rPr>
            </w:pPr>
            <w:r>
              <w:rPr>
                <w:rFonts w:ascii="宋体" w:hAnsi="宋体" w:cs="宋体" w:eastAsia="宋体" w:hint="default"/>
                <w:sz w:val="18"/>
                <w:szCs w:val="18"/>
              </w:rPr>
              <w:t>类别</w:t>
            </w:r>
          </w:p>
        </w:tc>
        <w:tc>
          <w:tcPr>
            <w:tcW w:w="1525" w:type="dxa"/>
            <w:gridSpan w:val="2"/>
            <w:vMerge/>
            <w:tcBorders>
              <w:left w:val="single" w:sz="4" w:space="0" w:color="000000"/>
              <w:bottom w:val="single" w:sz="4" w:space="0" w:color="000000"/>
              <w:right w:val="single" w:sz="4" w:space="0" w:color="000000"/>
            </w:tcBorders>
            <w:shd w:val="clear" w:color="auto" w:fill="D2D2D2"/>
          </w:tcPr>
          <w:p>
            <w:pPr/>
          </w:p>
        </w:tc>
        <w:tc>
          <w:tcPr>
            <w:tcW w:w="1524" w:type="dxa"/>
            <w:gridSpan w:val="2"/>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1416" w:type="dxa"/>
            <w:gridSpan w:val="2"/>
            <w:vMerge/>
            <w:tcBorders>
              <w:left w:val="single" w:sz="4" w:space="0" w:color="000000"/>
              <w:bottom w:val="single" w:sz="4" w:space="0" w:color="000000"/>
              <w:right w:val="single" w:sz="4" w:space="0" w:color="000000"/>
            </w:tcBorders>
            <w:shd w:val="clear" w:color="auto" w:fill="D2D2D2"/>
          </w:tcPr>
          <w:p>
            <w:pPr/>
          </w:p>
        </w:tc>
        <w:tc>
          <w:tcPr>
            <w:tcW w:w="1745" w:type="dxa"/>
            <w:gridSpan w:val="2"/>
            <w:vMerge/>
            <w:tcBorders>
              <w:left w:val="single" w:sz="4" w:space="0" w:color="000000"/>
              <w:bottom w:val="single" w:sz="4" w:space="0" w:color="000000"/>
              <w:right w:val="single" w:sz="4" w:space="0" w:color="000000"/>
            </w:tcBorders>
            <w:shd w:val="clear" w:color="auto" w:fill="D2D2D2"/>
          </w:tcPr>
          <w:p>
            <w:pPr/>
          </w:p>
        </w:tc>
        <w:tc>
          <w:tcPr>
            <w:tcW w:w="932" w:type="dxa"/>
            <w:vMerge/>
            <w:tcBorders>
              <w:left w:val="single" w:sz="4" w:space="0" w:color="000000"/>
              <w:bottom w:val="nil" w:sz="6" w:space="0" w:color="auto"/>
              <w:right w:val="single" w:sz="4" w:space="0" w:color="000000"/>
            </w:tcBorders>
            <w:shd w:val="clear" w:color="auto" w:fill="D2D2D2"/>
          </w:tcPr>
          <w:p>
            <w:pPr/>
          </w:p>
        </w:tc>
      </w:tr>
      <w:tr>
        <w:trPr>
          <w:trHeight w:val="158" w:hRule="exact"/>
        </w:trPr>
        <w:tc>
          <w:tcPr>
            <w:tcW w:w="1623" w:type="dxa"/>
            <w:vMerge/>
            <w:tcBorders>
              <w:left w:val="single" w:sz="4" w:space="0" w:color="000000"/>
              <w:bottom w:val="single" w:sz="4" w:space="0" w:color="FFFFFF"/>
              <w:right w:val="single" w:sz="4" w:space="0" w:color="000000"/>
            </w:tcBorders>
            <w:shd w:val="clear" w:color="auto" w:fill="D2D2D2"/>
          </w:tcPr>
          <w:p>
            <w:pPr/>
          </w:p>
        </w:tc>
        <w:tc>
          <w:tcPr>
            <w:tcW w:w="763"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285" w:right="104"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9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30"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654" w:type="dxa"/>
            <w:tcBorders>
              <w:top w:val="single" w:sz="4" w:space="0" w:color="000000"/>
              <w:left w:val="single" w:sz="4" w:space="0" w:color="000000"/>
              <w:bottom w:val="nil" w:sz="6" w:space="0" w:color="auto"/>
              <w:right w:val="single" w:sz="4" w:space="0" w:color="000000"/>
            </w:tcBorders>
            <w:shd w:val="clear" w:color="auto" w:fill="D2D2D2"/>
          </w:tcPr>
          <w:p>
            <w:pPr/>
          </w:p>
        </w:tc>
        <w:tc>
          <w:tcPr>
            <w:tcW w:w="762" w:type="dxa"/>
            <w:tcBorders>
              <w:top w:val="single" w:sz="4" w:space="0" w:color="000000"/>
              <w:left w:val="single" w:sz="4" w:space="0" w:color="000000"/>
              <w:bottom w:val="nil" w:sz="6" w:space="0" w:color="auto"/>
              <w:right w:val="single" w:sz="4" w:space="0" w:color="000000"/>
            </w:tcBorders>
            <w:shd w:val="clear" w:color="auto" w:fill="D2D2D2"/>
          </w:tcPr>
          <w:p>
            <w:pPr/>
          </w:p>
        </w:tc>
        <w:tc>
          <w:tcPr>
            <w:tcW w:w="813" w:type="dxa"/>
            <w:tcBorders>
              <w:top w:val="single" w:sz="4" w:space="0" w:color="000000"/>
              <w:left w:val="single" w:sz="4" w:space="0" w:color="000000"/>
              <w:bottom w:val="nil" w:sz="6" w:space="0" w:color="auto"/>
              <w:right w:val="single" w:sz="4" w:space="0" w:color="000000"/>
            </w:tcBorders>
            <w:shd w:val="clear" w:color="auto" w:fill="D2D2D2"/>
          </w:tcPr>
          <w:p>
            <w:pPr/>
          </w:p>
        </w:tc>
        <w:tc>
          <w:tcPr>
            <w:tcW w:w="932" w:type="dxa"/>
            <w:tcBorders>
              <w:top w:val="single" w:sz="4" w:space="0" w:color="000000"/>
              <w:left w:val="single" w:sz="4" w:space="0" w:color="000000"/>
              <w:bottom w:val="nil" w:sz="6" w:space="0" w:color="auto"/>
              <w:right w:val="single" w:sz="4" w:space="0" w:color="000000"/>
            </w:tcBorders>
            <w:shd w:val="clear" w:color="auto" w:fill="D2D2D2"/>
          </w:tcPr>
          <w:p>
            <w:pPr/>
          </w:p>
        </w:tc>
        <w:tc>
          <w:tcPr>
            <w:tcW w:w="93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95" w:hRule="exact"/>
        </w:trPr>
        <w:tc>
          <w:tcPr>
            <w:tcW w:w="1623" w:type="dxa"/>
            <w:vMerge w:val="restart"/>
            <w:tcBorders>
              <w:top w:val="single" w:sz="4" w:space="0" w:color="FFFFFF"/>
              <w:left w:val="single" w:sz="4" w:space="0" w:color="000000"/>
              <w:right w:val="single" w:sz="4" w:space="0" w:color="000000"/>
            </w:tcBorders>
            <w:shd w:val="clear" w:color="auto" w:fill="D2D2D2"/>
          </w:tcPr>
          <w:p>
            <w:pPr/>
          </w:p>
        </w:tc>
        <w:tc>
          <w:tcPr>
            <w:tcW w:w="763"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tcBorders>
              <w:left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65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left="14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left="22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left="10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2" w:type="dxa"/>
            <w:vMerge/>
            <w:tcBorders>
              <w:left w:val="single" w:sz="4" w:space="0" w:color="000000"/>
              <w:bottom w:val="nil" w:sz="6" w:space="0" w:color="auto"/>
              <w:right w:val="single" w:sz="4" w:space="0" w:color="000000"/>
            </w:tcBorders>
            <w:shd w:val="clear" w:color="auto" w:fill="D2D2D2"/>
          </w:tcPr>
          <w:p>
            <w:pPr/>
          </w:p>
        </w:tc>
      </w:tr>
      <w:tr>
        <w:trPr>
          <w:trHeight w:val="200" w:hRule="exact"/>
        </w:trPr>
        <w:tc>
          <w:tcPr>
            <w:tcW w:w="1623" w:type="dxa"/>
            <w:vMerge/>
            <w:tcBorders>
              <w:left w:val="single" w:sz="4" w:space="0" w:color="000000"/>
              <w:right w:val="single" w:sz="4" w:space="0" w:color="000000"/>
            </w:tcBorders>
            <w:shd w:val="clear" w:color="auto" w:fill="D2D2D2"/>
          </w:tcPr>
          <w:p>
            <w:pPr/>
          </w:p>
        </w:tc>
        <w:tc>
          <w:tcPr>
            <w:tcW w:w="763"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right w:val="single" w:sz="4" w:space="0" w:color="000000"/>
            </w:tcBorders>
            <w:shd w:val="clear" w:color="auto" w:fill="D2D2D2"/>
          </w:tcPr>
          <w:p>
            <w:pPr/>
          </w:p>
        </w:tc>
        <w:tc>
          <w:tcPr>
            <w:tcW w:w="790" w:type="dxa"/>
            <w:vMerge w:val="restart"/>
            <w:tcBorders>
              <w:top w:val="nil" w:sz="6" w:space="0" w:color="auto"/>
              <w:left w:val="single" w:sz="4" w:space="0" w:color="000000"/>
              <w:right w:val="single" w:sz="4" w:space="0" w:color="000000"/>
            </w:tcBorders>
            <w:shd w:val="clear" w:color="auto" w:fill="D2D2D2"/>
          </w:tcPr>
          <w:p>
            <w:pPr/>
          </w:p>
        </w:tc>
        <w:tc>
          <w:tcPr>
            <w:tcW w:w="654"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813" w:type="dxa"/>
            <w:vMerge/>
            <w:tcBorders>
              <w:left w:val="single" w:sz="4" w:space="0" w:color="000000"/>
              <w:bottom w:val="nil" w:sz="6" w:space="0" w:color="auto"/>
              <w:right w:val="single" w:sz="4" w:space="0" w:color="000000"/>
            </w:tcBorders>
            <w:shd w:val="clear" w:color="auto" w:fill="D2D2D2"/>
          </w:tcPr>
          <w:p>
            <w:pPr/>
          </w:p>
        </w:tc>
        <w:tc>
          <w:tcPr>
            <w:tcW w:w="932" w:type="dxa"/>
            <w:vMerge/>
            <w:tcBorders>
              <w:left w:val="single" w:sz="4" w:space="0" w:color="000000"/>
              <w:bottom w:val="nil" w:sz="6" w:space="0" w:color="auto"/>
              <w:right w:val="single" w:sz="4" w:space="0" w:color="000000"/>
            </w:tcBorders>
            <w:shd w:val="clear" w:color="auto" w:fill="D2D2D2"/>
          </w:tcPr>
          <w:p>
            <w:pPr/>
          </w:p>
        </w:tc>
        <w:tc>
          <w:tcPr>
            <w:tcW w:w="932"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623" w:type="dxa"/>
            <w:vMerge/>
            <w:tcBorders>
              <w:left w:val="single" w:sz="4" w:space="0" w:color="000000"/>
              <w:bottom w:val="single" w:sz="4" w:space="0" w:color="000000"/>
              <w:right w:val="single" w:sz="4" w:space="0" w:color="000000"/>
            </w:tcBorders>
            <w:shd w:val="clear" w:color="auto" w:fill="D2D2D2"/>
          </w:tcPr>
          <w:p>
            <w:pPr/>
          </w:p>
        </w:tc>
        <w:tc>
          <w:tcPr>
            <w:tcW w:w="76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single" w:sz="4" w:space="0" w:color="000000"/>
              <w:right w:val="single" w:sz="4" w:space="0" w:color="000000"/>
            </w:tcBorders>
            <w:shd w:val="clear" w:color="auto" w:fill="D2D2D2"/>
          </w:tcPr>
          <w:p>
            <w:pPr/>
          </w:p>
        </w:tc>
        <w:tc>
          <w:tcPr>
            <w:tcW w:w="654"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813" w:type="dxa"/>
            <w:tcBorders>
              <w:top w:val="nil" w:sz="6" w:space="0" w:color="auto"/>
              <w:left w:val="single" w:sz="4" w:space="0" w:color="000000"/>
              <w:bottom w:val="single" w:sz="4" w:space="0" w:color="000000"/>
              <w:right w:val="single" w:sz="4" w:space="0" w:color="000000"/>
            </w:tcBorders>
            <w:shd w:val="clear" w:color="auto" w:fill="D2D2D2"/>
          </w:tcPr>
          <w:p>
            <w:pPr/>
          </w:p>
        </w:tc>
        <w:tc>
          <w:tcPr>
            <w:tcW w:w="932" w:type="dxa"/>
            <w:tcBorders>
              <w:top w:val="nil" w:sz="6" w:space="0" w:color="auto"/>
              <w:left w:val="single" w:sz="4" w:space="0" w:color="000000"/>
              <w:bottom w:val="single" w:sz="4" w:space="0" w:color="000000"/>
              <w:right w:val="single" w:sz="4" w:space="0" w:color="000000"/>
            </w:tcBorders>
            <w:shd w:val="clear" w:color="auto" w:fill="D2D2D2"/>
          </w:tcPr>
          <w:p>
            <w:pPr/>
          </w:p>
        </w:tc>
        <w:tc>
          <w:tcPr>
            <w:tcW w:w="932"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16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60"/>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其他应收款</w:t>
            </w:r>
          </w:p>
        </w:tc>
        <w:tc>
          <w:tcPr>
            <w:tcW w:w="76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7" w:right="0"/>
              <w:jc w:val="left"/>
              <w:rPr>
                <w:rFonts w:ascii="Times New Roman" w:hAnsi="Times New Roman" w:cs="Times New Roman" w:eastAsia="Times New Roman" w:hint="default"/>
                <w:sz w:val="18"/>
                <w:szCs w:val="18"/>
              </w:rPr>
            </w:pPr>
            <w:r>
              <w:rPr>
                <w:rFonts w:ascii="Times New Roman"/>
                <w:sz w:val="18"/>
              </w:rPr>
              <w:t>9,877,26</w:t>
            </w:r>
          </w:p>
          <w:p>
            <w:pPr>
              <w:pStyle w:val="TableParagraph"/>
              <w:spacing w:line="240" w:lineRule="auto" w:before="106"/>
              <w:ind w:left="403" w:right="0"/>
              <w:jc w:val="left"/>
              <w:rPr>
                <w:rFonts w:ascii="Times New Roman" w:hAnsi="Times New Roman" w:cs="Times New Roman" w:eastAsia="Times New Roman" w:hint="default"/>
                <w:sz w:val="18"/>
                <w:szCs w:val="18"/>
              </w:rPr>
            </w:pPr>
            <w:r>
              <w:rPr>
                <w:rFonts w:ascii="Times New Roman"/>
                <w:sz w:val="18"/>
              </w:rPr>
              <w:t>4.87</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935,952.</w:t>
            </w:r>
          </w:p>
          <w:p>
            <w:pPr>
              <w:pStyle w:val="TableParagraph"/>
              <w:spacing w:line="240" w:lineRule="auto" w:before="106"/>
              <w:ind w:right="22"/>
              <w:jc w:val="right"/>
              <w:rPr>
                <w:rFonts w:ascii="Times New Roman" w:hAnsi="Times New Roman" w:cs="Times New Roman" w:eastAsia="Times New Roman" w:hint="default"/>
                <w:sz w:val="18"/>
                <w:szCs w:val="18"/>
              </w:rPr>
            </w:pPr>
            <w:r>
              <w:rPr>
                <w:rFonts w:ascii="Times New Roman"/>
                <w:sz w:val="18"/>
              </w:rPr>
              <w:t>23</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65" w:right="0"/>
              <w:jc w:val="left"/>
              <w:rPr>
                <w:rFonts w:ascii="Times New Roman" w:hAnsi="Times New Roman" w:cs="Times New Roman" w:eastAsia="Times New Roman" w:hint="default"/>
                <w:sz w:val="18"/>
                <w:szCs w:val="18"/>
              </w:rPr>
            </w:pPr>
            <w:r>
              <w:rPr>
                <w:rFonts w:ascii="Times New Roman"/>
                <w:sz w:val="18"/>
              </w:rPr>
              <w:t>9.48%</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8,941,312</w:t>
            </w:r>
          </w:p>
          <w:p>
            <w:pPr>
              <w:pStyle w:val="TableParagraph"/>
              <w:spacing w:line="240" w:lineRule="auto" w:before="106"/>
              <w:ind w:right="19"/>
              <w:jc w:val="right"/>
              <w:rPr>
                <w:rFonts w:ascii="Times New Roman" w:hAnsi="Times New Roman" w:cs="Times New Roman" w:eastAsia="Times New Roman" w:hint="default"/>
                <w:sz w:val="18"/>
                <w:szCs w:val="18"/>
              </w:rPr>
            </w:pPr>
            <w:r>
              <w:rPr>
                <w:rFonts w:ascii="Times New Roman"/>
                <w:sz w:val="18"/>
              </w:rPr>
              <w:t>.64</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7" w:right="0"/>
              <w:jc w:val="center"/>
              <w:rPr>
                <w:rFonts w:ascii="Times New Roman" w:hAnsi="Times New Roman" w:cs="Times New Roman" w:eastAsia="Times New Roman" w:hint="default"/>
                <w:sz w:val="18"/>
                <w:szCs w:val="18"/>
              </w:rPr>
            </w:pPr>
            <w:r>
              <w:rPr>
                <w:rFonts w:ascii="Times New Roman"/>
                <w:sz w:val="18"/>
              </w:rPr>
              <w:t>4,460,6</w:t>
            </w:r>
          </w:p>
          <w:p>
            <w:pPr>
              <w:pStyle w:val="TableParagraph"/>
              <w:spacing w:line="240" w:lineRule="auto" w:before="106"/>
              <w:ind w:left="192" w:right="0"/>
              <w:jc w:val="center"/>
              <w:rPr>
                <w:rFonts w:ascii="Times New Roman" w:hAnsi="Times New Roman" w:cs="Times New Roman" w:eastAsia="Times New Roman" w:hint="default"/>
                <w:sz w:val="18"/>
                <w:szCs w:val="18"/>
              </w:rPr>
            </w:pPr>
            <w:r>
              <w:rPr>
                <w:rFonts w:ascii="Times New Roman"/>
                <w:sz w:val="18"/>
              </w:rPr>
              <w:t>00.09</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484,631.4</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5</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45" w:right="0"/>
              <w:jc w:val="left"/>
              <w:rPr>
                <w:rFonts w:ascii="Times New Roman" w:hAnsi="Times New Roman" w:cs="Times New Roman" w:eastAsia="Times New Roman" w:hint="default"/>
                <w:sz w:val="18"/>
                <w:szCs w:val="18"/>
              </w:rPr>
            </w:pPr>
            <w:r>
              <w:rPr>
                <w:rFonts w:ascii="Times New Roman"/>
                <w:sz w:val="18"/>
              </w:rPr>
              <w:t>10.86%</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3,975,968.6</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4</w:t>
            </w:r>
          </w:p>
        </w:tc>
      </w:tr>
      <w:tr>
        <w:trPr>
          <w:trHeight w:val="161" w:hRule="exact"/>
        </w:trPr>
        <w:tc>
          <w:tcPr>
            <w:tcW w:w="1623" w:type="dxa"/>
            <w:tcBorders>
              <w:top w:val="single" w:sz="4" w:space="0" w:color="000000"/>
              <w:left w:val="single" w:sz="4" w:space="0" w:color="000000"/>
              <w:bottom w:val="nil" w:sz="6" w:space="0" w:color="auto"/>
              <w:right w:val="single" w:sz="4" w:space="0" w:color="000000"/>
            </w:tcBorders>
            <w:shd w:val="clear" w:color="auto" w:fill="D2D2D2"/>
          </w:tcPr>
          <w:p>
            <w:pPr/>
          </w:p>
        </w:tc>
        <w:tc>
          <w:tcPr>
            <w:tcW w:w="763" w:type="dxa"/>
            <w:vMerge w:val="restart"/>
            <w:tcBorders>
              <w:top w:val="single" w:sz="4" w:space="0" w:color="000000"/>
              <w:left w:val="single" w:sz="9" w:space="0" w:color="D2D2D2"/>
              <w:right w:val="single" w:sz="4" w:space="0" w:color="000000"/>
            </w:tcBorders>
          </w:tcPr>
          <w:p>
            <w:pPr>
              <w:pStyle w:val="TableParagraph"/>
              <w:spacing w:line="240" w:lineRule="auto" w:before="91"/>
              <w:ind w:left="93" w:right="0"/>
              <w:jc w:val="left"/>
              <w:rPr>
                <w:rFonts w:ascii="Times New Roman" w:hAnsi="Times New Roman" w:cs="Times New Roman" w:eastAsia="Times New Roman" w:hint="default"/>
                <w:sz w:val="18"/>
                <w:szCs w:val="18"/>
              </w:rPr>
            </w:pPr>
            <w:r>
              <w:rPr>
                <w:rFonts w:ascii="Times New Roman"/>
                <w:sz w:val="18"/>
              </w:rPr>
              <w:t>9,877,26</w:t>
            </w:r>
          </w:p>
          <w:p>
            <w:pPr>
              <w:pStyle w:val="TableParagraph"/>
              <w:spacing w:line="240" w:lineRule="auto" w:before="106"/>
              <w:ind w:left="408" w:right="0"/>
              <w:jc w:val="left"/>
              <w:rPr>
                <w:rFonts w:ascii="Times New Roman" w:hAnsi="Times New Roman" w:cs="Times New Roman" w:eastAsia="Times New Roman" w:hint="default"/>
                <w:sz w:val="18"/>
                <w:szCs w:val="18"/>
              </w:rPr>
            </w:pPr>
            <w:r>
              <w:rPr>
                <w:rFonts w:ascii="Times New Roman"/>
                <w:sz w:val="18"/>
              </w:rPr>
              <w:t>4.87</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935,952.</w:t>
            </w:r>
          </w:p>
          <w:p>
            <w:pPr>
              <w:pStyle w:val="TableParagraph"/>
              <w:spacing w:line="240" w:lineRule="auto" w:before="106"/>
              <w:ind w:right="22"/>
              <w:jc w:val="right"/>
              <w:rPr>
                <w:rFonts w:ascii="Times New Roman" w:hAnsi="Times New Roman" w:cs="Times New Roman" w:eastAsia="Times New Roman" w:hint="default"/>
                <w:sz w:val="18"/>
                <w:szCs w:val="18"/>
              </w:rPr>
            </w:pPr>
            <w:r>
              <w:rPr>
                <w:rFonts w:ascii="Times New Roman"/>
                <w:sz w:val="18"/>
              </w:rPr>
              <w:t>23</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65" w:right="0"/>
              <w:jc w:val="left"/>
              <w:rPr>
                <w:rFonts w:ascii="Times New Roman" w:hAnsi="Times New Roman" w:cs="Times New Roman" w:eastAsia="Times New Roman" w:hint="default"/>
                <w:sz w:val="18"/>
                <w:szCs w:val="18"/>
              </w:rPr>
            </w:pPr>
            <w:r>
              <w:rPr>
                <w:rFonts w:ascii="Times New Roman"/>
                <w:sz w:val="18"/>
              </w:rPr>
              <w:t>9.48%</w:t>
            </w:r>
          </w:p>
        </w:tc>
        <w:tc>
          <w:tcPr>
            <w:tcW w:w="790"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8,941,312</w:t>
            </w:r>
          </w:p>
          <w:p>
            <w:pPr>
              <w:pStyle w:val="TableParagraph"/>
              <w:spacing w:line="240" w:lineRule="auto" w:before="106"/>
              <w:ind w:right="19"/>
              <w:jc w:val="right"/>
              <w:rPr>
                <w:rFonts w:ascii="Times New Roman" w:hAnsi="Times New Roman" w:cs="Times New Roman" w:eastAsia="Times New Roman" w:hint="default"/>
                <w:sz w:val="18"/>
                <w:szCs w:val="18"/>
              </w:rPr>
            </w:pPr>
            <w:r>
              <w:rPr>
                <w:rFonts w:ascii="Times New Roman"/>
                <w:sz w:val="18"/>
              </w:rPr>
              <w:t>.64</w:t>
            </w:r>
          </w:p>
        </w:tc>
        <w:tc>
          <w:tcPr>
            <w:tcW w:w="654" w:type="dxa"/>
            <w:vMerge w:val="restart"/>
            <w:tcBorders>
              <w:top w:val="single" w:sz="4" w:space="0" w:color="000000"/>
              <w:left w:val="single" w:sz="4" w:space="0" w:color="000000"/>
              <w:right w:val="single" w:sz="4" w:space="0" w:color="000000"/>
            </w:tcBorders>
          </w:tcPr>
          <w:p>
            <w:pPr>
              <w:pStyle w:val="TableParagraph"/>
              <w:spacing w:line="240" w:lineRule="auto" w:before="91"/>
              <w:ind w:left="57" w:right="0"/>
              <w:jc w:val="center"/>
              <w:rPr>
                <w:rFonts w:ascii="Times New Roman" w:hAnsi="Times New Roman" w:cs="Times New Roman" w:eastAsia="Times New Roman" w:hint="default"/>
                <w:sz w:val="18"/>
                <w:szCs w:val="18"/>
              </w:rPr>
            </w:pPr>
            <w:r>
              <w:rPr>
                <w:rFonts w:ascii="Times New Roman"/>
                <w:sz w:val="18"/>
              </w:rPr>
              <w:t>4,460,6</w:t>
            </w:r>
          </w:p>
          <w:p>
            <w:pPr>
              <w:pStyle w:val="TableParagraph"/>
              <w:spacing w:line="240" w:lineRule="auto" w:before="106"/>
              <w:ind w:left="192" w:right="0"/>
              <w:jc w:val="center"/>
              <w:rPr>
                <w:rFonts w:ascii="Times New Roman" w:hAnsi="Times New Roman" w:cs="Times New Roman" w:eastAsia="Times New Roman" w:hint="default"/>
                <w:sz w:val="18"/>
                <w:szCs w:val="18"/>
              </w:rPr>
            </w:pPr>
            <w:r>
              <w:rPr>
                <w:rFonts w:ascii="Times New Roman"/>
                <w:sz w:val="18"/>
              </w:rPr>
              <w:t>00.09</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3"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484,631.4</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5</w:t>
            </w:r>
          </w:p>
        </w:tc>
        <w:tc>
          <w:tcPr>
            <w:tcW w:w="93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45" w:right="0"/>
              <w:jc w:val="left"/>
              <w:rPr>
                <w:rFonts w:ascii="Times New Roman" w:hAnsi="Times New Roman" w:cs="Times New Roman" w:eastAsia="Times New Roman" w:hint="default"/>
                <w:sz w:val="18"/>
                <w:szCs w:val="18"/>
              </w:rPr>
            </w:pPr>
            <w:r>
              <w:rPr>
                <w:rFonts w:ascii="Times New Roman"/>
                <w:sz w:val="18"/>
              </w:rPr>
              <w:t>10.86%</w:t>
            </w:r>
          </w:p>
        </w:tc>
        <w:tc>
          <w:tcPr>
            <w:tcW w:w="932"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3,975,968.6</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4</w:t>
            </w:r>
          </w:p>
        </w:tc>
      </w:tr>
      <w:tr>
        <w:trPr>
          <w:trHeight w:val="392" w:hRule="exact"/>
        </w:trPr>
        <w:tc>
          <w:tcPr>
            <w:tcW w:w="162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vMerge/>
            <w:tcBorders>
              <w:left w:val="single" w:sz="9" w:space="0" w:color="D2D2D2"/>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90" w:type="dxa"/>
            <w:vMerge/>
            <w:tcBorders>
              <w:left w:val="single" w:sz="4" w:space="0" w:color="000000"/>
              <w:right w:val="single" w:sz="4" w:space="0" w:color="000000"/>
            </w:tcBorders>
          </w:tcPr>
          <w:p>
            <w:pPr/>
          </w:p>
        </w:tc>
        <w:tc>
          <w:tcPr>
            <w:tcW w:w="654"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813" w:type="dxa"/>
            <w:vMerge/>
            <w:tcBorders>
              <w:left w:val="single" w:sz="4" w:space="0" w:color="000000"/>
              <w:right w:val="single" w:sz="4" w:space="0" w:color="000000"/>
            </w:tcBorders>
          </w:tcPr>
          <w:p>
            <w:pPr/>
          </w:p>
        </w:tc>
        <w:tc>
          <w:tcPr>
            <w:tcW w:w="932" w:type="dxa"/>
            <w:vMerge/>
            <w:tcBorders>
              <w:left w:val="single" w:sz="4" w:space="0" w:color="000000"/>
              <w:right w:val="single" w:sz="4" w:space="0" w:color="000000"/>
            </w:tcBorders>
          </w:tcPr>
          <w:p>
            <w:pPr/>
          </w:p>
        </w:tc>
        <w:tc>
          <w:tcPr>
            <w:tcW w:w="932" w:type="dxa"/>
            <w:vMerge/>
            <w:tcBorders>
              <w:left w:val="single" w:sz="4" w:space="0" w:color="000000"/>
              <w:right w:val="single" w:sz="4" w:space="0" w:color="000000"/>
            </w:tcBorders>
          </w:tcPr>
          <w:p>
            <w:pPr/>
          </w:p>
        </w:tc>
      </w:tr>
      <w:tr>
        <w:trPr>
          <w:trHeight w:val="161" w:hRule="exact"/>
        </w:trPr>
        <w:tc>
          <w:tcPr>
            <w:tcW w:w="162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vMerge/>
            <w:tcBorders>
              <w:left w:val="single" w:sz="9" w:space="0" w:color="D2D2D2"/>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90" w:type="dxa"/>
            <w:vMerge/>
            <w:tcBorders>
              <w:left w:val="single" w:sz="4" w:space="0" w:color="000000"/>
              <w:bottom w:val="single" w:sz="4" w:space="0" w:color="000000"/>
              <w:right w:val="single" w:sz="4" w:space="0" w:color="000000"/>
            </w:tcBorders>
          </w:tcPr>
          <w:p>
            <w:pPr/>
          </w:p>
        </w:tc>
        <w:tc>
          <w:tcPr>
            <w:tcW w:w="654"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813" w:type="dxa"/>
            <w:vMerge/>
            <w:tcBorders>
              <w:left w:val="single" w:sz="4" w:space="0" w:color="000000"/>
              <w:bottom w:val="single" w:sz="4" w:space="0" w:color="000000"/>
              <w:right w:val="single" w:sz="4" w:space="0" w:color="000000"/>
            </w:tcBorders>
          </w:tcPr>
          <w:p>
            <w:pPr/>
          </w:p>
        </w:tc>
        <w:tc>
          <w:tcPr>
            <w:tcW w:w="932" w:type="dxa"/>
            <w:vMerge/>
            <w:tcBorders>
              <w:left w:val="single" w:sz="4" w:space="0" w:color="000000"/>
              <w:bottom w:val="single" w:sz="4" w:space="0" w:color="000000"/>
              <w:right w:val="single" w:sz="4" w:space="0" w:color="000000"/>
            </w:tcBorders>
          </w:tcPr>
          <w:p>
            <w:pPr/>
          </w:p>
        </w:tc>
        <w:tc>
          <w:tcPr>
            <w:tcW w:w="932" w:type="dxa"/>
            <w:vMerge/>
            <w:tcBorders>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pStyle w:val="BodyText"/>
        <w:spacing w:line="240" w:lineRule="auto" w:before="51"/>
        <w:ind w:left="154" w:right="-20"/>
        <w:jc w:val="left"/>
      </w:pPr>
      <w:r>
        <w:rPr/>
        <w:t>期末单项金额重大并单项计提坏账准备的其他应收款：</w:t>
      </w:r>
    </w:p>
    <w:p>
      <w:pPr>
        <w:pStyle w:val="BodyText"/>
        <w:spacing w:line="338" w:lineRule="auto" w:before="117"/>
        <w:ind w:right="161"/>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组合中，按账龄分析法计提坏账准备的其他应收款：</w:t>
      </w:r>
    </w:p>
    <w:p>
      <w:pPr>
        <w:pStyle w:val="BodyText"/>
        <w:spacing w:line="240" w:lineRule="auto" w:before="43"/>
        <w:ind w:left="154" w:right="-2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21"/>
          <w:szCs w:val="21"/>
        </w:rPr>
      </w:pPr>
    </w:p>
    <w:p>
      <w:pPr>
        <w:pStyle w:val="BodyText"/>
        <w:spacing w:line="240" w:lineRule="auto"/>
        <w:ind w:right="0"/>
        <w:jc w:val="left"/>
      </w:pPr>
      <w:r>
        <w:rPr/>
        <w:t>单位： 元</w:t>
      </w:r>
    </w:p>
    <w:p>
      <w:pPr>
        <w:spacing w:after="0" w:line="240" w:lineRule="auto"/>
        <w:jc w:val="left"/>
        <w:sectPr>
          <w:type w:val="continuous"/>
          <w:pgSz w:w="11910" w:h="16840"/>
          <w:pgMar w:top="1060" w:bottom="1160" w:left="980" w:right="0"/>
          <w:cols w:num="2" w:equalWidth="0">
            <w:col w:w="4475" w:space="4355"/>
            <w:col w:w="2100"/>
          </w:cols>
        </w:sectPr>
      </w:pPr>
    </w:p>
    <w:p>
      <w:pPr>
        <w:spacing w:line="240" w:lineRule="auto" w:before="0"/>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482"/>
        <w:gridCol w:w="2295"/>
        <w:gridCol w:w="2391"/>
        <w:gridCol w:w="2390"/>
      </w:tblGrid>
      <w:tr>
        <w:trPr>
          <w:trHeight w:val="206" w:hRule="exact"/>
        </w:trPr>
        <w:tc>
          <w:tcPr>
            <w:tcW w:w="2482" w:type="dxa"/>
            <w:tcBorders>
              <w:top w:val="single" w:sz="4" w:space="0" w:color="000000"/>
              <w:left w:val="single" w:sz="4" w:space="0" w:color="000000"/>
              <w:bottom w:val="nil" w:sz="6" w:space="0" w:color="auto"/>
              <w:right w:val="single" w:sz="4" w:space="0" w:color="000000"/>
            </w:tcBorders>
            <w:shd w:val="clear" w:color="auto" w:fill="D2D2D2"/>
          </w:tcPr>
          <w:p>
            <w:pPr/>
          </w:p>
        </w:tc>
        <w:tc>
          <w:tcPr>
            <w:tcW w:w="7075"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6" w:hRule="exact"/>
        </w:trPr>
        <w:tc>
          <w:tcPr>
            <w:tcW w:w="248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1"/>
              <w:jc w:val="center"/>
              <w:rPr>
                <w:rFonts w:ascii="宋体" w:hAnsi="宋体" w:cs="宋体" w:eastAsia="宋体" w:hint="default"/>
                <w:sz w:val="18"/>
                <w:szCs w:val="18"/>
              </w:rPr>
            </w:pPr>
            <w:r>
              <w:rPr>
                <w:rFonts w:ascii="宋体" w:hAnsi="宋体" w:cs="宋体" w:eastAsia="宋体" w:hint="default"/>
                <w:sz w:val="18"/>
                <w:szCs w:val="18"/>
              </w:rPr>
              <w:t>账龄</w:t>
            </w:r>
          </w:p>
        </w:tc>
        <w:tc>
          <w:tcPr>
            <w:tcW w:w="7075" w:type="dxa"/>
            <w:gridSpan w:val="3"/>
            <w:vMerge/>
            <w:tcBorders>
              <w:left w:val="single" w:sz="4" w:space="0" w:color="000000"/>
              <w:bottom w:val="single" w:sz="4" w:space="0" w:color="000000"/>
              <w:right w:val="single" w:sz="4" w:space="0" w:color="000000"/>
            </w:tcBorders>
            <w:shd w:val="clear" w:color="auto" w:fill="D2D2D2"/>
          </w:tcPr>
          <w:p>
            <w:pPr/>
          </w:p>
        </w:tc>
      </w:tr>
      <w:tr>
        <w:trPr>
          <w:trHeight w:val="196" w:hRule="exact"/>
        </w:trPr>
        <w:tc>
          <w:tcPr>
            <w:tcW w:w="2482" w:type="dxa"/>
            <w:vMerge/>
            <w:tcBorders>
              <w:left w:val="single" w:sz="4" w:space="0" w:color="000000"/>
              <w:bottom w:val="nil" w:sz="6" w:space="0" w:color="auto"/>
              <w:right w:val="single" w:sz="4" w:space="0" w:color="000000"/>
            </w:tcBorders>
            <w:shd w:val="clear" w:color="auto" w:fill="D2D2D2"/>
          </w:tcPr>
          <w:p>
            <w:pPr/>
          </w:p>
        </w:tc>
        <w:tc>
          <w:tcPr>
            <w:tcW w:w="22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69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3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211" w:hRule="exact"/>
        </w:trPr>
        <w:tc>
          <w:tcPr>
            <w:tcW w:w="2482" w:type="dxa"/>
            <w:tcBorders>
              <w:top w:val="nil" w:sz="6" w:space="0" w:color="auto"/>
              <w:left w:val="single" w:sz="4" w:space="0" w:color="000000"/>
              <w:bottom w:val="single" w:sz="4" w:space="0" w:color="000000"/>
              <w:right w:val="single" w:sz="4" w:space="0" w:color="000000"/>
            </w:tcBorders>
            <w:shd w:val="clear" w:color="auto" w:fill="D2D2D2"/>
          </w:tcPr>
          <w:p>
            <w:pPr/>
          </w:p>
        </w:tc>
        <w:tc>
          <w:tcPr>
            <w:tcW w:w="2295" w:type="dxa"/>
            <w:vMerge/>
            <w:tcBorders>
              <w:left w:val="single" w:sz="4" w:space="0" w:color="000000"/>
              <w:bottom w:val="single" w:sz="4" w:space="0" w:color="000000"/>
              <w:right w:val="single" w:sz="4" w:space="0" w:color="000000"/>
            </w:tcBorders>
            <w:shd w:val="clear" w:color="auto" w:fill="D2D2D2"/>
          </w:tcPr>
          <w:p>
            <w:pPr/>
          </w:p>
        </w:tc>
        <w:tc>
          <w:tcPr>
            <w:tcW w:w="2391" w:type="dxa"/>
            <w:vMerge/>
            <w:tcBorders>
              <w:left w:val="single" w:sz="4" w:space="0" w:color="000000"/>
              <w:bottom w:val="single" w:sz="4" w:space="0" w:color="000000"/>
              <w:right w:val="single" w:sz="4" w:space="0" w:color="000000"/>
            </w:tcBorders>
            <w:shd w:val="clear" w:color="auto" w:fill="D2D2D2"/>
          </w:tcPr>
          <w:p>
            <w:pPr/>
          </w:p>
        </w:tc>
        <w:tc>
          <w:tcPr>
            <w:tcW w:w="2390" w:type="dxa"/>
            <w:vMerge/>
            <w:tcBorders>
              <w:left w:val="single" w:sz="4" w:space="0" w:color="000000"/>
              <w:bottom w:val="single" w:sz="4" w:space="0" w:color="000000"/>
              <w:right w:val="single" w:sz="4" w:space="0" w:color="000000"/>
            </w:tcBorders>
            <w:shd w:val="clear" w:color="auto" w:fill="D2D2D2"/>
          </w:tcPr>
          <w:p>
            <w:pPr/>
          </w:p>
        </w:tc>
      </w:tr>
      <w:tr>
        <w:trPr>
          <w:trHeight w:val="396" w:hRule="exact"/>
        </w:trPr>
        <w:tc>
          <w:tcPr>
            <w:tcW w:w="9557"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年以内分项</w:t>
            </w:r>
          </w:p>
        </w:tc>
      </w:tr>
      <w:tr>
        <w:trPr>
          <w:trHeight w:val="402" w:hRule="exact"/>
        </w:trPr>
        <w:tc>
          <w:tcPr>
            <w:tcW w:w="24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229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8,131,374.47</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406,568.72</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24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9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537,399.62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53,739.96</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10.00%</w:t>
            </w:r>
          </w:p>
        </w:tc>
      </w:tr>
      <w:tr>
        <w:trPr>
          <w:trHeight w:val="402" w:hRule="exact"/>
        </w:trPr>
        <w:tc>
          <w:tcPr>
            <w:tcW w:w="24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9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643,009.18</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192,902.75</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30.00%</w:t>
            </w:r>
          </w:p>
        </w:tc>
      </w:tr>
      <w:tr>
        <w:trPr>
          <w:trHeight w:val="403" w:hRule="exact"/>
        </w:trPr>
        <w:tc>
          <w:tcPr>
            <w:tcW w:w="24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29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565,481.60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282,740.80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50.00%</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2482"/>
        <w:gridCol w:w="2307"/>
        <w:gridCol w:w="2391"/>
        <w:gridCol w:w="2389"/>
      </w:tblGrid>
      <w:tr>
        <w:trPr>
          <w:trHeight w:val="402" w:hRule="exact"/>
        </w:trPr>
        <w:tc>
          <w:tcPr>
            <w:tcW w:w="24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1318" w:right="0"/>
              <w:jc w:val="left"/>
              <w:rPr>
                <w:rFonts w:ascii="Times New Roman" w:hAnsi="Times New Roman" w:cs="Times New Roman" w:eastAsia="Times New Roman" w:hint="default"/>
                <w:sz w:val="18"/>
                <w:szCs w:val="18"/>
              </w:rPr>
            </w:pPr>
            <w:r>
              <w:rPr>
                <w:rFonts w:ascii="Times New Roman"/>
                <w:sz w:val="18"/>
              </w:rPr>
              <w:t>9,877,264.87</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46" w:right="0"/>
              <w:jc w:val="left"/>
              <w:rPr>
                <w:rFonts w:ascii="Times New Roman" w:hAnsi="Times New Roman" w:cs="Times New Roman" w:eastAsia="Times New Roman" w:hint="default"/>
                <w:sz w:val="18"/>
                <w:szCs w:val="18"/>
              </w:rPr>
            </w:pPr>
            <w:r>
              <w:rPr>
                <w:rFonts w:ascii="Times New Roman"/>
                <w:sz w:val="18"/>
              </w:rPr>
              <w:t>935,952.23</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9.48%</w:t>
            </w:r>
          </w:p>
        </w:tc>
      </w:tr>
    </w:tbl>
    <w:p>
      <w:pPr>
        <w:pStyle w:val="BodyText"/>
        <w:spacing w:line="360" w:lineRule="auto" w:before="51"/>
        <w:ind w:left="154" w:right="6252"/>
        <w:jc w:val="left"/>
      </w:pPr>
      <w:r>
        <w:rPr/>
        <w:t>确定该组合依据的说明： 组合中，采用余额百分比法计提坏账准备的其他应收款：</w:t>
      </w:r>
    </w:p>
    <w:p>
      <w:pPr>
        <w:pStyle w:val="BodyText"/>
        <w:spacing w:line="340" w:lineRule="auto" w:before="26"/>
        <w:ind w:right="661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组合中，采用其他方法计提坏账准备的其他应收款：</w:t>
      </w:r>
    </w:p>
    <w:p>
      <w:pPr>
        <w:pStyle w:val="BodyText"/>
        <w:spacing w:line="240" w:lineRule="auto" w:before="40"/>
        <w:ind w:left="154"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9"/>
        <w:rPr>
          <w:rFonts w:ascii="宋体" w:hAnsi="宋体" w:cs="宋体" w:eastAsia="宋体" w:hint="default"/>
          <w:sz w:val="25"/>
          <w:szCs w:val="25"/>
        </w:rPr>
      </w:pPr>
    </w:p>
    <w:p>
      <w:pPr>
        <w:pStyle w:val="Heading3"/>
        <w:spacing w:line="240" w:lineRule="auto"/>
        <w:ind w:left="153" w:right="0"/>
        <w:jc w:val="left"/>
        <w:rPr>
          <w:b w:val="0"/>
          <w:bCs w:val="0"/>
        </w:rPr>
      </w:pPr>
      <w:bookmarkStart w:name="（2）本期计提、收回或转回的坏账准备情况" w:id="518"/>
      <w:bookmarkEnd w:id="518"/>
      <w:r>
        <w:rPr>
          <w:b w:val="0"/>
          <w:bCs w:val="0"/>
        </w:rPr>
      </w:r>
      <w:r>
        <w:rPr/>
        <w:t>（</w:t>
      </w:r>
      <w:r>
        <w:rPr>
          <w:rFonts w:ascii="Times New Roman" w:hAnsi="Times New Roman" w:cs="Times New Roman" w:eastAsia="Times New Roman" w:hint="default"/>
        </w:rPr>
        <w:t>2</w:t>
      </w:r>
      <w:r>
        <w:rPr/>
        <w:t>）本期计提、收回或转回的坏账准备情况</w:t>
      </w:r>
      <w:r>
        <w:rPr>
          <w:b w:val="0"/>
          <w:bCs w:val="0"/>
        </w:rPr>
      </w:r>
    </w:p>
    <w:p>
      <w:pPr>
        <w:spacing w:line="240" w:lineRule="auto" w:before="4"/>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747" w:footer="979" w:top="1060" w:bottom="1160" w:left="980" w:right="0"/>
        </w:sectPr>
      </w:pPr>
    </w:p>
    <w:p>
      <w:pPr>
        <w:pStyle w:val="BodyText"/>
        <w:spacing w:line="338" w:lineRule="auto" w:before="44"/>
        <w:ind w:right="-15"/>
        <w:jc w:val="left"/>
      </w:pPr>
      <w:r>
        <w:rPr/>
        <w:t>本期计提坏账准备金额</w:t>
      </w:r>
      <w:r>
        <w:rPr>
          <w:spacing w:val="-46"/>
        </w:rPr>
        <w:t> </w:t>
      </w:r>
      <w:r>
        <w:rPr>
          <w:rFonts w:ascii="Times New Roman" w:hAnsi="Times New Roman" w:cs="Times New Roman" w:eastAsia="Times New Roman" w:hint="default"/>
        </w:rPr>
        <w:t>453,183.16</w:t>
      </w:r>
      <w:r>
        <w:rPr>
          <w:rFonts w:ascii="Times New Roman" w:hAnsi="Times New Roman" w:cs="Times New Roman" w:eastAsia="Times New Roman" w:hint="default"/>
          <w:spacing w:val="-1"/>
        </w:rPr>
        <w:t> </w:t>
      </w:r>
      <w:r>
        <w:rPr/>
        <w:t>元；本期收回或转回坏账准备金额</w:t>
      </w:r>
      <w:r>
        <w:rPr>
          <w:spacing w:val="-46"/>
        </w:rPr>
        <w:t> </w:t>
      </w:r>
      <w:r>
        <w:rPr>
          <w:rFonts w:ascii="Times New Roman" w:hAnsi="Times New Roman" w:cs="Times New Roman" w:eastAsia="Times New Roman" w:hint="default"/>
        </w:rPr>
        <w:t>0.00</w:t>
      </w:r>
      <w:r>
        <w:rPr>
          <w:rFonts w:ascii="Times New Roman" w:hAnsi="Times New Roman" w:cs="Times New Roman" w:eastAsia="Times New Roman" w:hint="default"/>
          <w:spacing w:val="-1"/>
        </w:rPr>
        <w:t> </w:t>
      </w:r>
      <w:r>
        <w:rPr/>
        <w:t>元。 其中本期坏账准备转回或收回金额重要的：</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pStyle w:val="BodyText"/>
        <w:spacing w:line="240" w:lineRule="auto"/>
        <w:ind w:right="0"/>
        <w:jc w:val="left"/>
      </w:pPr>
      <w:r>
        <w:rPr/>
        <w:t>单位： 元</w:t>
      </w:r>
    </w:p>
    <w:p>
      <w:pPr>
        <w:spacing w:after="0" w:line="240" w:lineRule="auto"/>
        <w:jc w:val="left"/>
        <w:sectPr>
          <w:type w:val="continuous"/>
          <w:pgSz w:w="11910" w:h="16840"/>
          <w:pgMar w:top="1060" w:bottom="1160" w:left="980" w:right="0"/>
          <w:cols w:num="2" w:equalWidth="0">
            <w:col w:w="6320" w:space="2510"/>
            <w:col w:w="2100"/>
          </w:cols>
        </w:sectPr>
      </w:pP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369"/>
        <w:gridCol w:w="3100"/>
        <w:gridCol w:w="3100"/>
      </w:tblGrid>
      <w:tr>
        <w:trPr>
          <w:trHeight w:val="402" w:hRule="exact"/>
        </w:trPr>
        <w:tc>
          <w:tcPr>
            <w:tcW w:w="3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4" w:right="0"/>
              <w:jc w:val="left"/>
              <w:rPr>
                <w:rFonts w:ascii="宋体" w:hAnsi="宋体" w:cs="宋体" w:eastAsia="宋体" w:hint="default"/>
                <w:sz w:val="18"/>
                <w:szCs w:val="18"/>
              </w:rPr>
            </w:pPr>
            <w:r>
              <w:rPr>
                <w:rFonts w:ascii="宋体" w:hAnsi="宋体" w:cs="宋体" w:eastAsia="宋体" w:hint="default"/>
                <w:sz w:val="18"/>
                <w:szCs w:val="18"/>
              </w:rPr>
              <w:t>转回或收回金额</w:t>
            </w:r>
          </w:p>
        </w:tc>
        <w:tc>
          <w:tcPr>
            <w:tcW w:w="3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收回方式</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3）本期实际核销的其他应收款情况" w:id="519"/>
      <w:bookmarkEnd w:id="519"/>
      <w:r>
        <w:rPr>
          <w:b w:val="0"/>
          <w:bCs w:val="0"/>
        </w:rPr>
      </w:r>
      <w:r>
        <w:rPr/>
        <w:t>（</w:t>
      </w:r>
      <w:r>
        <w:rPr>
          <w:rFonts w:ascii="Times New Roman" w:hAnsi="Times New Roman" w:cs="Times New Roman" w:eastAsia="Times New Roman" w:hint="default"/>
        </w:rPr>
        <w:t>3</w:t>
      </w:r>
      <w:r>
        <w:rPr/>
        <w:t>）本期实际核销的其他应收款情况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984"/>
        <w:gridCol w:w="4584"/>
      </w:tblGrid>
      <w:tr>
        <w:trPr>
          <w:trHeight w:val="402"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5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核销金额</w:t>
            </w:r>
          </w:p>
        </w:tc>
      </w:tr>
      <w:tr>
        <w:trPr>
          <w:trHeight w:val="402" w:hRule="exact"/>
        </w:trPr>
        <w:tc>
          <w:tcPr>
            <w:tcW w:w="4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4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1,862.38</w:t>
            </w:r>
          </w:p>
        </w:tc>
      </w:tr>
    </w:tbl>
    <w:p>
      <w:pPr>
        <w:pStyle w:val="BodyText"/>
        <w:spacing w:line="240" w:lineRule="auto" w:before="51"/>
        <w:ind w:left="154" w:right="0"/>
        <w:jc w:val="left"/>
      </w:pPr>
      <w:r>
        <w:rPr/>
        <w:t>其中重要的其他应收款核销情况：</w:t>
      </w:r>
    </w:p>
    <w:p>
      <w:pPr>
        <w:pStyle w:val="BodyText"/>
        <w:spacing w:line="240" w:lineRule="auto" w:before="117"/>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684"/>
        <w:gridCol w:w="1552"/>
        <w:gridCol w:w="1552"/>
        <w:gridCol w:w="1553"/>
        <w:gridCol w:w="1614"/>
        <w:gridCol w:w="1604"/>
      </w:tblGrid>
      <w:tr>
        <w:trPr>
          <w:trHeight w:val="714" w:hRule="exact"/>
        </w:trPr>
        <w:tc>
          <w:tcPr>
            <w:tcW w:w="16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76"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41" w:right="0"/>
              <w:jc w:val="left"/>
              <w:rPr>
                <w:rFonts w:ascii="宋体" w:hAnsi="宋体" w:cs="宋体" w:eastAsia="宋体" w:hint="default"/>
                <w:sz w:val="18"/>
                <w:szCs w:val="18"/>
              </w:rPr>
            </w:pPr>
            <w:r>
              <w:rPr>
                <w:rFonts w:ascii="宋体" w:hAnsi="宋体" w:cs="宋体" w:eastAsia="宋体" w:hint="default"/>
                <w:sz w:val="18"/>
                <w:szCs w:val="18"/>
              </w:rPr>
              <w:t>其他应收款性质</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10"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10"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16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71" w:right="0"/>
              <w:jc w:val="left"/>
              <w:rPr>
                <w:rFonts w:ascii="宋体" w:hAnsi="宋体" w:cs="宋体" w:eastAsia="宋体" w:hint="default"/>
                <w:sz w:val="18"/>
                <w:szCs w:val="18"/>
              </w:rPr>
            </w:pPr>
            <w:r>
              <w:rPr>
                <w:rFonts w:ascii="宋体" w:hAnsi="宋体" w:cs="宋体" w:eastAsia="宋体" w:hint="default"/>
                <w:sz w:val="18"/>
                <w:szCs w:val="18"/>
              </w:rPr>
              <w:t>履行的核销程序</w:t>
            </w:r>
          </w:p>
        </w:tc>
        <w:tc>
          <w:tcPr>
            <w:tcW w:w="16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532" w:right="69" w:hanging="450"/>
              <w:jc w:val="left"/>
              <w:rPr>
                <w:rFonts w:ascii="宋体" w:hAnsi="宋体" w:cs="宋体" w:eastAsia="宋体" w:hint="default"/>
                <w:sz w:val="18"/>
                <w:szCs w:val="18"/>
              </w:rPr>
            </w:pPr>
            <w:r>
              <w:rPr>
                <w:rFonts w:ascii="宋体" w:hAnsi="宋体" w:cs="宋体" w:eastAsia="宋体" w:hint="default"/>
                <w:sz w:val="18"/>
                <w:szCs w:val="18"/>
              </w:rPr>
              <w:t>款项是否由关联交 易产生</w:t>
            </w:r>
          </w:p>
        </w:tc>
      </w:tr>
    </w:tbl>
    <w:p>
      <w:pPr>
        <w:pStyle w:val="BodyText"/>
        <w:spacing w:line="240" w:lineRule="auto" w:before="51"/>
        <w:ind w:left="154" w:right="0"/>
        <w:jc w:val="left"/>
      </w:pPr>
      <w:r>
        <w:rPr/>
        <w:t>其他应收款核销说明：</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4）其他应收款按款项性质分类情况" w:id="520"/>
      <w:bookmarkEnd w:id="520"/>
      <w:r>
        <w:rPr>
          <w:b w:val="0"/>
          <w:bCs w:val="0"/>
        </w:rPr>
      </w:r>
      <w:r>
        <w:rPr/>
        <w:t>（</w:t>
      </w:r>
      <w:r>
        <w:rPr>
          <w:rFonts w:ascii="Times New Roman" w:hAnsi="Times New Roman" w:cs="Times New Roman" w:eastAsia="Times New Roman" w:hint="default"/>
        </w:rPr>
        <w:t>4</w:t>
      </w:r>
      <w:r>
        <w:rPr/>
        <w:t>）其他应收款按款项性质分类情况</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369"/>
        <w:gridCol w:w="3100"/>
        <w:gridCol w:w="3100"/>
      </w:tblGrid>
      <w:tr>
        <w:trPr>
          <w:trHeight w:val="401" w:hRule="exact"/>
        </w:trPr>
        <w:tc>
          <w:tcPr>
            <w:tcW w:w="3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04"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04"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应收出口退税</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4,120,804.52</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302,532.94</w:t>
            </w: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押金</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667,811.30</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128,688.05</w:t>
            </w: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4,903,163.01</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3,473,799.10</w:t>
            </w: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内部往来</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58,188.76</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13,400.00</w:t>
            </w: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127,297.28</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542,180.00</w:t>
            </w:r>
          </w:p>
        </w:tc>
      </w:tr>
      <w:tr>
        <w:trPr>
          <w:trHeight w:val="403" w:hRule="exact"/>
        </w:trPr>
        <w:tc>
          <w:tcPr>
            <w:tcW w:w="3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9,877,264.87</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4,460,600.09</w:t>
            </w:r>
          </w:p>
        </w:tc>
      </w:tr>
    </w:tbl>
    <w:p>
      <w:pPr>
        <w:spacing w:line="240" w:lineRule="auto" w:before="3"/>
        <w:rPr>
          <w:rFonts w:ascii="宋体" w:hAnsi="宋体" w:cs="宋体" w:eastAsia="宋体" w:hint="default"/>
          <w:sz w:val="19"/>
          <w:szCs w:val="19"/>
        </w:rPr>
      </w:pPr>
    </w:p>
    <w:p>
      <w:pPr>
        <w:pStyle w:val="Heading3"/>
        <w:spacing w:line="240" w:lineRule="auto" w:before="35"/>
        <w:ind w:right="0"/>
        <w:jc w:val="left"/>
        <w:rPr>
          <w:b w:val="0"/>
          <w:bCs w:val="0"/>
        </w:rPr>
      </w:pPr>
      <w:bookmarkStart w:name="（5）按欠款方归集的期末余额前五名的其他应收款情况" w:id="521"/>
      <w:bookmarkEnd w:id="521"/>
      <w:r>
        <w:rPr>
          <w:b w:val="0"/>
          <w:bCs w:val="0"/>
        </w:rPr>
      </w:r>
      <w:r>
        <w:rPr/>
        <w:t>（</w:t>
      </w:r>
      <w:r>
        <w:rPr>
          <w:rFonts w:ascii="Times New Roman" w:hAnsi="Times New Roman" w:cs="Times New Roman" w:eastAsia="Times New Roman" w:hint="default"/>
        </w:rPr>
        <w:t>5</w:t>
      </w:r>
      <w:r>
        <w:rPr/>
        <w:t>）按欠款方归集的期末余额前五名的其他应收款情况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after="0" w:line="240" w:lineRule="auto"/>
        <w:jc w:val="right"/>
        <w:sectPr>
          <w:type w:val="continuous"/>
          <w:pgSz w:w="11910" w:h="16840"/>
          <w:pgMar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684"/>
        <w:gridCol w:w="1552"/>
        <w:gridCol w:w="1552"/>
        <w:gridCol w:w="1553"/>
        <w:gridCol w:w="1614"/>
        <w:gridCol w:w="1615"/>
      </w:tblGrid>
      <w:tr>
        <w:trPr>
          <w:trHeight w:val="714" w:hRule="exact"/>
        </w:trPr>
        <w:tc>
          <w:tcPr>
            <w:tcW w:w="16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76"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21" w:right="0"/>
              <w:jc w:val="left"/>
              <w:rPr>
                <w:rFonts w:ascii="宋体" w:hAnsi="宋体" w:cs="宋体" w:eastAsia="宋体" w:hint="default"/>
                <w:sz w:val="18"/>
                <w:szCs w:val="18"/>
              </w:rPr>
            </w:pPr>
            <w:r>
              <w:rPr>
                <w:rFonts w:ascii="宋体" w:hAnsi="宋体" w:cs="宋体" w:eastAsia="宋体" w:hint="default"/>
                <w:sz w:val="18"/>
                <w:szCs w:val="18"/>
              </w:rPr>
              <w:t>款项的性质</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10"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6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81" w:right="81"/>
              <w:jc w:val="left"/>
              <w:rPr>
                <w:rFonts w:ascii="宋体" w:hAnsi="宋体" w:cs="宋体" w:eastAsia="宋体" w:hint="default"/>
                <w:sz w:val="18"/>
                <w:szCs w:val="18"/>
              </w:rPr>
            </w:pPr>
            <w:r>
              <w:rPr>
                <w:rFonts w:ascii="宋体" w:hAnsi="宋体" w:cs="宋体" w:eastAsia="宋体" w:hint="default"/>
                <w:sz w:val="18"/>
                <w:szCs w:val="18"/>
              </w:rPr>
              <w:t>占其他应收款期末 余额合计数的比例</w:t>
            </w:r>
          </w:p>
        </w:tc>
        <w:tc>
          <w:tcPr>
            <w:tcW w:w="16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80"/>
              <w:jc w:val="right"/>
              <w:rPr>
                <w:rFonts w:ascii="宋体" w:hAnsi="宋体" w:cs="宋体" w:eastAsia="宋体" w:hint="default"/>
                <w:sz w:val="18"/>
                <w:szCs w:val="18"/>
              </w:rPr>
            </w:pPr>
            <w:r>
              <w:rPr>
                <w:rFonts w:ascii="宋体" w:hAnsi="宋体" w:cs="宋体" w:eastAsia="宋体" w:hint="default"/>
                <w:sz w:val="18"/>
                <w:szCs w:val="18"/>
              </w:rPr>
              <w:t>坏账准备期末余额</w:t>
            </w:r>
          </w:p>
        </w:tc>
      </w:tr>
      <w:tr>
        <w:trPr>
          <w:trHeight w:val="402"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深圳市国税局</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出口退税款</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4,120,804.52</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41.72%</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206,040.23</w:t>
            </w:r>
          </w:p>
        </w:tc>
      </w:tr>
      <w:tr>
        <w:trPr>
          <w:trHeight w:val="714"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29"/>
              <w:jc w:val="left"/>
              <w:rPr>
                <w:rFonts w:ascii="宋体" w:hAnsi="宋体" w:cs="宋体" w:eastAsia="宋体" w:hint="default"/>
                <w:sz w:val="18"/>
                <w:szCs w:val="18"/>
              </w:rPr>
            </w:pPr>
            <w:r>
              <w:rPr>
                <w:rFonts w:ascii="宋体" w:hAnsi="宋体" w:cs="宋体" w:eastAsia="宋体" w:hint="default"/>
                <w:sz w:val="18"/>
                <w:szCs w:val="18"/>
              </w:rPr>
              <w:t>深圳国立商事认证中 心</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pacing w:val="-12"/>
                <w:sz w:val="18"/>
                <w:szCs w:val="18"/>
              </w:rPr>
              <w:t>ATA</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担保金</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2,380,877.17</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24.10%</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119,043.86</w:t>
            </w:r>
          </w:p>
        </w:tc>
      </w:tr>
      <w:tr>
        <w:trPr>
          <w:trHeight w:val="402"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深圳软件园管理中心</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租房押金</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638,070.40</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6.46%</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31,903.52</w:t>
            </w:r>
          </w:p>
        </w:tc>
      </w:tr>
      <w:tr>
        <w:trPr>
          <w:trHeight w:val="714"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29"/>
              <w:jc w:val="left"/>
              <w:rPr>
                <w:rFonts w:ascii="宋体" w:hAnsi="宋体" w:cs="宋体" w:eastAsia="宋体" w:hint="default"/>
                <w:sz w:val="18"/>
                <w:szCs w:val="18"/>
              </w:rPr>
            </w:pPr>
            <w:r>
              <w:rPr>
                <w:rFonts w:ascii="宋体" w:hAnsi="宋体" w:cs="宋体" w:eastAsia="宋体" w:hint="default"/>
                <w:sz w:val="18"/>
                <w:szCs w:val="18"/>
              </w:rPr>
              <w:t>中国建设银行股份有 限公司湖北省分行</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200,000.00</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2.02%</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10,000.00</w:t>
            </w:r>
          </w:p>
        </w:tc>
      </w:tr>
      <w:tr>
        <w:trPr>
          <w:trHeight w:val="714"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29"/>
              <w:jc w:val="left"/>
              <w:rPr>
                <w:rFonts w:ascii="宋体" w:hAnsi="宋体" w:cs="宋体" w:eastAsia="宋体" w:hint="default"/>
                <w:sz w:val="18"/>
                <w:szCs w:val="18"/>
              </w:rPr>
            </w:pPr>
            <w:r>
              <w:rPr>
                <w:rFonts w:ascii="宋体" w:hAnsi="宋体" w:cs="宋体" w:eastAsia="宋体" w:hint="default"/>
                <w:sz w:val="18"/>
                <w:szCs w:val="18"/>
              </w:rPr>
              <w:t>中国建设银行股份有 限公司深圳市分行</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200,000.00</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2.02%</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60,000.00</w:t>
            </w:r>
          </w:p>
        </w:tc>
      </w:tr>
      <w:tr>
        <w:trPr>
          <w:trHeight w:val="402" w:hRule="exact"/>
        </w:trPr>
        <w:tc>
          <w:tcPr>
            <w:tcW w:w="16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7,539,752.09</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76.32%</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426,987.61</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6）涉及政府补助的应收款项" w:id="522"/>
      <w:bookmarkEnd w:id="522"/>
      <w:r>
        <w:rPr>
          <w:b w:val="0"/>
          <w:bCs w:val="0"/>
        </w:rPr>
      </w:r>
      <w:r>
        <w:rPr/>
        <w:t>（</w:t>
      </w:r>
      <w:r>
        <w:rPr>
          <w:rFonts w:ascii="Times New Roman" w:hAnsi="Times New Roman" w:cs="Times New Roman" w:eastAsia="Times New Roman" w:hint="default"/>
        </w:rPr>
        <w:t>6</w:t>
      </w:r>
      <w:r>
        <w:rPr/>
        <w:t>）涉及政府补助的应收款项</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026"/>
        <w:gridCol w:w="1866"/>
        <w:gridCol w:w="1866"/>
        <w:gridCol w:w="1868"/>
        <w:gridCol w:w="1933"/>
      </w:tblGrid>
      <w:tr>
        <w:trPr>
          <w:trHeight w:val="714" w:hRule="exact"/>
        </w:trPr>
        <w:tc>
          <w:tcPr>
            <w:tcW w:w="20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647"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8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07" w:right="0"/>
              <w:jc w:val="left"/>
              <w:rPr>
                <w:rFonts w:ascii="宋体" w:hAnsi="宋体" w:cs="宋体" w:eastAsia="宋体" w:hint="default"/>
                <w:sz w:val="18"/>
                <w:szCs w:val="18"/>
              </w:rPr>
            </w:pPr>
            <w:r>
              <w:rPr>
                <w:rFonts w:ascii="宋体" w:hAnsi="宋体" w:cs="宋体" w:eastAsia="宋体" w:hint="default"/>
                <w:sz w:val="18"/>
                <w:szCs w:val="18"/>
              </w:rPr>
              <w:t>政府补助项目名称</w:t>
            </w:r>
          </w:p>
        </w:tc>
        <w:tc>
          <w:tcPr>
            <w:tcW w:w="18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67"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8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68" w:right="0"/>
              <w:jc w:val="left"/>
              <w:rPr>
                <w:rFonts w:ascii="宋体" w:hAnsi="宋体" w:cs="宋体" w:eastAsia="宋体" w:hint="default"/>
                <w:sz w:val="18"/>
                <w:szCs w:val="18"/>
              </w:rPr>
            </w:pPr>
            <w:r>
              <w:rPr>
                <w:rFonts w:ascii="宋体" w:hAnsi="宋体" w:cs="宋体" w:eastAsia="宋体" w:hint="default"/>
                <w:sz w:val="18"/>
                <w:szCs w:val="18"/>
              </w:rPr>
              <w:t>期末账龄</w:t>
            </w:r>
          </w:p>
        </w:tc>
        <w:tc>
          <w:tcPr>
            <w:tcW w:w="19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696" w:right="56" w:hanging="630"/>
              <w:jc w:val="left"/>
              <w:rPr>
                <w:rFonts w:ascii="宋体" w:hAnsi="宋体" w:cs="宋体" w:eastAsia="宋体" w:hint="default"/>
                <w:sz w:val="18"/>
                <w:szCs w:val="18"/>
              </w:rPr>
            </w:pPr>
            <w:r>
              <w:rPr>
                <w:rFonts w:ascii="宋体" w:hAnsi="宋体" w:cs="宋体" w:eastAsia="宋体" w:hint="default"/>
                <w:sz w:val="18"/>
                <w:szCs w:val="18"/>
              </w:rPr>
              <w:t>预计收取的时间、金额 及依据</w:t>
            </w:r>
          </w:p>
        </w:tc>
      </w:tr>
    </w:tbl>
    <w:p>
      <w:pPr>
        <w:pStyle w:val="BodyText"/>
        <w:spacing w:line="240" w:lineRule="auto" w:before="10"/>
        <w:ind w:left="154" w:right="0"/>
        <w:jc w:val="left"/>
      </w:pPr>
      <w:r>
        <w:rPr/>
        <w:t>公司本年不存在涉及政府补助的应收款项。</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7）因金融资产转移而终止确认的其他应收款" w:id="523"/>
      <w:bookmarkEnd w:id="523"/>
      <w:r>
        <w:rPr>
          <w:b w:val="0"/>
          <w:bCs w:val="0"/>
        </w:rPr>
      </w:r>
      <w:r>
        <w:rPr/>
        <w:t>（</w:t>
      </w:r>
      <w:r>
        <w:rPr>
          <w:rFonts w:ascii="Times New Roman" w:hAnsi="Times New Roman" w:cs="Times New Roman" w:eastAsia="Times New Roman" w:hint="default"/>
        </w:rPr>
        <w:t>7</w:t>
      </w:r>
      <w:r>
        <w:rPr/>
        <w:t>）因金融资产转移而终止确认的其他应收款</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bookmarkStart w:name="（8）转移其他应收款且继续涉入形成的资产、负债金额" w:id="524"/>
      <w:bookmarkEnd w:id="524"/>
      <w:r>
        <w:rPr>
          <w:b w:val="0"/>
          <w:bCs w:val="0"/>
        </w:rPr>
      </w:r>
      <w:r>
        <w:rPr/>
        <w:t>（</w:t>
      </w:r>
      <w:r>
        <w:rPr>
          <w:rFonts w:ascii="Times New Roman" w:hAnsi="Times New Roman" w:cs="Times New Roman" w:eastAsia="Times New Roman" w:hint="default"/>
        </w:rPr>
        <w:t>8</w:t>
      </w:r>
      <w:r>
        <w:rPr/>
        <w:t>）转移其他应收款且继续涉入形成的资产、负债金额</w:t>
      </w:r>
      <w:r>
        <w:rPr>
          <w:b w:val="0"/>
          <w:bCs w:val="0"/>
        </w:rPr>
      </w:r>
    </w:p>
    <w:p>
      <w:pPr>
        <w:spacing w:line="240" w:lineRule="auto" w:before="8"/>
        <w:rPr>
          <w:rFonts w:ascii="宋体" w:hAnsi="宋体" w:cs="宋体" w:eastAsia="宋体" w:hint="default"/>
          <w:b/>
          <w:bCs/>
          <w:sz w:val="26"/>
          <w:szCs w:val="26"/>
        </w:rPr>
      </w:pPr>
    </w:p>
    <w:p>
      <w:pPr>
        <w:pStyle w:val="BodyText"/>
        <w:spacing w:line="360" w:lineRule="auto"/>
        <w:ind w:right="9853"/>
        <w:jc w:val="left"/>
      </w:pPr>
      <w:r>
        <w:rPr/>
        <w:t>其他说明： 无。</w:t>
      </w:r>
    </w:p>
    <w:p>
      <w:pPr>
        <w:spacing w:line="240" w:lineRule="auto" w:before="11"/>
        <w:rPr>
          <w:rFonts w:ascii="宋体" w:hAnsi="宋体" w:cs="宋体" w:eastAsia="宋体" w:hint="default"/>
          <w:sz w:val="19"/>
          <w:szCs w:val="19"/>
        </w:rPr>
      </w:pPr>
    </w:p>
    <w:p>
      <w:pPr>
        <w:pStyle w:val="Heading3"/>
        <w:spacing w:line="240" w:lineRule="auto"/>
        <w:ind w:right="0"/>
        <w:jc w:val="left"/>
        <w:rPr>
          <w:b w:val="0"/>
          <w:bCs w:val="0"/>
        </w:rPr>
      </w:pPr>
      <w:bookmarkStart w:name="3、长期股权投资" w:id="525"/>
      <w:bookmarkEnd w:id="525"/>
      <w:r>
        <w:rPr>
          <w:b w:val="0"/>
          <w:bCs w:val="0"/>
        </w:rPr>
      </w:r>
      <w:r>
        <w:rPr>
          <w:rFonts w:ascii="Times New Roman" w:hAnsi="Times New Roman" w:cs="Times New Roman" w:eastAsia="Times New Roman" w:hint="default"/>
        </w:rPr>
        <w:t>3</w:t>
      </w:r>
      <w:r>
        <w:rPr/>
        <w:t>、长期股权投资</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206" w:hRule="exact"/>
        </w:trPr>
        <w:tc>
          <w:tcPr>
            <w:tcW w:w="1368" w:type="dxa"/>
            <w:tcBorders>
              <w:top w:val="single" w:sz="4" w:space="0" w:color="000000"/>
              <w:left w:val="single" w:sz="4" w:space="0" w:color="000000"/>
              <w:bottom w:val="nil" w:sz="6" w:space="0" w:color="auto"/>
              <w:right w:val="single" w:sz="4" w:space="0" w:color="000000"/>
            </w:tcBorders>
            <w:shd w:val="clear" w:color="auto" w:fill="D2D2D2"/>
          </w:tcPr>
          <w:p>
            <w:pPr/>
          </w:p>
        </w:tc>
        <w:tc>
          <w:tcPr>
            <w:tcW w:w="410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1" w:hRule="exact"/>
        </w:trPr>
        <w:tc>
          <w:tcPr>
            <w:tcW w:w="136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102" w:type="dxa"/>
            <w:gridSpan w:val="3"/>
            <w:vMerge/>
            <w:tcBorders>
              <w:left w:val="single" w:sz="4" w:space="0" w:color="000000"/>
              <w:bottom w:val="single" w:sz="4" w:space="0" w:color="000000"/>
              <w:right w:val="single" w:sz="4" w:space="0" w:color="000000"/>
            </w:tcBorders>
            <w:shd w:val="clear" w:color="auto" w:fill="D2D2D2"/>
          </w:tcPr>
          <w:p>
            <w:pPr/>
          </w:p>
        </w:tc>
        <w:tc>
          <w:tcPr>
            <w:tcW w:w="4102" w:type="dxa"/>
            <w:gridSpan w:val="3"/>
            <w:vMerge/>
            <w:tcBorders>
              <w:left w:val="single" w:sz="4" w:space="0" w:color="000000"/>
              <w:bottom w:val="single" w:sz="4" w:space="0" w:color="000000"/>
              <w:right w:val="single" w:sz="4" w:space="0" w:color="000000"/>
            </w:tcBorders>
            <w:shd w:val="clear" w:color="auto" w:fill="D2D2D2"/>
          </w:tcPr>
          <w:p>
            <w:pPr/>
          </w:p>
        </w:tc>
      </w:tr>
      <w:tr>
        <w:trPr>
          <w:trHeight w:val="200" w:hRule="exact"/>
        </w:trPr>
        <w:tc>
          <w:tcPr>
            <w:tcW w:w="1368" w:type="dxa"/>
            <w:vMerge/>
            <w:tcBorders>
              <w:left w:val="single" w:sz="4" w:space="0" w:color="000000"/>
              <w:bottom w:val="nil" w:sz="6" w:space="0" w:color="auto"/>
              <w:right w:val="single" w:sz="4" w:space="0" w:color="000000"/>
            </w:tcBorders>
            <w:shd w:val="clear" w:color="auto" w:fill="D2D2D2"/>
          </w:tcPr>
          <w:p>
            <w:pP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1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206" w:hRule="exact"/>
        </w:trPr>
        <w:tc>
          <w:tcPr>
            <w:tcW w:w="1368"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对子公司投资</w:t>
            </w:r>
          </w:p>
        </w:tc>
        <w:tc>
          <w:tcPr>
            <w:tcW w:w="136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684,805,643.00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684,805,643.00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568,981,583.00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568,981,583.00</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684,805,643.00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684,805,643.00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568,981,583.00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568,981,583.00</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1）对子公司投资" w:id="526"/>
      <w:bookmarkEnd w:id="526"/>
      <w:r>
        <w:rPr>
          <w:b w:val="0"/>
          <w:bCs w:val="0"/>
        </w:rPr>
      </w:r>
      <w:r>
        <w:rPr/>
        <w:t>（</w:t>
      </w:r>
      <w:r>
        <w:rPr>
          <w:rFonts w:ascii="Times New Roman" w:hAnsi="Times New Roman" w:cs="Times New Roman" w:eastAsia="Times New Roman" w:hint="default"/>
        </w:rPr>
        <w:t>1</w:t>
      </w:r>
      <w:r>
        <w:rPr/>
        <w:t>）对子公司投资</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448"/>
        <w:gridCol w:w="1336"/>
        <w:gridCol w:w="1336"/>
        <w:gridCol w:w="1334"/>
        <w:gridCol w:w="1336"/>
        <w:gridCol w:w="1389"/>
        <w:gridCol w:w="1390"/>
      </w:tblGrid>
      <w:tr>
        <w:trPr>
          <w:trHeight w:val="714" w:hRule="exact"/>
        </w:trPr>
        <w:tc>
          <w:tcPr>
            <w:tcW w:w="14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67" w:right="0"/>
              <w:jc w:val="left"/>
              <w:rPr>
                <w:rFonts w:ascii="宋体" w:hAnsi="宋体" w:cs="宋体" w:eastAsia="宋体" w:hint="default"/>
                <w:sz w:val="18"/>
                <w:szCs w:val="18"/>
              </w:rPr>
            </w:pPr>
            <w:r>
              <w:rPr>
                <w:rFonts w:ascii="宋体" w:hAnsi="宋体" w:cs="宋体" w:eastAsia="宋体" w:hint="default"/>
                <w:sz w:val="18"/>
                <w:szCs w:val="18"/>
              </w:rPr>
              <w:t>被投资单位</w:t>
            </w:r>
          </w:p>
        </w:tc>
        <w:tc>
          <w:tcPr>
            <w:tcW w:w="13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3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3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3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599" w:right="58" w:hanging="541"/>
              <w:jc w:val="left"/>
              <w:rPr>
                <w:rFonts w:ascii="宋体" w:hAnsi="宋体" w:cs="宋体" w:eastAsia="宋体" w:hint="default"/>
                <w:sz w:val="18"/>
                <w:szCs w:val="18"/>
              </w:rPr>
            </w:pPr>
            <w:r>
              <w:rPr>
                <w:rFonts w:ascii="宋体" w:hAnsi="宋体" w:cs="宋体" w:eastAsia="宋体" w:hint="default"/>
                <w:sz w:val="18"/>
                <w:szCs w:val="18"/>
              </w:rPr>
              <w:t>本期计提减值准 备</w:t>
            </w:r>
          </w:p>
        </w:tc>
        <w:tc>
          <w:tcPr>
            <w:tcW w:w="1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598" w:right="59" w:hanging="540"/>
              <w:jc w:val="left"/>
              <w:rPr>
                <w:rFonts w:ascii="宋体" w:hAnsi="宋体" w:cs="宋体" w:eastAsia="宋体" w:hint="default"/>
                <w:sz w:val="18"/>
                <w:szCs w:val="18"/>
              </w:rPr>
            </w:pPr>
            <w:r>
              <w:rPr>
                <w:rFonts w:ascii="宋体" w:hAnsi="宋体" w:cs="宋体" w:eastAsia="宋体" w:hint="default"/>
                <w:sz w:val="18"/>
                <w:szCs w:val="18"/>
              </w:rPr>
              <w:t>减值准备期末余 额</w:t>
            </w:r>
          </w:p>
        </w:tc>
      </w:tr>
      <w:tr>
        <w:trPr>
          <w:trHeight w:val="402"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奥拓光电</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8" w:right="0"/>
              <w:jc w:val="left"/>
              <w:rPr>
                <w:rFonts w:ascii="Times New Roman" w:hAnsi="Times New Roman" w:cs="Times New Roman" w:eastAsia="Times New Roman" w:hint="default"/>
                <w:sz w:val="18"/>
                <w:szCs w:val="18"/>
              </w:rPr>
            </w:pPr>
            <w:r>
              <w:rPr>
                <w:rFonts w:ascii="Times New Roman"/>
                <w:sz w:val="18"/>
              </w:rPr>
              <w:t>24,183,600.00</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7" w:right="0"/>
              <w:jc w:val="left"/>
              <w:rPr>
                <w:rFonts w:ascii="Times New Roman" w:hAnsi="Times New Roman" w:cs="Times New Roman" w:eastAsia="Times New Roman" w:hint="default"/>
                <w:sz w:val="18"/>
                <w:szCs w:val="18"/>
              </w:rPr>
            </w:pPr>
            <w:r>
              <w:rPr>
                <w:rFonts w:ascii="Times New Roman"/>
                <w:sz w:val="18"/>
              </w:rPr>
              <w:t>24,183,600.00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448"/>
        <w:gridCol w:w="1336"/>
        <w:gridCol w:w="1336"/>
        <w:gridCol w:w="1334"/>
        <w:gridCol w:w="1336"/>
        <w:gridCol w:w="1389"/>
        <w:gridCol w:w="1390"/>
      </w:tblGrid>
      <w:tr>
        <w:trPr>
          <w:trHeight w:val="402"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奥拓软件</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1,000,000.00</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1,000,000.00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南京奥拓</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85,800,000.00</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8,931,840.00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94,731,840.00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惠州奥拓</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129,270,000.00</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2,121,720.00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131,391,720.00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香港奥拓</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6,132,590.00</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26,859,200.00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32,991,790.00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北京奥拓</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10,000,000.00</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10,000,000.00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上海翰明</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12,595,393.00</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12,595,393.00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千百辉</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300,000,000.00</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60,901,300.00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360,901,300.00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53"/>
              <w:jc w:val="left"/>
              <w:rPr>
                <w:rFonts w:ascii="宋体" w:hAnsi="宋体" w:cs="宋体" w:eastAsia="宋体" w:hint="default"/>
                <w:sz w:val="18"/>
                <w:szCs w:val="18"/>
              </w:rPr>
            </w:pPr>
            <w:r>
              <w:rPr>
                <w:rFonts w:ascii="宋体" w:hAnsi="宋体" w:cs="宋体" w:eastAsia="宋体" w:hint="default"/>
                <w:sz w:val="18"/>
                <w:szCs w:val="18"/>
              </w:rPr>
              <w:t>奥拓体育文化发 展</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2,000,000.00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2,000,000.00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奥拓立翔</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10,000,000.00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10,000,000.00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前海奥拓投资</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5,010,000.00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5,010,000.00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3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568,981,583.00</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115,824,060.00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684,805,643.00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对联营、合营企业投资" w:id="527"/>
      <w:bookmarkEnd w:id="527"/>
      <w:r>
        <w:rPr>
          <w:b w:val="0"/>
          <w:bCs w:val="0"/>
        </w:rPr>
      </w:r>
      <w:r>
        <w:rPr/>
        <w:t>（</w:t>
      </w:r>
      <w:r>
        <w:rPr>
          <w:rFonts w:ascii="Times New Roman" w:hAnsi="Times New Roman" w:cs="Times New Roman" w:eastAsia="Times New Roman" w:hint="default"/>
        </w:rPr>
        <w:t>2</w:t>
      </w:r>
      <w:r>
        <w:rPr/>
        <w:t>）对联营、合营企业投资</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796"/>
        <w:gridCol w:w="798"/>
        <w:gridCol w:w="797"/>
        <w:gridCol w:w="798"/>
        <w:gridCol w:w="798"/>
        <w:gridCol w:w="798"/>
        <w:gridCol w:w="798"/>
        <w:gridCol w:w="798"/>
        <w:gridCol w:w="798"/>
        <w:gridCol w:w="798"/>
        <w:gridCol w:w="798"/>
        <w:gridCol w:w="798"/>
      </w:tblGrid>
      <w:tr>
        <w:trPr>
          <w:trHeight w:val="402" w:hRule="exact"/>
        </w:trPr>
        <w:tc>
          <w:tcPr>
            <w:tcW w:w="7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32" w:right="0"/>
              <w:jc w:val="left"/>
              <w:rPr>
                <w:rFonts w:ascii="宋体" w:hAnsi="宋体" w:cs="宋体" w:eastAsia="宋体" w:hint="default"/>
                <w:sz w:val="18"/>
                <w:szCs w:val="18"/>
              </w:rPr>
            </w:pPr>
            <w:r>
              <w:rPr>
                <w:rFonts w:ascii="宋体" w:hAnsi="宋体" w:cs="宋体" w:eastAsia="宋体" w:hint="default"/>
                <w:sz w:val="18"/>
                <w:szCs w:val="18"/>
              </w:rPr>
              <w:t>投资单位</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3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6384"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316" w:lineRule="auto"/>
              <w:ind w:left="33" w:right="32"/>
              <w:jc w:val="left"/>
              <w:rPr>
                <w:rFonts w:ascii="宋体" w:hAnsi="宋体" w:cs="宋体" w:eastAsia="宋体" w:hint="default"/>
                <w:sz w:val="18"/>
                <w:szCs w:val="18"/>
              </w:rPr>
            </w:pPr>
            <w:r>
              <w:rPr>
                <w:rFonts w:ascii="宋体" w:hAnsi="宋体" w:cs="宋体" w:eastAsia="宋体" w:hint="default"/>
                <w:sz w:val="18"/>
                <w:szCs w:val="18"/>
              </w:rPr>
              <w:t>减值准备 期末余额</w:t>
            </w:r>
          </w:p>
        </w:tc>
      </w:tr>
      <w:tr>
        <w:trPr>
          <w:trHeight w:val="1026" w:hRule="exact"/>
        </w:trPr>
        <w:tc>
          <w:tcPr>
            <w:tcW w:w="796"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3" w:right="0"/>
              <w:jc w:val="left"/>
              <w:rPr>
                <w:rFonts w:ascii="宋体" w:hAnsi="宋体" w:cs="宋体" w:eastAsia="宋体" w:hint="default"/>
                <w:sz w:val="18"/>
                <w:szCs w:val="18"/>
              </w:rPr>
            </w:pPr>
            <w:r>
              <w:rPr>
                <w:rFonts w:ascii="宋体" w:hAnsi="宋体" w:cs="宋体" w:eastAsia="宋体" w:hint="default"/>
                <w:sz w:val="18"/>
                <w:szCs w:val="18"/>
              </w:rPr>
              <w:t>追加投资</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3" w:right="0"/>
              <w:jc w:val="left"/>
              <w:rPr>
                <w:rFonts w:ascii="宋体" w:hAnsi="宋体" w:cs="宋体" w:eastAsia="宋体" w:hint="default"/>
                <w:sz w:val="18"/>
                <w:szCs w:val="18"/>
              </w:rPr>
            </w:pPr>
            <w:r>
              <w:rPr>
                <w:rFonts w:ascii="宋体" w:hAnsi="宋体" w:cs="宋体" w:eastAsia="宋体" w:hint="default"/>
                <w:sz w:val="18"/>
                <w:szCs w:val="18"/>
              </w:rPr>
              <w:t>减少投资</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33" w:right="33"/>
              <w:jc w:val="both"/>
              <w:rPr>
                <w:rFonts w:ascii="宋体" w:hAnsi="宋体" w:cs="宋体" w:eastAsia="宋体" w:hint="default"/>
                <w:sz w:val="18"/>
                <w:szCs w:val="18"/>
              </w:rPr>
            </w:pPr>
            <w:r>
              <w:rPr>
                <w:rFonts w:ascii="宋体" w:hAnsi="宋体" w:cs="宋体" w:eastAsia="宋体" w:hint="default"/>
                <w:sz w:val="18"/>
                <w:szCs w:val="18"/>
              </w:rPr>
              <w:t>权益法下 确认的投 资损益</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33" w:right="32"/>
              <w:jc w:val="left"/>
              <w:rPr>
                <w:rFonts w:ascii="宋体" w:hAnsi="宋体" w:cs="宋体" w:eastAsia="宋体" w:hint="default"/>
                <w:sz w:val="18"/>
                <w:szCs w:val="18"/>
              </w:rPr>
            </w:pPr>
            <w:r>
              <w:rPr>
                <w:rFonts w:ascii="宋体" w:hAnsi="宋体" w:cs="宋体" w:eastAsia="宋体" w:hint="default"/>
                <w:sz w:val="18"/>
                <w:szCs w:val="18"/>
              </w:rPr>
              <w:t>其他综合 收益调整</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213" w:right="32" w:hanging="180"/>
              <w:jc w:val="left"/>
              <w:rPr>
                <w:rFonts w:ascii="宋体" w:hAnsi="宋体" w:cs="宋体" w:eastAsia="宋体" w:hint="default"/>
                <w:sz w:val="18"/>
                <w:szCs w:val="18"/>
              </w:rPr>
            </w:pPr>
            <w:r>
              <w:rPr>
                <w:rFonts w:ascii="宋体" w:hAnsi="宋体" w:cs="宋体" w:eastAsia="宋体" w:hint="default"/>
                <w:sz w:val="18"/>
                <w:szCs w:val="18"/>
              </w:rPr>
              <w:t>其他权益 变动</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33" w:right="32"/>
              <w:jc w:val="both"/>
              <w:rPr>
                <w:rFonts w:ascii="宋体" w:hAnsi="宋体" w:cs="宋体" w:eastAsia="宋体" w:hint="default"/>
                <w:sz w:val="18"/>
                <w:szCs w:val="18"/>
              </w:rPr>
            </w:pPr>
            <w:r>
              <w:rPr>
                <w:rFonts w:ascii="宋体" w:hAnsi="宋体" w:cs="宋体" w:eastAsia="宋体" w:hint="default"/>
                <w:sz w:val="18"/>
                <w:szCs w:val="18"/>
              </w:rPr>
              <w:t>宣告发放 现金股利 或利润</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213" w:right="33" w:hanging="180"/>
              <w:jc w:val="left"/>
              <w:rPr>
                <w:rFonts w:ascii="宋体" w:hAnsi="宋体" w:cs="宋体" w:eastAsia="宋体" w:hint="default"/>
                <w:sz w:val="18"/>
                <w:szCs w:val="18"/>
              </w:rPr>
            </w:pPr>
            <w:r>
              <w:rPr>
                <w:rFonts w:ascii="宋体" w:hAnsi="宋体" w:cs="宋体" w:eastAsia="宋体" w:hint="default"/>
                <w:sz w:val="18"/>
                <w:szCs w:val="18"/>
              </w:rPr>
              <w:t>计提减值 准备</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1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8"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9574"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一、合营企业</w:t>
            </w:r>
          </w:p>
        </w:tc>
      </w:tr>
      <w:tr>
        <w:trPr>
          <w:trHeight w:val="402" w:hRule="exact"/>
        </w:trPr>
        <w:tc>
          <w:tcPr>
            <w:tcW w:w="9574"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二、联营企业</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3）其他说明" w:id="528"/>
      <w:bookmarkEnd w:id="528"/>
      <w:r>
        <w:rPr>
          <w:b w:val="0"/>
          <w:bCs w:val="0"/>
        </w:rPr>
      </w:r>
      <w:r>
        <w:rPr/>
        <w:t>（</w:t>
      </w:r>
      <w:r>
        <w:rPr>
          <w:rFonts w:ascii="Times New Roman" w:hAnsi="Times New Roman" w:cs="Times New Roman" w:eastAsia="Times New Roman" w:hint="default"/>
        </w:rPr>
        <w:t>3</w:t>
      </w:r>
      <w:r>
        <w:rPr/>
        <w:t>）其他说明</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154" w:right="0"/>
        <w:jc w:val="left"/>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4、营业收入和营业成本" w:id="529"/>
      <w:bookmarkEnd w:id="529"/>
      <w:r>
        <w:rPr>
          <w:b w:val="0"/>
          <w:bCs w:val="0"/>
        </w:rPr>
      </w:r>
      <w:r>
        <w:rPr>
          <w:rFonts w:ascii="Times New Roman" w:hAnsi="Times New Roman" w:cs="Times New Roman" w:eastAsia="Times New Roman" w:hint="default"/>
        </w:rPr>
        <w:t>4</w:t>
      </w:r>
      <w:r>
        <w:rPr/>
        <w:t>、营业收入和营业成本</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95"/>
        <w:gridCol w:w="1838"/>
        <w:gridCol w:w="1913"/>
        <w:gridCol w:w="1913"/>
        <w:gridCol w:w="1913"/>
      </w:tblGrid>
      <w:tr>
        <w:trPr>
          <w:trHeight w:val="205" w:hRule="exact"/>
        </w:trPr>
        <w:tc>
          <w:tcPr>
            <w:tcW w:w="1995" w:type="dxa"/>
            <w:tcBorders>
              <w:top w:val="single" w:sz="4" w:space="0" w:color="000000"/>
              <w:left w:val="single" w:sz="4" w:space="0" w:color="000000"/>
              <w:bottom w:val="nil" w:sz="6" w:space="0" w:color="auto"/>
              <w:right w:val="single" w:sz="4" w:space="0" w:color="000000"/>
            </w:tcBorders>
            <w:shd w:val="clear" w:color="auto" w:fill="D2D2D2"/>
          </w:tcPr>
          <w:p>
            <w:pPr/>
          </w:p>
        </w:tc>
        <w:tc>
          <w:tcPr>
            <w:tcW w:w="3750"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2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192" w:hRule="exact"/>
        </w:trPr>
        <w:tc>
          <w:tcPr>
            <w:tcW w:w="199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750" w:type="dxa"/>
            <w:gridSpan w:val="2"/>
            <w:vMerge/>
            <w:tcBorders>
              <w:left w:val="single" w:sz="4" w:space="0" w:color="000000"/>
              <w:bottom w:val="single" w:sz="4" w:space="0" w:color="000000"/>
              <w:right w:val="single" w:sz="4" w:space="0" w:color="000000"/>
            </w:tcBorders>
            <w:shd w:val="clear" w:color="auto" w:fill="D2D2D2"/>
          </w:tcPr>
          <w:p>
            <w:pPr/>
          </w:p>
        </w:tc>
        <w:tc>
          <w:tcPr>
            <w:tcW w:w="3826" w:type="dxa"/>
            <w:gridSpan w:val="2"/>
            <w:vMerge/>
            <w:tcBorders>
              <w:left w:val="single" w:sz="4" w:space="0" w:color="000000"/>
              <w:bottom w:val="single" w:sz="4" w:space="0" w:color="000000"/>
              <w:right w:val="single" w:sz="4" w:space="0" w:color="000000"/>
            </w:tcBorders>
            <w:shd w:val="clear" w:color="auto" w:fill="D2D2D2"/>
          </w:tcPr>
          <w:p>
            <w:pPr/>
          </w:p>
        </w:tc>
      </w:tr>
      <w:tr>
        <w:trPr>
          <w:trHeight w:val="200" w:hRule="exact"/>
        </w:trPr>
        <w:tc>
          <w:tcPr>
            <w:tcW w:w="1995" w:type="dxa"/>
            <w:vMerge/>
            <w:tcBorders>
              <w:left w:val="single" w:sz="4" w:space="0" w:color="000000"/>
              <w:bottom w:val="nil" w:sz="6" w:space="0" w:color="auto"/>
              <w:right w:val="single" w:sz="4" w:space="0" w:color="000000"/>
            </w:tcBorders>
            <w:shd w:val="clear" w:color="auto" w:fill="D2D2D2"/>
          </w:tcPr>
          <w:p>
            <w:pPr/>
          </w:p>
        </w:tc>
        <w:tc>
          <w:tcPr>
            <w:tcW w:w="183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收入</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成本</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206" w:hRule="exact"/>
        </w:trPr>
        <w:tc>
          <w:tcPr>
            <w:tcW w:w="1995" w:type="dxa"/>
            <w:tcBorders>
              <w:top w:val="nil" w:sz="6" w:space="0" w:color="auto"/>
              <w:left w:val="single" w:sz="4" w:space="0" w:color="000000"/>
              <w:bottom w:val="single" w:sz="4" w:space="0" w:color="000000"/>
              <w:right w:val="single" w:sz="4" w:space="0" w:color="000000"/>
            </w:tcBorders>
            <w:shd w:val="clear" w:color="auto" w:fill="D2D2D2"/>
          </w:tcPr>
          <w:p>
            <w:pPr/>
          </w:p>
        </w:tc>
        <w:tc>
          <w:tcPr>
            <w:tcW w:w="1838"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9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83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375,516,482.55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261,020,785.67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390,584,836.72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222,023,732.58</w:t>
            </w:r>
          </w:p>
        </w:tc>
      </w:tr>
      <w:tr>
        <w:trPr>
          <w:trHeight w:val="402" w:hRule="exact"/>
        </w:trPr>
        <w:tc>
          <w:tcPr>
            <w:tcW w:w="19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83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69,522,998.87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69,165,681.23</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17,585,983.72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17,585,983.72</w:t>
            </w:r>
          </w:p>
        </w:tc>
      </w:tr>
      <w:tr>
        <w:trPr>
          <w:trHeight w:val="402" w:hRule="exact"/>
        </w:trPr>
        <w:tc>
          <w:tcPr>
            <w:tcW w:w="19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3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445,039,481.42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330,186,466.90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408,170,820.44</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239,609,716.30</w:t>
            </w:r>
          </w:p>
        </w:tc>
      </w:tr>
    </w:tbl>
    <w:p>
      <w:pPr>
        <w:pStyle w:val="BodyText"/>
        <w:spacing w:line="357" w:lineRule="auto" w:before="51"/>
        <w:ind w:right="9853"/>
        <w:jc w:val="left"/>
      </w:pPr>
      <w:r>
        <w:rPr/>
        <w:t>其他说明： 无。</w:t>
      </w:r>
    </w:p>
    <w:p>
      <w:pPr>
        <w:spacing w:after="0" w:line="357" w:lineRule="auto"/>
        <w:jc w:val="left"/>
        <w:sectPr>
          <w:pgSz w:w="11910" w:h="16840"/>
          <w:pgMar w:header="747" w:footer="979"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5"/>
        <w:ind w:left="153" w:right="0"/>
        <w:jc w:val="left"/>
        <w:rPr>
          <w:b w:val="0"/>
          <w:bCs w:val="0"/>
        </w:rPr>
      </w:pPr>
      <w:bookmarkStart w:name="5、投资收益" w:id="530"/>
      <w:bookmarkEnd w:id="530"/>
      <w:r>
        <w:rPr>
          <w:b w:val="0"/>
          <w:bCs w:val="0"/>
        </w:rPr>
      </w:r>
      <w:r>
        <w:rPr>
          <w:rFonts w:ascii="Times New Roman" w:hAnsi="Times New Roman" w:cs="Times New Roman" w:eastAsia="Times New Roman" w:hint="default"/>
        </w:rPr>
        <w:t>5</w:t>
      </w:r>
      <w:r>
        <w:rPr/>
        <w:t>、投资收益</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324"/>
        <w:gridCol w:w="3059"/>
        <w:gridCol w:w="3186"/>
      </w:tblGrid>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处置可供出售金融资产取得的投资收益</w:t>
            </w:r>
          </w:p>
        </w:tc>
        <w:tc>
          <w:tcPr>
            <w:tcW w:w="3059" w:type="dxa"/>
            <w:tcBorders>
              <w:top w:val="single" w:sz="4" w:space="0" w:color="000000"/>
              <w:left w:val="single" w:sz="13" w:space="0" w:color="D2D2D2"/>
              <w:bottom w:val="single" w:sz="4" w:space="0" w:color="000000"/>
              <w:right w:val="single" w:sz="4" w:space="0" w:color="000000"/>
            </w:tcBorders>
          </w:tcPr>
          <w:p>
            <w:pP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10,000,000.00</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理财产品收益</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1,251,885.85</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747,330.56</w:t>
            </w:r>
          </w:p>
        </w:tc>
      </w:tr>
      <w:tr>
        <w:trPr>
          <w:trHeight w:val="403"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1,251,885.85</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10,747,330.56</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6、其他" w:id="531"/>
      <w:bookmarkEnd w:id="531"/>
      <w:r>
        <w:rPr>
          <w:b w:val="0"/>
          <w:bCs w:val="0"/>
        </w:rPr>
      </w:r>
      <w:r>
        <w:rPr>
          <w:rFonts w:ascii="Times New Roman" w:hAnsi="Times New Roman" w:cs="Times New Roman" w:eastAsia="Times New Roman" w:hint="default"/>
        </w:rPr>
        <w:t>6</w:t>
      </w:r>
      <w:r>
        <w:rPr/>
        <w:t>、其他</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154" w:right="0"/>
        <w:jc w:val="left"/>
      </w:pPr>
      <w:r>
        <w:rPr/>
        <w:t>无。</w:t>
      </w:r>
    </w:p>
    <w:p>
      <w:pPr>
        <w:spacing w:line="240" w:lineRule="auto" w:before="2"/>
        <w:rPr>
          <w:rFonts w:ascii="宋体" w:hAnsi="宋体" w:cs="宋体" w:eastAsia="宋体" w:hint="default"/>
          <w:sz w:val="25"/>
          <w:szCs w:val="25"/>
        </w:rPr>
      </w:pPr>
    </w:p>
    <w:p>
      <w:pPr>
        <w:pStyle w:val="Heading2"/>
        <w:spacing w:line="240" w:lineRule="auto"/>
        <w:ind w:left="154" w:right="0"/>
        <w:jc w:val="left"/>
        <w:rPr>
          <w:b w:val="0"/>
          <w:bCs w:val="0"/>
        </w:rPr>
      </w:pPr>
      <w:bookmarkStart w:name="十八、补充资料" w:id="532"/>
      <w:bookmarkEnd w:id="532"/>
      <w:r>
        <w:rPr>
          <w:b w:val="0"/>
          <w:bCs w:val="0"/>
        </w:rPr>
      </w:r>
      <w:r>
        <w:rPr/>
        <w:t>十八、补充资料</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53" w:right="0"/>
        <w:jc w:val="left"/>
        <w:rPr>
          <w:b w:val="0"/>
          <w:bCs w:val="0"/>
        </w:rPr>
      </w:pPr>
      <w:bookmarkStart w:name="1、当期非经常性损益明细表" w:id="533"/>
      <w:bookmarkEnd w:id="533"/>
      <w:r>
        <w:rPr>
          <w:b w:val="0"/>
          <w:bCs w:val="0"/>
        </w:rPr>
      </w:r>
      <w:r>
        <w:rPr>
          <w:rFonts w:ascii="Times New Roman" w:hAnsi="Times New Roman" w:cs="Times New Roman" w:eastAsia="Times New Roman" w:hint="default"/>
        </w:rPr>
        <w:t>1</w:t>
      </w:r>
      <w:r>
        <w:rPr/>
        <w:t>、当期非经常性损益明细表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240" w:lineRule="auto" w:before="102"/>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302"/>
        <w:gridCol w:w="3071"/>
        <w:gridCol w:w="3186"/>
      </w:tblGrid>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0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-144,607.02</w:t>
            </w:r>
            <w:r>
              <w:rPr>
                <w:rFonts w:ascii="Times New Roman"/>
                <w:sz w:val="18"/>
              </w:rPr>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38"/>
              <w:jc w:val="both"/>
              <w:rPr>
                <w:rFonts w:ascii="宋体" w:hAnsi="宋体" w:cs="宋体" w:eastAsia="宋体" w:hint="default"/>
                <w:sz w:val="18"/>
                <w:szCs w:val="18"/>
              </w:rPr>
            </w:pPr>
            <w:r>
              <w:rPr>
                <w:rFonts w:ascii="宋体" w:hAnsi="宋体" w:cs="宋体" w:eastAsia="宋体" w:hint="default"/>
                <w:sz w:val="18"/>
                <w:szCs w:val="18"/>
              </w:rPr>
              <w:t>计入当期损益的政府补助（与企业业务密 切相关，按照国家统一标准定额或定量享 受的政府补助除外）</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16,066,018.63</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396,448.51</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其他符合非经常性损益定义的损益项目</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1,500,000.00</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2,629,060.15</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少数股东权益影响额</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27,471.75</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71" w:type="dxa"/>
            <w:tcBorders>
              <w:top w:val="single" w:sz="4" w:space="0" w:color="000000"/>
              <w:left w:val="single" w:sz="13" w:space="0" w:color="D2D2D2"/>
              <w:bottom w:val="single" w:sz="4" w:space="0" w:color="000000"/>
              <w:right w:val="single" w:sz="13" w:space="0" w:color="D2D2D2"/>
            </w:tcBorders>
          </w:tcPr>
          <w:p>
            <w:pPr>
              <w:pStyle w:val="TableParagraph"/>
              <w:spacing w:line="240" w:lineRule="auto" w:before="91"/>
              <w:ind w:right="10"/>
              <w:jc w:val="right"/>
              <w:rPr>
                <w:rFonts w:ascii="Times New Roman" w:hAnsi="Times New Roman" w:cs="Times New Roman" w:eastAsia="Times New Roman" w:hint="default"/>
                <w:sz w:val="18"/>
                <w:szCs w:val="18"/>
              </w:rPr>
            </w:pPr>
            <w:r>
              <w:rPr>
                <w:rFonts w:ascii="Times New Roman"/>
                <w:spacing w:val="-1"/>
                <w:sz w:val="18"/>
              </w:rPr>
              <w:t>15,161,328.22</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51"/>
        <w:ind w:left="154" w:right="0"/>
        <w:jc w:val="left"/>
      </w:pPr>
      <w:r>
        <w:rPr>
          <w:spacing w:val="-3"/>
        </w:rPr>
        <w:t>对公司根据《公开发行证券的公司信息披露解释性公告第</w:t>
      </w:r>
      <w:r>
        <w:rPr>
          <w:spacing w:val="-39"/>
        </w:rPr>
        <w:t> </w:t>
      </w:r>
      <w:r>
        <w:rPr>
          <w:rFonts w:ascii="Times New Roman" w:hAnsi="Times New Roman" w:cs="Times New Roman" w:eastAsia="Times New Roman" w:hint="default"/>
        </w:rPr>
        <w:t>1</w:t>
      </w:r>
      <w:r>
        <w:rPr>
          <w:rFonts w:ascii="Times New Roman" w:hAnsi="Times New Roman" w:cs="Times New Roman" w:eastAsia="Times New Roman" w:hint="default"/>
          <w:spacing w:val="5"/>
        </w:rPr>
        <w:t> </w:t>
      </w:r>
      <w:r>
        <w:rPr>
          <w:spacing w:val="-7"/>
        </w:rPr>
        <w:t>号</w:t>
      </w:r>
      <w:r>
        <w:rPr>
          <w:rFonts w:ascii="Times New Roman" w:hAnsi="Times New Roman" w:cs="Times New Roman" w:eastAsia="Times New Roman" w:hint="default"/>
          <w:spacing w:val="-7"/>
        </w:rPr>
        <w:t>——</w:t>
      </w:r>
      <w:r>
        <w:rPr>
          <w:spacing w:val="-7"/>
        </w:rPr>
        <w:t>非经常性损益》定义界定的非经常性损益项目，以及把《公</w:t>
      </w:r>
    </w:p>
    <w:p>
      <w:pPr>
        <w:pStyle w:val="BodyText"/>
        <w:spacing w:line="302" w:lineRule="auto" w:before="61"/>
        <w:ind w:left="154" w:right="1118"/>
        <w:jc w:val="left"/>
      </w:pPr>
      <w:r>
        <w:rPr/>
        <w:t>开发行证券的公司信息披露解释性公告第 </w:t>
      </w:r>
      <w:r>
        <w:rPr>
          <w:rFonts w:ascii="Times New Roman" w:hAnsi="Times New Roman" w:cs="Times New Roman" w:eastAsia="Times New Roman" w:hint="default"/>
        </w:rPr>
        <w:t>1</w:t>
      </w:r>
      <w:r>
        <w:rPr>
          <w:rFonts w:ascii="Times New Roman" w:hAnsi="Times New Roman" w:cs="Times New Roman" w:eastAsia="Times New Roman" w:hint="default"/>
          <w:spacing w:val="-26"/>
        </w:rPr>
        <w:t> </w:t>
      </w:r>
      <w:r>
        <w:rPr>
          <w:spacing w:val="-3"/>
        </w:rPr>
        <w:t>号</w:t>
      </w:r>
      <w:r>
        <w:rPr>
          <w:rFonts w:ascii="Times New Roman" w:hAnsi="Times New Roman" w:cs="Times New Roman" w:eastAsia="Times New Roman" w:hint="default"/>
          <w:spacing w:val="-3"/>
        </w:rPr>
        <w:t>——</w:t>
      </w:r>
      <w:r>
        <w:rPr>
          <w:spacing w:val="-3"/>
        </w:rPr>
        <w:t>非经常性损益》中列举的非经常性损益项目界定为经常性损益的项目，应</w:t>
      </w:r>
      <w:r>
        <w:rPr/>
        <w:t> 说明原因。</w:t>
      </w:r>
    </w:p>
    <w:p>
      <w:pPr>
        <w:pStyle w:val="BodyText"/>
        <w:spacing w:line="240" w:lineRule="auto" w:before="70"/>
        <w:ind w:left="154"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9"/>
        <w:rPr>
          <w:rFonts w:ascii="宋体" w:hAnsi="宋体" w:cs="宋体" w:eastAsia="宋体" w:hint="default"/>
          <w:sz w:val="25"/>
          <w:szCs w:val="25"/>
        </w:rPr>
      </w:pPr>
    </w:p>
    <w:p>
      <w:pPr>
        <w:pStyle w:val="Heading3"/>
        <w:spacing w:line="240" w:lineRule="auto"/>
        <w:ind w:left="153" w:right="0"/>
        <w:jc w:val="left"/>
        <w:rPr>
          <w:b w:val="0"/>
          <w:bCs w:val="0"/>
        </w:rPr>
      </w:pPr>
      <w:bookmarkStart w:name="2、净资产收益率及每股收益" w:id="534"/>
      <w:bookmarkEnd w:id="534"/>
      <w:r>
        <w:rPr>
          <w:b w:val="0"/>
          <w:bCs w:val="0"/>
        </w:rPr>
      </w:r>
      <w:r>
        <w:rPr>
          <w:rFonts w:ascii="Times New Roman" w:hAnsi="Times New Roman" w:cs="Times New Roman" w:eastAsia="Times New Roman" w:hint="default"/>
        </w:rPr>
        <w:t>2</w:t>
      </w:r>
      <w:r>
        <w:rPr/>
        <w:t>、净资产收益率及每股收益</w:t>
      </w:r>
      <w:r>
        <w:rPr>
          <w:b w:val="0"/>
          <w:bCs w:val="0"/>
        </w:rPr>
      </w:r>
    </w:p>
    <w:p>
      <w:pPr>
        <w:spacing w:line="240" w:lineRule="auto" w:before="10"/>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2662"/>
        <w:gridCol w:w="3081"/>
        <w:gridCol w:w="1913"/>
        <w:gridCol w:w="1913"/>
      </w:tblGrid>
      <w:tr>
        <w:trPr>
          <w:trHeight w:val="206" w:hRule="exact"/>
        </w:trPr>
        <w:tc>
          <w:tcPr>
            <w:tcW w:w="2662" w:type="dxa"/>
            <w:tcBorders>
              <w:top w:val="single" w:sz="4" w:space="0" w:color="000000"/>
              <w:left w:val="single" w:sz="4" w:space="0" w:color="000000"/>
              <w:bottom w:val="nil" w:sz="6" w:space="0" w:color="auto"/>
              <w:right w:val="single" w:sz="4" w:space="0" w:color="000000"/>
            </w:tcBorders>
            <w:shd w:val="clear" w:color="auto" w:fill="D2D2D2"/>
          </w:tcPr>
          <w:p>
            <w:pPr/>
          </w:p>
        </w:tc>
        <w:tc>
          <w:tcPr>
            <w:tcW w:w="3081" w:type="dxa"/>
            <w:tcBorders>
              <w:top w:val="single" w:sz="4" w:space="0" w:color="000000"/>
              <w:left w:val="single" w:sz="4" w:space="0" w:color="000000"/>
              <w:bottom w:val="nil" w:sz="6" w:space="0" w:color="auto"/>
              <w:right w:val="single" w:sz="4" w:space="0" w:color="000000"/>
            </w:tcBorders>
            <w:shd w:val="clear" w:color="auto" w:fill="D2D2D2"/>
          </w:tcPr>
          <w:p>
            <w:pPr/>
          </w:p>
        </w:tc>
        <w:tc>
          <w:tcPr>
            <w:tcW w:w="382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每股收益</w:t>
            </w:r>
          </w:p>
        </w:tc>
      </w:tr>
      <w:tr>
        <w:trPr>
          <w:trHeight w:val="191" w:hRule="exact"/>
        </w:trPr>
        <w:tc>
          <w:tcPr>
            <w:tcW w:w="266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876" w:right="0"/>
              <w:jc w:val="left"/>
              <w:rPr>
                <w:rFonts w:ascii="宋体" w:hAnsi="宋体" w:cs="宋体" w:eastAsia="宋体" w:hint="default"/>
                <w:sz w:val="18"/>
                <w:szCs w:val="18"/>
              </w:rPr>
            </w:pPr>
            <w:r>
              <w:rPr>
                <w:rFonts w:ascii="宋体" w:hAnsi="宋体" w:cs="宋体" w:eastAsia="宋体" w:hint="default"/>
                <w:sz w:val="18"/>
                <w:szCs w:val="18"/>
              </w:rPr>
              <w:t>报告期利润</w:t>
            </w:r>
          </w:p>
        </w:tc>
        <w:tc>
          <w:tcPr>
            <w:tcW w:w="308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635"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3826" w:type="dxa"/>
            <w:gridSpan w:val="2"/>
            <w:vMerge/>
            <w:tcBorders>
              <w:left w:val="single" w:sz="4" w:space="0" w:color="000000"/>
              <w:bottom w:val="single" w:sz="4" w:space="0" w:color="000000"/>
              <w:right w:val="single" w:sz="4" w:space="0" w:color="000000"/>
            </w:tcBorders>
            <w:shd w:val="clear" w:color="auto" w:fill="D2D2D2"/>
          </w:tcPr>
          <w:p>
            <w:pPr/>
          </w:p>
        </w:tc>
      </w:tr>
      <w:tr>
        <w:trPr>
          <w:trHeight w:val="201" w:hRule="exact"/>
        </w:trPr>
        <w:tc>
          <w:tcPr>
            <w:tcW w:w="2662" w:type="dxa"/>
            <w:vMerge/>
            <w:tcBorders>
              <w:left w:val="single" w:sz="4" w:space="0" w:color="000000"/>
              <w:bottom w:val="nil" w:sz="6" w:space="0" w:color="auto"/>
              <w:right w:val="single" w:sz="4" w:space="0" w:color="000000"/>
            </w:tcBorders>
            <w:shd w:val="clear" w:color="auto" w:fill="D2D2D2"/>
          </w:tcPr>
          <w:p>
            <w:pPr/>
          </w:p>
        </w:tc>
        <w:tc>
          <w:tcPr>
            <w:tcW w:w="3081" w:type="dxa"/>
            <w:vMerge/>
            <w:tcBorders>
              <w:left w:val="single" w:sz="4" w:space="0" w:color="000000"/>
              <w:bottom w:val="nil" w:sz="6" w:space="0" w:color="auto"/>
              <w:right w:val="single" w:sz="4" w:space="0" w:color="000000"/>
            </w:tcBorders>
            <w:shd w:val="clear" w:color="auto" w:fill="D2D2D2"/>
          </w:tcPr>
          <w:p>
            <w:pP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6"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6"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r>
      <w:tr>
        <w:trPr>
          <w:trHeight w:val="206" w:hRule="exact"/>
        </w:trPr>
        <w:tc>
          <w:tcPr>
            <w:tcW w:w="2662" w:type="dxa"/>
            <w:tcBorders>
              <w:top w:val="nil" w:sz="6" w:space="0" w:color="auto"/>
              <w:left w:val="single" w:sz="4" w:space="0" w:color="000000"/>
              <w:bottom w:val="single" w:sz="4" w:space="0" w:color="000000"/>
              <w:right w:val="single" w:sz="4" w:space="0" w:color="000000"/>
            </w:tcBorders>
            <w:shd w:val="clear" w:color="auto" w:fill="D2D2D2"/>
          </w:tcPr>
          <w:p>
            <w:pPr/>
          </w:p>
        </w:tc>
        <w:tc>
          <w:tcPr>
            <w:tcW w:w="3081"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84"/>
              <w:jc w:val="center"/>
              <w:rPr>
                <w:rFonts w:ascii="宋体" w:hAnsi="宋体" w:cs="宋体" w:eastAsia="宋体" w:hint="default"/>
                <w:sz w:val="18"/>
                <w:szCs w:val="18"/>
              </w:rPr>
            </w:pPr>
            <w:r>
              <w:rPr>
                <w:rFonts w:ascii="宋体" w:hAnsi="宋体" w:cs="宋体" w:eastAsia="宋体" w:hint="default"/>
                <w:sz w:val="18"/>
                <w:szCs w:val="18"/>
              </w:rPr>
              <w:t>归属于公司普通股股东的净利润</w:t>
            </w:r>
          </w:p>
        </w:tc>
        <w:tc>
          <w:tcPr>
            <w:tcW w:w="308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12.32%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0.22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0.22</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right="84"/>
              <w:jc w:val="center"/>
              <w:rPr>
                <w:rFonts w:ascii="宋体" w:hAnsi="宋体" w:cs="宋体" w:eastAsia="宋体" w:hint="default"/>
                <w:sz w:val="18"/>
                <w:szCs w:val="18"/>
              </w:rPr>
            </w:pPr>
            <w:r>
              <w:rPr>
                <w:rFonts w:ascii="宋体" w:hAnsi="宋体" w:cs="宋体" w:eastAsia="宋体" w:hint="default"/>
                <w:sz w:val="18"/>
                <w:szCs w:val="18"/>
              </w:rPr>
              <w:t>扣除非经常性损益后归属于公司</w:t>
            </w:r>
          </w:p>
        </w:tc>
        <w:tc>
          <w:tcPr>
            <w:tcW w:w="308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10.90%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0.19</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0.19</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b/>
          <w:bCs/>
          <w:sz w:val="28"/>
          <w:szCs w:val="28"/>
        </w:rPr>
      </w:pPr>
    </w:p>
    <w:tbl>
      <w:tblPr>
        <w:tblW w:w="0" w:type="auto"/>
        <w:jc w:val="left"/>
        <w:tblInd w:w="149" w:type="dxa"/>
        <w:tblLayout w:type="fixed"/>
        <w:tblCellMar>
          <w:top w:w="0" w:type="dxa"/>
          <w:left w:w="0" w:type="dxa"/>
          <w:bottom w:w="0" w:type="dxa"/>
          <w:right w:w="0" w:type="dxa"/>
        </w:tblCellMar>
        <w:tblLook w:val="01E0"/>
      </w:tblPr>
      <w:tblGrid>
        <w:gridCol w:w="2662"/>
        <w:gridCol w:w="3081"/>
        <w:gridCol w:w="1913"/>
        <w:gridCol w:w="1913"/>
      </w:tblGrid>
      <w:tr>
        <w:trPr>
          <w:trHeight w:val="36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普通股股东的净利润</w:t>
            </w:r>
          </w:p>
        </w:tc>
        <w:tc>
          <w:tcPr>
            <w:tcW w:w="3081"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b/>
          <w:bCs/>
          <w:sz w:val="19"/>
          <w:szCs w:val="19"/>
        </w:rPr>
      </w:pPr>
    </w:p>
    <w:p>
      <w:pPr>
        <w:pStyle w:val="Heading3"/>
        <w:spacing w:line="240" w:lineRule="auto" w:before="35"/>
        <w:ind w:right="0"/>
        <w:jc w:val="left"/>
        <w:rPr>
          <w:b w:val="0"/>
          <w:bCs w:val="0"/>
        </w:rPr>
      </w:pPr>
      <w:bookmarkStart w:name="3、境内外会计准则下会计数据差异" w:id="535"/>
      <w:bookmarkEnd w:id="535"/>
      <w:r>
        <w:rPr>
          <w:b w:val="0"/>
          <w:bCs w:val="0"/>
        </w:rPr>
      </w:r>
      <w:r>
        <w:rPr>
          <w:rFonts w:ascii="Times New Roman" w:hAnsi="Times New Roman" w:cs="Times New Roman" w:eastAsia="Times New Roman" w:hint="default"/>
        </w:rPr>
        <w:t>3</w:t>
      </w:r>
      <w:r>
        <w:rPr/>
        <w:t>、境内外会计准则下会计数据差异</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bookmarkStart w:name="（1）同时按照国际会计准则与按中国会计准则披露的财务报告中净利润和净资产差异情况" w:id="536"/>
      <w:bookmarkEnd w:id="536"/>
      <w:r>
        <w:rPr>
          <w:b w:val="0"/>
          <w:bCs w:val="0"/>
        </w:rPr>
      </w:r>
      <w:r>
        <w:rPr/>
        <w:t>（</w:t>
      </w:r>
      <w:r>
        <w:rPr>
          <w:rFonts w:ascii="Times New Roman" w:hAnsi="Times New Roman" w:cs="Times New Roman" w:eastAsia="Times New Roman" w:hint="default"/>
        </w:rPr>
        <w:t>1</w:t>
      </w:r>
      <w:r>
        <w:rPr/>
        <w:t>）同时按照国际会计准则与按中国会计准则披露的财务报告中净利润和净资产差异情况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154"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9"/>
        <w:rPr>
          <w:rFonts w:ascii="宋体" w:hAnsi="宋体" w:cs="宋体" w:eastAsia="宋体" w:hint="default"/>
          <w:sz w:val="25"/>
          <w:szCs w:val="25"/>
        </w:rPr>
      </w:pPr>
    </w:p>
    <w:p>
      <w:pPr>
        <w:pStyle w:val="Heading3"/>
        <w:spacing w:line="240" w:lineRule="auto"/>
        <w:ind w:left="153" w:right="0"/>
        <w:jc w:val="left"/>
        <w:rPr>
          <w:b w:val="0"/>
          <w:bCs w:val="0"/>
        </w:rPr>
      </w:pPr>
      <w:bookmarkStart w:name="（2）同时按照境外会计准则与按中国会计准则披露的财务报告中净利润和净资产差异情况" w:id="537"/>
      <w:bookmarkEnd w:id="537"/>
      <w:r>
        <w:rPr>
          <w:b w:val="0"/>
          <w:bCs w:val="0"/>
        </w:rPr>
      </w:r>
      <w:r>
        <w:rPr/>
        <w:t>（</w:t>
      </w:r>
      <w:r>
        <w:rPr>
          <w:rFonts w:ascii="Times New Roman" w:hAnsi="Times New Roman" w:cs="Times New Roman" w:eastAsia="Times New Roman" w:hint="default"/>
        </w:rPr>
        <w:t>2</w:t>
      </w:r>
      <w:r>
        <w:rPr/>
        <w:t>）同时按照境外会计准则与按中国会计准则披露的财务报告中净利润和净资产差异情况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154"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0"/>
        <w:rPr>
          <w:rFonts w:ascii="宋体" w:hAnsi="宋体" w:cs="宋体" w:eastAsia="宋体" w:hint="default"/>
          <w:sz w:val="25"/>
          <w:szCs w:val="25"/>
        </w:rPr>
      </w:pPr>
    </w:p>
    <w:p>
      <w:pPr>
        <w:pStyle w:val="Heading3"/>
        <w:spacing w:line="259" w:lineRule="auto"/>
        <w:ind w:left="153" w:right="0"/>
        <w:jc w:val="left"/>
        <w:rPr>
          <w:b w:val="0"/>
          <w:bCs w:val="0"/>
        </w:rPr>
      </w:pPr>
      <w:bookmarkStart w:name="（3）境内外会计准则下会计数据差异原因说明，对已经境外审计机构审计的数据进行差异" w:id="538"/>
      <w:bookmarkEnd w:id="538"/>
      <w:r>
        <w:rPr>
          <w:b w:val="0"/>
          <w:bCs w:val="0"/>
        </w:rPr>
      </w:r>
      <w:r>
        <w:rPr/>
        <w:t>（</w:t>
      </w:r>
      <w:r>
        <w:rPr>
          <w:rFonts w:ascii="Times New Roman" w:hAnsi="Times New Roman" w:cs="Times New Roman" w:eastAsia="Times New Roman" w:hint="default"/>
        </w:rPr>
        <w:t>3</w:t>
      </w:r>
      <w:r>
        <w:rPr/>
        <w:t>）境内外会计准则下会计数据差异原因说明，对已经境外审计机构审计的数据进行差异调节的，应注</w:t>
      </w:r>
      <w:r>
        <w:rPr>
          <w:spacing w:val="-74"/>
        </w:rPr>
        <w:t> </w:t>
      </w:r>
      <w:r>
        <w:rPr>
          <w:spacing w:val="-74"/>
        </w:rPr>
      </w:r>
      <w:r>
        <w:rPr/>
        <w:t>明该境外机构的名称</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53" w:right="0"/>
        <w:jc w:val="left"/>
        <w:rPr>
          <w:b w:val="0"/>
          <w:bCs w:val="0"/>
        </w:rPr>
      </w:pPr>
      <w:bookmarkStart w:name="4、其他" w:id="539"/>
      <w:bookmarkEnd w:id="539"/>
      <w:r>
        <w:rPr>
          <w:b w:val="0"/>
          <w:bCs w:val="0"/>
        </w:rPr>
      </w:r>
      <w:r>
        <w:rPr>
          <w:rFonts w:ascii="Times New Roman" w:hAnsi="Times New Roman" w:cs="Times New Roman" w:eastAsia="Times New Roman" w:hint="default"/>
        </w:rPr>
        <w:t>4</w:t>
      </w:r>
      <w:r>
        <w:rPr/>
        <w:t>、其他</w:t>
      </w:r>
      <w:r>
        <w:rPr>
          <w:b w:val="0"/>
          <w:bCs w:val="0"/>
        </w:rPr>
      </w:r>
    </w:p>
    <w:p>
      <w:pPr>
        <w:spacing w:after="0" w:line="240" w:lineRule="auto"/>
        <w:jc w:val="left"/>
        <w:sectPr>
          <w:pgSz w:w="11910" w:h="16840"/>
          <w:pgMar w:header="747" w:footer="979" w:top="1060" w:bottom="1160" w:left="980" w:right="0"/>
        </w:sectPr>
      </w:pP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20"/>
          <w:szCs w:val="20"/>
        </w:rPr>
      </w:pPr>
    </w:p>
    <w:p>
      <w:pPr>
        <w:pStyle w:val="Heading1"/>
        <w:spacing w:line="240" w:lineRule="auto"/>
        <w:ind w:left="3286" w:right="0"/>
        <w:jc w:val="left"/>
        <w:rPr>
          <w:b w:val="0"/>
          <w:bCs w:val="0"/>
        </w:rPr>
      </w:pPr>
      <w:bookmarkStart w:name="第十二节 备查文件目录" w:id="540"/>
      <w:bookmarkEnd w:id="540"/>
      <w:r>
        <w:rPr>
          <w:b w:val="0"/>
          <w:bCs w:val="0"/>
        </w:rPr>
      </w:r>
      <w:bookmarkStart w:name="_bookmark10" w:id="541"/>
      <w:bookmarkEnd w:id="541"/>
      <w:r>
        <w:rPr>
          <w:b w:val="0"/>
          <w:bCs w:val="0"/>
        </w:rPr>
      </w:r>
      <w:r>
        <w:rPr/>
        <w:t>第十二节</w:t>
      </w:r>
      <w:r>
        <w:rPr>
          <w:spacing w:val="-8"/>
        </w:rPr>
        <w:t> </w:t>
      </w:r>
      <w:r>
        <w:rPr/>
        <w:t>备查文件目录</w:t>
      </w:r>
      <w:r>
        <w:rPr>
          <w:b w:val="0"/>
          <w:bCs w:val="0"/>
        </w:rPr>
      </w:r>
    </w:p>
    <w:p>
      <w:pPr>
        <w:spacing w:line="240" w:lineRule="auto" w:before="8"/>
        <w:rPr>
          <w:rFonts w:ascii="宋体" w:hAnsi="宋体" w:cs="宋体" w:eastAsia="宋体" w:hint="default"/>
          <w:b/>
          <w:bCs/>
          <w:sz w:val="42"/>
          <w:szCs w:val="42"/>
        </w:rPr>
      </w:pPr>
    </w:p>
    <w:p>
      <w:pPr>
        <w:pStyle w:val="BodyText"/>
        <w:spacing w:line="355" w:lineRule="auto"/>
        <w:ind w:right="2473"/>
        <w:jc w:val="left"/>
      </w:pPr>
      <w:r>
        <w:rPr/>
        <w:t>一、载有董事长签名的</w:t>
      </w:r>
      <w:r>
        <w:rPr>
          <w:rFonts w:ascii="Times New Roman" w:hAnsi="Times New Roman" w:cs="Times New Roman" w:eastAsia="Times New Roman" w:hint="default"/>
        </w:rPr>
        <w:t>2017</w:t>
      </w:r>
      <w:r>
        <w:rPr/>
        <w:t>年年度报告原件。 二、载有公司负责人、主管会计工作负责人、会计机构负责人（会计主管人员）签名并盖章的财务报表。 三、载有会计师事务所盖章、注册会计师签名并盖章的审计报告原件。 四、报告期内在中国证监会指定信息披露载体上公开披露过的所有公司文件正本及公告的原稿。 五、以上备查文件的备置地点：公司董事会办公室、深圳证券交易所。</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20"/>
          <w:szCs w:val="20"/>
        </w:rPr>
      </w:pPr>
    </w:p>
    <w:p>
      <w:pPr>
        <w:pStyle w:val="BodyText"/>
        <w:spacing w:line="240" w:lineRule="auto"/>
        <w:ind w:left="0" w:right="1130"/>
        <w:jc w:val="right"/>
      </w:pPr>
      <w:r>
        <w:rPr/>
        <w:t>深圳市奥拓电子股份有限公司</w:t>
      </w:r>
    </w:p>
    <w:p>
      <w:pPr>
        <w:pStyle w:val="BodyText"/>
        <w:spacing w:line="357" w:lineRule="auto" w:before="116"/>
        <w:ind w:left="8173" w:right="1130" w:firstLine="360"/>
        <w:jc w:val="right"/>
      </w:pPr>
      <w:r>
        <w:rPr/>
        <w:t>董事长：吴涵渠 二〇一八年四月二日</w:t>
      </w:r>
    </w:p>
    <w:sectPr>
      <w:pgSz w:w="11910" w:h="16840"/>
      <w:pgMar w:header="747" w:footer="979" w:top="1060" w:bottom="1160" w:left="98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宋体">
    <w:altName w:val="宋体"/>
    <w:charset w:val="86"/>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7.820007pt;margin-top:803.419983pt;width:67.5pt;height:38.5pt;mso-position-horizontal-relative:page;mso-position-vertical-relative:page;z-index:-1254568" type="#_x0000_t75" stroked="false">
          <v:imagedata r:id="rId1" o:title=""/>
        </v:shape>
      </w:pict>
    </w:r>
    <w:r>
      <w:rPr/>
      <w:pict>
        <v:shape style="position:absolute;margin-left:533.179993pt;margin-top:795.517944pt;width:6.5pt;height:11pt;mso-position-horizontal-relative:page;mso-position-vertical-relative:page;z-index:-1254544" type="#_x0000_t202" filled="false" stroked="false">
          <v:textbox inset="0,0,0,0">
            <w:txbxContent>
              <w:p>
                <w:pPr>
                  <w:pStyle w:val="BodyText"/>
                  <w:spacing w:line="204" w:lineRule="exact"/>
                  <w:ind w:left="20" w:right="0"/>
                  <w:jc w:val="left"/>
                  <w:rPr>
                    <w:rFonts w:ascii="Times New Roman" w:hAnsi="Times New Roman" w:cs="Times New Roman" w:eastAsia="Times New Roman" w:hint="default"/>
                  </w:rPr>
                </w:pPr>
                <w:r>
                  <w:rPr>
                    <w:rFonts w:ascii="Times New Roman"/>
                  </w:rPr>
                  <w:t>1</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7.820007pt;margin-top:803.419983pt;width:67.5pt;height:38.5pt;mso-position-horizontal-relative:page;mso-position-vertical-relative:page;z-index:-1254520" type="#_x0000_t75" stroked="false">
          <v:imagedata r:id="rId1" o:title=""/>
        </v:shape>
      </w:pict>
    </w:r>
    <w:r>
      <w:rPr/>
      <w:pict>
        <v:shape style="position:absolute;margin-left:527.679993pt;margin-top:781.957947pt;width:13pt;height:11pt;mso-position-horizontal-relative:page;mso-position-vertical-relative:page;z-index:-1254496"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10</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7.820007pt;margin-top:803.419983pt;width:67.5pt;height:38.5pt;mso-position-horizontal-relative:page;mso-position-vertical-relative:page;z-index:-1254472" type="#_x0000_t75" stroked="false">
          <v:imagedata r:id="rId1" o:title=""/>
        </v:shape>
      </w:pict>
    </w:r>
    <w:r>
      <w:rPr/>
      <w:pict>
        <v:shape style="position:absolute;margin-left:527.679993pt;margin-top:781.957947pt;width:13pt;height:11pt;mso-position-horizontal-relative:page;mso-position-vertical-relative:page;z-index:-1254448"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98</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7.820007pt;margin-top:803.419983pt;width:67.5pt;height:38.5pt;mso-position-horizontal-relative:page;mso-position-vertical-relative:page;z-index:-1254424" type="#_x0000_t75" stroked="false">
          <v:imagedata r:id="rId1" o:title=""/>
        </v:shape>
      </w:pict>
    </w:r>
    <w:r>
      <w:rPr/>
      <w:pict>
        <v:shape style="position:absolute;margin-left:524.179993pt;margin-top:781.957947pt;width:15.5pt;height:11pt;mso-position-horizontal-relative:page;mso-position-vertical-relative:page;z-index:-1254400" type="#_x0000_t202" filled="false" stroked="false">
          <v:textbox inset="0,0,0,0">
            <w:txbxContent>
              <w:p>
                <w:pPr>
                  <w:pStyle w:val="BodyText"/>
                  <w:spacing w:line="204" w:lineRule="exact"/>
                  <w:ind w:left="20" w:right="0"/>
                  <w:jc w:val="left"/>
                  <w:rPr>
                    <w:rFonts w:ascii="Times New Roman" w:hAnsi="Times New Roman" w:cs="Times New Roman" w:eastAsia="Times New Roman" w:hint="default"/>
                  </w:rPr>
                </w:pPr>
                <w:r>
                  <w:rPr>
                    <w:rFonts w:ascii="Times New Roman"/>
                  </w:rPr>
                  <w:t>100</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7.820007pt;margin-top:803.419983pt;width:67.5pt;height:38.5pt;mso-position-horizontal-relative:page;mso-position-vertical-relative:page;z-index:-1254376" type="#_x0000_t75" stroked="false">
          <v:imagedata r:id="rId1" o:title=""/>
        </v:shape>
      </w:pict>
    </w:r>
    <w:r>
      <w:rPr/>
      <w:pict>
        <v:shape style="position:absolute;margin-left:523.179993pt;margin-top:781.957947pt;width:17.5pt;height:11pt;mso-position-horizontal-relative:page;mso-position-vertical-relative:page;z-index:-1254352"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101</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7.820007pt;margin-top:803.419983pt;width:67.5pt;height:38.5pt;mso-position-horizontal-relative:page;mso-position-vertical-relative:page;z-index:-1254328" type="#_x0000_t75" stroked="false">
          <v:imagedata r:id="rId1" o:title=""/>
        </v:shape>
      </w:pict>
    </w:r>
    <w:r>
      <w:rPr/>
      <w:pict>
        <v:shape style="position:absolute;margin-left:524.179993pt;margin-top:781.957947pt;width:15.5pt;height:11pt;mso-position-horizontal-relative:page;mso-position-vertical-relative:page;z-index:-1254304" type="#_x0000_t202" filled="false" stroked="false">
          <v:textbox inset="0,0,0,0">
            <w:txbxContent>
              <w:p>
                <w:pPr>
                  <w:pStyle w:val="BodyText"/>
                  <w:spacing w:line="204" w:lineRule="exact"/>
                  <w:ind w:left="20" w:right="0"/>
                  <w:jc w:val="left"/>
                  <w:rPr>
                    <w:rFonts w:ascii="Times New Roman" w:hAnsi="Times New Roman" w:cs="Times New Roman" w:eastAsia="Times New Roman" w:hint="default"/>
                  </w:rPr>
                </w:pPr>
                <w:r>
                  <w:rPr>
                    <w:rFonts w:ascii="Times New Roman"/>
                  </w:rPr>
                  <w:t>200</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7.820007pt;margin-top:803.419983pt;width:67.5pt;height:38.5pt;mso-position-horizontal-relative:page;mso-position-vertical-relative:page;z-index:-1254280" type="#_x0000_t75" stroked="false">
          <v:imagedata r:id="rId1" o:title=""/>
        </v:shape>
      </w:pict>
    </w:r>
    <w:r>
      <w:rPr/>
      <w:pict>
        <v:shape style="position:absolute;margin-left:523.179993pt;margin-top:781.957947pt;width:17.5pt;height:11pt;mso-position-horizontal-relative:page;mso-position-vertical-relative:page;z-index:-1254256"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202</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335.160004pt;margin-top:36.325607pt;width:204.55pt;height:11.5pt;mso-position-horizontal-relative:page;mso-position-vertical-relative:page;z-index:-1254592" type="#_x0000_t202" filled="false" stroked="false">
          <v:textbox inset="0,0,0,0">
            <w:txbxContent>
              <w:p>
                <w:pPr>
                  <w:pStyle w:val="BodyText"/>
                  <w:spacing w:line="214" w:lineRule="exact"/>
                  <w:ind w:left="20" w:right="0"/>
                  <w:jc w:val="left"/>
                </w:pPr>
                <w:r>
                  <w:rPr/>
                  <w:t>深圳市奥拓电子股份有限公司</w:t>
                </w:r>
                <w:r>
                  <w:rPr>
                    <w:spacing w:val="-46"/>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年年度报告全文</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135"/>
      <w:ind w:left="153"/>
    </w:pPr>
    <w:rPr>
      <w:rFonts w:ascii="宋体" w:hAnsi="宋体" w:eastAsia="宋体"/>
      <w:sz w:val="24"/>
      <w:szCs w:val="24"/>
    </w:rPr>
  </w:style>
  <w:style w:styleId="BodyText" w:type="paragraph">
    <w:name w:val="Body Text"/>
    <w:basedOn w:val="Normal"/>
    <w:uiPriority w:val="1"/>
    <w:qFormat/>
    <w:pPr>
      <w:ind w:left="153"/>
    </w:pPr>
    <w:rPr>
      <w:rFonts w:ascii="宋体" w:hAnsi="宋体" w:eastAsia="宋体"/>
      <w:sz w:val="18"/>
      <w:szCs w:val="18"/>
    </w:rPr>
  </w:style>
  <w:style w:styleId="Heading1" w:type="paragraph">
    <w:name w:val="Heading 1"/>
    <w:basedOn w:val="Normal"/>
    <w:uiPriority w:val="1"/>
    <w:qFormat/>
    <w:pPr>
      <w:spacing w:before="1"/>
      <w:ind w:left="2965"/>
      <w:outlineLvl w:val="1"/>
    </w:pPr>
    <w:rPr>
      <w:rFonts w:ascii="宋体" w:hAnsi="宋体" w:eastAsia="宋体"/>
      <w:b/>
      <w:bCs/>
      <w:sz w:val="32"/>
      <w:szCs w:val="32"/>
    </w:rPr>
  </w:style>
  <w:style w:styleId="Heading2" w:type="paragraph">
    <w:name w:val="Heading 2"/>
    <w:basedOn w:val="Normal"/>
    <w:uiPriority w:val="1"/>
    <w:qFormat/>
    <w:pPr>
      <w:ind w:left="153"/>
      <w:outlineLvl w:val="2"/>
    </w:pPr>
    <w:rPr>
      <w:rFonts w:ascii="宋体" w:hAnsi="宋体" w:eastAsia="宋体"/>
      <w:b/>
      <w:bCs/>
      <w:sz w:val="24"/>
      <w:szCs w:val="24"/>
    </w:rPr>
  </w:style>
  <w:style w:styleId="Heading3" w:type="paragraph">
    <w:name w:val="Heading 3"/>
    <w:basedOn w:val="Normal"/>
    <w:uiPriority w:val="1"/>
    <w:qFormat/>
    <w:pPr>
      <w:ind w:left="154"/>
      <w:outlineLvl w:val="3"/>
    </w:pPr>
    <w:rPr>
      <w:rFonts w:ascii="宋体" w:hAnsi="宋体" w:eastAsia="宋体"/>
      <w:b/>
      <w:bCs/>
      <w:sz w:val="21"/>
      <w:szCs w:val="21"/>
    </w:rPr>
  </w:style>
  <w:style w:styleId="Heading4" w:type="paragraph">
    <w:name w:val="Heading 4"/>
    <w:basedOn w:val="Normal"/>
    <w:uiPriority w:val="1"/>
    <w:qFormat/>
    <w:pPr>
      <w:spacing w:before="63"/>
      <w:ind w:left="515"/>
      <w:outlineLvl w:val="4"/>
    </w:pPr>
    <w:rPr>
      <w:rFonts w:ascii="宋体" w:hAnsi="宋体" w:eastAsia="宋体"/>
      <w:b/>
      <w:bCs/>
      <w:sz w:val="18"/>
      <w:szCs w:val="18"/>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footer" Target="footer2.xml"/><Relationship Id="rId9" Type="http://schemas.openxmlformats.org/officeDocument/2006/relationships/hyperlink" Target="http://www.aoto.com/" TargetMode="External"/><Relationship Id="rId10" Type="http://schemas.openxmlformats.org/officeDocument/2006/relationships/hyperlink" Target="mailto:szaoto@aoto.com" TargetMode="External"/><Relationship Id="rId11" Type="http://schemas.openxmlformats.org/officeDocument/2006/relationships/hyperlink" Target="mailto:kongdj@aoto.com" TargetMode="External"/><Relationship Id="rId12" Type="http://schemas.openxmlformats.org/officeDocument/2006/relationships/hyperlink" Target="mailto:zhujw@aoto.com" TargetMode="External"/><Relationship Id="rId13" Type="http://schemas.openxmlformats.org/officeDocument/2006/relationships/hyperlink" Target="http://www.cninfo.com.cn/" TargetMode="External"/><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image" Target="media/image18.jpeg"/><Relationship Id="rId30" Type="http://schemas.openxmlformats.org/officeDocument/2006/relationships/image" Target="media/image19.jpeg"/><Relationship Id="rId31" Type="http://schemas.openxmlformats.org/officeDocument/2006/relationships/image" Target="media/image20.jpeg"/><Relationship Id="rId32" Type="http://schemas.openxmlformats.org/officeDocument/2006/relationships/image" Target="media/image21.jpeg"/><Relationship Id="rId33" Type="http://schemas.openxmlformats.org/officeDocument/2006/relationships/image" Target="media/image22.jpeg"/><Relationship Id="rId34" Type="http://schemas.openxmlformats.org/officeDocument/2006/relationships/image" Target="media/image23.jpeg"/><Relationship Id="rId35" Type="http://schemas.openxmlformats.org/officeDocument/2006/relationships/image" Target="media/image24.jpeg"/><Relationship Id="rId36" Type="http://schemas.openxmlformats.org/officeDocument/2006/relationships/image" Target="media/image25.jpeg"/><Relationship Id="rId37" Type="http://schemas.openxmlformats.org/officeDocument/2006/relationships/image" Target="media/image26.png"/><Relationship Id="rId38" Type="http://schemas.openxmlformats.org/officeDocument/2006/relationships/image" Target="media/image27.jpeg"/><Relationship Id="rId39" Type="http://schemas.openxmlformats.org/officeDocument/2006/relationships/image" Target="media/image28.jpeg"/><Relationship Id="rId40" Type="http://schemas.openxmlformats.org/officeDocument/2006/relationships/image" Target="media/image29.jpeg"/><Relationship Id="rId41" Type="http://schemas.openxmlformats.org/officeDocument/2006/relationships/image" Target="media/image30.jpeg"/><Relationship Id="rId42" Type="http://schemas.openxmlformats.org/officeDocument/2006/relationships/image" Target="media/image31.jpeg"/><Relationship Id="rId43" Type="http://schemas.openxmlformats.org/officeDocument/2006/relationships/image" Target="media/image32.jpeg"/><Relationship Id="rId44" Type="http://schemas.openxmlformats.org/officeDocument/2006/relationships/image" Target="media/image33.png"/><Relationship Id="rId45" Type="http://schemas.openxmlformats.org/officeDocument/2006/relationships/image" Target="media/image34.jpeg"/><Relationship Id="rId46" Type="http://schemas.openxmlformats.org/officeDocument/2006/relationships/image" Target="media/image35.jpeg"/><Relationship Id="rId47" Type="http://schemas.openxmlformats.org/officeDocument/2006/relationships/image" Target="media/image36.jpeg"/><Relationship Id="rId48" Type="http://schemas.openxmlformats.org/officeDocument/2006/relationships/image" Target="media/image37.jpeg"/><Relationship Id="rId49" Type="http://schemas.openxmlformats.org/officeDocument/2006/relationships/image" Target="media/image38.jpeg"/><Relationship Id="rId50" Type="http://schemas.openxmlformats.org/officeDocument/2006/relationships/image" Target="media/image39.jpeg"/><Relationship Id="rId51" Type="http://schemas.openxmlformats.org/officeDocument/2006/relationships/image" Target="media/image40.png"/><Relationship Id="rId52" Type="http://schemas.openxmlformats.org/officeDocument/2006/relationships/footer" Target="footer3.xml"/><Relationship Id="rId53" Type="http://schemas.openxmlformats.org/officeDocument/2006/relationships/footer" Target="footer4.xml"/><Relationship Id="rId54" Type="http://schemas.openxmlformats.org/officeDocument/2006/relationships/footer" Target="footer5.xml"/><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footer" Target="footer6.xml"/><Relationship Id="rId67" Type="http://schemas.openxmlformats.org/officeDocument/2006/relationships/footer" Target="footer7.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深圳市奥拓电子股份有限公司</dc:creator>
  <dc:title>深圳市奥拓电子股份有限公司2017年年度报告全文</dc:title>
  <dcterms:created xsi:type="dcterms:W3CDTF">2020-05-02T22:48:39Z</dcterms:created>
  <dcterms:modified xsi:type="dcterms:W3CDTF">2020-05-02T22:48:39Z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2018-04-03T00:00:00Z</vt:filetime>
  </property>
  <property fmtid="{D5CDD505-2E9C-101B-9397-08002B2CF9AE}" pid="3" name="Creator">
    <vt:lpwstr>Microsoft® Office Word 2007</vt:lpwstr>
  </property>
  <property fmtid="{D5CDD505-2E9C-101B-9397-08002B2CF9AE}" pid="4" name="LastSaved">
    <vt:filetime>2020-05-02T00:00:00Z</vt:filetime>
  </property>
</Properties>
</file>